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71FB5" w14:textId="77777777" w:rsidR="00E40517" w:rsidRPr="008F4E90" w:rsidRDefault="00E40517" w:rsidP="00EB25CA">
      <w:pPr>
        <w:pStyle w:val="Subtitle"/>
        <w:spacing w:after="0" w:line="480" w:lineRule="auto"/>
        <w:rPr>
          <w:rFonts w:asciiTheme="majorBidi" w:eastAsia="Times New Roman" w:hAnsiTheme="majorBidi" w:cstheme="majorBidi"/>
          <w:b/>
          <w:color w:val="auto"/>
          <w:sz w:val="24"/>
          <w:szCs w:val="24"/>
        </w:rPr>
      </w:pPr>
      <w:bookmarkStart w:id="0" w:name="_k367e14zceql" w:colFirst="0" w:colLast="0"/>
      <w:bookmarkEnd w:id="0"/>
    </w:p>
    <w:p w14:paraId="68C82789" w14:textId="77777777" w:rsidR="00E40517" w:rsidRPr="008F4E90" w:rsidRDefault="00E40517" w:rsidP="00EB25CA">
      <w:pPr>
        <w:spacing w:line="480" w:lineRule="auto"/>
        <w:jc w:val="center"/>
        <w:rPr>
          <w:rFonts w:asciiTheme="majorBidi" w:eastAsia="Times New Roman" w:hAnsiTheme="majorBidi" w:cstheme="majorBidi"/>
          <w:b/>
          <w:sz w:val="24"/>
          <w:szCs w:val="24"/>
        </w:rPr>
      </w:pPr>
    </w:p>
    <w:p w14:paraId="61A1A93B" w14:textId="77777777" w:rsidR="00E40517" w:rsidRPr="008F4E90" w:rsidRDefault="00E40517" w:rsidP="00EB25CA">
      <w:pPr>
        <w:spacing w:line="480" w:lineRule="auto"/>
        <w:jc w:val="center"/>
        <w:rPr>
          <w:rFonts w:asciiTheme="majorBidi" w:eastAsia="Times New Roman" w:hAnsiTheme="majorBidi" w:cstheme="majorBidi"/>
          <w:b/>
          <w:sz w:val="24"/>
          <w:szCs w:val="24"/>
        </w:rPr>
      </w:pPr>
    </w:p>
    <w:p w14:paraId="11E61CF2" w14:textId="77777777" w:rsidR="00E40517" w:rsidRPr="008F4E90" w:rsidRDefault="00000000" w:rsidP="00EB25CA">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noProof/>
          <w:sz w:val="24"/>
          <w:szCs w:val="24"/>
        </w:rPr>
        <w:drawing>
          <wp:inline distT="114300" distB="114300" distL="114300" distR="114300" wp14:anchorId="248AD513" wp14:editId="7D1D0115">
            <wp:extent cx="3305175" cy="10382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05175" cy="1038225"/>
                    </a:xfrm>
                    <a:prstGeom prst="rect">
                      <a:avLst/>
                    </a:prstGeom>
                    <a:ln/>
                  </pic:spPr>
                </pic:pic>
              </a:graphicData>
            </a:graphic>
          </wp:inline>
        </w:drawing>
      </w:r>
    </w:p>
    <w:p w14:paraId="43F12197" w14:textId="77777777" w:rsidR="00E40517" w:rsidRPr="008F4E90" w:rsidRDefault="00E40517" w:rsidP="00EB25CA">
      <w:pPr>
        <w:spacing w:line="480" w:lineRule="auto"/>
        <w:jc w:val="center"/>
        <w:rPr>
          <w:rFonts w:asciiTheme="majorBidi" w:eastAsia="Times New Roman" w:hAnsiTheme="majorBidi" w:cstheme="majorBidi"/>
          <w:b/>
          <w:sz w:val="24"/>
          <w:szCs w:val="24"/>
        </w:rPr>
      </w:pPr>
    </w:p>
    <w:p w14:paraId="14A2881B" w14:textId="77777777" w:rsidR="00E40517" w:rsidRPr="008F4E90" w:rsidRDefault="00E40517" w:rsidP="00EB25CA">
      <w:pPr>
        <w:pStyle w:val="Title"/>
        <w:spacing w:after="0" w:line="480" w:lineRule="auto"/>
        <w:jc w:val="center"/>
        <w:rPr>
          <w:rFonts w:asciiTheme="majorBidi" w:eastAsia="Times New Roman" w:hAnsiTheme="majorBidi" w:cstheme="majorBidi"/>
          <w:b/>
          <w:sz w:val="24"/>
          <w:szCs w:val="24"/>
        </w:rPr>
      </w:pPr>
      <w:bookmarkStart w:id="1" w:name="_gs5nsp9ri7rc" w:colFirst="0" w:colLast="0"/>
      <w:bookmarkEnd w:id="1"/>
    </w:p>
    <w:p w14:paraId="3A4C3D04" w14:textId="77777777" w:rsidR="00E40517" w:rsidRPr="008F4E90" w:rsidRDefault="00000000" w:rsidP="00EB25CA">
      <w:pPr>
        <w:pStyle w:val="Subtitle"/>
        <w:spacing w:after="0" w:line="480" w:lineRule="auto"/>
        <w:jc w:val="center"/>
        <w:rPr>
          <w:rFonts w:asciiTheme="majorBidi" w:eastAsia="Times New Roman" w:hAnsiTheme="majorBidi" w:cstheme="majorBidi"/>
          <w:b/>
          <w:color w:val="auto"/>
          <w:sz w:val="24"/>
          <w:szCs w:val="24"/>
        </w:rPr>
      </w:pPr>
      <w:bookmarkStart w:id="2" w:name="_c04v4tm6jlyx" w:colFirst="0" w:colLast="0"/>
      <w:bookmarkEnd w:id="2"/>
      <w:r w:rsidRPr="008F4E90">
        <w:rPr>
          <w:rFonts w:asciiTheme="majorBidi" w:eastAsia="Times New Roman" w:hAnsiTheme="majorBidi" w:cstheme="majorBidi"/>
          <w:b/>
          <w:color w:val="auto"/>
          <w:sz w:val="24"/>
          <w:szCs w:val="24"/>
        </w:rPr>
        <w:t>Investigating Multiscale Sample Entropy in Resting State EEG and fMRI Signals in Autism Spectrum Condition and Neurotypical Controls</w:t>
      </w:r>
    </w:p>
    <w:p w14:paraId="19CD87B1" w14:textId="77777777" w:rsidR="00E40517" w:rsidRPr="008F4E90" w:rsidRDefault="00E40517" w:rsidP="00EB25CA">
      <w:pPr>
        <w:spacing w:line="480" w:lineRule="auto"/>
        <w:ind w:firstLine="708"/>
        <w:jc w:val="center"/>
        <w:rPr>
          <w:rFonts w:asciiTheme="majorBidi" w:eastAsia="Times New Roman" w:hAnsiTheme="majorBidi" w:cstheme="majorBidi"/>
          <w:b/>
          <w:sz w:val="24"/>
          <w:szCs w:val="24"/>
        </w:rPr>
      </w:pPr>
    </w:p>
    <w:p w14:paraId="7CDB3E7B" w14:textId="77777777" w:rsidR="00E40517" w:rsidRPr="008F4E90" w:rsidRDefault="00000000" w:rsidP="00EB25CA">
      <w:pPr>
        <w:spacing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Wenyi Xiao</w:t>
      </w:r>
    </w:p>
    <w:p w14:paraId="01F8E2D5" w14:textId="77777777" w:rsidR="00E135A4" w:rsidRPr="008F4E90" w:rsidRDefault="00E135A4" w:rsidP="00EB25CA">
      <w:pPr>
        <w:spacing w:line="480" w:lineRule="auto"/>
        <w:jc w:val="center"/>
        <w:rPr>
          <w:rFonts w:asciiTheme="majorBidi" w:eastAsia="Times New Roman" w:hAnsiTheme="majorBidi" w:cstheme="majorBidi"/>
          <w:sz w:val="24"/>
          <w:szCs w:val="24"/>
        </w:rPr>
      </w:pPr>
    </w:p>
    <w:p w14:paraId="4422B974" w14:textId="77777777" w:rsidR="00E135A4" w:rsidRPr="008F4E90" w:rsidRDefault="00E135A4" w:rsidP="00E135A4">
      <w:pPr>
        <w:spacing w:line="240" w:lineRule="auto"/>
        <w:jc w:val="center"/>
        <w:rPr>
          <w:rFonts w:asciiTheme="majorBidi" w:eastAsia="Times New Roman" w:hAnsiTheme="majorBidi" w:cstheme="majorBidi"/>
          <w:sz w:val="24"/>
          <w:szCs w:val="24"/>
        </w:rPr>
      </w:pPr>
      <w:r w:rsidRPr="00E135A4">
        <w:rPr>
          <w:rFonts w:asciiTheme="majorBidi" w:eastAsia="Times New Roman" w:hAnsiTheme="majorBidi" w:cstheme="majorBidi"/>
          <w:sz w:val="24"/>
          <w:szCs w:val="24"/>
        </w:rPr>
        <w:t>Submitted in accordance with the requirements for the degree of Doctor of Philosophy</w:t>
      </w:r>
    </w:p>
    <w:p w14:paraId="03317A34" w14:textId="77777777" w:rsidR="00E135A4" w:rsidRPr="00E135A4" w:rsidRDefault="00E135A4" w:rsidP="00E135A4">
      <w:pPr>
        <w:spacing w:line="240" w:lineRule="auto"/>
        <w:jc w:val="center"/>
        <w:rPr>
          <w:rFonts w:asciiTheme="majorBidi" w:eastAsia="Times New Roman" w:hAnsiTheme="majorBidi" w:cstheme="majorBidi"/>
          <w:sz w:val="24"/>
          <w:szCs w:val="24"/>
        </w:rPr>
      </w:pPr>
    </w:p>
    <w:p w14:paraId="1C29C5F4" w14:textId="77777777" w:rsidR="00E135A4" w:rsidRPr="00E135A4" w:rsidRDefault="00E135A4" w:rsidP="00E135A4">
      <w:pPr>
        <w:spacing w:line="240" w:lineRule="auto"/>
        <w:rPr>
          <w:rFonts w:asciiTheme="majorBidi" w:eastAsia="Times New Roman" w:hAnsiTheme="majorBidi" w:cstheme="majorBidi"/>
          <w:sz w:val="24"/>
          <w:szCs w:val="24"/>
        </w:rPr>
      </w:pPr>
    </w:p>
    <w:p w14:paraId="099BE9CD" w14:textId="77777777" w:rsidR="00E40517" w:rsidRPr="008F4E90" w:rsidRDefault="00E135A4" w:rsidP="00EB25CA">
      <w:pPr>
        <w:spacing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Department of Psychology, University of Sheffield</w:t>
      </w:r>
    </w:p>
    <w:p w14:paraId="3D6524E1" w14:textId="77777777" w:rsidR="00E135A4" w:rsidRPr="008F4E90" w:rsidRDefault="00E135A4" w:rsidP="00EB25CA">
      <w:pPr>
        <w:spacing w:line="480" w:lineRule="auto"/>
        <w:jc w:val="center"/>
        <w:rPr>
          <w:rFonts w:asciiTheme="majorBidi" w:eastAsia="Times New Roman" w:hAnsiTheme="majorBidi" w:cstheme="majorBidi"/>
          <w:sz w:val="24"/>
          <w:szCs w:val="24"/>
        </w:rPr>
      </w:pPr>
    </w:p>
    <w:p w14:paraId="6C44A98C" w14:textId="77777777" w:rsidR="00E40517" w:rsidRPr="008F4E90" w:rsidRDefault="00E135A4" w:rsidP="00EB25CA">
      <w:pPr>
        <w:spacing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September 2023</w:t>
      </w:r>
    </w:p>
    <w:p w14:paraId="21294996" w14:textId="77777777" w:rsidR="00E40517" w:rsidRPr="008F4E90" w:rsidRDefault="00E40517" w:rsidP="00EB25CA">
      <w:pPr>
        <w:spacing w:line="480" w:lineRule="auto"/>
        <w:ind w:firstLine="708"/>
        <w:jc w:val="center"/>
        <w:rPr>
          <w:rFonts w:asciiTheme="majorBidi" w:eastAsia="Times New Roman" w:hAnsiTheme="majorBidi" w:cstheme="majorBidi"/>
          <w:sz w:val="24"/>
          <w:szCs w:val="24"/>
        </w:rPr>
      </w:pPr>
    </w:p>
    <w:p w14:paraId="47F8BE5B" w14:textId="77777777" w:rsidR="00E40517" w:rsidRPr="008F4E90" w:rsidRDefault="00E40517" w:rsidP="00EB25CA">
      <w:pPr>
        <w:spacing w:line="480" w:lineRule="auto"/>
        <w:ind w:firstLine="708"/>
        <w:jc w:val="center"/>
        <w:rPr>
          <w:rFonts w:asciiTheme="majorBidi" w:eastAsia="Times New Roman" w:hAnsiTheme="majorBidi" w:cstheme="majorBidi"/>
          <w:sz w:val="24"/>
          <w:szCs w:val="24"/>
        </w:rPr>
      </w:pPr>
    </w:p>
    <w:p w14:paraId="2CAB921C" w14:textId="77777777" w:rsidR="00E40517" w:rsidRPr="008F4E90" w:rsidRDefault="00E40517" w:rsidP="00EB25CA">
      <w:pPr>
        <w:spacing w:line="480" w:lineRule="auto"/>
        <w:ind w:firstLine="708"/>
        <w:jc w:val="center"/>
        <w:rPr>
          <w:rFonts w:asciiTheme="majorBidi" w:eastAsia="Times New Roman" w:hAnsiTheme="majorBidi" w:cstheme="majorBidi"/>
          <w:sz w:val="24"/>
          <w:szCs w:val="24"/>
        </w:rPr>
      </w:pPr>
    </w:p>
    <w:p w14:paraId="4D1108F9" w14:textId="77777777" w:rsidR="00E40517" w:rsidRPr="008F4E90" w:rsidRDefault="00E40517" w:rsidP="00EB25CA">
      <w:pPr>
        <w:spacing w:line="480" w:lineRule="auto"/>
        <w:ind w:firstLine="708"/>
        <w:jc w:val="center"/>
        <w:rPr>
          <w:rFonts w:asciiTheme="majorBidi" w:eastAsia="Times New Roman" w:hAnsiTheme="majorBidi" w:cstheme="majorBidi"/>
          <w:b/>
          <w:sz w:val="24"/>
          <w:szCs w:val="24"/>
        </w:rPr>
      </w:pPr>
    </w:p>
    <w:p w14:paraId="21921944" w14:textId="77777777" w:rsidR="00E40517" w:rsidRPr="008F4E90" w:rsidRDefault="00E40517" w:rsidP="00EB25CA">
      <w:pPr>
        <w:spacing w:line="480" w:lineRule="auto"/>
        <w:ind w:firstLine="708"/>
        <w:jc w:val="center"/>
        <w:rPr>
          <w:rFonts w:asciiTheme="majorBidi" w:eastAsia="Times New Roman" w:hAnsiTheme="majorBidi" w:cstheme="majorBidi"/>
          <w:b/>
          <w:sz w:val="24"/>
          <w:szCs w:val="24"/>
        </w:rPr>
      </w:pPr>
    </w:p>
    <w:p w14:paraId="7CE01340" w14:textId="77777777" w:rsidR="00E40517" w:rsidRPr="008F4E90" w:rsidRDefault="00E40517" w:rsidP="00EB25CA">
      <w:pPr>
        <w:spacing w:line="480" w:lineRule="auto"/>
        <w:ind w:firstLine="566"/>
        <w:rPr>
          <w:rFonts w:asciiTheme="majorBidi" w:eastAsia="Times New Roman" w:hAnsiTheme="majorBidi" w:cstheme="majorBidi"/>
          <w:b/>
          <w:sz w:val="24"/>
          <w:szCs w:val="24"/>
        </w:rPr>
      </w:pPr>
    </w:p>
    <w:p w14:paraId="3B4F7E61" w14:textId="77777777" w:rsidR="00CD77F2" w:rsidRPr="008F4E90" w:rsidRDefault="00CD77F2" w:rsidP="00CD77F2">
      <w:pPr>
        <w:spacing w:line="480" w:lineRule="auto"/>
        <w:rPr>
          <w:rFonts w:asciiTheme="majorBidi" w:eastAsia="Times New Roman" w:hAnsiTheme="majorBidi" w:cstheme="majorBidi"/>
          <w:b/>
          <w:sz w:val="24"/>
          <w:szCs w:val="24"/>
        </w:rPr>
      </w:pPr>
    </w:p>
    <w:p w14:paraId="73B01A17" w14:textId="77777777" w:rsidR="00E40517" w:rsidRPr="008F4E90" w:rsidRDefault="00000000" w:rsidP="00EB25CA">
      <w:pPr>
        <w:spacing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lastRenderedPageBreak/>
        <w:t>Abstract</w:t>
      </w:r>
    </w:p>
    <w:p w14:paraId="45E5CFCD" w14:textId="77777777" w:rsidR="00E40517" w:rsidRPr="008F4E90" w:rsidRDefault="00E40517" w:rsidP="00EB25CA">
      <w:pPr>
        <w:spacing w:line="480" w:lineRule="auto"/>
        <w:rPr>
          <w:rFonts w:asciiTheme="majorBidi" w:eastAsia="Times New Roman" w:hAnsiTheme="majorBidi" w:cstheme="majorBidi"/>
          <w:sz w:val="24"/>
          <w:szCs w:val="24"/>
        </w:rPr>
      </w:pPr>
    </w:p>
    <w:p w14:paraId="1C61D799" w14:textId="77777777" w:rsidR="00E40517" w:rsidRPr="008F4E90" w:rsidRDefault="00000000" w:rsidP="00EB25CA">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This thesis aimed to enhance the comprehension of the multiscale sample entropy profiles in resting-state EEG and fMRI signals. Specifically, it sought to explore the neurophysiological characteristics of individuals with Autism Spectrum Condition (ASC) compared to neurotypical controls (CON). The study also considered potential confounding factors like eye conditions (eyes-open and eyes-closed) and age, which might influence observed differences. Utilising multimodal techniques, temporal-based measurements of multiscale sample entropy were obtained from simultaneous EEG and fMRI signals, providing both high temporal and spatial resolution. The analysis involved two extensive existing datasets comprising 300 participants from the National Institute of Mental Health (NIMH) EEG project and 500 participants from the Autism Brain Imaging Data Exchange (ABIDE) I fMRI project. In Chapter 2, multiscale sample entropy and relative power spectrum were compared between ASC and CON groups in both eyes-open and eyes-closed conditions. The findings revealed generally small diagnosis group differences, with slightly larger effects during eyes-closed conditions, suggesting the potential importance of considering brain state in future research. </w:t>
      </w:r>
      <w:r w:rsidR="003C5DE1" w:rsidRPr="008F4E90">
        <w:rPr>
          <w:rFonts w:asciiTheme="majorBidi" w:eastAsia="Times New Roman" w:hAnsiTheme="majorBidi" w:cstheme="majorBidi"/>
          <w:sz w:val="24"/>
          <w:szCs w:val="24"/>
        </w:rPr>
        <w:t>Chapters</w:t>
      </w:r>
      <w:r w:rsidRPr="008F4E90">
        <w:rPr>
          <w:rFonts w:asciiTheme="majorBidi" w:eastAsia="Times New Roman" w:hAnsiTheme="majorBidi" w:cstheme="majorBidi"/>
          <w:sz w:val="24"/>
          <w:szCs w:val="24"/>
        </w:rPr>
        <w:t xml:space="preserve"> 3</w:t>
      </w:r>
      <w:r w:rsidR="003C5DE1" w:rsidRPr="008F4E90">
        <w:rPr>
          <w:rFonts w:asciiTheme="majorBidi" w:eastAsia="Times New Roman" w:hAnsiTheme="majorBidi" w:cstheme="majorBidi"/>
          <w:sz w:val="24"/>
          <w:szCs w:val="24"/>
        </w:rPr>
        <w:t xml:space="preserve"> </w:t>
      </w:r>
      <w:r w:rsidR="003C5DE1" w:rsidRPr="008F4E90">
        <w:rPr>
          <w:rFonts w:asciiTheme="majorBidi" w:eastAsiaTheme="minorEastAsia" w:hAnsiTheme="majorBidi" w:cstheme="majorBidi"/>
          <w:sz w:val="24"/>
          <w:szCs w:val="24"/>
        </w:rPr>
        <w:t>and</w:t>
      </w:r>
      <w:r w:rsidR="003C5DE1" w:rsidRPr="008F4E90">
        <w:rPr>
          <w:rFonts w:asciiTheme="majorBidi" w:eastAsia="Times New Roman" w:hAnsiTheme="majorBidi" w:cstheme="majorBidi"/>
          <w:sz w:val="24"/>
          <w:szCs w:val="24"/>
        </w:rPr>
        <w:t xml:space="preserve"> 4</w:t>
      </w:r>
      <w:r w:rsidRPr="008F4E90">
        <w:rPr>
          <w:rFonts w:asciiTheme="majorBidi" w:eastAsia="Times New Roman" w:hAnsiTheme="majorBidi" w:cstheme="majorBidi"/>
          <w:sz w:val="24"/>
          <w:szCs w:val="24"/>
        </w:rPr>
        <w:t xml:space="preserve"> focused on identifying brain regions contributing to ASC and CON classification. Analysis was conducted separately for eyes-open and eyes-closed conditions due to data source differences. Diagnosis group differences were observed within the default mode network (DMN), and machine learning classification demonstrated modest accuracy. Chapter </w:t>
      </w:r>
      <w:r w:rsidR="003C5DE1" w:rsidRPr="008F4E90">
        <w:rPr>
          <w:rFonts w:asciiTheme="majorBidi" w:eastAsia="Times New Roman" w:hAnsiTheme="majorBidi" w:cstheme="majorBidi"/>
          <w:sz w:val="24"/>
          <w:szCs w:val="24"/>
        </w:rPr>
        <w:t>5</w:t>
      </w:r>
      <w:r w:rsidRPr="008F4E90">
        <w:rPr>
          <w:rFonts w:asciiTheme="majorBidi" w:eastAsia="Times New Roman" w:hAnsiTheme="majorBidi" w:cstheme="majorBidi"/>
          <w:sz w:val="24"/>
          <w:szCs w:val="24"/>
        </w:rPr>
        <w:t xml:space="preserve"> examined the effect of age on multiscale sample entropy, finding a significant correlation with age in both ASC and CON groups, with a stronger correlation in CON. The previously observed changes in MSE within the ASC group were subsequently confirmed to be associated with age.</w:t>
      </w:r>
    </w:p>
    <w:p w14:paraId="7098C02D"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b/>
      </w:r>
      <w:r w:rsidRPr="008F4E90">
        <w:rPr>
          <w:rFonts w:asciiTheme="majorBidi" w:eastAsia="Times New Roman" w:hAnsiTheme="majorBidi" w:cstheme="majorBidi"/>
          <w:i/>
          <w:sz w:val="24"/>
          <w:szCs w:val="24"/>
        </w:rPr>
        <w:t>Keywords:</w:t>
      </w:r>
      <w:r w:rsidRPr="008F4E90">
        <w:rPr>
          <w:rFonts w:asciiTheme="majorBidi" w:eastAsia="Times New Roman" w:hAnsiTheme="majorBidi" w:cstheme="majorBidi"/>
          <w:sz w:val="24"/>
          <w:szCs w:val="24"/>
        </w:rPr>
        <w:t xml:space="preserve"> Multiscale Sample Entropy, default mode network (DMN), machine learning </w:t>
      </w:r>
      <w:r w:rsidR="003C5DE1" w:rsidRPr="008F4E90">
        <w:rPr>
          <w:rFonts w:asciiTheme="majorBidi" w:eastAsia="Times New Roman" w:hAnsiTheme="majorBidi" w:cstheme="majorBidi"/>
          <w:sz w:val="24"/>
          <w:szCs w:val="24"/>
        </w:rPr>
        <w:t>classification, resting</w:t>
      </w:r>
      <w:r w:rsidRPr="008F4E90">
        <w:rPr>
          <w:rFonts w:asciiTheme="majorBidi" w:eastAsia="Times New Roman" w:hAnsiTheme="majorBidi" w:cstheme="majorBidi"/>
          <w:sz w:val="24"/>
          <w:szCs w:val="24"/>
        </w:rPr>
        <w:t>-state EEG, resting-state fMRI, Autism Spectrum Condition (ASC)</w:t>
      </w:r>
    </w:p>
    <w:p w14:paraId="2F117602" w14:textId="77777777" w:rsidR="00E40517" w:rsidRPr="008F4E90" w:rsidRDefault="00E40517" w:rsidP="00EB25CA">
      <w:pPr>
        <w:spacing w:line="480" w:lineRule="auto"/>
        <w:ind w:firstLine="708"/>
        <w:rPr>
          <w:rFonts w:asciiTheme="majorBidi" w:eastAsia="Times New Roman" w:hAnsiTheme="majorBidi" w:cstheme="majorBidi"/>
          <w:sz w:val="24"/>
          <w:szCs w:val="24"/>
        </w:rPr>
      </w:pPr>
    </w:p>
    <w:p w14:paraId="4BE907B6" w14:textId="77777777" w:rsidR="00E40517" w:rsidRPr="008F4E90" w:rsidRDefault="00E40517" w:rsidP="00EB25CA">
      <w:pPr>
        <w:spacing w:line="480" w:lineRule="auto"/>
        <w:ind w:firstLine="708"/>
        <w:rPr>
          <w:rFonts w:asciiTheme="majorBidi" w:eastAsia="Times New Roman" w:hAnsiTheme="majorBidi" w:cstheme="majorBidi"/>
          <w:sz w:val="24"/>
          <w:szCs w:val="24"/>
        </w:rPr>
      </w:pPr>
    </w:p>
    <w:p w14:paraId="45D9BAEA" w14:textId="77777777" w:rsidR="00E40517" w:rsidRPr="008F4E90" w:rsidRDefault="00000000" w:rsidP="00EB25CA">
      <w:pPr>
        <w:spacing w:line="480" w:lineRule="auto"/>
        <w:ind w:firstLine="708"/>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Declaration of Contribution</w:t>
      </w:r>
    </w:p>
    <w:p w14:paraId="4CE48F21"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 Wenyi Xiao, the author of this thesis, hereby declare my contributions and responsibilities regarding the research, data processing, and analyses conducted within this study. The following details outline the roles and contributions of individuals involved in this research:</w:t>
      </w:r>
    </w:p>
    <w:p w14:paraId="7753C2F2" w14:textId="77777777" w:rsidR="00E40517" w:rsidRPr="008F4E90" w:rsidRDefault="00000000" w:rsidP="00EB25CA">
      <w:pPr>
        <w:spacing w:line="480" w:lineRule="auto"/>
        <w:ind w:firstLine="708"/>
        <w:rPr>
          <w:rFonts w:asciiTheme="majorBidi" w:eastAsia="Times New Roman" w:hAnsiTheme="majorBidi" w:cstheme="majorBidi"/>
          <w:b/>
          <w:i/>
          <w:sz w:val="24"/>
          <w:szCs w:val="24"/>
        </w:rPr>
      </w:pPr>
      <w:r w:rsidRPr="008F4E90">
        <w:rPr>
          <w:rFonts w:asciiTheme="majorBidi" w:eastAsia="Times New Roman" w:hAnsiTheme="majorBidi" w:cstheme="majorBidi"/>
          <w:b/>
          <w:i/>
          <w:sz w:val="24"/>
          <w:szCs w:val="24"/>
        </w:rPr>
        <w:t xml:space="preserve">Data Sources and </w:t>
      </w:r>
      <w:r w:rsidR="00EB25CA" w:rsidRPr="008F4E90">
        <w:rPr>
          <w:rFonts w:asciiTheme="majorBidi" w:eastAsia="Times New Roman" w:hAnsiTheme="majorBidi" w:cstheme="majorBidi"/>
          <w:b/>
          <w:i/>
          <w:sz w:val="24"/>
          <w:szCs w:val="24"/>
        </w:rPr>
        <w:t>Pre-processing</w:t>
      </w:r>
    </w:p>
    <w:p w14:paraId="636AB593" w14:textId="77777777" w:rsidR="00AB1E6F" w:rsidRDefault="00000000" w:rsidP="00AB1E6F">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All data used in this research was obtained from secondary datasets. </w:t>
      </w:r>
      <w:r w:rsidR="002941F7" w:rsidRPr="002941F7">
        <w:rPr>
          <w:rFonts w:asciiTheme="majorBidi" w:eastAsia="Times New Roman" w:hAnsiTheme="majorBidi" w:cstheme="majorBidi"/>
          <w:sz w:val="24"/>
          <w:szCs w:val="24"/>
        </w:rPr>
        <w:t xml:space="preserve">In Chapter 2, the dataset retrieved from the NDA had undergone pre-processing steps, including high-pass filtering at 0.1 Hz, low-pass filtering at 100 Hz, and notch filtering at 60 Hz. Furthermore, any channels recorded from electrodes with impedances exceeding 200 </w:t>
      </w:r>
      <w:proofErr w:type="spellStart"/>
      <w:r w:rsidR="002941F7" w:rsidRPr="002941F7">
        <w:rPr>
          <w:rFonts w:asciiTheme="majorBidi" w:eastAsia="Times New Roman" w:hAnsiTheme="majorBidi" w:cstheme="majorBidi"/>
          <w:sz w:val="24"/>
          <w:szCs w:val="24"/>
        </w:rPr>
        <w:t>kOhm</w:t>
      </w:r>
      <w:proofErr w:type="spellEnd"/>
      <w:r w:rsidR="002941F7" w:rsidRPr="002941F7">
        <w:rPr>
          <w:rFonts w:asciiTheme="majorBidi" w:eastAsia="Times New Roman" w:hAnsiTheme="majorBidi" w:cstheme="majorBidi"/>
          <w:sz w:val="24"/>
          <w:szCs w:val="24"/>
        </w:rPr>
        <w:t xml:space="preserve"> were already removed, and the data had been partitioned into 2.048-second epochs by the initial data collection team.</w:t>
      </w:r>
      <w:r w:rsidR="002941F7">
        <w:rPr>
          <w:rFonts w:asciiTheme="majorBidi" w:eastAsia="Times New Roman" w:hAnsiTheme="majorBidi" w:cstheme="majorBidi"/>
          <w:sz w:val="24"/>
          <w:szCs w:val="24"/>
        </w:rPr>
        <w:t xml:space="preserve"> </w:t>
      </w:r>
    </w:p>
    <w:p w14:paraId="0FC4A564" w14:textId="77777777" w:rsidR="004D3F34" w:rsidRDefault="00AB1E6F" w:rsidP="004D3F34">
      <w:pPr>
        <w:spacing w:line="480" w:lineRule="auto"/>
        <w:ind w:firstLine="708"/>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Specifically, </w:t>
      </w:r>
      <w:r w:rsidRPr="00AB1E6F">
        <w:rPr>
          <w:rFonts w:asciiTheme="majorBidi" w:eastAsia="Times New Roman" w:hAnsiTheme="majorBidi" w:cstheme="majorBidi"/>
          <w:sz w:val="24"/>
          <w:szCs w:val="24"/>
        </w:rPr>
        <w:t xml:space="preserve">I wish to acknowledge the valuable contribution of </w:t>
      </w:r>
      <w:proofErr w:type="spellStart"/>
      <w:r w:rsidRPr="00AB1E6F">
        <w:rPr>
          <w:rFonts w:asciiTheme="majorBidi" w:eastAsia="Times New Roman" w:hAnsiTheme="majorBidi" w:cstheme="majorBidi"/>
          <w:sz w:val="24"/>
          <w:szCs w:val="24"/>
        </w:rPr>
        <w:t>Dr.</w:t>
      </w:r>
      <w:proofErr w:type="spellEnd"/>
      <w:r w:rsidRPr="00AB1E6F">
        <w:rPr>
          <w:rFonts w:asciiTheme="majorBidi" w:eastAsia="Times New Roman" w:hAnsiTheme="majorBidi" w:cstheme="majorBidi"/>
          <w:sz w:val="24"/>
          <w:szCs w:val="24"/>
        </w:rPr>
        <w:t xml:space="preserve"> Adam Dede, a postdoctoral research associate, who played a significant role in pre-processing the EEG data utilized in this study.</w:t>
      </w:r>
      <w:r>
        <w:rPr>
          <w:rFonts w:asciiTheme="majorBidi" w:eastAsia="Times New Roman" w:hAnsiTheme="majorBidi" w:cstheme="majorBidi"/>
          <w:sz w:val="24"/>
          <w:szCs w:val="24"/>
        </w:rPr>
        <w:t xml:space="preserve"> </w:t>
      </w:r>
      <w:proofErr w:type="spellStart"/>
      <w:r w:rsidRPr="00AB1E6F">
        <w:rPr>
          <w:rFonts w:asciiTheme="majorBidi" w:eastAsia="Times New Roman" w:hAnsiTheme="majorBidi" w:cstheme="majorBidi"/>
          <w:sz w:val="24"/>
          <w:szCs w:val="24"/>
        </w:rPr>
        <w:t>Dr.</w:t>
      </w:r>
      <w:proofErr w:type="spellEnd"/>
      <w:r w:rsidRPr="00AB1E6F">
        <w:rPr>
          <w:rFonts w:asciiTheme="majorBidi" w:eastAsia="Times New Roman" w:hAnsiTheme="majorBidi" w:cstheme="majorBidi"/>
          <w:sz w:val="24"/>
          <w:szCs w:val="24"/>
        </w:rPr>
        <w:t xml:space="preserve"> Adam Dede's pre-processing procedures adhered to standard protocols, encompassing artifact removal, and interpolation.</w:t>
      </w:r>
      <w:r>
        <w:rPr>
          <w:rFonts w:asciiTheme="majorBidi" w:eastAsia="Times New Roman" w:hAnsiTheme="majorBidi" w:cstheme="majorBidi"/>
          <w:sz w:val="24"/>
          <w:szCs w:val="24"/>
        </w:rPr>
        <w:t xml:space="preserve"> </w:t>
      </w:r>
      <w:r w:rsidRPr="00AB1E6F">
        <w:rPr>
          <w:rFonts w:asciiTheme="majorBidi" w:eastAsia="Times New Roman" w:hAnsiTheme="majorBidi" w:cstheme="majorBidi"/>
          <w:sz w:val="24"/>
          <w:szCs w:val="24"/>
        </w:rPr>
        <w:t xml:space="preserve">Comprehensive details regarding </w:t>
      </w:r>
      <w:proofErr w:type="spellStart"/>
      <w:r w:rsidRPr="00AB1E6F">
        <w:rPr>
          <w:rFonts w:asciiTheme="majorBidi" w:eastAsia="Times New Roman" w:hAnsiTheme="majorBidi" w:cstheme="majorBidi"/>
          <w:sz w:val="24"/>
          <w:szCs w:val="24"/>
        </w:rPr>
        <w:t>Dr.</w:t>
      </w:r>
      <w:proofErr w:type="spellEnd"/>
      <w:r w:rsidRPr="00AB1E6F">
        <w:rPr>
          <w:rFonts w:asciiTheme="majorBidi" w:eastAsia="Times New Roman" w:hAnsiTheme="majorBidi" w:cstheme="majorBidi"/>
          <w:sz w:val="24"/>
          <w:szCs w:val="24"/>
        </w:rPr>
        <w:t xml:space="preserve"> Adam Dede's pre-processing methodologies can be accessed at </w:t>
      </w:r>
      <w:hyperlink r:id="rId9" w:history="1">
        <w:r w:rsidRPr="005F6E67">
          <w:rPr>
            <w:rStyle w:val="Hyperlink"/>
            <w:rFonts w:asciiTheme="majorBidi" w:eastAsia="Times New Roman" w:hAnsiTheme="majorBidi" w:cstheme="majorBidi"/>
            <w:sz w:val="24"/>
            <w:szCs w:val="24"/>
          </w:rPr>
          <w:t>https://github.com/adede1988/SheffieldAutismBiomarkers</w:t>
        </w:r>
      </w:hyperlink>
      <w:r w:rsidRPr="00AB1E6F">
        <w:rPr>
          <w:rFonts w:asciiTheme="majorBidi" w:eastAsia="Times New Roman" w:hAnsiTheme="majorBidi" w:cstheme="majorBidi"/>
          <w:sz w:val="24"/>
          <w:szCs w:val="24"/>
        </w:rPr>
        <w:t>.</w:t>
      </w:r>
      <w:r w:rsidR="004D3F34">
        <w:rPr>
          <w:rFonts w:asciiTheme="majorBidi" w:eastAsia="Times New Roman" w:hAnsiTheme="majorBidi" w:cstheme="majorBidi"/>
          <w:sz w:val="24"/>
          <w:szCs w:val="24"/>
        </w:rPr>
        <w:t xml:space="preserve"> </w:t>
      </w:r>
      <w:r w:rsidR="004D3F34" w:rsidRPr="004D3F34">
        <w:rPr>
          <w:rFonts w:asciiTheme="majorBidi" w:eastAsia="Times New Roman" w:hAnsiTheme="majorBidi" w:cstheme="majorBidi"/>
          <w:sz w:val="24"/>
          <w:szCs w:val="24"/>
        </w:rPr>
        <w:t xml:space="preserve">However, I independently </w:t>
      </w:r>
      <w:r w:rsidR="004D3F34">
        <w:rPr>
          <w:rFonts w:asciiTheme="majorBidi" w:eastAsia="Times New Roman" w:hAnsiTheme="majorBidi" w:cstheme="majorBidi"/>
          <w:sz w:val="24"/>
          <w:szCs w:val="24"/>
        </w:rPr>
        <w:t xml:space="preserve">wrote the code and </w:t>
      </w:r>
      <w:r w:rsidR="004D3F34" w:rsidRPr="004D3F34">
        <w:rPr>
          <w:rFonts w:asciiTheme="majorBidi" w:eastAsia="Times New Roman" w:hAnsiTheme="majorBidi" w:cstheme="majorBidi"/>
          <w:sz w:val="24"/>
          <w:szCs w:val="24"/>
        </w:rPr>
        <w:t>implemented all the subsequent analyses.</w:t>
      </w:r>
    </w:p>
    <w:p w14:paraId="0609B0C4" w14:textId="77777777" w:rsidR="00E40517" w:rsidRDefault="00000000" w:rsidP="004D3F34">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fMRI data were obtained from publicly accessible secondary datasets. Specifically, the fMRI data from the Autism Brain Imaging Data Exchange (ABIDE) dataset was utilised. </w:t>
      </w:r>
      <w:r w:rsidR="00EB25CA" w:rsidRPr="008F4E90">
        <w:rPr>
          <w:rFonts w:asciiTheme="majorBidi" w:eastAsia="Times New Roman" w:hAnsiTheme="majorBidi" w:cstheme="majorBidi"/>
          <w:sz w:val="24"/>
          <w:szCs w:val="24"/>
        </w:rPr>
        <w:t>Pre-processing</w:t>
      </w:r>
      <w:r w:rsidRPr="008F4E90">
        <w:rPr>
          <w:rFonts w:asciiTheme="majorBidi" w:eastAsia="Times New Roman" w:hAnsiTheme="majorBidi" w:cstheme="majorBidi"/>
          <w:sz w:val="24"/>
          <w:szCs w:val="24"/>
        </w:rPr>
        <w:t xml:space="preserve"> of the fMRI data involved standard steps such as motion correction, spatial normalisation, and signal intensity normalisation. Specific tools and software used in the fMRI </w:t>
      </w:r>
      <w:r w:rsidR="00EB25CA" w:rsidRPr="008F4E90">
        <w:rPr>
          <w:rFonts w:asciiTheme="majorBidi" w:eastAsia="Times New Roman" w:hAnsiTheme="majorBidi" w:cstheme="majorBidi"/>
          <w:sz w:val="24"/>
          <w:szCs w:val="24"/>
        </w:rPr>
        <w:t>pre-processing</w:t>
      </w:r>
      <w:r w:rsidRPr="008F4E90">
        <w:rPr>
          <w:rFonts w:asciiTheme="majorBidi" w:eastAsia="Times New Roman" w:hAnsiTheme="majorBidi" w:cstheme="majorBidi"/>
          <w:sz w:val="24"/>
          <w:szCs w:val="24"/>
        </w:rPr>
        <w:t>, such as the Statistical Parametric Mapping (SPM) toolbox and the Data Processing Assistant for Resting-State fMRI (DPARSF), were referenced in the corresponding sections of this thesis.</w:t>
      </w:r>
      <w:r w:rsidR="004D3F34" w:rsidRPr="004D3F34">
        <w:rPr>
          <w:rFonts w:asciiTheme="majorBidi" w:eastAsia="Times New Roman" w:hAnsiTheme="majorBidi" w:cstheme="majorBidi"/>
          <w:sz w:val="24"/>
          <w:szCs w:val="24"/>
        </w:rPr>
        <w:t xml:space="preserve"> However, I independently </w:t>
      </w:r>
      <w:r w:rsidR="004D3F34">
        <w:rPr>
          <w:rFonts w:asciiTheme="majorBidi" w:eastAsia="Times New Roman" w:hAnsiTheme="majorBidi" w:cstheme="majorBidi"/>
          <w:sz w:val="24"/>
          <w:szCs w:val="24"/>
        </w:rPr>
        <w:t xml:space="preserve">wrote the code and </w:t>
      </w:r>
      <w:r w:rsidR="004D3F34" w:rsidRPr="004D3F34">
        <w:rPr>
          <w:rFonts w:asciiTheme="majorBidi" w:eastAsia="Times New Roman" w:hAnsiTheme="majorBidi" w:cstheme="majorBidi"/>
          <w:sz w:val="24"/>
          <w:szCs w:val="24"/>
        </w:rPr>
        <w:t>implemented all the subsequent analyses.</w:t>
      </w:r>
    </w:p>
    <w:p w14:paraId="3CCF14F6" w14:textId="77777777" w:rsidR="004D3F34" w:rsidRDefault="004D3F34" w:rsidP="004D3F34">
      <w:pPr>
        <w:spacing w:line="480" w:lineRule="auto"/>
        <w:ind w:firstLine="708"/>
        <w:rPr>
          <w:rFonts w:asciiTheme="majorBidi" w:eastAsia="Times New Roman" w:hAnsiTheme="majorBidi" w:cstheme="majorBidi"/>
          <w:sz w:val="24"/>
          <w:szCs w:val="24"/>
        </w:rPr>
      </w:pPr>
    </w:p>
    <w:p w14:paraId="6F63FF53" w14:textId="77777777" w:rsidR="004D3F34" w:rsidRPr="008F4E90" w:rsidRDefault="004D3F34" w:rsidP="004D3F34">
      <w:pPr>
        <w:spacing w:line="480" w:lineRule="auto"/>
        <w:ind w:firstLine="708"/>
        <w:rPr>
          <w:rFonts w:asciiTheme="majorBidi" w:eastAsia="Times New Roman" w:hAnsiTheme="majorBidi" w:cstheme="majorBidi"/>
          <w:sz w:val="24"/>
          <w:szCs w:val="24"/>
        </w:rPr>
      </w:pPr>
    </w:p>
    <w:p w14:paraId="6A470AD0"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lastRenderedPageBreak/>
        <w:t>Project Design and Statistical Analyses</w:t>
      </w:r>
    </w:p>
    <w:p w14:paraId="4276AA8C"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 devised the overall project to investigate the multiscale sample entropy profiles in resting-state EEG and fMRI signals, specifically focusing on individuals with Autism Spectrum Condition (ASC) compared to neurotypical controls (CON). The project also considered potential confounding factors such as eye conditions (eyes-open and eyes-closed) and age.</w:t>
      </w:r>
    </w:p>
    <w:p w14:paraId="5D79A6A8"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Furthermore, I designed and conducted all subsequent statistical analyses throughout the study, ensuring the appropriate methodologies and statistical tests were employed to address the research questions and objectives. The details of these statistical analyses can be found in their respective chapters within this thesis.</w:t>
      </w:r>
    </w:p>
    <w:p w14:paraId="1EFB6728"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t>GitHub Repositories and Additional Resources</w:t>
      </w:r>
    </w:p>
    <w:p w14:paraId="7F50C048" w14:textId="544B2878" w:rsidR="00E40517" w:rsidRPr="008F4E90" w:rsidRDefault="00000000" w:rsidP="007C61BC">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To facilitate transparency and reproducibility, I have provided links to relevant GitHub repositories and additional resources where applicable</w:t>
      </w:r>
      <w:r w:rsidR="001A7349">
        <w:rPr>
          <w:rFonts w:asciiTheme="majorBidi" w:eastAsia="Times New Roman" w:hAnsiTheme="majorBidi" w:cstheme="majorBidi"/>
          <w:sz w:val="24"/>
          <w:szCs w:val="24"/>
        </w:rPr>
        <w:t xml:space="preserve">: </w:t>
      </w:r>
      <w:hyperlink r:id="rId10" w:history="1">
        <w:r w:rsidR="008153F4" w:rsidRPr="003B072A">
          <w:rPr>
            <w:rStyle w:val="Hyperlink"/>
            <w:rFonts w:asciiTheme="majorBidi" w:eastAsia="Times New Roman" w:hAnsiTheme="majorBidi" w:cstheme="majorBidi"/>
            <w:sz w:val="24"/>
            <w:szCs w:val="24"/>
          </w:rPr>
          <w:t>https://github.com/wenyixiao0058/eegstudy.git</w:t>
        </w:r>
      </w:hyperlink>
      <w:r w:rsidR="008153F4">
        <w:rPr>
          <w:rFonts w:asciiTheme="majorBidi" w:eastAsia="Times New Roman" w:hAnsiTheme="majorBidi" w:cstheme="majorBidi"/>
          <w:sz w:val="24"/>
          <w:szCs w:val="24"/>
        </w:rPr>
        <w:t xml:space="preserve">; </w:t>
      </w:r>
      <w:hyperlink r:id="rId11" w:history="1">
        <w:r w:rsidR="007C61BC" w:rsidRPr="003B072A">
          <w:rPr>
            <w:rStyle w:val="Hyperlink"/>
            <w:rFonts w:asciiTheme="majorBidi" w:eastAsia="Times New Roman" w:hAnsiTheme="majorBidi" w:cstheme="majorBidi"/>
            <w:sz w:val="24"/>
            <w:szCs w:val="24"/>
          </w:rPr>
          <w:t>https://github.com/wenyixiao0058/fmristudy.git</w:t>
        </w:r>
      </w:hyperlink>
      <w:r w:rsidR="008153F4">
        <w:rPr>
          <w:rFonts w:asciiTheme="majorBidi" w:eastAsia="Times New Roman" w:hAnsiTheme="majorBidi" w:cstheme="majorBidi"/>
          <w:sz w:val="24"/>
          <w:szCs w:val="24"/>
        </w:rPr>
        <w:t xml:space="preserve"> and </w:t>
      </w:r>
      <w:hyperlink r:id="rId12" w:history="1">
        <w:r w:rsidR="008153F4" w:rsidRPr="003B072A">
          <w:rPr>
            <w:rStyle w:val="Hyperlink"/>
            <w:rFonts w:asciiTheme="majorBidi" w:eastAsia="Times New Roman" w:hAnsiTheme="majorBidi" w:cstheme="majorBidi"/>
            <w:sz w:val="24"/>
            <w:szCs w:val="24"/>
          </w:rPr>
          <w:t>https://github.com/wenyixiao0058/MSE_effectiveness.git</w:t>
        </w:r>
      </w:hyperlink>
      <w:r w:rsidR="007C61BC">
        <w:rPr>
          <w:rFonts w:asciiTheme="majorBidi" w:eastAsia="Times New Roman" w:hAnsiTheme="majorBidi" w:cstheme="majorBidi"/>
          <w:sz w:val="24"/>
          <w:szCs w:val="24"/>
        </w:rPr>
        <w:t xml:space="preserve">. </w:t>
      </w:r>
      <w:r w:rsidRPr="008F4E90">
        <w:rPr>
          <w:rFonts w:asciiTheme="majorBidi" w:eastAsia="Times New Roman" w:hAnsiTheme="majorBidi" w:cstheme="majorBidi"/>
          <w:sz w:val="24"/>
          <w:szCs w:val="24"/>
        </w:rPr>
        <w:t>I understand the importance of providing clarity in this regard. I will work to rectify this issue by updating the GitHub repository to include comprehensive documentation. This will ensure that future researchers can access and understand the procedures used in this study.</w:t>
      </w:r>
    </w:p>
    <w:p w14:paraId="57ED8D6E"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 affirm that the above declaration accurately reflects the contributions and responsibilities of individuals involved in this research, and I am committed to maintaining the highest standards of academic integrity and transparency in my work.</w:t>
      </w:r>
    </w:p>
    <w:p w14:paraId="4F5797CA" w14:textId="77777777" w:rsidR="00E40517" w:rsidRPr="008F4E90" w:rsidRDefault="00E40517" w:rsidP="00EB25CA">
      <w:pPr>
        <w:spacing w:line="480" w:lineRule="auto"/>
        <w:ind w:firstLine="708"/>
        <w:rPr>
          <w:rFonts w:asciiTheme="majorBidi" w:eastAsia="Times New Roman" w:hAnsiTheme="majorBidi" w:cstheme="majorBidi"/>
          <w:sz w:val="24"/>
          <w:szCs w:val="24"/>
        </w:rPr>
      </w:pPr>
    </w:p>
    <w:p w14:paraId="6E67109F"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Wenyi Xiao</w:t>
      </w:r>
    </w:p>
    <w:p w14:paraId="02F5A7B7"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PhD researcher</w:t>
      </w:r>
    </w:p>
    <w:p w14:paraId="252FC603" w14:textId="77777777" w:rsidR="00E40517" w:rsidRPr="008F4E90" w:rsidRDefault="00000000" w:rsidP="00EB25CA">
      <w:pPr>
        <w:spacing w:line="480" w:lineRule="auto"/>
        <w:ind w:firstLine="708"/>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02/09/2023</w:t>
      </w:r>
    </w:p>
    <w:p w14:paraId="5460654C" w14:textId="77777777" w:rsidR="0023297B" w:rsidRPr="008F4E90" w:rsidRDefault="0023297B" w:rsidP="002941F7">
      <w:pPr>
        <w:spacing w:line="480" w:lineRule="auto"/>
        <w:rPr>
          <w:rFonts w:asciiTheme="majorBidi" w:eastAsia="Times New Roman" w:hAnsiTheme="majorBidi" w:cstheme="majorBidi"/>
          <w:sz w:val="24"/>
          <w:szCs w:val="24"/>
        </w:rPr>
      </w:pPr>
    </w:p>
    <w:p w14:paraId="111B09CD" w14:textId="77777777" w:rsidR="00E40517" w:rsidRPr="008F4E90" w:rsidRDefault="00000000" w:rsidP="0023297B">
      <w:pPr>
        <w:spacing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Acknowledgement</w:t>
      </w:r>
    </w:p>
    <w:p w14:paraId="5553B43F" w14:textId="77777777" w:rsidR="00E40517" w:rsidRPr="008F4E90" w:rsidRDefault="00000000"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 am deeply honoured to acknowledge the individuals and sources of support that have played a pivotal role in completing my thesis. This academic journey would not have been possible without their unwavering support. First and foremost, I extend my heartfelt gratitude to my thesis supervisors, </w:t>
      </w:r>
      <w:proofErr w:type="spellStart"/>
      <w:r w:rsidRPr="008F4E90">
        <w:rPr>
          <w:rFonts w:asciiTheme="majorBidi" w:eastAsia="Times New Roman" w:hAnsiTheme="majorBidi" w:cstheme="majorBidi"/>
          <w:sz w:val="24"/>
          <w:szCs w:val="24"/>
        </w:rPr>
        <w:t>Dr.</w:t>
      </w:r>
      <w:proofErr w:type="spellEnd"/>
      <w:r w:rsidRPr="008F4E90">
        <w:rPr>
          <w:rFonts w:asciiTheme="majorBidi" w:eastAsia="Times New Roman" w:hAnsiTheme="majorBidi" w:cstheme="majorBidi"/>
          <w:sz w:val="24"/>
          <w:szCs w:val="24"/>
        </w:rPr>
        <w:t xml:space="preserve"> Myles Jones and Professor Milne Elizabeth. Their mentorship, dedication, and expertise have been the cornerstone of this endeavour. Their valuable insights and constructive feedback have been instrumental in shaping the quality of this work. I would like to extend a special and heartfelt thanks to </w:t>
      </w:r>
      <w:proofErr w:type="spellStart"/>
      <w:r w:rsidRPr="008F4E90">
        <w:rPr>
          <w:rFonts w:asciiTheme="majorBidi" w:eastAsia="Times New Roman" w:hAnsiTheme="majorBidi" w:cstheme="majorBidi"/>
          <w:sz w:val="24"/>
          <w:szCs w:val="24"/>
        </w:rPr>
        <w:t>Dr.</w:t>
      </w:r>
      <w:proofErr w:type="spellEnd"/>
      <w:r w:rsidRPr="008F4E90">
        <w:rPr>
          <w:rFonts w:asciiTheme="majorBidi" w:eastAsia="Times New Roman" w:hAnsiTheme="majorBidi" w:cstheme="majorBidi"/>
          <w:sz w:val="24"/>
          <w:szCs w:val="24"/>
        </w:rPr>
        <w:t xml:space="preserve"> Dede Adam. </w:t>
      </w:r>
      <w:proofErr w:type="spellStart"/>
      <w:r w:rsidRPr="008F4E90">
        <w:rPr>
          <w:rFonts w:asciiTheme="majorBidi" w:eastAsia="Times New Roman" w:hAnsiTheme="majorBidi" w:cstheme="majorBidi"/>
          <w:sz w:val="24"/>
          <w:szCs w:val="24"/>
        </w:rPr>
        <w:t>Dr.</w:t>
      </w:r>
      <w:proofErr w:type="spellEnd"/>
      <w:r w:rsidRPr="008F4E90">
        <w:rPr>
          <w:rFonts w:asciiTheme="majorBidi" w:eastAsia="Times New Roman" w:hAnsiTheme="majorBidi" w:cstheme="majorBidi"/>
          <w:sz w:val="24"/>
          <w:szCs w:val="24"/>
        </w:rPr>
        <w:t xml:space="preserve"> Adam's invaluable contributions and support have significantly impacted this thesis project.</w:t>
      </w:r>
    </w:p>
    <w:p w14:paraId="0736A643" w14:textId="77777777" w:rsidR="00E40517" w:rsidRPr="008F4E90" w:rsidRDefault="00000000"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 would also like to express my sincere appreciation to my parents. Their unwavering belief in my abilities, constant encouragement, and sacrifices made this academic pursuit possible. Your unwavering support has been my driving force.</w:t>
      </w:r>
    </w:p>
    <w:p w14:paraId="569515DB" w14:textId="77777777" w:rsidR="00E40517" w:rsidRPr="008F4E90" w:rsidRDefault="00000000"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my friends, </w:t>
      </w:r>
      <w:proofErr w:type="spellStart"/>
      <w:r w:rsidRPr="008F4E90">
        <w:rPr>
          <w:rFonts w:asciiTheme="majorBidi" w:eastAsia="Times New Roman" w:hAnsiTheme="majorBidi" w:cstheme="majorBidi"/>
          <w:sz w:val="24"/>
          <w:szCs w:val="24"/>
        </w:rPr>
        <w:t>Huluobo</w:t>
      </w:r>
      <w:proofErr w:type="spellEnd"/>
      <w:r w:rsidRPr="008F4E90">
        <w:rPr>
          <w:rFonts w:asciiTheme="majorBidi" w:eastAsia="Times New Roman" w:hAnsiTheme="majorBidi" w:cstheme="majorBidi"/>
          <w:sz w:val="24"/>
          <w:szCs w:val="24"/>
        </w:rPr>
        <w:t xml:space="preserve">, Bixuan, </w:t>
      </w:r>
      <w:proofErr w:type="spellStart"/>
      <w:r w:rsidRPr="008F4E90">
        <w:rPr>
          <w:rFonts w:asciiTheme="majorBidi" w:eastAsia="Times New Roman" w:hAnsiTheme="majorBidi" w:cstheme="majorBidi"/>
          <w:sz w:val="24"/>
          <w:szCs w:val="24"/>
        </w:rPr>
        <w:t>Qianhe</w:t>
      </w:r>
      <w:proofErr w:type="spellEnd"/>
      <w:r w:rsidRPr="008F4E90">
        <w:rPr>
          <w:rFonts w:asciiTheme="majorBidi" w:eastAsia="Times New Roman" w:hAnsiTheme="majorBidi" w:cstheme="majorBidi"/>
          <w:sz w:val="24"/>
          <w:szCs w:val="24"/>
        </w:rPr>
        <w:t xml:space="preserve">, </w:t>
      </w:r>
      <w:proofErr w:type="spellStart"/>
      <w:r w:rsidRPr="008F4E90">
        <w:rPr>
          <w:rFonts w:asciiTheme="majorBidi" w:eastAsia="Times New Roman" w:hAnsiTheme="majorBidi" w:cstheme="majorBidi"/>
          <w:sz w:val="24"/>
          <w:szCs w:val="24"/>
        </w:rPr>
        <w:t>Shenzhi</w:t>
      </w:r>
      <w:proofErr w:type="spellEnd"/>
      <w:r w:rsidRPr="008F4E90">
        <w:rPr>
          <w:rFonts w:asciiTheme="majorBidi" w:eastAsia="Times New Roman" w:hAnsiTheme="majorBidi" w:cstheme="majorBidi"/>
          <w:sz w:val="24"/>
          <w:szCs w:val="24"/>
        </w:rPr>
        <w:t xml:space="preserve">, </w:t>
      </w:r>
      <w:proofErr w:type="spellStart"/>
      <w:r w:rsidRPr="008F4E90">
        <w:rPr>
          <w:rFonts w:asciiTheme="majorBidi" w:eastAsia="Times New Roman" w:hAnsiTheme="majorBidi" w:cstheme="majorBidi"/>
          <w:sz w:val="24"/>
          <w:szCs w:val="24"/>
        </w:rPr>
        <w:t>Xiaoqiu</w:t>
      </w:r>
      <w:proofErr w:type="spellEnd"/>
      <w:r w:rsidRPr="008F4E90">
        <w:rPr>
          <w:rFonts w:asciiTheme="majorBidi" w:eastAsia="Times New Roman" w:hAnsiTheme="majorBidi" w:cstheme="majorBidi"/>
          <w:sz w:val="24"/>
          <w:szCs w:val="24"/>
        </w:rPr>
        <w:t xml:space="preserve">, </w:t>
      </w:r>
      <w:proofErr w:type="spellStart"/>
      <w:r w:rsidRPr="008F4E90">
        <w:rPr>
          <w:rFonts w:asciiTheme="majorBidi" w:eastAsia="Times New Roman" w:hAnsiTheme="majorBidi" w:cstheme="majorBidi"/>
          <w:sz w:val="24"/>
          <w:szCs w:val="24"/>
        </w:rPr>
        <w:t>Shuangke</w:t>
      </w:r>
      <w:proofErr w:type="spellEnd"/>
      <w:r w:rsidRPr="008F4E90">
        <w:rPr>
          <w:rFonts w:asciiTheme="majorBidi" w:eastAsia="Times New Roman" w:hAnsiTheme="majorBidi" w:cstheme="majorBidi"/>
          <w:sz w:val="24"/>
          <w:szCs w:val="24"/>
        </w:rPr>
        <w:t xml:space="preserve"> and Anton, your encouragement and camaraderie have motivated me during this thesis's challenging phases. </w:t>
      </w:r>
    </w:p>
    <w:p w14:paraId="30745145" w14:textId="77777777" w:rsidR="00E40517" w:rsidRPr="008F4E90" w:rsidRDefault="00000000"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 must also acknowledge the unique form of support from my adorable pets: </w:t>
      </w:r>
      <w:proofErr w:type="spellStart"/>
      <w:r w:rsidRPr="008F4E90">
        <w:rPr>
          <w:rFonts w:asciiTheme="majorBidi" w:eastAsia="Times New Roman" w:hAnsiTheme="majorBidi" w:cstheme="majorBidi"/>
          <w:sz w:val="24"/>
          <w:szCs w:val="24"/>
        </w:rPr>
        <w:t>Chouchou</w:t>
      </w:r>
      <w:proofErr w:type="spellEnd"/>
      <w:r w:rsidRPr="008F4E90">
        <w:rPr>
          <w:rFonts w:asciiTheme="majorBidi" w:eastAsia="Times New Roman" w:hAnsiTheme="majorBidi" w:cstheme="majorBidi"/>
          <w:sz w:val="24"/>
          <w:szCs w:val="24"/>
        </w:rPr>
        <w:t xml:space="preserve">, </w:t>
      </w:r>
      <w:proofErr w:type="spellStart"/>
      <w:r w:rsidRPr="008F4E90">
        <w:rPr>
          <w:rFonts w:asciiTheme="majorBidi" w:eastAsia="Times New Roman" w:hAnsiTheme="majorBidi" w:cstheme="majorBidi"/>
          <w:sz w:val="24"/>
          <w:szCs w:val="24"/>
        </w:rPr>
        <w:t>jojo</w:t>
      </w:r>
      <w:proofErr w:type="spellEnd"/>
      <w:r w:rsidRPr="008F4E90">
        <w:rPr>
          <w:rFonts w:asciiTheme="majorBidi" w:eastAsia="Times New Roman" w:hAnsiTheme="majorBidi" w:cstheme="majorBidi"/>
          <w:sz w:val="24"/>
          <w:szCs w:val="24"/>
        </w:rPr>
        <w:t xml:space="preserve">, yoyo, </w:t>
      </w:r>
      <w:proofErr w:type="spellStart"/>
      <w:r w:rsidRPr="008F4E90">
        <w:rPr>
          <w:rFonts w:asciiTheme="majorBidi" w:eastAsia="Times New Roman" w:hAnsiTheme="majorBidi" w:cstheme="majorBidi"/>
          <w:sz w:val="24"/>
          <w:szCs w:val="24"/>
        </w:rPr>
        <w:t>xiaokui</w:t>
      </w:r>
      <w:proofErr w:type="spellEnd"/>
      <w:r w:rsidRPr="008F4E90">
        <w:rPr>
          <w:rFonts w:asciiTheme="majorBidi" w:eastAsia="Times New Roman" w:hAnsiTheme="majorBidi" w:cstheme="majorBidi"/>
          <w:sz w:val="24"/>
          <w:szCs w:val="24"/>
        </w:rPr>
        <w:t xml:space="preserve"> and </w:t>
      </w:r>
      <w:proofErr w:type="spellStart"/>
      <w:r w:rsidRPr="008F4E90">
        <w:rPr>
          <w:rFonts w:asciiTheme="majorBidi" w:eastAsia="Times New Roman" w:hAnsiTheme="majorBidi" w:cstheme="majorBidi"/>
          <w:sz w:val="24"/>
          <w:szCs w:val="24"/>
        </w:rPr>
        <w:t>dengdeng</w:t>
      </w:r>
      <w:proofErr w:type="spellEnd"/>
      <w:r w:rsidRPr="008F4E90">
        <w:rPr>
          <w:rFonts w:asciiTheme="majorBidi" w:eastAsia="Times New Roman" w:hAnsiTheme="majorBidi" w:cstheme="majorBidi"/>
          <w:sz w:val="24"/>
          <w:szCs w:val="24"/>
        </w:rPr>
        <w:t>. Their wagging tails and soothing purrs were a constant reminder to take breaks and appreciate the simpler joys in life.</w:t>
      </w:r>
    </w:p>
    <w:p w14:paraId="795E8E51" w14:textId="77777777" w:rsidR="00E40517" w:rsidRPr="008F4E90" w:rsidRDefault="00000000"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closing, I extend my deepest gratitude to </w:t>
      </w:r>
      <w:proofErr w:type="spellStart"/>
      <w:r w:rsidRPr="008F4E90">
        <w:rPr>
          <w:rFonts w:asciiTheme="majorBidi" w:eastAsia="Times New Roman" w:hAnsiTheme="majorBidi" w:cstheme="majorBidi"/>
          <w:sz w:val="24"/>
          <w:szCs w:val="24"/>
        </w:rPr>
        <w:t>Dr.</w:t>
      </w:r>
      <w:proofErr w:type="spellEnd"/>
      <w:r w:rsidRPr="008F4E90">
        <w:rPr>
          <w:rFonts w:asciiTheme="majorBidi" w:eastAsia="Times New Roman" w:hAnsiTheme="majorBidi" w:cstheme="majorBidi"/>
          <w:sz w:val="24"/>
          <w:szCs w:val="24"/>
        </w:rPr>
        <w:t xml:space="preserve"> Myles Jones, Professor Milne Elizabeth, my parents, friends, and my cherished pets. Your support has been indispensable, and I am profoundly thankful for your presence in my academic and personal journey.</w:t>
      </w:r>
    </w:p>
    <w:p w14:paraId="3B86B9DA" w14:textId="77777777" w:rsidR="00E40517" w:rsidRPr="008F4E90" w:rsidRDefault="00E40517" w:rsidP="00EB25CA">
      <w:pPr>
        <w:spacing w:line="480" w:lineRule="auto"/>
        <w:ind w:firstLine="720"/>
        <w:rPr>
          <w:rFonts w:asciiTheme="majorBidi" w:eastAsia="Times New Roman" w:hAnsiTheme="majorBidi" w:cstheme="majorBidi"/>
          <w:sz w:val="24"/>
          <w:szCs w:val="24"/>
        </w:rPr>
      </w:pPr>
    </w:p>
    <w:p w14:paraId="3A94C6EC" w14:textId="77777777" w:rsidR="00E40517" w:rsidRPr="008F4E90" w:rsidRDefault="00000000" w:rsidP="00EB25CA">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With heartfelt thanks,</w:t>
      </w:r>
    </w:p>
    <w:p w14:paraId="78A026B2" w14:textId="77777777" w:rsidR="00E40517" w:rsidRPr="008F4E90" w:rsidRDefault="00000000" w:rsidP="00EB25CA">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Wenyi Xiao</w:t>
      </w:r>
    </w:p>
    <w:p w14:paraId="32F96823" w14:textId="77777777" w:rsidR="00EB25CA" w:rsidRPr="008F4E90" w:rsidRDefault="00EB25CA" w:rsidP="00EB25CA">
      <w:pPr>
        <w:spacing w:line="480" w:lineRule="auto"/>
        <w:rPr>
          <w:rFonts w:asciiTheme="majorBidi" w:eastAsia="Times New Roman" w:hAnsiTheme="majorBidi" w:cstheme="majorBidi"/>
          <w:sz w:val="24"/>
          <w:szCs w:val="24"/>
        </w:rPr>
      </w:pPr>
    </w:p>
    <w:p w14:paraId="251CC8BB" w14:textId="77777777" w:rsidR="00CD77F2" w:rsidRPr="008F4E90" w:rsidRDefault="00CD77F2" w:rsidP="00EB25CA">
      <w:pPr>
        <w:spacing w:line="480" w:lineRule="auto"/>
        <w:rPr>
          <w:rFonts w:asciiTheme="majorBidi" w:eastAsia="Times New Roman" w:hAnsiTheme="majorBidi" w:cstheme="majorBidi"/>
          <w:sz w:val="24"/>
          <w:szCs w:val="24"/>
        </w:rPr>
      </w:pPr>
    </w:p>
    <w:p w14:paraId="5C4D6262" w14:textId="77777777" w:rsidR="00CD77F2" w:rsidRPr="008F4E90" w:rsidRDefault="00CD77F2" w:rsidP="00CD77F2">
      <w:pPr>
        <w:rPr>
          <w:rFonts w:asciiTheme="majorBidi" w:hAnsiTheme="majorBidi" w:cstheme="majorBidi"/>
        </w:rPr>
      </w:pPr>
      <w:r w:rsidRPr="008F4E90">
        <w:rPr>
          <w:rFonts w:asciiTheme="majorBidi" w:hAnsiTheme="majorBidi" w:cstheme="majorBidi"/>
        </w:rPr>
        <w:br w:type="page"/>
      </w:r>
    </w:p>
    <w:sdt>
      <w:sdtPr>
        <w:rPr>
          <w:rFonts w:asciiTheme="majorBidi" w:eastAsiaTheme="minorEastAsia" w:hAnsiTheme="majorBidi" w:cs="Times New Roman"/>
          <w:color w:val="auto"/>
          <w:sz w:val="22"/>
          <w:szCs w:val="22"/>
        </w:rPr>
        <w:id w:val="-1871065727"/>
        <w:docPartObj>
          <w:docPartGallery w:val="Table of Contents"/>
          <w:docPartUnique/>
        </w:docPartObj>
      </w:sdtPr>
      <w:sdtContent>
        <w:p w14:paraId="1FC42923" w14:textId="77777777" w:rsidR="00CD77F2" w:rsidRPr="00371955" w:rsidRDefault="00CD77F2" w:rsidP="00371955">
          <w:pPr>
            <w:pStyle w:val="TOCHeading"/>
            <w:spacing w:line="480" w:lineRule="auto"/>
            <w:jc w:val="center"/>
            <w:rPr>
              <w:rFonts w:asciiTheme="majorBidi" w:hAnsiTheme="majorBidi"/>
              <w:color w:val="auto"/>
            </w:rPr>
          </w:pPr>
          <w:r w:rsidRPr="00371955">
            <w:rPr>
              <w:rFonts w:asciiTheme="majorBidi" w:hAnsiTheme="majorBidi"/>
              <w:color w:val="auto"/>
            </w:rPr>
            <w:t>Contents</w:t>
          </w:r>
        </w:p>
        <w:p w14:paraId="436AEDE5" w14:textId="0035F3F3" w:rsidR="00E42FB8" w:rsidRDefault="00CD77F2" w:rsidP="00E42FB8">
          <w:pPr>
            <w:pStyle w:val="TOC1"/>
            <w:spacing w:line="480" w:lineRule="auto"/>
          </w:pPr>
          <w:r w:rsidRPr="008F4E90">
            <w:t xml:space="preserve">Chapter 1 General Introduction </w:t>
          </w:r>
          <w:r w:rsidRPr="008F4E90">
            <w:ptab w:relativeTo="margin" w:alignment="right" w:leader="dot"/>
          </w:r>
          <w:r w:rsidR="001820E3">
            <w:t>8</w:t>
          </w:r>
        </w:p>
        <w:p w14:paraId="78353D49" w14:textId="779AEED5" w:rsidR="00E42FB8" w:rsidRDefault="001820E3" w:rsidP="00E42FB8">
          <w:pPr>
            <w:pStyle w:val="TOC2"/>
            <w:ind w:left="216"/>
          </w:pPr>
          <w:r w:rsidRPr="001820E3">
            <w:t>Aims and Contents of Thesis</w:t>
          </w:r>
          <w:r w:rsidR="00E42FB8">
            <w:ptab w:relativeTo="margin" w:alignment="right" w:leader="dot"/>
          </w:r>
          <w:r>
            <w:t>43</w:t>
          </w:r>
        </w:p>
        <w:p w14:paraId="2D7D0438" w14:textId="77777777" w:rsidR="00E42FB8" w:rsidRPr="00E42FB8" w:rsidRDefault="00E42FB8" w:rsidP="00E42FB8"/>
        <w:p w14:paraId="3017A4FF" w14:textId="0639AFFA" w:rsidR="00CD77F2" w:rsidRDefault="00EE2DE9" w:rsidP="003C001C">
          <w:pPr>
            <w:pStyle w:val="TOC1"/>
            <w:spacing w:line="480" w:lineRule="auto"/>
          </w:pPr>
          <w:r w:rsidRPr="008F4E90">
            <w:t>Chapter 2 Investigating Spontaneous EEG Biomarkers and the Influence of Eye Conditions in ASC</w:t>
          </w:r>
          <w:r w:rsidR="00CD77F2" w:rsidRPr="008F4E90">
            <w:ptab w:relativeTo="margin" w:alignment="right" w:leader="dot"/>
          </w:r>
          <w:r w:rsidR="00644ADD" w:rsidRPr="008F4E90">
            <w:t>7</w:t>
          </w:r>
          <w:r w:rsidR="001820E3">
            <w:t>5</w:t>
          </w:r>
        </w:p>
        <w:p w14:paraId="4A3DF5C0" w14:textId="14149AA4" w:rsidR="001820E3" w:rsidRDefault="001820E3" w:rsidP="001820E3">
          <w:pPr>
            <w:pStyle w:val="TOC2"/>
            <w:ind w:left="0"/>
          </w:pPr>
          <w:r>
            <w:t xml:space="preserve">    Introduction</w:t>
          </w:r>
          <w:r>
            <w:ptab w:relativeTo="margin" w:alignment="right" w:leader="dot"/>
          </w:r>
          <w:r>
            <w:t>75</w:t>
          </w:r>
        </w:p>
        <w:p w14:paraId="5020B650" w14:textId="0850C6BD" w:rsidR="001820E3" w:rsidRDefault="001820E3" w:rsidP="001820E3">
          <w:pPr>
            <w:pStyle w:val="TOC2"/>
            <w:ind w:left="0"/>
          </w:pPr>
          <w:r>
            <w:t xml:space="preserve">    Method</w:t>
          </w:r>
          <w:r>
            <w:ptab w:relativeTo="margin" w:alignment="right" w:leader="dot"/>
          </w:r>
          <w:r>
            <w:t>78</w:t>
          </w:r>
        </w:p>
        <w:p w14:paraId="11FEFDBF" w14:textId="60C8F6D5" w:rsidR="001820E3" w:rsidRDefault="001820E3" w:rsidP="001820E3">
          <w:pPr>
            <w:pStyle w:val="TOC2"/>
            <w:ind w:left="0"/>
          </w:pPr>
          <w:r>
            <w:t xml:space="preserve">    Results</w:t>
          </w:r>
          <w:r>
            <w:ptab w:relativeTo="margin" w:alignment="right" w:leader="dot"/>
          </w:r>
          <w:r>
            <w:t>82</w:t>
          </w:r>
        </w:p>
        <w:p w14:paraId="7E594453" w14:textId="2A73E330" w:rsidR="001820E3" w:rsidRDefault="001820E3" w:rsidP="001820E3">
          <w:pPr>
            <w:pStyle w:val="TOC2"/>
            <w:ind w:left="0"/>
          </w:pPr>
          <w:r>
            <w:t xml:space="preserve">    Discussion</w:t>
          </w:r>
          <w:r>
            <w:ptab w:relativeTo="margin" w:alignment="right" w:leader="dot"/>
          </w:r>
          <w:r>
            <w:t>90</w:t>
          </w:r>
        </w:p>
        <w:p w14:paraId="71B1BA1E" w14:textId="2E328E4A" w:rsidR="001820E3" w:rsidRDefault="001820E3" w:rsidP="001820E3">
          <w:pPr>
            <w:pStyle w:val="TOC2"/>
            <w:ind w:left="0"/>
          </w:pPr>
          <w:r>
            <w:t xml:space="preserve">    Conclusion</w:t>
          </w:r>
          <w:r>
            <w:ptab w:relativeTo="margin" w:alignment="right" w:leader="dot"/>
          </w:r>
          <w:r>
            <w:t>96</w:t>
          </w:r>
        </w:p>
        <w:p w14:paraId="088BABE0" w14:textId="77777777" w:rsidR="001820E3" w:rsidRPr="001820E3" w:rsidRDefault="001820E3" w:rsidP="001820E3">
          <w:pPr>
            <w:rPr>
              <w:lang w:val="en-US" w:eastAsia="en-US"/>
            </w:rPr>
          </w:pPr>
        </w:p>
        <w:p w14:paraId="16219D83" w14:textId="2C2D58AD" w:rsidR="00644ADD" w:rsidRDefault="00644ADD" w:rsidP="003C001C">
          <w:pPr>
            <w:pStyle w:val="TOC1"/>
            <w:spacing w:line="480" w:lineRule="auto"/>
          </w:pPr>
          <w:r w:rsidRPr="008F4E90">
            <w:t>Chapter 3 Unravelling Eyes-Open Resting-State Brain Complexity in Autistic Spectrum Condition: Insights from Multiscale Sample Entropy Analysis Using fMRI Data</w:t>
          </w:r>
          <w:r w:rsidRPr="008F4E90">
            <w:ptab w:relativeTo="margin" w:alignment="right" w:leader="dot"/>
          </w:r>
          <w:r w:rsidRPr="008F4E90">
            <w:t>1</w:t>
          </w:r>
          <w:r w:rsidR="00F23034">
            <w:t>10</w:t>
          </w:r>
        </w:p>
        <w:p w14:paraId="3ECB5768" w14:textId="709065F1" w:rsidR="001820E3" w:rsidRDefault="001820E3" w:rsidP="001820E3">
          <w:pPr>
            <w:pStyle w:val="TOC2"/>
            <w:ind w:left="0"/>
          </w:pPr>
          <w:r>
            <w:t xml:space="preserve">    Introduction</w:t>
          </w:r>
          <w:r>
            <w:ptab w:relativeTo="margin" w:alignment="right" w:leader="dot"/>
          </w:r>
          <w:r w:rsidR="00F23034">
            <w:t>111</w:t>
          </w:r>
        </w:p>
        <w:p w14:paraId="19E5012F" w14:textId="01D13ADE" w:rsidR="001820E3" w:rsidRDefault="001820E3" w:rsidP="001820E3">
          <w:pPr>
            <w:pStyle w:val="TOC2"/>
            <w:ind w:left="0"/>
          </w:pPr>
          <w:r>
            <w:t xml:space="preserve">    Method</w:t>
          </w:r>
          <w:r>
            <w:ptab w:relativeTo="margin" w:alignment="right" w:leader="dot"/>
          </w:r>
          <w:r w:rsidR="00F23034">
            <w:t>116</w:t>
          </w:r>
        </w:p>
        <w:p w14:paraId="016B17BC" w14:textId="3E82742E" w:rsidR="001820E3" w:rsidRDefault="001820E3" w:rsidP="001820E3">
          <w:pPr>
            <w:pStyle w:val="TOC2"/>
            <w:ind w:left="0"/>
          </w:pPr>
          <w:r>
            <w:t xml:space="preserve">    Results</w:t>
          </w:r>
          <w:r>
            <w:ptab w:relativeTo="margin" w:alignment="right" w:leader="dot"/>
          </w:r>
          <w:r w:rsidR="00F23034">
            <w:t>135</w:t>
          </w:r>
        </w:p>
        <w:p w14:paraId="047A287E" w14:textId="7A922770" w:rsidR="001820E3" w:rsidRDefault="001820E3" w:rsidP="001820E3">
          <w:pPr>
            <w:pStyle w:val="TOC2"/>
            <w:ind w:left="0"/>
          </w:pPr>
          <w:r>
            <w:t xml:space="preserve">    Discussion</w:t>
          </w:r>
          <w:r>
            <w:ptab w:relativeTo="margin" w:alignment="right" w:leader="dot"/>
          </w:r>
          <w:r w:rsidR="00F23034">
            <w:t>151</w:t>
          </w:r>
        </w:p>
        <w:p w14:paraId="5D702F28" w14:textId="6304DDFD" w:rsidR="001820E3" w:rsidRDefault="001820E3" w:rsidP="001820E3">
          <w:pPr>
            <w:pStyle w:val="TOC2"/>
            <w:ind w:left="0"/>
          </w:pPr>
          <w:r>
            <w:t xml:space="preserve">    Conclusion</w:t>
          </w:r>
          <w:r>
            <w:ptab w:relativeTo="margin" w:alignment="right" w:leader="dot"/>
          </w:r>
          <w:r w:rsidR="00F23034">
            <w:t>155</w:t>
          </w:r>
        </w:p>
        <w:p w14:paraId="315C58E7" w14:textId="77777777" w:rsidR="001820E3" w:rsidRPr="001820E3" w:rsidRDefault="001820E3" w:rsidP="001820E3"/>
        <w:p w14:paraId="22A45A06" w14:textId="500E2C8A" w:rsidR="003C001C" w:rsidRDefault="00E135A4" w:rsidP="003C001C">
          <w:pPr>
            <w:pStyle w:val="TOC1"/>
            <w:spacing w:line="480" w:lineRule="auto"/>
          </w:pPr>
          <w:r w:rsidRPr="008F4E90">
            <w:t>Chapter 4 Unravelling Eyes-Closed Resting-State Brain Complexity in Autistic Spectrum Condition: Insights from Multiscale Sample Entropy Analysis Using fMRI Data</w:t>
          </w:r>
          <w:r w:rsidRPr="008F4E90">
            <w:ptab w:relativeTo="margin" w:alignment="right" w:leader="dot"/>
          </w:r>
          <w:r w:rsidR="00F23034">
            <w:t>171</w:t>
          </w:r>
          <w:r w:rsidR="003C001C" w:rsidRPr="003C001C">
            <w:t xml:space="preserve"> </w:t>
          </w:r>
        </w:p>
        <w:p w14:paraId="7BE872E8" w14:textId="46EB9D2D" w:rsidR="001820E3" w:rsidRDefault="001820E3" w:rsidP="001820E3">
          <w:pPr>
            <w:pStyle w:val="TOC2"/>
            <w:ind w:left="0"/>
          </w:pPr>
          <w:r>
            <w:t xml:space="preserve">    Method</w:t>
          </w:r>
          <w:r>
            <w:ptab w:relativeTo="margin" w:alignment="right" w:leader="dot"/>
          </w:r>
          <w:r w:rsidR="00F23034">
            <w:t>172</w:t>
          </w:r>
        </w:p>
        <w:p w14:paraId="1F8D1A41" w14:textId="3490E69C" w:rsidR="001820E3" w:rsidRDefault="001820E3" w:rsidP="001820E3">
          <w:pPr>
            <w:pStyle w:val="TOC2"/>
            <w:ind w:left="0"/>
          </w:pPr>
          <w:r>
            <w:t xml:space="preserve">    Results</w:t>
          </w:r>
          <w:r>
            <w:ptab w:relativeTo="margin" w:alignment="right" w:leader="dot"/>
          </w:r>
          <w:r w:rsidR="00F23034">
            <w:t>174</w:t>
          </w:r>
        </w:p>
        <w:p w14:paraId="0334FFB7" w14:textId="767C413C" w:rsidR="001820E3" w:rsidRDefault="001820E3" w:rsidP="001820E3">
          <w:pPr>
            <w:pStyle w:val="TOC2"/>
            <w:ind w:left="0"/>
          </w:pPr>
          <w:r>
            <w:t xml:space="preserve">    Discussion</w:t>
          </w:r>
          <w:r>
            <w:ptab w:relativeTo="margin" w:alignment="right" w:leader="dot"/>
          </w:r>
          <w:r w:rsidR="00F23034">
            <w:t>188</w:t>
          </w:r>
        </w:p>
        <w:p w14:paraId="2342C9A0" w14:textId="1E8D0896" w:rsidR="001820E3" w:rsidRDefault="001820E3" w:rsidP="001820E3">
          <w:pPr>
            <w:pStyle w:val="TOC2"/>
            <w:ind w:left="0"/>
          </w:pPr>
          <w:r>
            <w:t xml:space="preserve">    Conclusion</w:t>
          </w:r>
          <w:r>
            <w:ptab w:relativeTo="margin" w:alignment="right" w:leader="dot"/>
          </w:r>
          <w:r w:rsidR="00F23034">
            <w:t>191</w:t>
          </w:r>
        </w:p>
        <w:p w14:paraId="3EA97A24" w14:textId="77777777" w:rsidR="001820E3" w:rsidRPr="001820E3" w:rsidRDefault="001820E3" w:rsidP="001820E3"/>
        <w:p w14:paraId="161E4AD6" w14:textId="63746782" w:rsidR="003C001C" w:rsidRDefault="003C001C" w:rsidP="003C001C">
          <w:pPr>
            <w:pStyle w:val="TOC1"/>
            <w:spacing w:line="480" w:lineRule="auto"/>
            <w:rPr>
              <w:rFonts w:ascii="Times New Roman" w:hAnsi="Times New Roman" w:cs="Times New Roman"/>
            </w:rPr>
          </w:pPr>
          <w:r>
            <w:t>Chapter 5 Investigating Developmental Trajectories from childhood to young adult in Individuals with Autistic Spectrum Condition and neurotypical controls: Reflected in resting state EEG and fMRI Signal Complexity</w:t>
          </w:r>
          <w:r w:rsidRPr="003C001C">
            <w:rPr>
              <w:rFonts w:ascii="Times New Roman" w:hAnsi="Times New Roman" w:cs="Times New Roman"/>
            </w:rPr>
            <w:ptab w:relativeTo="margin" w:alignment="right" w:leader="dot"/>
          </w:r>
          <w:r w:rsidRPr="003C001C">
            <w:rPr>
              <w:rFonts w:ascii="Times New Roman" w:hAnsi="Times New Roman" w:cs="Times New Roman"/>
            </w:rPr>
            <w:t>195</w:t>
          </w:r>
        </w:p>
        <w:p w14:paraId="23C1E7FE" w14:textId="3C0DA8F0" w:rsidR="001820E3" w:rsidRDefault="001820E3" w:rsidP="001820E3">
          <w:pPr>
            <w:pStyle w:val="TOC2"/>
            <w:ind w:left="0"/>
          </w:pPr>
          <w:r>
            <w:t xml:space="preserve">    Introduction</w:t>
          </w:r>
          <w:r>
            <w:ptab w:relativeTo="margin" w:alignment="right" w:leader="dot"/>
          </w:r>
          <w:r w:rsidR="00F23034">
            <w:t>195</w:t>
          </w:r>
        </w:p>
        <w:p w14:paraId="60EDCEBE" w14:textId="2A7839B2" w:rsidR="001820E3" w:rsidRDefault="001820E3" w:rsidP="001820E3">
          <w:pPr>
            <w:pStyle w:val="TOC2"/>
            <w:ind w:left="0"/>
          </w:pPr>
          <w:r>
            <w:t xml:space="preserve">    Method</w:t>
          </w:r>
          <w:r>
            <w:ptab w:relativeTo="margin" w:alignment="right" w:leader="dot"/>
          </w:r>
          <w:r w:rsidR="00F23034">
            <w:t>197</w:t>
          </w:r>
        </w:p>
        <w:p w14:paraId="1E213634" w14:textId="3ED59DB4" w:rsidR="001820E3" w:rsidRDefault="001820E3" w:rsidP="001820E3">
          <w:pPr>
            <w:pStyle w:val="TOC2"/>
            <w:ind w:left="0"/>
          </w:pPr>
          <w:r>
            <w:t xml:space="preserve">    Results</w:t>
          </w:r>
          <w:r>
            <w:ptab w:relativeTo="margin" w:alignment="right" w:leader="dot"/>
          </w:r>
          <w:r w:rsidR="00F23034">
            <w:t>199</w:t>
          </w:r>
        </w:p>
        <w:p w14:paraId="7B2920EF" w14:textId="529599CF" w:rsidR="001820E3" w:rsidRDefault="001820E3" w:rsidP="001820E3">
          <w:pPr>
            <w:pStyle w:val="TOC2"/>
            <w:ind w:left="0"/>
          </w:pPr>
          <w:r>
            <w:lastRenderedPageBreak/>
            <w:t xml:space="preserve">    Discussion</w:t>
          </w:r>
          <w:r>
            <w:ptab w:relativeTo="margin" w:alignment="right" w:leader="dot"/>
          </w:r>
          <w:r w:rsidR="00F23034">
            <w:t>219</w:t>
          </w:r>
        </w:p>
        <w:p w14:paraId="03B3CCBC" w14:textId="28008682" w:rsidR="001820E3" w:rsidRDefault="001820E3" w:rsidP="001820E3">
          <w:pPr>
            <w:pStyle w:val="TOC2"/>
            <w:ind w:left="0"/>
          </w:pPr>
          <w:r>
            <w:t xml:space="preserve">    </w:t>
          </w:r>
          <w:r w:rsidR="00F23034">
            <w:t>Limitation</w:t>
          </w:r>
          <w:r>
            <w:ptab w:relativeTo="margin" w:alignment="right" w:leader="dot"/>
          </w:r>
          <w:r w:rsidR="00F23034">
            <w:t>227</w:t>
          </w:r>
        </w:p>
        <w:p w14:paraId="6B14EB90" w14:textId="77777777" w:rsidR="001820E3" w:rsidRPr="001820E3" w:rsidRDefault="001820E3" w:rsidP="001820E3">
          <w:pPr>
            <w:rPr>
              <w:lang w:val="en-US" w:eastAsia="en-US"/>
            </w:rPr>
          </w:pPr>
        </w:p>
        <w:p w14:paraId="23299F21" w14:textId="6441D359" w:rsidR="00E135A4" w:rsidRDefault="00E135A4" w:rsidP="003C001C">
          <w:pPr>
            <w:pStyle w:val="TOC1"/>
            <w:spacing w:line="480" w:lineRule="auto"/>
          </w:pPr>
          <w:r w:rsidRPr="008F4E90">
            <w:t xml:space="preserve">Chapter </w:t>
          </w:r>
          <w:r w:rsidR="008F330E" w:rsidRPr="008F4E90">
            <w:t>6 General Discussion</w:t>
          </w:r>
          <w:r w:rsidRPr="008F4E90">
            <w:ptab w:relativeTo="margin" w:alignment="right" w:leader="dot"/>
          </w:r>
          <w:r w:rsidR="00F23034">
            <w:t>241</w:t>
          </w:r>
        </w:p>
        <w:p w14:paraId="5F3CEB3C" w14:textId="7039B4B9" w:rsidR="00F23034" w:rsidRDefault="00F23034" w:rsidP="00F23034">
          <w:pPr>
            <w:pStyle w:val="TOC2"/>
            <w:ind w:left="0"/>
          </w:pPr>
          <w:r>
            <w:t xml:space="preserve">    </w:t>
          </w:r>
          <w:r w:rsidRPr="00F23034">
            <w:t>Summary of the Conducted Studies</w:t>
          </w:r>
          <w:r>
            <w:ptab w:relativeTo="margin" w:alignment="right" w:leader="dot"/>
          </w:r>
          <w:r>
            <w:t>241</w:t>
          </w:r>
        </w:p>
        <w:p w14:paraId="3F194792" w14:textId="0E518A4D" w:rsidR="00F23034" w:rsidRDefault="00F23034" w:rsidP="00F23034">
          <w:pPr>
            <w:pStyle w:val="TOC2"/>
            <w:ind w:left="0"/>
          </w:pPr>
          <w:r>
            <w:t xml:space="preserve">    </w:t>
          </w:r>
          <w:r w:rsidRPr="00F23034">
            <w:t xml:space="preserve">Contributions of the Present Programs of Research </w:t>
          </w:r>
          <w:r>
            <w:ptab w:relativeTo="margin" w:alignment="right" w:leader="dot"/>
          </w:r>
          <w:r>
            <w:t>246</w:t>
          </w:r>
        </w:p>
        <w:p w14:paraId="75C16F57" w14:textId="4CB62260" w:rsidR="00F23034" w:rsidRDefault="00F23034" w:rsidP="00F23034">
          <w:pPr>
            <w:pStyle w:val="TOC2"/>
            <w:ind w:left="0"/>
          </w:pPr>
          <w:r>
            <w:t xml:space="preserve">    </w:t>
          </w:r>
          <w:r w:rsidRPr="00F23034">
            <w:t>Limitations and Future Research</w:t>
          </w:r>
          <w:r>
            <w:ptab w:relativeTo="margin" w:alignment="right" w:leader="dot"/>
          </w:r>
          <w:r>
            <w:t>250</w:t>
          </w:r>
        </w:p>
        <w:p w14:paraId="14B859F3" w14:textId="77777777" w:rsidR="00F23034" w:rsidRPr="00F23034" w:rsidRDefault="00F23034" w:rsidP="00F23034">
          <w:pPr>
            <w:rPr>
              <w:lang w:val="en-US" w:eastAsia="en-US"/>
            </w:rPr>
          </w:pPr>
        </w:p>
        <w:p w14:paraId="4DAC1F63" w14:textId="77777777" w:rsidR="00F23034" w:rsidRPr="00F23034" w:rsidRDefault="00F23034" w:rsidP="00F23034"/>
        <w:p w14:paraId="0ECA6EFC" w14:textId="77777777" w:rsidR="003C001C" w:rsidRPr="003C001C" w:rsidRDefault="003C001C" w:rsidP="003C001C">
          <w:pPr>
            <w:spacing w:line="480" w:lineRule="auto"/>
          </w:pPr>
        </w:p>
        <w:p w14:paraId="071083A8" w14:textId="77777777" w:rsidR="00E135A4" w:rsidRPr="008F4E90" w:rsidRDefault="00E135A4" w:rsidP="00E135A4">
          <w:pPr>
            <w:rPr>
              <w:rFonts w:asciiTheme="majorBidi" w:hAnsiTheme="majorBidi" w:cstheme="majorBidi"/>
            </w:rPr>
          </w:pPr>
        </w:p>
        <w:p w14:paraId="1F9769CC" w14:textId="77777777" w:rsidR="00644ADD" w:rsidRPr="008F4E90" w:rsidRDefault="00644ADD" w:rsidP="00644ADD">
          <w:pPr>
            <w:rPr>
              <w:rFonts w:asciiTheme="majorBidi" w:hAnsiTheme="majorBidi" w:cstheme="majorBidi"/>
            </w:rPr>
          </w:pPr>
        </w:p>
        <w:p w14:paraId="0EC27F92" w14:textId="77777777" w:rsidR="00644ADD" w:rsidRPr="008F4E90" w:rsidRDefault="00644ADD" w:rsidP="00644ADD">
          <w:pPr>
            <w:rPr>
              <w:rFonts w:asciiTheme="majorBidi" w:hAnsiTheme="majorBidi" w:cstheme="majorBidi"/>
            </w:rPr>
          </w:pPr>
        </w:p>
        <w:p w14:paraId="56A4A9F4" w14:textId="77777777" w:rsidR="00644ADD" w:rsidRPr="008F4E90" w:rsidRDefault="00644ADD" w:rsidP="00644ADD">
          <w:pPr>
            <w:rPr>
              <w:rFonts w:asciiTheme="majorBidi" w:hAnsiTheme="majorBidi" w:cstheme="majorBidi"/>
            </w:rPr>
          </w:pPr>
        </w:p>
        <w:p w14:paraId="0618CC09" w14:textId="77777777" w:rsidR="00CD77F2" w:rsidRPr="008F4E90" w:rsidRDefault="00000000">
          <w:pPr>
            <w:pStyle w:val="TOC3"/>
            <w:ind w:left="446"/>
            <w:rPr>
              <w:rFonts w:asciiTheme="majorBidi" w:hAnsiTheme="majorBidi" w:cstheme="majorBidi"/>
            </w:rPr>
          </w:pPr>
        </w:p>
      </w:sdtContent>
    </w:sdt>
    <w:p w14:paraId="0058394F" w14:textId="77777777" w:rsidR="00CD77F2" w:rsidRPr="008F4E90" w:rsidRDefault="00CD77F2" w:rsidP="00CD77F2">
      <w:pPr>
        <w:rPr>
          <w:rFonts w:asciiTheme="majorBidi" w:hAnsiTheme="majorBidi" w:cstheme="majorBidi"/>
        </w:rPr>
      </w:pPr>
    </w:p>
    <w:p w14:paraId="539B3C7A" w14:textId="77777777" w:rsidR="00CD77F2" w:rsidRPr="008F4E90" w:rsidRDefault="00CD77F2" w:rsidP="00CD77F2">
      <w:pPr>
        <w:rPr>
          <w:rFonts w:asciiTheme="majorBidi" w:hAnsiTheme="majorBidi" w:cstheme="majorBidi"/>
        </w:rPr>
      </w:pPr>
    </w:p>
    <w:p w14:paraId="056BF7AE" w14:textId="77777777" w:rsidR="00CD77F2" w:rsidRPr="008F4E90" w:rsidRDefault="00CD77F2" w:rsidP="00CD77F2">
      <w:pPr>
        <w:rPr>
          <w:rFonts w:asciiTheme="majorBidi" w:hAnsiTheme="majorBidi" w:cstheme="majorBidi"/>
        </w:rPr>
      </w:pPr>
    </w:p>
    <w:p w14:paraId="1A098A88" w14:textId="77777777" w:rsidR="00CD77F2" w:rsidRPr="008F4E90" w:rsidRDefault="00CD77F2" w:rsidP="00CD77F2">
      <w:pPr>
        <w:rPr>
          <w:rFonts w:asciiTheme="majorBidi" w:hAnsiTheme="majorBidi" w:cstheme="majorBidi"/>
        </w:rPr>
      </w:pPr>
    </w:p>
    <w:p w14:paraId="7B143F58" w14:textId="77777777" w:rsidR="00CD77F2" w:rsidRPr="008F4E90" w:rsidRDefault="00CD77F2" w:rsidP="00CD77F2">
      <w:pPr>
        <w:rPr>
          <w:rFonts w:asciiTheme="majorBidi" w:hAnsiTheme="majorBidi" w:cstheme="majorBidi"/>
        </w:rPr>
      </w:pPr>
    </w:p>
    <w:p w14:paraId="52CF1F29" w14:textId="1C9DDE2A" w:rsidR="00CD77F2" w:rsidRDefault="00CD77F2" w:rsidP="00CD77F2">
      <w:pPr>
        <w:rPr>
          <w:rFonts w:asciiTheme="majorBidi" w:hAnsiTheme="majorBidi" w:cstheme="majorBidi"/>
        </w:rPr>
      </w:pPr>
    </w:p>
    <w:p w14:paraId="6F60A5A1" w14:textId="69BF106A" w:rsidR="001820E3" w:rsidRDefault="001820E3" w:rsidP="00CD77F2">
      <w:pPr>
        <w:rPr>
          <w:rFonts w:asciiTheme="majorBidi" w:hAnsiTheme="majorBidi" w:cstheme="majorBidi"/>
        </w:rPr>
      </w:pPr>
    </w:p>
    <w:p w14:paraId="61E5A752" w14:textId="4250D572" w:rsidR="001820E3" w:rsidRDefault="001820E3" w:rsidP="00CD77F2">
      <w:pPr>
        <w:rPr>
          <w:rFonts w:asciiTheme="majorBidi" w:hAnsiTheme="majorBidi" w:cstheme="majorBidi"/>
        </w:rPr>
      </w:pPr>
    </w:p>
    <w:p w14:paraId="32195C65" w14:textId="11FA4A56" w:rsidR="001820E3" w:rsidRDefault="001820E3" w:rsidP="00CD77F2">
      <w:pPr>
        <w:rPr>
          <w:rFonts w:asciiTheme="majorBidi" w:hAnsiTheme="majorBidi" w:cstheme="majorBidi"/>
        </w:rPr>
      </w:pPr>
    </w:p>
    <w:p w14:paraId="4A028F32" w14:textId="5F3C55B7" w:rsidR="001820E3" w:rsidRDefault="001820E3" w:rsidP="00CD77F2">
      <w:pPr>
        <w:rPr>
          <w:rFonts w:asciiTheme="majorBidi" w:hAnsiTheme="majorBidi" w:cstheme="majorBidi"/>
        </w:rPr>
      </w:pPr>
    </w:p>
    <w:p w14:paraId="28B1448B" w14:textId="339F5406" w:rsidR="001820E3" w:rsidRDefault="001820E3" w:rsidP="00CD77F2">
      <w:pPr>
        <w:rPr>
          <w:rFonts w:asciiTheme="majorBidi" w:hAnsiTheme="majorBidi" w:cstheme="majorBidi"/>
        </w:rPr>
      </w:pPr>
    </w:p>
    <w:p w14:paraId="0267479F" w14:textId="4F333F48" w:rsidR="001820E3" w:rsidRDefault="001820E3" w:rsidP="00CD77F2">
      <w:pPr>
        <w:rPr>
          <w:rFonts w:asciiTheme="majorBidi" w:hAnsiTheme="majorBidi" w:cstheme="majorBidi"/>
        </w:rPr>
      </w:pPr>
    </w:p>
    <w:p w14:paraId="7C0F808D" w14:textId="79C3986E" w:rsidR="001820E3" w:rsidRDefault="001820E3" w:rsidP="00CD77F2">
      <w:pPr>
        <w:rPr>
          <w:rFonts w:asciiTheme="majorBidi" w:hAnsiTheme="majorBidi" w:cstheme="majorBidi"/>
        </w:rPr>
      </w:pPr>
    </w:p>
    <w:p w14:paraId="5FBBB3DD" w14:textId="3EF00186" w:rsidR="001820E3" w:rsidRDefault="001820E3" w:rsidP="00CD77F2">
      <w:pPr>
        <w:rPr>
          <w:rFonts w:asciiTheme="majorBidi" w:hAnsiTheme="majorBidi" w:cstheme="majorBidi"/>
        </w:rPr>
      </w:pPr>
    </w:p>
    <w:p w14:paraId="18773C29" w14:textId="314BB980" w:rsidR="001820E3" w:rsidRDefault="001820E3" w:rsidP="00CD77F2">
      <w:pPr>
        <w:rPr>
          <w:rFonts w:asciiTheme="majorBidi" w:hAnsiTheme="majorBidi" w:cstheme="majorBidi"/>
        </w:rPr>
      </w:pPr>
    </w:p>
    <w:p w14:paraId="41183DB7" w14:textId="5A0463A1" w:rsidR="001820E3" w:rsidRDefault="001820E3" w:rsidP="00CD77F2">
      <w:pPr>
        <w:rPr>
          <w:rFonts w:asciiTheme="majorBidi" w:hAnsiTheme="majorBidi" w:cstheme="majorBidi"/>
        </w:rPr>
      </w:pPr>
    </w:p>
    <w:p w14:paraId="756F02A2" w14:textId="3EC4F750" w:rsidR="001820E3" w:rsidRDefault="001820E3" w:rsidP="00CD77F2">
      <w:pPr>
        <w:rPr>
          <w:rFonts w:asciiTheme="majorBidi" w:hAnsiTheme="majorBidi" w:cstheme="majorBidi"/>
        </w:rPr>
      </w:pPr>
    </w:p>
    <w:p w14:paraId="255098A6" w14:textId="1FFCD0F4" w:rsidR="001820E3" w:rsidRDefault="001820E3" w:rsidP="00CD77F2">
      <w:pPr>
        <w:rPr>
          <w:rFonts w:asciiTheme="majorBidi" w:hAnsiTheme="majorBidi" w:cstheme="majorBidi"/>
        </w:rPr>
      </w:pPr>
    </w:p>
    <w:p w14:paraId="40E8E068" w14:textId="40F5BF5C" w:rsidR="001820E3" w:rsidRDefault="001820E3" w:rsidP="00CD77F2">
      <w:pPr>
        <w:rPr>
          <w:rFonts w:asciiTheme="majorBidi" w:hAnsiTheme="majorBidi" w:cstheme="majorBidi"/>
        </w:rPr>
      </w:pPr>
    </w:p>
    <w:p w14:paraId="2EBB1480" w14:textId="5A0E3170" w:rsidR="001820E3" w:rsidRDefault="001820E3" w:rsidP="00CD77F2">
      <w:pPr>
        <w:rPr>
          <w:rFonts w:asciiTheme="majorBidi" w:hAnsiTheme="majorBidi" w:cstheme="majorBidi"/>
        </w:rPr>
      </w:pPr>
    </w:p>
    <w:p w14:paraId="6D8B85B4" w14:textId="1C953970" w:rsidR="001820E3" w:rsidRDefault="001820E3" w:rsidP="00CD77F2">
      <w:pPr>
        <w:rPr>
          <w:rFonts w:asciiTheme="majorBidi" w:hAnsiTheme="majorBidi" w:cstheme="majorBidi"/>
        </w:rPr>
      </w:pPr>
    </w:p>
    <w:p w14:paraId="23C938A8" w14:textId="798F5CFE" w:rsidR="001820E3" w:rsidRDefault="001820E3" w:rsidP="00CD77F2">
      <w:pPr>
        <w:rPr>
          <w:rFonts w:asciiTheme="majorBidi" w:hAnsiTheme="majorBidi" w:cstheme="majorBidi"/>
        </w:rPr>
      </w:pPr>
    </w:p>
    <w:p w14:paraId="0BEF85EC" w14:textId="7EF155C5" w:rsidR="001820E3" w:rsidRDefault="001820E3" w:rsidP="00CD77F2">
      <w:pPr>
        <w:rPr>
          <w:rFonts w:asciiTheme="majorBidi" w:hAnsiTheme="majorBidi" w:cstheme="majorBidi"/>
        </w:rPr>
      </w:pPr>
    </w:p>
    <w:p w14:paraId="0B7458C3" w14:textId="097DDD6D" w:rsidR="001820E3" w:rsidRDefault="001820E3" w:rsidP="00CD77F2">
      <w:pPr>
        <w:rPr>
          <w:rFonts w:asciiTheme="majorBidi" w:hAnsiTheme="majorBidi" w:cstheme="majorBidi"/>
        </w:rPr>
      </w:pPr>
    </w:p>
    <w:p w14:paraId="3CA454FF" w14:textId="075D8F89" w:rsidR="001820E3" w:rsidRDefault="001820E3" w:rsidP="00CD77F2">
      <w:pPr>
        <w:rPr>
          <w:rFonts w:asciiTheme="majorBidi" w:hAnsiTheme="majorBidi" w:cstheme="majorBidi"/>
        </w:rPr>
      </w:pPr>
    </w:p>
    <w:p w14:paraId="2B582687" w14:textId="6FCAE5E0" w:rsidR="001820E3" w:rsidRDefault="001820E3" w:rsidP="00CD77F2">
      <w:pPr>
        <w:rPr>
          <w:rFonts w:asciiTheme="majorBidi" w:hAnsiTheme="majorBidi" w:cstheme="majorBidi"/>
        </w:rPr>
      </w:pPr>
    </w:p>
    <w:p w14:paraId="55E1C499" w14:textId="51401618" w:rsidR="001820E3" w:rsidRDefault="001820E3" w:rsidP="00CD77F2">
      <w:pPr>
        <w:rPr>
          <w:rFonts w:asciiTheme="majorBidi" w:hAnsiTheme="majorBidi" w:cstheme="majorBidi"/>
        </w:rPr>
      </w:pPr>
    </w:p>
    <w:p w14:paraId="229C81DE" w14:textId="692EF1BF" w:rsidR="001820E3" w:rsidRDefault="001820E3" w:rsidP="00CD77F2">
      <w:pPr>
        <w:rPr>
          <w:rFonts w:asciiTheme="majorBidi" w:hAnsiTheme="majorBidi" w:cstheme="majorBidi"/>
        </w:rPr>
      </w:pPr>
    </w:p>
    <w:p w14:paraId="48FD0CE5" w14:textId="77777777" w:rsidR="001820E3" w:rsidRPr="008F4E90" w:rsidRDefault="001820E3" w:rsidP="00CD77F2">
      <w:pPr>
        <w:rPr>
          <w:rFonts w:asciiTheme="majorBidi" w:hAnsiTheme="majorBidi" w:cstheme="majorBidi"/>
        </w:rPr>
      </w:pPr>
    </w:p>
    <w:p w14:paraId="54291EDE" w14:textId="77777777" w:rsidR="00CD77F2" w:rsidRPr="008F4E90" w:rsidRDefault="00CD77F2" w:rsidP="00CD77F2">
      <w:pPr>
        <w:rPr>
          <w:rFonts w:asciiTheme="majorBidi" w:hAnsiTheme="majorBidi" w:cstheme="majorBidi"/>
        </w:rPr>
      </w:pPr>
    </w:p>
    <w:p w14:paraId="4891FDBE" w14:textId="77777777" w:rsidR="00EB25CA" w:rsidRPr="008F4E90" w:rsidRDefault="00EB25CA" w:rsidP="00CD77F2">
      <w:pPr>
        <w:pStyle w:val="Title"/>
        <w:spacing w:line="480" w:lineRule="auto"/>
        <w:jc w:val="center"/>
        <w:rPr>
          <w:rFonts w:asciiTheme="majorBidi" w:eastAsia="Times New Roman" w:hAnsiTheme="majorBidi" w:cstheme="majorBidi"/>
          <w:b/>
          <w:sz w:val="24"/>
          <w:szCs w:val="24"/>
        </w:rPr>
      </w:pPr>
      <w:bookmarkStart w:id="3" w:name="_t8snh2pu4q85" w:colFirst="0" w:colLast="0"/>
      <w:bookmarkEnd w:id="3"/>
      <w:r w:rsidRPr="008F4E90">
        <w:rPr>
          <w:rFonts w:asciiTheme="majorBidi" w:eastAsia="Times New Roman" w:hAnsiTheme="majorBidi" w:cstheme="majorBidi"/>
          <w:b/>
          <w:sz w:val="24"/>
          <w:szCs w:val="24"/>
        </w:rPr>
        <w:t>Chapter 1</w:t>
      </w:r>
    </w:p>
    <w:p w14:paraId="23C04CB9" w14:textId="77777777" w:rsidR="00EB25CA" w:rsidRPr="008F4E90" w:rsidRDefault="00EB25CA" w:rsidP="00EB25CA">
      <w:pPr>
        <w:pStyle w:val="Title"/>
        <w:spacing w:line="480" w:lineRule="auto"/>
        <w:jc w:val="center"/>
        <w:rPr>
          <w:rFonts w:asciiTheme="majorBidi" w:eastAsia="Times New Roman" w:hAnsiTheme="majorBidi" w:cstheme="majorBidi"/>
          <w:b/>
          <w:sz w:val="24"/>
          <w:szCs w:val="24"/>
        </w:rPr>
      </w:pPr>
      <w:bookmarkStart w:id="4" w:name="_nvi7cc915yf0" w:colFirst="0" w:colLast="0"/>
      <w:bookmarkEnd w:id="4"/>
      <w:r w:rsidRPr="008F4E90">
        <w:rPr>
          <w:rFonts w:asciiTheme="majorBidi" w:eastAsia="Times New Roman" w:hAnsiTheme="majorBidi" w:cstheme="majorBidi"/>
          <w:b/>
          <w:sz w:val="24"/>
          <w:szCs w:val="24"/>
        </w:rPr>
        <w:t>General Introduction</w:t>
      </w:r>
    </w:p>
    <w:p w14:paraId="234C21DC" w14:textId="77777777" w:rsidR="00EB25CA" w:rsidRPr="008F4E90" w:rsidRDefault="00EB25CA" w:rsidP="00EB25CA">
      <w:pPr>
        <w:spacing w:line="480" w:lineRule="auto"/>
        <w:rPr>
          <w:rFonts w:asciiTheme="majorBidi" w:eastAsia="Times New Roman" w:hAnsiTheme="majorBidi" w:cstheme="majorBidi"/>
          <w:sz w:val="24"/>
          <w:szCs w:val="24"/>
        </w:rPr>
      </w:pPr>
    </w:p>
    <w:p w14:paraId="3ABBC7CB" w14:textId="77777777" w:rsidR="00EB25CA" w:rsidRPr="008F4E90" w:rsidRDefault="00EB25CA" w:rsidP="00B37FF3">
      <w:pPr>
        <w:spacing w:line="480" w:lineRule="auto"/>
        <w:rPr>
          <w:rFonts w:asciiTheme="majorBidi" w:eastAsia="Times New Roman" w:hAnsiTheme="majorBidi" w:cstheme="majorBidi"/>
          <w:b/>
          <w:iCs/>
          <w:sz w:val="24"/>
          <w:szCs w:val="24"/>
        </w:rPr>
      </w:pPr>
      <w:r w:rsidRPr="008F4E90">
        <w:rPr>
          <w:rFonts w:asciiTheme="majorBidi" w:eastAsia="Times New Roman" w:hAnsiTheme="majorBidi" w:cstheme="majorBidi"/>
          <w:b/>
          <w:iCs/>
          <w:sz w:val="24"/>
          <w:szCs w:val="24"/>
        </w:rPr>
        <w:t xml:space="preserve">The Need </w:t>
      </w:r>
      <w:r w:rsidR="0023297B" w:rsidRPr="008F4E90">
        <w:rPr>
          <w:rFonts w:asciiTheme="majorBidi" w:eastAsia="Times New Roman" w:hAnsiTheme="majorBidi" w:cstheme="majorBidi"/>
          <w:b/>
          <w:iCs/>
          <w:sz w:val="24"/>
          <w:szCs w:val="24"/>
        </w:rPr>
        <w:t>for</w:t>
      </w:r>
      <w:r w:rsidRPr="008F4E90">
        <w:rPr>
          <w:rFonts w:asciiTheme="majorBidi" w:eastAsia="Times New Roman" w:hAnsiTheme="majorBidi" w:cstheme="majorBidi"/>
          <w:b/>
          <w:iCs/>
          <w:sz w:val="24"/>
          <w:szCs w:val="24"/>
        </w:rPr>
        <w:t xml:space="preserve"> Biomarkers in Autistic Spectrum Condition (ASC) </w:t>
      </w:r>
    </w:p>
    <w:p w14:paraId="50EC8C8A"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date, there still has not been an agreement on consistency of the classification of ASC. The debate mainly lies in the diagnosis of PDD-NOS, as The DSM-IV criteria seems to be more sensitive than DSM-V, some studies indicated that patients diagnosed as having PDD-NOS by DSM-IV would not meet criteria for ASC under DSM-V </w:t>
      </w:r>
      <w:hyperlink r:id="rId13">
        <w:r w:rsidRPr="008F4E90">
          <w:rPr>
            <w:rFonts w:asciiTheme="majorBidi" w:eastAsia="Times New Roman" w:hAnsiTheme="majorBidi" w:cstheme="majorBidi"/>
            <w:sz w:val="24"/>
            <w:szCs w:val="24"/>
          </w:rPr>
          <w:t>(</w:t>
        </w:r>
        <w:proofErr w:type="spellStart"/>
      </w:hyperlink>
      <w:hyperlink r:id="rId14">
        <w:r w:rsidRPr="008F4E90">
          <w:rPr>
            <w:rFonts w:asciiTheme="majorBidi" w:eastAsia="Times New Roman" w:hAnsiTheme="majorBidi" w:cstheme="majorBidi"/>
            <w:sz w:val="24"/>
            <w:szCs w:val="24"/>
          </w:rPr>
          <w:t>Kulage</w:t>
        </w:r>
        <w:proofErr w:type="spellEnd"/>
        <w:r w:rsidRPr="008F4E90">
          <w:rPr>
            <w:rFonts w:asciiTheme="majorBidi" w:eastAsia="Times New Roman" w:hAnsiTheme="majorBidi" w:cstheme="majorBidi"/>
            <w:sz w:val="24"/>
            <w:szCs w:val="24"/>
          </w:rPr>
          <w:t xml:space="preserve"> et al. 2014</w:t>
        </w:r>
      </w:hyperlink>
      <w:hyperlink r:id="rId15">
        <w:r w:rsidRPr="008F4E90">
          <w:rPr>
            <w:rFonts w:asciiTheme="majorBidi" w:eastAsia="Times New Roman" w:hAnsiTheme="majorBidi" w:cstheme="majorBidi"/>
            <w:sz w:val="24"/>
            <w:szCs w:val="24"/>
          </w:rPr>
          <w:t xml:space="preserve">; </w:t>
        </w:r>
      </w:hyperlink>
      <w:hyperlink r:id="rId16">
        <w:proofErr w:type="spellStart"/>
        <w:r w:rsidRPr="008F4E90">
          <w:rPr>
            <w:rFonts w:asciiTheme="majorBidi" w:eastAsia="Times New Roman" w:hAnsiTheme="majorBidi" w:cstheme="majorBidi"/>
            <w:sz w:val="24"/>
            <w:szCs w:val="24"/>
          </w:rPr>
          <w:t>Yaylaci</w:t>
        </w:r>
        <w:proofErr w:type="spellEnd"/>
        <w:r w:rsidRPr="008F4E90">
          <w:rPr>
            <w:rFonts w:asciiTheme="majorBidi" w:eastAsia="Times New Roman" w:hAnsiTheme="majorBidi" w:cstheme="majorBidi"/>
            <w:sz w:val="24"/>
            <w:szCs w:val="24"/>
          </w:rPr>
          <w:t xml:space="preserve"> and Miral 2017</w:t>
        </w:r>
      </w:hyperlink>
      <w:hyperlink r:id="rId17">
        <w:r w:rsidRPr="008F4E90">
          <w:rPr>
            <w:rFonts w:asciiTheme="majorBidi" w:eastAsia="Times New Roman" w:hAnsiTheme="majorBidi" w:cstheme="majorBidi"/>
            <w:sz w:val="24"/>
            <w:szCs w:val="24"/>
          </w:rPr>
          <w:t>)</w:t>
        </w:r>
      </w:hyperlink>
      <w:r w:rsidRPr="008F4E90">
        <w:rPr>
          <w:rFonts w:asciiTheme="majorBidi" w:eastAsia="Times New Roman" w:hAnsiTheme="majorBidi" w:cstheme="majorBidi"/>
          <w:sz w:val="24"/>
          <w:szCs w:val="24"/>
        </w:rPr>
        <w:t xml:space="preserve">. Prior to 2013, in the fourth edition of the American Psychiatric Association's </w:t>
      </w:r>
      <w:hyperlink r:id="rId18">
        <w:r w:rsidRPr="008F4E90">
          <w:rPr>
            <w:rFonts w:asciiTheme="majorBidi" w:eastAsia="Times New Roman" w:hAnsiTheme="majorBidi" w:cstheme="majorBidi"/>
            <w:sz w:val="24"/>
            <w:szCs w:val="24"/>
          </w:rPr>
          <w:t>Diagnostic and Statistical Manual of Mental Disorders</w:t>
        </w:r>
      </w:hyperlink>
      <w:r w:rsidRPr="008F4E90">
        <w:rPr>
          <w:rFonts w:asciiTheme="majorBidi" w:eastAsia="Times New Roman" w:hAnsiTheme="majorBidi" w:cstheme="majorBidi"/>
          <w:sz w:val="24"/>
          <w:szCs w:val="24"/>
        </w:rPr>
        <w:t xml:space="preserve"> (DSM-IV) </w:t>
      </w:r>
      <w:hyperlink r:id="rId19">
        <w:r w:rsidRPr="008F4E90">
          <w:rPr>
            <w:rFonts w:asciiTheme="majorBidi" w:eastAsia="Times New Roman" w:hAnsiTheme="majorBidi" w:cstheme="majorBidi"/>
            <w:sz w:val="24"/>
            <w:szCs w:val="24"/>
          </w:rPr>
          <w:t>(Bell, 1994)</w:t>
        </w:r>
      </w:hyperlink>
      <w:r w:rsidRPr="008F4E90">
        <w:rPr>
          <w:rFonts w:asciiTheme="majorBidi" w:eastAsia="Times New Roman" w:hAnsiTheme="majorBidi" w:cstheme="majorBidi"/>
          <w:sz w:val="24"/>
          <w:szCs w:val="24"/>
        </w:rPr>
        <w:t xml:space="preserve">, Autistic Spectrum Condition (ASC) was identified as a subgroup under the umbrella of Pervasive Developmental Disorders (PDDs). Individuals diagnosed with these disorders typically show delays or deficits in social interaction and communication and display repetitive/restricted behaviours </w:t>
      </w:r>
      <w:hyperlink r:id="rId2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Vahia</w:t>
        </w:r>
        <w:proofErr w:type="spellEnd"/>
        <w:r w:rsidRPr="008F4E90">
          <w:rPr>
            <w:rFonts w:asciiTheme="majorBidi" w:eastAsia="Times New Roman" w:hAnsiTheme="majorBidi" w:cstheme="majorBidi"/>
            <w:sz w:val="24"/>
            <w:szCs w:val="24"/>
          </w:rPr>
          <w:t>, 2013)</w:t>
        </w:r>
      </w:hyperlink>
      <w:r w:rsidRPr="008F4E90">
        <w:rPr>
          <w:rFonts w:asciiTheme="majorBidi" w:eastAsia="Times New Roman" w:hAnsiTheme="majorBidi" w:cstheme="majorBidi"/>
          <w:sz w:val="24"/>
          <w:szCs w:val="24"/>
        </w:rPr>
        <w:t xml:space="preserve">. A patient diagnosed with autistic disorder would have demonstrated at least six of twelve symptoms, including marked impairment in nonverbal behaviours in social interaction, delay in the development of spoken language and stereotyped repetitive behaviours </w:t>
      </w:r>
      <w:hyperlink r:id="rId21">
        <w:r w:rsidRPr="008F4E90">
          <w:rPr>
            <w:rFonts w:asciiTheme="majorBidi" w:eastAsia="Times New Roman" w:hAnsiTheme="majorBidi" w:cstheme="majorBidi"/>
            <w:sz w:val="24"/>
            <w:szCs w:val="24"/>
          </w:rPr>
          <w:t>(Bell, 1994)</w:t>
        </w:r>
      </w:hyperlink>
      <w:r w:rsidRPr="008F4E90">
        <w:rPr>
          <w:rFonts w:asciiTheme="majorBidi" w:eastAsia="Times New Roman" w:hAnsiTheme="majorBidi" w:cstheme="majorBidi"/>
          <w:sz w:val="24"/>
          <w:szCs w:val="24"/>
        </w:rPr>
        <w:t xml:space="preserve">. Therefore, the ability to effectively distinguish one disease from another is complicated by the wide variability in symptom severity within and between a group of diseases. To minimise this variability and make criteria more accurate, the 5th edition of </w:t>
      </w:r>
      <w:hyperlink r:id="rId22">
        <w:r w:rsidRPr="008F4E90">
          <w:rPr>
            <w:rFonts w:asciiTheme="majorBidi" w:eastAsia="Times New Roman" w:hAnsiTheme="majorBidi" w:cstheme="majorBidi"/>
            <w:sz w:val="24"/>
            <w:szCs w:val="24"/>
          </w:rPr>
          <w:t>the Diagnostic and Statistical Manual of Mental Disorders</w:t>
        </w:r>
      </w:hyperlink>
      <w:r w:rsidRPr="008F4E90">
        <w:rPr>
          <w:rFonts w:asciiTheme="majorBidi" w:eastAsia="Times New Roman" w:hAnsiTheme="majorBidi" w:cstheme="majorBidi"/>
          <w:sz w:val="24"/>
          <w:szCs w:val="24"/>
        </w:rPr>
        <w:t xml:space="preserve">  </w:t>
      </w:r>
      <w:hyperlink r:id="rId23">
        <w:r w:rsidRPr="008F4E90">
          <w:rPr>
            <w:rFonts w:asciiTheme="majorBidi" w:eastAsia="Times New Roman" w:hAnsiTheme="majorBidi" w:cstheme="majorBidi"/>
            <w:sz w:val="24"/>
            <w:szCs w:val="24"/>
          </w:rPr>
          <w:t>(Sharma et al., 2015)</w:t>
        </w:r>
      </w:hyperlink>
      <w:r w:rsidRPr="008F4E90">
        <w:rPr>
          <w:rFonts w:asciiTheme="majorBidi" w:eastAsia="Times New Roman" w:hAnsiTheme="majorBidi" w:cstheme="majorBidi"/>
          <w:sz w:val="24"/>
          <w:szCs w:val="24"/>
        </w:rPr>
        <w:t xml:space="preserve"> consolidated these distinct diagnoses under the umbrella of PDDs into a singular dimensional diagnostic spectrum as Autism Spectrum Condition (ASC). The symptoms now represent a continuum of severity of impairments in only two domains (social communication and restricted repetitive behaviour). Concerns about the new diagnosis of ASC absorbing all separate disorders into one might omit some patients who would have been diagnosed with priorly distinct autistic disorders, such as Asperger's syndrome and PDD-NOS </w:t>
      </w:r>
      <w:hyperlink r:id="rId24">
        <w:r w:rsidRPr="008F4E90">
          <w:rPr>
            <w:rFonts w:asciiTheme="majorBidi" w:eastAsia="Times New Roman" w:hAnsiTheme="majorBidi" w:cstheme="majorBidi"/>
            <w:sz w:val="24"/>
            <w:szCs w:val="24"/>
          </w:rPr>
          <w:t xml:space="preserve">(Carbone &amp; </w:t>
        </w:r>
        <w:proofErr w:type="spellStart"/>
        <w:r w:rsidRPr="008F4E90">
          <w:rPr>
            <w:rFonts w:asciiTheme="majorBidi" w:eastAsia="Times New Roman" w:hAnsiTheme="majorBidi" w:cstheme="majorBidi"/>
            <w:sz w:val="24"/>
            <w:szCs w:val="24"/>
          </w:rPr>
          <w:t>Dell'Aquila</w:t>
        </w:r>
        <w:proofErr w:type="spellEnd"/>
        <w:r w:rsidRPr="008F4E90">
          <w:rPr>
            <w:rFonts w:asciiTheme="majorBidi" w:eastAsia="Times New Roman" w:hAnsiTheme="majorBidi" w:cstheme="majorBidi"/>
            <w:sz w:val="24"/>
            <w:szCs w:val="24"/>
          </w:rPr>
          <w:t>, 2023; Walker et al., 2004)</w:t>
        </w:r>
      </w:hyperlink>
      <w:r w:rsidRPr="008F4E90">
        <w:rPr>
          <w:rFonts w:asciiTheme="majorBidi" w:eastAsia="Times New Roman" w:hAnsiTheme="majorBidi" w:cstheme="majorBidi"/>
          <w:sz w:val="24"/>
          <w:szCs w:val="24"/>
        </w:rPr>
        <w:t xml:space="preserve">. DSM-V suggested </w:t>
      </w:r>
      <w:r w:rsidRPr="008F4E90">
        <w:rPr>
          <w:rFonts w:asciiTheme="majorBidi" w:eastAsia="Times New Roman" w:hAnsiTheme="majorBidi" w:cstheme="majorBidi"/>
          <w:sz w:val="24"/>
          <w:szCs w:val="24"/>
        </w:rPr>
        <w:lastRenderedPageBreak/>
        <w:t xml:space="preserve">specifying these priorly distinct disorders as a progression under the same underlying disorder with sorted symptom severity using specifiers based on different individuals' clinical manifestations, such as language level or intellectual impairment. </w:t>
      </w:r>
    </w:p>
    <w:p w14:paraId="1DD86326"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Although there are many potential future discoveries regarding the developmental neurobiology of Autistic Spectrum Condition (ASC), the current diagnosis of ASC relies on behavioural criteria, which involves direct observation of behaviour and gathering historical information </w:t>
      </w:r>
      <w:hyperlink r:id="rId25">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Risi</w:t>
        </w:r>
        <w:proofErr w:type="spellEnd"/>
        <w:r w:rsidRPr="008F4E90">
          <w:rPr>
            <w:rFonts w:asciiTheme="majorBidi" w:eastAsia="Times New Roman" w:hAnsiTheme="majorBidi" w:cstheme="majorBidi"/>
            <w:sz w:val="24"/>
            <w:szCs w:val="24"/>
          </w:rPr>
          <w:t xml:space="preserve"> et al., 2006)</w:t>
        </w:r>
      </w:hyperlink>
      <w:r w:rsidRPr="008F4E90">
        <w:rPr>
          <w:rFonts w:asciiTheme="majorBidi" w:eastAsia="Times New Roman" w:hAnsiTheme="majorBidi" w:cstheme="majorBidi"/>
          <w:sz w:val="24"/>
          <w:szCs w:val="24"/>
        </w:rPr>
        <w:t xml:space="preserve">. Multiple sources of information are necessary to generate a valid and reliable diagnosis, including clinician’s observations, caregiver interviews, and, if possible, self-report. The standard diagnostic assessments for an ASC diagnosis are the Autism Diagnostic Observation Schedule (ADOS) </w:t>
      </w:r>
      <w:hyperlink r:id="rId26">
        <w:r w:rsidRPr="008F4E90">
          <w:rPr>
            <w:rFonts w:asciiTheme="majorBidi" w:eastAsia="Times New Roman" w:hAnsiTheme="majorBidi" w:cstheme="majorBidi"/>
            <w:sz w:val="24"/>
            <w:szCs w:val="24"/>
          </w:rPr>
          <w:t>(Gotham et al., 2007)</w:t>
        </w:r>
      </w:hyperlink>
      <w:r w:rsidRPr="008F4E90">
        <w:rPr>
          <w:rFonts w:asciiTheme="majorBidi" w:eastAsia="Times New Roman" w:hAnsiTheme="majorBidi" w:cstheme="majorBidi"/>
          <w:sz w:val="24"/>
          <w:szCs w:val="24"/>
        </w:rPr>
        <w:t xml:space="preserve"> and the Autism Diagnostic Interview, Revised (ADI-R) </w:t>
      </w:r>
      <w:hyperlink r:id="rId27">
        <w:r w:rsidRPr="008F4E90">
          <w:rPr>
            <w:rFonts w:asciiTheme="majorBidi" w:eastAsia="Times New Roman" w:hAnsiTheme="majorBidi" w:cstheme="majorBidi"/>
            <w:sz w:val="24"/>
            <w:szCs w:val="24"/>
          </w:rPr>
          <w:t>(Lord et al., 1994)</w:t>
        </w:r>
      </w:hyperlink>
      <w:r w:rsidRPr="008F4E90">
        <w:rPr>
          <w:rFonts w:asciiTheme="majorBidi" w:eastAsia="Times New Roman" w:hAnsiTheme="majorBidi" w:cstheme="majorBidi"/>
          <w:sz w:val="24"/>
          <w:szCs w:val="24"/>
        </w:rPr>
        <w:t xml:space="preserve"> because of their detailed evaluation of behavioural and developmental characterization, and high reliability when administered by trained assessors </w:t>
      </w:r>
      <w:hyperlink r:id="rId28">
        <w:r w:rsidRPr="008F4E90">
          <w:rPr>
            <w:rFonts w:asciiTheme="majorBidi" w:eastAsia="Times New Roman" w:hAnsiTheme="majorBidi" w:cstheme="majorBidi"/>
            <w:sz w:val="24"/>
            <w:szCs w:val="24"/>
          </w:rPr>
          <w:t>(Brentani et al. 2013)</w:t>
        </w:r>
      </w:hyperlink>
      <w:r w:rsidRPr="008F4E90">
        <w:rPr>
          <w:rFonts w:asciiTheme="majorBidi" w:eastAsia="Times New Roman" w:hAnsiTheme="majorBidi" w:cstheme="majorBidi"/>
          <w:sz w:val="24"/>
          <w:szCs w:val="24"/>
        </w:rPr>
        <w:t xml:space="preserve">. Manifestations of ASC also vary greatly depending on the severity of the autistic condition, cognitive ability, level of language function </w:t>
      </w:r>
      <w:hyperlink r:id="rId29">
        <w:r w:rsidRPr="008F4E90">
          <w:rPr>
            <w:rFonts w:asciiTheme="majorBidi" w:eastAsia="Times New Roman" w:hAnsiTheme="majorBidi" w:cstheme="majorBidi"/>
            <w:sz w:val="24"/>
            <w:szCs w:val="24"/>
          </w:rPr>
          <w:t>(Howlin et al., 2014)</w:t>
        </w:r>
      </w:hyperlink>
      <w:r w:rsidRPr="008F4E90">
        <w:rPr>
          <w:rFonts w:asciiTheme="majorBidi" w:eastAsia="Times New Roman" w:hAnsiTheme="majorBidi" w:cstheme="majorBidi"/>
          <w:sz w:val="24"/>
          <w:szCs w:val="24"/>
        </w:rPr>
        <w:t xml:space="preserve">, developmental trajectories </w:t>
      </w:r>
      <w:hyperlink r:id="rId30">
        <w:r w:rsidRPr="008F4E90">
          <w:rPr>
            <w:rFonts w:asciiTheme="majorBidi" w:eastAsia="Times New Roman" w:hAnsiTheme="majorBidi" w:cstheme="majorBidi"/>
            <w:sz w:val="24"/>
            <w:szCs w:val="24"/>
          </w:rPr>
          <w:t>(Moore &amp; Goodson, 2003)</w:t>
        </w:r>
      </w:hyperlink>
      <w:r w:rsidRPr="008F4E90">
        <w:rPr>
          <w:rFonts w:asciiTheme="majorBidi" w:eastAsia="Times New Roman" w:hAnsiTheme="majorBidi" w:cstheme="majorBidi"/>
          <w:sz w:val="24"/>
          <w:szCs w:val="24"/>
        </w:rPr>
        <w:t xml:space="preserve"> and a wide range of IQ suggesting the core feature of ASC – heterogeneity. The profiles of strengths, weaknesses, and symptom characteristics can vary widely </w:t>
      </w:r>
      <w:hyperlink r:id="rId31">
        <w:r w:rsidRPr="008F4E90">
          <w:rPr>
            <w:rFonts w:asciiTheme="majorBidi" w:eastAsia="Times New Roman" w:hAnsiTheme="majorBidi" w:cstheme="majorBidi"/>
            <w:sz w:val="24"/>
            <w:szCs w:val="24"/>
          </w:rPr>
          <w:t>(Bal et al., 2019;</w:t>
        </w:r>
      </w:hyperlink>
      <w:hyperlink r:id="rId32">
        <w:r w:rsidRPr="008F4E90">
          <w:rPr>
            <w:rFonts w:asciiTheme="majorBidi" w:eastAsia="Times New Roman" w:hAnsiTheme="majorBidi" w:cstheme="majorBidi"/>
            <w:sz w:val="24"/>
            <w:szCs w:val="24"/>
          </w:rPr>
          <w:t xml:space="preserve"> Hoang et al., 2018</w:t>
        </w:r>
      </w:hyperlink>
      <w:hyperlink r:id="rId33">
        <w:r w:rsidRPr="008F4E90">
          <w:rPr>
            <w:rFonts w:asciiTheme="majorBidi" w:eastAsia="Times New Roman" w:hAnsiTheme="majorBidi" w:cstheme="majorBidi"/>
            <w:sz w:val="24"/>
            <w:szCs w:val="24"/>
          </w:rPr>
          <w:t>)</w:t>
        </w:r>
      </w:hyperlink>
      <w:r w:rsidRPr="008F4E90">
        <w:rPr>
          <w:rFonts w:asciiTheme="majorBidi" w:eastAsia="Times New Roman" w:hAnsiTheme="majorBidi" w:cstheme="majorBidi"/>
          <w:sz w:val="24"/>
          <w:szCs w:val="24"/>
        </w:rPr>
        <w:t xml:space="preserve">, as can changes over time and co-occurrence with other common psychiatric conditions </w:t>
      </w:r>
      <w:hyperlink r:id="rId34">
        <w:r w:rsidRPr="008F4E90">
          <w:rPr>
            <w:rFonts w:asciiTheme="majorBidi" w:eastAsia="Times New Roman" w:hAnsiTheme="majorBidi" w:cstheme="majorBidi"/>
            <w:sz w:val="24"/>
            <w:szCs w:val="24"/>
          </w:rPr>
          <w:t>(</w:t>
        </w:r>
      </w:hyperlink>
      <w:hyperlink r:id="rId35">
        <w:r w:rsidRPr="008F4E90">
          <w:rPr>
            <w:rFonts w:asciiTheme="majorBidi" w:eastAsia="Times New Roman" w:hAnsiTheme="majorBidi" w:cstheme="majorBidi"/>
            <w:sz w:val="24"/>
            <w:szCs w:val="24"/>
          </w:rPr>
          <w:t>Lai et al., 2019</w:t>
        </w:r>
      </w:hyperlink>
      <w:hyperlink r:id="rId36">
        <w:r w:rsidRPr="008F4E90">
          <w:rPr>
            <w:rFonts w:asciiTheme="majorBidi" w:eastAsia="Times New Roman" w:hAnsiTheme="majorBidi" w:cstheme="majorBidi"/>
            <w:sz w:val="24"/>
            <w:szCs w:val="24"/>
          </w:rPr>
          <w:t xml:space="preserve">; </w:t>
        </w:r>
      </w:hyperlink>
      <w:hyperlink r:id="rId37">
        <w:r w:rsidRPr="008F4E90">
          <w:rPr>
            <w:rFonts w:asciiTheme="majorBidi" w:eastAsia="Times New Roman" w:hAnsiTheme="majorBidi" w:cstheme="majorBidi"/>
            <w:sz w:val="24"/>
            <w:szCs w:val="24"/>
          </w:rPr>
          <w:t>McCormick et al., 2020</w:t>
        </w:r>
      </w:hyperlink>
      <w:hyperlink r:id="rId38">
        <w:r w:rsidRPr="008F4E90">
          <w:rPr>
            <w:rFonts w:asciiTheme="majorBidi" w:eastAsia="Times New Roman" w:hAnsiTheme="majorBidi" w:cstheme="majorBidi"/>
            <w:sz w:val="24"/>
            <w:szCs w:val="24"/>
          </w:rPr>
          <w:t>;</w:t>
        </w:r>
      </w:hyperlink>
      <w:hyperlink r:id="rId39">
        <w:r w:rsidRPr="008F4E90">
          <w:rPr>
            <w:rFonts w:asciiTheme="majorBidi" w:eastAsia="Times New Roman" w:hAnsiTheme="majorBidi" w:cstheme="majorBidi"/>
            <w:sz w:val="24"/>
            <w:szCs w:val="24"/>
          </w:rPr>
          <w:t xml:space="preserve"> </w:t>
        </w:r>
      </w:hyperlink>
      <w:hyperlink r:id="rId40">
        <w:r w:rsidRPr="008F4E90">
          <w:rPr>
            <w:rFonts w:asciiTheme="majorBidi" w:eastAsia="Times New Roman" w:hAnsiTheme="majorBidi" w:cstheme="majorBidi"/>
            <w:sz w:val="24"/>
            <w:szCs w:val="24"/>
          </w:rPr>
          <w:t xml:space="preserve"> McVey, 2019</w:t>
        </w:r>
      </w:hyperlink>
      <w:hyperlink r:id="rId41">
        <w:r w:rsidRPr="008F4E90">
          <w:rPr>
            <w:rFonts w:asciiTheme="majorBidi" w:eastAsia="Times New Roman" w:hAnsiTheme="majorBidi" w:cstheme="majorBidi"/>
            <w:sz w:val="24"/>
            <w:szCs w:val="24"/>
          </w:rPr>
          <w:t>)</w:t>
        </w:r>
      </w:hyperlink>
      <w:r w:rsidRPr="008F4E90">
        <w:rPr>
          <w:rFonts w:asciiTheme="majorBidi" w:eastAsia="Times New Roman" w:hAnsiTheme="majorBidi" w:cstheme="majorBidi"/>
          <w:sz w:val="24"/>
          <w:szCs w:val="24"/>
        </w:rPr>
        <w:t xml:space="preserve">, such as anxiety, mood, and attentional disorders </w:t>
      </w:r>
      <w:hyperlink r:id="rId42">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Khachadourian</w:t>
        </w:r>
        <w:proofErr w:type="spellEnd"/>
        <w:r w:rsidRPr="008F4E90">
          <w:rPr>
            <w:rFonts w:asciiTheme="majorBidi" w:eastAsia="Times New Roman" w:hAnsiTheme="majorBidi" w:cstheme="majorBidi"/>
            <w:sz w:val="24"/>
            <w:szCs w:val="24"/>
          </w:rPr>
          <w:t xml:space="preserve"> et al., 2023)</w:t>
        </w:r>
      </w:hyperlink>
      <w:r w:rsidRPr="008F4E90">
        <w:rPr>
          <w:rFonts w:asciiTheme="majorBidi" w:eastAsia="Times New Roman" w:hAnsiTheme="majorBidi" w:cstheme="majorBidi"/>
          <w:sz w:val="24"/>
          <w:szCs w:val="24"/>
        </w:rPr>
        <w:t xml:space="preserve">. Indeed, ASC is associated with long-term impairment </w:t>
      </w:r>
      <w:hyperlink r:id="rId43">
        <w:r w:rsidRPr="008F4E90">
          <w:rPr>
            <w:rFonts w:asciiTheme="majorBidi" w:eastAsia="Times New Roman" w:hAnsiTheme="majorBidi" w:cstheme="majorBidi"/>
            <w:sz w:val="24"/>
            <w:szCs w:val="24"/>
          </w:rPr>
          <w:t>(Rydzewska et al., 2018)</w:t>
        </w:r>
      </w:hyperlink>
      <w:r w:rsidRPr="008F4E90">
        <w:rPr>
          <w:rFonts w:asciiTheme="majorBidi" w:eastAsia="Gungsuh" w:hAnsiTheme="majorBidi" w:cstheme="majorBidi"/>
          <w:sz w:val="24"/>
          <w:szCs w:val="24"/>
        </w:rPr>
        <w:t xml:space="preserve"> and frequently co-occurs with other conditions (e.g., intellectual disabilities [</w:t>
      </w:r>
      <w:r w:rsidRPr="008F4E90">
        <w:rPr>
          <w:rFonts w:ascii="Cambria Math" w:eastAsia="Gungsuh" w:hAnsi="Cambria Math" w:cs="Cambria Math"/>
          <w:sz w:val="24"/>
          <w:szCs w:val="24"/>
        </w:rPr>
        <w:t>∼</w:t>
      </w:r>
      <w:r w:rsidRPr="008F4E90">
        <w:rPr>
          <w:rFonts w:asciiTheme="majorBidi" w:eastAsia="Gungsuh" w:hAnsiTheme="majorBidi" w:cstheme="majorBidi"/>
          <w:sz w:val="24"/>
          <w:szCs w:val="24"/>
        </w:rPr>
        <w:t xml:space="preserve">30%], attention deficit hyperactivity disorder (ADHD) [~ 30%]) and learning disability [~ 20%] </w:t>
      </w:r>
      <w:hyperlink r:id="rId44">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Khachadourian</w:t>
        </w:r>
        <w:proofErr w:type="spellEnd"/>
        <w:r w:rsidRPr="008F4E90">
          <w:rPr>
            <w:rFonts w:asciiTheme="majorBidi" w:eastAsia="Times New Roman" w:hAnsiTheme="majorBidi" w:cstheme="majorBidi"/>
            <w:sz w:val="24"/>
            <w:szCs w:val="24"/>
          </w:rPr>
          <w:t xml:space="preserve"> et al., 2023)</w:t>
        </w:r>
      </w:hyperlink>
      <w:r w:rsidRPr="008F4E90">
        <w:rPr>
          <w:rFonts w:asciiTheme="majorBidi" w:eastAsia="Times New Roman" w:hAnsiTheme="majorBidi" w:cstheme="majorBidi"/>
          <w:sz w:val="24"/>
          <w:szCs w:val="24"/>
        </w:rPr>
        <w:t xml:space="preserve">; the majority of individuals with ASC have at least one co-occurring mental health conditions or other neurodevelopmental diagnoses </w:t>
      </w:r>
      <w:hyperlink r:id="rId45">
        <w:r w:rsidRPr="008F4E90">
          <w:rPr>
            <w:rFonts w:asciiTheme="majorBidi" w:eastAsia="Times New Roman" w:hAnsiTheme="majorBidi" w:cstheme="majorBidi"/>
            <w:sz w:val="24"/>
            <w:szCs w:val="24"/>
          </w:rPr>
          <w:t xml:space="preserve">(Rydzewska et al., 2018; </w:t>
        </w:r>
        <w:proofErr w:type="spellStart"/>
        <w:r w:rsidRPr="008F4E90">
          <w:rPr>
            <w:rFonts w:asciiTheme="majorBidi" w:eastAsia="Times New Roman" w:hAnsiTheme="majorBidi" w:cstheme="majorBidi"/>
            <w:sz w:val="24"/>
            <w:szCs w:val="24"/>
          </w:rPr>
          <w:t>Khachadourian</w:t>
        </w:r>
        <w:proofErr w:type="spellEnd"/>
        <w:r w:rsidRPr="008F4E90">
          <w:rPr>
            <w:rFonts w:asciiTheme="majorBidi" w:eastAsia="Times New Roman" w:hAnsiTheme="majorBidi" w:cstheme="majorBidi"/>
            <w:sz w:val="24"/>
            <w:szCs w:val="24"/>
          </w:rPr>
          <w:t xml:space="preserve"> et al., 2023)</w:t>
        </w:r>
      </w:hyperlink>
      <w:r w:rsidRPr="008F4E90">
        <w:rPr>
          <w:rFonts w:asciiTheme="majorBidi" w:eastAsia="Times New Roman" w:hAnsiTheme="majorBidi" w:cstheme="majorBidi"/>
          <w:sz w:val="24"/>
          <w:szCs w:val="24"/>
        </w:rPr>
        <w:t>.</w:t>
      </w:r>
    </w:p>
    <w:p w14:paraId="11607A8E"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Indeed, the challenge of classifying and diagnosing ASC inherently originates from the heterogeneity of ASC itself. Due to the intricate heterogeneity of ASC, there has been significant interest </w:t>
      </w:r>
      <w:r w:rsidRPr="008F4E90">
        <w:rPr>
          <w:rFonts w:asciiTheme="majorBidi" w:eastAsia="Times New Roman" w:hAnsiTheme="majorBidi" w:cstheme="majorBidi"/>
          <w:sz w:val="24"/>
          <w:szCs w:val="24"/>
        </w:rPr>
        <w:lastRenderedPageBreak/>
        <w:t xml:space="preserve">and investment in finding biological markers, commonly known as biomarkers, which is to identify more homogenous groups for biological research, improve the process of autism diagnosis, including early detection before symptoms become evident, and predict the likelihood of co-occurring symptoms. According to </w:t>
      </w:r>
      <w:hyperlink r:id="rId46">
        <w:r w:rsidRPr="008F4E90">
          <w:rPr>
            <w:rFonts w:asciiTheme="majorBidi" w:eastAsia="Times New Roman" w:hAnsiTheme="majorBidi" w:cstheme="majorBidi"/>
            <w:sz w:val="24"/>
            <w:szCs w:val="24"/>
          </w:rPr>
          <w:t>Lord et al. 2018</w:t>
        </w:r>
      </w:hyperlink>
      <w:r w:rsidRPr="008F4E90">
        <w:rPr>
          <w:rFonts w:asciiTheme="majorBidi" w:eastAsia="Times New Roman" w:hAnsiTheme="majorBidi" w:cstheme="majorBidi"/>
          <w:sz w:val="24"/>
          <w:szCs w:val="24"/>
        </w:rPr>
        <w:t xml:space="preserve">, a diagnosis of ASC can be identified as early as 18 to 24 months of age. Specific symptoms can be distinguished from typical development and other developmental conditions or delays at this stage. Additionally, the goal is to develop more dependable and sensitive markers to tailor personalised treatments and evaluate treatment responses effectively </w:t>
      </w:r>
      <w:hyperlink r:id="rId47">
        <w:r w:rsidRPr="008F4E90">
          <w:rPr>
            <w:rFonts w:asciiTheme="majorBidi" w:eastAsia="Times New Roman" w:hAnsiTheme="majorBidi" w:cstheme="majorBidi"/>
            <w:sz w:val="24"/>
            <w:szCs w:val="24"/>
          </w:rPr>
          <w:t>(</w:t>
        </w:r>
      </w:hyperlink>
      <w:hyperlink r:id="rId48">
        <w:r w:rsidRPr="008F4E90">
          <w:rPr>
            <w:rFonts w:asciiTheme="majorBidi" w:eastAsia="Times New Roman" w:hAnsiTheme="majorBidi" w:cstheme="majorBidi"/>
            <w:sz w:val="24"/>
            <w:szCs w:val="24"/>
          </w:rPr>
          <w:t>Frye et al. 2019</w:t>
        </w:r>
      </w:hyperlink>
      <w:hyperlink r:id="rId49">
        <w:r w:rsidRPr="008F4E90">
          <w:rPr>
            <w:rFonts w:asciiTheme="majorBidi" w:eastAsia="Times New Roman" w:hAnsiTheme="majorBidi" w:cstheme="majorBidi"/>
            <w:sz w:val="24"/>
            <w:szCs w:val="24"/>
          </w:rPr>
          <w:t xml:space="preserve">; </w:t>
        </w:r>
      </w:hyperlink>
      <w:hyperlink r:id="rId50">
        <w:r w:rsidRPr="008F4E90">
          <w:rPr>
            <w:rFonts w:asciiTheme="majorBidi" w:eastAsia="Times New Roman" w:hAnsiTheme="majorBidi" w:cstheme="majorBidi"/>
            <w:sz w:val="24"/>
            <w:szCs w:val="24"/>
          </w:rPr>
          <w:t>Loth et al. 2016; McPartland 2017</w:t>
        </w:r>
      </w:hyperlink>
      <w:hyperlink r:id="rId51">
        <w:r w:rsidRPr="008F4E90">
          <w:rPr>
            <w:rFonts w:asciiTheme="majorBidi" w:eastAsia="Times New Roman" w:hAnsiTheme="majorBidi" w:cstheme="majorBidi"/>
            <w:sz w:val="24"/>
            <w:szCs w:val="24"/>
          </w:rPr>
          <w:t xml:space="preserve">; </w:t>
        </w:r>
      </w:hyperlink>
      <w:hyperlink r:id="rId52">
        <w:r w:rsidRPr="008F4E90">
          <w:rPr>
            <w:rFonts w:asciiTheme="majorBidi" w:eastAsia="Times New Roman" w:hAnsiTheme="majorBidi" w:cstheme="majorBidi"/>
            <w:sz w:val="24"/>
            <w:szCs w:val="24"/>
          </w:rPr>
          <w:t>Ruggeri et al. 2014</w:t>
        </w:r>
      </w:hyperlink>
      <w:hyperlink r:id="rId53">
        <w:r w:rsidRPr="008F4E90">
          <w:rPr>
            <w:rFonts w:asciiTheme="majorBidi" w:eastAsia="Times New Roman" w:hAnsiTheme="majorBidi" w:cstheme="majorBidi"/>
            <w:sz w:val="24"/>
            <w:szCs w:val="24"/>
          </w:rPr>
          <w:t>)</w:t>
        </w:r>
      </w:hyperlink>
      <w:r w:rsidRPr="008F4E90">
        <w:rPr>
          <w:rFonts w:asciiTheme="majorBidi" w:eastAsia="Times New Roman" w:hAnsiTheme="majorBidi" w:cstheme="majorBidi"/>
          <w:sz w:val="24"/>
          <w:szCs w:val="24"/>
        </w:rPr>
        <w:t xml:space="preserve">. This endeavour is not unique to ASC, as similar efforts are being made in other neuropsychiatric conditions </w:t>
      </w:r>
      <w:hyperlink r:id="rId54">
        <w:r w:rsidRPr="008F4E90">
          <w:rPr>
            <w:rFonts w:asciiTheme="majorBidi" w:eastAsia="Times New Roman" w:hAnsiTheme="majorBidi" w:cstheme="majorBidi"/>
            <w:sz w:val="24"/>
            <w:szCs w:val="24"/>
          </w:rPr>
          <w:t>(Clementz et al. 2016)</w:t>
        </w:r>
      </w:hyperlink>
      <w:r w:rsidRPr="008F4E90">
        <w:rPr>
          <w:rFonts w:asciiTheme="majorBidi" w:eastAsia="Times New Roman" w:hAnsiTheme="majorBidi" w:cstheme="majorBidi"/>
          <w:sz w:val="24"/>
          <w:szCs w:val="24"/>
        </w:rPr>
        <w:t xml:space="preserve">. There is a growing consensus that relying solely on clinical symptoms and phenomenology for classifying individuals into diagnostic categories may not fully capture biologically meaningful distinctions among different cases </w:t>
      </w:r>
      <w:hyperlink r:id="rId55">
        <w:r w:rsidRPr="008F4E90">
          <w:rPr>
            <w:rFonts w:asciiTheme="majorBidi" w:eastAsia="Times New Roman" w:hAnsiTheme="majorBidi" w:cstheme="majorBidi"/>
            <w:sz w:val="24"/>
            <w:szCs w:val="24"/>
          </w:rPr>
          <w:t>(Stein et al. 2022)</w:t>
        </w:r>
      </w:hyperlink>
      <w:r w:rsidRPr="008F4E90">
        <w:rPr>
          <w:rFonts w:asciiTheme="majorBidi" w:eastAsia="Times New Roman" w:hAnsiTheme="majorBidi" w:cstheme="majorBidi"/>
          <w:sz w:val="24"/>
          <w:szCs w:val="24"/>
        </w:rPr>
        <w:t>. Therefore, the search for biomarkers is crucial for understanding the underlying neurobiological mechanisms and improving the precision of diagnosis and treatment across various neuropsychiatric conditions.</w:t>
      </w:r>
    </w:p>
    <w:p w14:paraId="3D4A5395"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Although ASC has a strong genetic basis </w:t>
      </w:r>
      <w:hyperlink r:id="rId56">
        <w:r w:rsidRPr="008F4E90">
          <w:rPr>
            <w:rFonts w:asciiTheme="majorBidi" w:eastAsia="Times New Roman" w:hAnsiTheme="majorBidi" w:cstheme="majorBidi"/>
            <w:sz w:val="24"/>
            <w:szCs w:val="24"/>
          </w:rPr>
          <w:t>(Li et al., 2012</w:t>
        </w:r>
      </w:hyperlink>
      <w:hyperlink r:id="rId57">
        <w:r w:rsidRPr="008F4E90">
          <w:rPr>
            <w:rFonts w:asciiTheme="majorBidi" w:eastAsia="Times New Roman" w:hAnsiTheme="majorBidi" w:cstheme="majorBidi"/>
            <w:sz w:val="24"/>
            <w:szCs w:val="24"/>
          </w:rPr>
          <w:t xml:space="preserve">; </w:t>
        </w:r>
      </w:hyperlink>
      <w:hyperlink r:id="rId58">
        <w:r w:rsidRPr="008F4E90">
          <w:rPr>
            <w:rFonts w:asciiTheme="majorBidi" w:eastAsia="Times New Roman" w:hAnsiTheme="majorBidi" w:cstheme="majorBidi"/>
            <w:sz w:val="24"/>
            <w:szCs w:val="24"/>
          </w:rPr>
          <w:t>Krishnan et al., 2016)</w:t>
        </w:r>
      </w:hyperlink>
      <w:r w:rsidRPr="008F4E90">
        <w:rPr>
          <w:rFonts w:asciiTheme="majorBidi" w:eastAsia="Times New Roman" w:hAnsiTheme="majorBidi" w:cstheme="majorBidi"/>
          <w:sz w:val="24"/>
          <w:szCs w:val="24"/>
        </w:rPr>
        <w:t xml:space="preserve">, it is essential to recognize that biomarkers do not necessarily have to be genetically based, familial, or dependent on specific traits (attributes often associated with "developmental endophenotype" biomarker) </w:t>
      </w:r>
      <w:hyperlink r:id="rId59">
        <w:r w:rsidRPr="008F4E90">
          <w:rPr>
            <w:rFonts w:asciiTheme="majorBidi" w:eastAsia="Times New Roman" w:hAnsiTheme="majorBidi" w:cstheme="majorBidi"/>
            <w:sz w:val="24"/>
            <w:szCs w:val="24"/>
          </w:rPr>
          <w:t>(Ruggeri et al., 2014)</w:t>
        </w:r>
      </w:hyperlink>
      <w:r w:rsidRPr="008F4E90">
        <w:rPr>
          <w:rFonts w:asciiTheme="majorBidi" w:eastAsia="Times New Roman" w:hAnsiTheme="majorBidi" w:cstheme="majorBidi"/>
          <w:sz w:val="24"/>
          <w:szCs w:val="24"/>
        </w:rPr>
        <w:t xml:space="preserve">. Additionally, it is unlikely that a genetic test will ever be precise enough to predict whether a person will develop autistic traits. As in most autistic individuals, the condition typically arises from the combined effects of numerous common genetic variations, with this genetic predisposition further interacting with environmental factors </w:t>
      </w:r>
      <w:hyperlink r:id="rId60">
        <w:r w:rsidRPr="008F4E90">
          <w:rPr>
            <w:rFonts w:asciiTheme="majorBidi" w:eastAsia="Times New Roman" w:hAnsiTheme="majorBidi" w:cstheme="majorBidi"/>
            <w:sz w:val="24"/>
            <w:szCs w:val="24"/>
          </w:rPr>
          <w:t>(Mandy &amp; Lai, 2016; Masi et al., 2017)</w:t>
        </w:r>
      </w:hyperlink>
      <w:r w:rsidRPr="008F4E90">
        <w:rPr>
          <w:rFonts w:asciiTheme="majorBidi" w:eastAsia="Times New Roman" w:hAnsiTheme="majorBidi" w:cstheme="majorBidi"/>
          <w:sz w:val="24"/>
          <w:szCs w:val="24"/>
        </w:rPr>
        <w:t xml:space="preserve">. Only approximately 5% of individuals with ASC possess a small number of rare ASC-related genetic variations or mutations </w:t>
      </w:r>
      <w:hyperlink r:id="rId61">
        <w:r w:rsidRPr="008F4E90">
          <w:rPr>
            <w:rFonts w:asciiTheme="majorBidi" w:eastAsia="Times New Roman" w:hAnsiTheme="majorBidi" w:cstheme="majorBidi"/>
            <w:sz w:val="24"/>
            <w:szCs w:val="24"/>
          </w:rPr>
          <w:t>(Carter &amp; Scherer, 2013)</w:t>
        </w:r>
      </w:hyperlink>
      <w:r w:rsidRPr="008F4E90">
        <w:rPr>
          <w:rFonts w:asciiTheme="majorBidi" w:eastAsia="Times New Roman" w:hAnsiTheme="majorBidi" w:cstheme="majorBidi"/>
          <w:sz w:val="24"/>
          <w:szCs w:val="24"/>
        </w:rPr>
        <w:t xml:space="preserve">. A potential biomarker can be considered as such if it represents a biological variable associated with the "disease" condition and can be directly measured in individuals or their biomaterials using reliable and sensitive quantitative methods </w:t>
      </w:r>
      <w:hyperlink r:id="rId62">
        <w:r w:rsidRPr="008F4E90">
          <w:rPr>
            <w:rFonts w:asciiTheme="majorBidi" w:eastAsia="Times New Roman" w:hAnsiTheme="majorBidi" w:cstheme="majorBidi"/>
            <w:sz w:val="24"/>
            <w:szCs w:val="24"/>
          </w:rPr>
          <w:t>(Mayeux, 2004; Strimbu &amp; Tavel, 2010)</w:t>
        </w:r>
      </w:hyperlink>
      <w:r w:rsidRPr="008F4E90">
        <w:rPr>
          <w:rFonts w:asciiTheme="majorBidi" w:eastAsia="Times New Roman" w:hAnsiTheme="majorBidi" w:cstheme="majorBidi"/>
          <w:sz w:val="24"/>
          <w:szCs w:val="24"/>
        </w:rPr>
        <w:t xml:space="preserve">. </w:t>
      </w:r>
      <w:r w:rsidRPr="008F4E90">
        <w:rPr>
          <w:rFonts w:asciiTheme="majorBidi" w:eastAsia="Times New Roman" w:hAnsiTheme="majorBidi" w:cstheme="majorBidi"/>
          <w:sz w:val="24"/>
          <w:szCs w:val="24"/>
        </w:rPr>
        <w:lastRenderedPageBreak/>
        <w:t xml:space="preserve">These candidate biomarkers are the measurements obtained from </w:t>
      </w:r>
      <w:proofErr w:type="spellStart"/>
      <w:r w:rsidRPr="008F4E90">
        <w:rPr>
          <w:rFonts w:asciiTheme="majorBidi" w:eastAsia="Times New Roman" w:hAnsiTheme="majorBidi" w:cstheme="majorBidi"/>
          <w:sz w:val="24"/>
          <w:szCs w:val="24"/>
        </w:rPr>
        <w:t>biosample</w:t>
      </w:r>
      <w:proofErr w:type="spellEnd"/>
      <w:r w:rsidRPr="008F4E90">
        <w:rPr>
          <w:rFonts w:asciiTheme="majorBidi" w:eastAsia="Times New Roman" w:hAnsiTheme="majorBidi" w:cstheme="majorBidi"/>
          <w:sz w:val="24"/>
          <w:szCs w:val="24"/>
        </w:rPr>
        <w:t xml:space="preserve"> analysis (e.g., urine, blood) and measurements of behaviour, neuropsychological performance, or a pattern of brain activity. There is substantial progress in ASC research across multiple domains, such as genetics and gene expression, metabolism, multimodal neuroimaging, and sophisticated behavioural experiments employing advanced technologies and paradigms </w:t>
      </w:r>
      <w:hyperlink r:id="rId63">
        <w:r w:rsidRPr="008F4E90">
          <w:rPr>
            <w:rFonts w:asciiTheme="majorBidi" w:eastAsia="Times New Roman" w:hAnsiTheme="majorBidi" w:cstheme="majorBidi"/>
            <w:sz w:val="24"/>
            <w:szCs w:val="24"/>
          </w:rPr>
          <w:t>(Vargason et al., 2020)</w:t>
        </w:r>
      </w:hyperlink>
      <w:r w:rsidRPr="008F4E90">
        <w:rPr>
          <w:rFonts w:asciiTheme="majorBidi" w:eastAsia="Times New Roman" w:hAnsiTheme="majorBidi" w:cstheme="majorBidi"/>
          <w:sz w:val="24"/>
          <w:szCs w:val="24"/>
        </w:rPr>
        <w:t>. For example, a pronounced achievement in the electroencephalogram (EEG) biomarker for ASC diagnosis is that N170 latency has become the first autism biomarker to gain approval from the US Food and Drug Administration (FDA) for inclusion in its biomarker qualification program. Furthermore, the European Medicines Agency (EMA) has also supported using N170 latency as an autism biomarker (</w:t>
      </w:r>
      <w:hyperlink r:id="rId64">
        <w:r w:rsidRPr="008F4E90">
          <w:rPr>
            <w:rFonts w:asciiTheme="majorBidi" w:eastAsia="Times New Roman" w:hAnsiTheme="majorBidi" w:cstheme="majorBidi"/>
            <w:sz w:val="24"/>
            <w:szCs w:val="24"/>
          </w:rPr>
          <w:t>Letter of support for N170 ERP as a prognostic biomarker for adaptive social functioning and its potential to stratify study populations</w:t>
        </w:r>
      </w:hyperlink>
      <w:r w:rsidRPr="008F4E90">
        <w:rPr>
          <w:rFonts w:asciiTheme="majorBidi" w:eastAsia="Times New Roman" w:hAnsiTheme="majorBidi" w:cstheme="majorBidi"/>
          <w:sz w:val="24"/>
          <w:szCs w:val="24"/>
        </w:rPr>
        <w:t xml:space="preserve">). Research has demonstrated the prognostic validity of N170 latency by showing its association with brain responses to human faces and autism polygenic scores - the weighted sum of the variants tied to ASC </w:t>
      </w:r>
      <w:hyperlink r:id="rId65">
        <w:r w:rsidRPr="008F4E90">
          <w:rPr>
            <w:rFonts w:asciiTheme="majorBidi" w:eastAsia="Times New Roman" w:hAnsiTheme="majorBidi" w:cstheme="majorBidi"/>
            <w:sz w:val="24"/>
            <w:szCs w:val="24"/>
          </w:rPr>
          <w:t>(Mason et al., 2022)</w:t>
        </w:r>
      </w:hyperlink>
      <w:r w:rsidRPr="008F4E90">
        <w:rPr>
          <w:rFonts w:asciiTheme="majorBidi" w:eastAsia="Times New Roman" w:hAnsiTheme="majorBidi" w:cstheme="majorBidi"/>
          <w:sz w:val="24"/>
          <w:szCs w:val="24"/>
        </w:rPr>
        <w:t xml:space="preserve">. Moreover, N170 latency can predict changes in social adaptive behaviour approximately 18 months into the future </w:t>
      </w:r>
      <w:hyperlink r:id="rId66">
        <w:r w:rsidRPr="008F4E90">
          <w:rPr>
            <w:rFonts w:asciiTheme="majorBidi" w:eastAsia="Times New Roman" w:hAnsiTheme="majorBidi" w:cstheme="majorBidi"/>
            <w:sz w:val="24"/>
            <w:szCs w:val="24"/>
          </w:rPr>
          <w:t>(Mason et al., 2022; Oakley et al., 2022)</w:t>
        </w:r>
      </w:hyperlink>
      <w:r w:rsidRPr="008F4E90">
        <w:rPr>
          <w:rFonts w:asciiTheme="majorBidi" w:eastAsia="Times New Roman" w:hAnsiTheme="majorBidi" w:cstheme="majorBidi"/>
          <w:sz w:val="24"/>
          <w:szCs w:val="24"/>
        </w:rPr>
        <w:t xml:space="preserve">. </w:t>
      </w:r>
    </w:p>
    <w:p w14:paraId="6775453B" w14:textId="77777777" w:rsidR="00EB25CA" w:rsidRPr="008F4E90" w:rsidRDefault="00EB25CA" w:rsidP="00EB25CA">
      <w:pPr>
        <w:spacing w:line="480" w:lineRule="auto"/>
        <w:rPr>
          <w:rFonts w:asciiTheme="majorBidi" w:eastAsia="Times New Roman" w:hAnsiTheme="majorBidi" w:cstheme="majorBidi"/>
          <w:iCs/>
          <w:sz w:val="24"/>
          <w:szCs w:val="24"/>
        </w:rPr>
      </w:pPr>
      <w:r w:rsidRPr="008F4E90">
        <w:rPr>
          <w:rFonts w:asciiTheme="majorBidi" w:eastAsia="Times New Roman" w:hAnsiTheme="majorBidi" w:cstheme="majorBidi"/>
          <w:b/>
          <w:iCs/>
          <w:sz w:val="24"/>
          <w:szCs w:val="24"/>
        </w:rPr>
        <w:t>Why resting-state EEG for studying brain dysfunction in ASC</w:t>
      </w:r>
    </w:p>
    <w:p w14:paraId="18EDDAED"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From a theoretical and practical standpoint, EEG is an ideal biomarker for characterising neurodevelopmental conditions. In event-related potential (ERP) studies, EEG measurements can detect abnormalities in brain activities evoked by sensory stimuli in ASC </w:t>
      </w:r>
      <w:hyperlink r:id="rId67">
        <w:r w:rsidRPr="008F4E90">
          <w:rPr>
            <w:rFonts w:asciiTheme="majorBidi" w:eastAsia="Times New Roman" w:hAnsiTheme="majorBidi" w:cstheme="majorBidi"/>
            <w:sz w:val="24"/>
            <w:szCs w:val="24"/>
          </w:rPr>
          <w:t>(Bomba &amp; Pang, 2004; Belmonte, 2000)</w:t>
        </w:r>
      </w:hyperlink>
      <w:r w:rsidRPr="008F4E90">
        <w:rPr>
          <w:rFonts w:asciiTheme="majorBidi" w:eastAsia="Times New Roman" w:hAnsiTheme="majorBidi" w:cstheme="majorBidi"/>
          <w:sz w:val="24"/>
          <w:szCs w:val="24"/>
        </w:rPr>
        <w:t xml:space="preserve">. Interpreting task-dependent changes in brain function without a fundamental understanding of the functional differences in individuals with ASC during a resting state can be challenging. In this sense, resting state electrophysiological signals can serve as a baseline in task-evoked studies and are easier to apply to clinical assessment. Task-based evoked potential studies focus exclusively on examining neural responses synchronised with specific events of interest while disregarding all other resting-state brain activity as a controlling session, which is also generally regarded as background noise. Numerous studies </w:t>
      </w:r>
      <w:r w:rsidRPr="008F4E90">
        <w:rPr>
          <w:rFonts w:asciiTheme="majorBidi" w:eastAsia="Times New Roman" w:hAnsiTheme="majorBidi" w:cstheme="majorBidi"/>
          <w:sz w:val="24"/>
          <w:szCs w:val="24"/>
        </w:rPr>
        <w:lastRenderedPageBreak/>
        <w:t xml:space="preserve">have proposed that the brain functions intrinsically as a system, characterised by intrinsic integration during rest periods </w:t>
      </w:r>
      <w:hyperlink r:id="rId68">
        <w:r w:rsidRPr="008F4E90">
          <w:rPr>
            <w:rFonts w:asciiTheme="majorBidi" w:eastAsia="Times New Roman" w:hAnsiTheme="majorBidi" w:cstheme="majorBidi"/>
            <w:sz w:val="24"/>
            <w:szCs w:val="24"/>
          </w:rPr>
          <w:t>(Boly et al., 2008</w:t>
        </w:r>
      </w:hyperlink>
      <w:hyperlink r:id="rId69">
        <w:r w:rsidRPr="008F4E90">
          <w:rPr>
            <w:rFonts w:asciiTheme="majorBidi" w:eastAsia="Times New Roman" w:hAnsiTheme="majorBidi" w:cstheme="majorBidi"/>
            <w:sz w:val="24"/>
            <w:szCs w:val="24"/>
          </w:rPr>
          <w:t>;</w:t>
        </w:r>
      </w:hyperlink>
      <w:r w:rsidRPr="008F4E90">
        <w:rPr>
          <w:rFonts w:asciiTheme="majorBidi" w:eastAsia="Times New Roman" w:hAnsiTheme="majorBidi" w:cstheme="majorBidi"/>
          <w:sz w:val="24"/>
          <w:szCs w:val="24"/>
        </w:rPr>
        <w:t xml:space="preserve"> </w:t>
      </w:r>
      <w:hyperlink r:id="rId70">
        <w:r w:rsidRPr="008F4E90">
          <w:rPr>
            <w:rFonts w:asciiTheme="majorBidi" w:eastAsia="Times New Roman" w:hAnsiTheme="majorBidi" w:cstheme="majorBidi"/>
            <w:sz w:val="24"/>
            <w:szCs w:val="24"/>
          </w:rPr>
          <w:t>Raichle 2015)</w:t>
        </w:r>
      </w:hyperlink>
      <w:r w:rsidRPr="008F4E90">
        <w:rPr>
          <w:rFonts w:asciiTheme="majorBidi" w:eastAsia="Times New Roman" w:hAnsiTheme="majorBidi" w:cstheme="majorBidi"/>
          <w:sz w:val="24"/>
          <w:szCs w:val="24"/>
        </w:rPr>
        <w:t>.</w:t>
      </w:r>
    </w:p>
    <w:p w14:paraId="77F47E8D"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Event-related potentials have been employed in research settings for many years; however, their practical implementation in clinical contexts remains to be determined </w:t>
      </w:r>
      <w:hyperlink r:id="rId71">
        <w:r w:rsidRPr="008F4E90">
          <w:rPr>
            <w:rFonts w:asciiTheme="majorBidi" w:eastAsia="Times New Roman" w:hAnsiTheme="majorBidi" w:cstheme="majorBidi"/>
            <w:sz w:val="24"/>
            <w:szCs w:val="24"/>
          </w:rPr>
          <w:t>(Woodman, 2010)</w:t>
        </w:r>
      </w:hyperlink>
      <w:r w:rsidRPr="008F4E90">
        <w:rPr>
          <w:rFonts w:asciiTheme="majorBidi" w:eastAsia="Times New Roman" w:hAnsiTheme="majorBidi" w:cstheme="majorBidi"/>
          <w:sz w:val="24"/>
          <w:szCs w:val="24"/>
        </w:rPr>
        <w:t xml:space="preserve">. Nonetheless, there has been a rising interest in utilising resting-state EEG signals for the development of biomarkers that can assist in the diagnosis of neurodevelopmental disorders </w:t>
      </w:r>
      <w:hyperlink r:id="rId72">
        <w:r w:rsidRPr="008F4E90">
          <w:rPr>
            <w:rFonts w:asciiTheme="majorBidi" w:eastAsia="Times New Roman" w:hAnsiTheme="majorBidi" w:cstheme="majorBidi"/>
            <w:sz w:val="24"/>
            <w:szCs w:val="24"/>
          </w:rPr>
          <w:t>(Wang et al., 2013)</w:t>
        </w:r>
      </w:hyperlink>
      <w:r w:rsidRPr="008F4E90">
        <w:rPr>
          <w:rFonts w:asciiTheme="majorBidi" w:eastAsia="Times New Roman" w:hAnsiTheme="majorBidi" w:cstheme="majorBidi"/>
          <w:sz w:val="24"/>
          <w:szCs w:val="24"/>
        </w:rPr>
        <w:t xml:space="preserve">, predicting developmental trajectories </w:t>
      </w:r>
      <w:hyperlink r:id="rId73">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Takarae</w:t>
        </w:r>
        <w:proofErr w:type="spellEnd"/>
        <w:r w:rsidRPr="008F4E90">
          <w:rPr>
            <w:rFonts w:asciiTheme="majorBidi" w:eastAsia="Times New Roman" w:hAnsiTheme="majorBidi" w:cstheme="majorBidi"/>
            <w:sz w:val="24"/>
            <w:szCs w:val="24"/>
          </w:rPr>
          <w:t xml:space="preserve"> et al., 2022)</w:t>
        </w:r>
      </w:hyperlink>
      <w:r w:rsidRPr="008F4E90">
        <w:rPr>
          <w:rFonts w:asciiTheme="majorBidi" w:eastAsia="Times New Roman" w:hAnsiTheme="majorBidi" w:cstheme="majorBidi"/>
          <w:sz w:val="24"/>
          <w:szCs w:val="24"/>
        </w:rPr>
        <w:t xml:space="preserve"> and monitoring treatment outcomes </w:t>
      </w:r>
      <w:hyperlink r:id="rId74">
        <w:r w:rsidRPr="008F4E90">
          <w:rPr>
            <w:rFonts w:asciiTheme="majorBidi" w:eastAsia="Times New Roman" w:hAnsiTheme="majorBidi" w:cstheme="majorBidi"/>
            <w:sz w:val="24"/>
            <w:szCs w:val="24"/>
          </w:rPr>
          <w:t>(Pineda et al., 2012)</w:t>
        </w:r>
      </w:hyperlink>
      <w:r w:rsidRPr="008F4E90">
        <w:rPr>
          <w:rFonts w:asciiTheme="majorBidi" w:eastAsia="Times New Roman" w:hAnsiTheme="majorBidi" w:cstheme="majorBidi"/>
          <w:sz w:val="24"/>
          <w:szCs w:val="24"/>
        </w:rPr>
        <w:t xml:space="preserve">. This renewed interest has gained particular prominence in the field of ASC </w:t>
      </w:r>
      <w:hyperlink r:id="rId75">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Heunis</w:t>
        </w:r>
        <w:proofErr w:type="spellEnd"/>
        <w:r w:rsidRPr="008F4E90">
          <w:rPr>
            <w:rFonts w:asciiTheme="majorBidi" w:eastAsia="Times New Roman" w:hAnsiTheme="majorBidi" w:cstheme="majorBidi"/>
            <w:sz w:val="24"/>
            <w:szCs w:val="24"/>
          </w:rPr>
          <w:t xml:space="preserve"> et al., 2016)</w:t>
        </w:r>
      </w:hyperlink>
      <w:r w:rsidRPr="008F4E90">
        <w:rPr>
          <w:rFonts w:asciiTheme="majorBidi" w:eastAsia="Times New Roman" w:hAnsiTheme="majorBidi" w:cstheme="majorBidi"/>
          <w:sz w:val="24"/>
          <w:szCs w:val="24"/>
        </w:rPr>
        <w:t xml:space="preserve">. The resting-state EEG, also called spontaneous EEG, is recorded without specific tasks or stimuli to capture the baseline neural activity. These spontaneous fluctuations have revealed the presence of large-scale intrinsic networks consisting of brain regions with similar functionality and synchronised activity </w:t>
      </w:r>
      <w:hyperlink r:id="rId76">
        <w:r w:rsidRPr="008F4E90">
          <w:rPr>
            <w:rFonts w:asciiTheme="majorBidi" w:eastAsia="Times New Roman" w:hAnsiTheme="majorBidi" w:cstheme="majorBidi"/>
            <w:sz w:val="24"/>
            <w:szCs w:val="24"/>
          </w:rPr>
          <w:t>(Liu et al., 2010)</w:t>
        </w:r>
      </w:hyperlink>
      <w:r w:rsidRPr="008F4E90">
        <w:rPr>
          <w:rFonts w:asciiTheme="majorBidi" w:eastAsia="Times New Roman" w:hAnsiTheme="majorBidi" w:cstheme="majorBidi"/>
          <w:sz w:val="24"/>
          <w:szCs w:val="24"/>
        </w:rPr>
        <w:t xml:space="preserve">. Therefore, spontaneous EEG can also provide valuable insights into the neurophysiological characteristics underlying neurodevelopmental conditions like ASC </w:t>
      </w:r>
      <w:hyperlink r:id="rId77">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Jeste</w:t>
        </w:r>
        <w:proofErr w:type="spellEnd"/>
        <w:r w:rsidRPr="008F4E90">
          <w:rPr>
            <w:rFonts w:asciiTheme="majorBidi" w:eastAsia="Times New Roman" w:hAnsiTheme="majorBidi" w:cstheme="majorBidi"/>
            <w:sz w:val="24"/>
            <w:szCs w:val="24"/>
          </w:rPr>
          <w:t xml:space="preserve"> et al., 2015)</w:t>
        </w:r>
      </w:hyperlink>
      <w:r w:rsidRPr="008F4E90">
        <w:rPr>
          <w:rFonts w:asciiTheme="majorBidi" w:eastAsia="Times New Roman" w:hAnsiTheme="majorBidi" w:cstheme="majorBidi"/>
          <w:sz w:val="24"/>
          <w:szCs w:val="24"/>
        </w:rPr>
        <w:t xml:space="preserve">, as it can reflect the altered brain activities </w:t>
      </w:r>
      <w:hyperlink r:id="rId78">
        <w:r w:rsidRPr="008F4E90">
          <w:rPr>
            <w:rFonts w:asciiTheme="majorBidi" w:eastAsia="Times New Roman" w:hAnsiTheme="majorBidi" w:cstheme="majorBidi"/>
            <w:sz w:val="24"/>
            <w:szCs w:val="24"/>
          </w:rPr>
          <w:t>(Li et al., 2022; Itahashi et al., 2015)</w:t>
        </w:r>
      </w:hyperlink>
      <w:r w:rsidRPr="008F4E90">
        <w:rPr>
          <w:rFonts w:asciiTheme="majorBidi" w:eastAsia="Times New Roman" w:hAnsiTheme="majorBidi" w:cstheme="majorBidi"/>
          <w:sz w:val="24"/>
          <w:szCs w:val="24"/>
        </w:rPr>
        <w:t>.</w:t>
      </w:r>
    </w:p>
    <w:p w14:paraId="79A7D9DC" w14:textId="77777777" w:rsidR="00EB25CA" w:rsidRPr="008F4E90" w:rsidRDefault="00EB25CA" w:rsidP="00EB25CA">
      <w:pPr>
        <w:spacing w:line="480" w:lineRule="auto"/>
        <w:rPr>
          <w:rFonts w:asciiTheme="majorBidi" w:eastAsia="Times New Roman" w:hAnsiTheme="majorBidi" w:cstheme="majorBidi"/>
          <w:iCs/>
          <w:sz w:val="24"/>
          <w:szCs w:val="24"/>
          <w:lang w:val="nl-NL"/>
        </w:rPr>
      </w:pPr>
      <w:r w:rsidRPr="008F4E90">
        <w:rPr>
          <w:rFonts w:asciiTheme="majorBidi" w:eastAsia="Times New Roman" w:hAnsiTheme="majorBidi" w:cstheme="majorBidi"/>
          <w:b/>
          <w:iCs/>
          <w:sz w:val="24"/>
          <w:szCs w:val="24"/>
          <w:lang w:val="nl-NL"/>
        </w:rPr>
        <w:t>Novel analysis methods in EEG biomarker in ASC</w:t>
      </w:r>
    </w:p>
    <w:p w14:paraId="375DC9D4"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Conventional methods to characterise spontaneous EEG signals is by following a linear method and breaking down different neural oscillations with Fourier analysis to transform EEG data into the frequency domain that share physiological activities. This allows the decomposition of the data into various frequency bands (delta, theta, alpha, beta and gamma). The EEG signals are then quantified using measures like absolute power, relative power, and coherence. Absolute power indicates the amount of EEG activity within a specific frequency band. On the other hand, relative power represents the proportion of EEG activity in a specific frequency band relative to the overall activity across all frequency bands, essentially creating a "ratio". Coherence measures the level of synchronisation between two EEG signals on a frequency basis </w:t>
      </w:r>
      <w:hyperlink r:id="rId79">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Baumgratz</w:t>
        </w:r>
        <w:proofErr w:type="spellEnd"/>
        <w:r w:rsidRPr="008F4E90">
          <w:rPr>
            <w:rFonts w:asciiTheme="majorBidi" w:eastAsia="Times New Roman" w:hAnsiTheme="majorBidi" w:cstheme="majorBidi"/>
            <w:sz w:val="24"/>
            <w:szCs w:val="24"/>
          </w:rPr>
          <w:t xml:space="preserve"> et al. 2014)</w:t>
        </w:r>
      </w:hyperlink>
      <w:r w:rsidRPr="008F4E90">
        <w:rPr>
          <w:rFonts w:asciiTheme="majorBidi" w:eastAsia="Times New Roman" w:hAnsiTheme="majorBidi" w:cstheme="majorBidi"/>
          <w:sz w:val="24"/>
          <w:szCs w:val="24"/>
        </w:rPr>
        <w:t xml:space="preserve">. These traditional analysis methods rely on assumptions that EEG signals are inherently stochastic (or randomly distributed) and stationary. Also, the </w:t>
      </w:r>
      <w:r w:rsidRPr="008F4E90">
        <w:rPr>
          <w:rFonts w:asciiTheme="majorBidi" w:eastAsia="Times New Roman" w:hAnsiTheme="majorBidi" w:cstheme="majorBidi"/>
          <w:sz w:val="24"/>
          <w:szCs w:val="24"/>
        </w:rPr>
        <w:lastRenderedPageBreak/>
        <w:t xml:space="preserve">frequency-based decomposition methods ignore temporal information present in EEG signals. It is important to note that brain activity consists of aggregated neural activities over time </w:t>
      </w:r>
      <w:hyperlink r:id="rId80">
        <w:r w:rsidRPr="008F4E90">
          <w:rPr>
            <w:rFonts w:asciiTheme="majorBidi" w:eastAsia="Times New Roman" w:hAnsiTheme="majorBidi" w:cstheme="majorBidi"/>
            <w:sz w:val="24"/>
            <w:szCs w:val="24"/>
          </w:rPr>
          <w:t>(Nayak and Anilkumar 2020)</w:t>
        </w:r>
      </w:hyperlink>
      <w:r w:rsidRPr="008F4E90">
        <w:rPr>
          <w:rFonts w:asciiTheme="majorBidi" w:eastAsia="Times New Roman" w:hAnsiTheme="majorBidi" w:cstheme="majorBidi"/>
          <w:sz w:val="24"/>
          <w:szCs w:val="24"/>
        </w:rPr>
        <w:t xml:space="preserve">, and the extracellular currents captured by EEG can offer insights into diverse cellular activities at persistent temporal scales </w:t>
      </w:r>
      <w:hyperlink r:id="rId81">
        <w:r w:rsidRPr="008F4E90">
          <w:rPr>
            <w:rFonts w:asciiTheme="majorBidi" w:eastAsia="Times New Roman" w:hAnsiTheme="majorBidi" w:cstheme="majorBidi"/>
            <w:sz w:val="24"/>
            <w:szCs w:val="24"/>
          </w:rPr>
          <w:t>(Nunez and Harth 1982)</w:t>
        </w:r>
      </w:hyperlink>
      <w:r w:rsidRPr="008F4E90">
        <w:rPr>
          <w:rFonts w:asciiTheme="majorBidi" w:eastAsia="Times New Roman" w:hAnsiTheme="majorBidi" w:cstheme="majorBidi"/>
          <w:sz w:val="24"/>
          <w:szCs w:val="24"/>
        </w:rPr>
        <w:t xml:space="preserve">. </w:t>
      </w:r>
    </w:p>
    <w:p w14:paraId="24149C10"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Neurobiological studies reveal that brain electrical activity arises from the combined postsynaptic potentials of many neurons in the brain cortex </w:t>
      </w:r>
      <w:hyperlink r:id="rId82">
        <w:r w:rsidRPr="008F4E90">
          <w:rPr>
            <w:rFonts w:asciiTheme="majorBidi" w:eastAsia="Times New Roman" w:hAnsiTheme="majorBidi" w:cstheme="majorBidi"/>
            <w:sz w:val="24"/>
            <w:szCs w:val="24"/>
          </w:rPr>
          <w:t>(Nunez, 1974)</w:t>
        </w:r>
      </w:hyperlink>
      <w:r w:rsidRPr="008F4E90">
        <w:rPr>
          <w:rFonts w:asciiTheme="majorBidi" w:eastAsia="Times New Roman" w:hAnsiTheme="majorBidi" w:cstheme="majorBidi"/>
          <w:sz w:val="24"/>
          <w:szCs w:val="24"/>
        </w:rPr>
        <w:t xml:space="preserve">. This fundamental neurobiological basis categorizes the human brain as a complex system </w:t>
      </w:r>
      <w:hyperlink r:id="rId83">
        <w:r w:rsidRPr="008F4E90">
          <w:rPr>
            <w:rFonts w:asciiTheme="majorBidi" w:eastAsia="Times New Roman" w:hAnsiTheme="majorBidi" w:cstheme="majorBidi"/>
            <w:sz w:val="24"/>
            <w:szCs w:val="24"/>
          </w:rPr>
          <w:t>(Natarajan et al., 2004)</w:t>
        </w:r>
      </w:hyperlink>
      <w:r w:rsidRPr="008F4E90">
        <w:rPr>
          <w:rFonts w:asciiTheme="majorBidi" w:eastAsia="Times New Roman" w:hAnsiTheme="majorBidi" w:cstheme="majorBidi"/>
          <w:sz w:val="24"/>
          <w:szCs w:val="24"/>
        </w:rPr>
        <w:t xml:space="preserve"> that exhibits intricate fluctuations even during rest periods </w:t>
      </w:r>
      <w:hyperlink r:id="rId84">
        <w:r w:rsidRPr="008F4E90">
          <w:rPr>
            <w:rFonts w:asciiTheme="majorBidi" w:eastAsia="Times New Roman" w:hAnsiTheme="majorBidi" w:cstheme="majorBidi"/>
            <w:sz w:val="24"/>
            <w:szCs w:val="24"/>
          </w:rPr>
          <w:t>(Zuo et al., 2010)</w:t>
        </w:r>
      </w:hyperlink>
      <w:r w:rsidRPr="008F4E90">
        <w:rPr>
          <w:rFonts w:asciiTheme="majorBidi" w:eastAsia="Times New Roman" w:hAnsiTheme="majorBidi" w:cstheme="majorBidi"/>
          <w:sz w:val="24"/>
          <w:szCs w:val="24"/>
        </w:rPr>
        <w:t xml:space="preserve">. This complexity arises due to the intricate interplay of numerous neuronal circuits operating across diverse temporal and spatial scales </w:t>
      </w:r>
      <w:hyperlink r:id="rId85">
        <w:r w:rsidRPr="008F4E90">
          <w:rPr>
            <w:rFonts w:asciiTheme="majorBidi" w:eastAsia="Times New Roman" w:hAnsiTheme="majorBidi" w:cstheme="majorBidi"/>
            <w:sz w:val="24"/>
            <w:szCs w:val="24"/>
          </w:rPr>
          <w:t xml:space="preserve"> </w:t>
        </w:r>
      </w:hyperlink>
      <w:hyperlink r:id="rId86">
        <w:r w:rsidRPr="008F4E90">
          <w:rPr>
            <w:rFonts w:asciiTheme="majorBidi" w:eastAsia="Times New Roman" w:hAnsiTheme="majorBidi" w:cstheme="majorBidi"/>
            <w:sz w:val="24"/>
            <w:szCs w:val="24"/>
          </w:rPr>
          <w:t>(Pedersen et al., 2017)</w:t>
        </w:r>
      </w:hyperlink>
      <w:r w:rsidRPr="008F4E90">
        <w:rPr>
          <w:rFonts w:asciiTheme="majorBidi" w:eastAsia="Times New Roman" w:hAnsiTheme="majorBidi" w:cstheme="majorBidi"/>
          <w:sz w:val="24"/>
          <w:szCs w:val="24"/>
        </w:rPr>
        <w:t xml:space="preserve">. The EEG signal represents a time-varying and nonstationary signal </w:t>
      </w:r>
      <w:hyperlink r:id="rId87">
        <w:r w:rsidRPr="008F4E90">
          <w:rPr>
            <w:rFonts w:asciiTheme="majorBidi" w:eastAsia="Times New Roman" w:hAnsiTheme="majorBidi" w:cstheme="majorBidi"/>
            <w:sz w:val="24"/>
            <w:szCs w:val="24"/>
          </w:rPr>
          <w:t>(Lo et al., 2009; Palus, 1996)</w:t>
        </w:r>
      </w:hyperlink>
      <w:r w:rsidRPr="008F4E90">
        <w:rPr>
          <w:rFonts w:asciiTheme="majorBidi" w:eastAsia="Times New Roman" w:hAnsiTheme="majorBidi" w:cstheme="majorBidi"/>
          <w:sz w:val="24"/>
          <w:szCs w:val="24"/>
        </w:rPr>
        <w:t xml:space="preserve">, with its frequency characteristics changing over time. As aforementioned, traditional time-domain or frequency-domain measures can only </w:t>
      </w:r>
      <w:proofErr w:type="spellStart"/>
      <w:r w:rsidRPr="008F4E90">
        <w:rPr>
          <w:rFonts w:asciiTheme="majorBidi" w:eastAsia="Times New Roman" w:hAnsiTheme="majorBidi" w:cstheme="majorBidi"/>
          <w:sz w:val="24"/>
          <w:szCs w:val="24"/>
        </w:rPr>
        <w:t>analyze</w:t>
      </w:r>
      <w:proofErr w:type="spellEnd"/>
      <w:r w:rsidRPr="008F4E90">
        <w:rPr>
          <w:rFonts w:asciiTheme="majorBidi" w:eastAsia="Times New Roman" w:hAnsiTheme="majorBidi" w:cstheme="majorBidi"/>
          <w:sz w:val="24"/>
          <w:szCs w:val="24"/>
        </w:rPr>
        <w:t xml:space="preserve"> the waveform and frequency-domain characteristics of the entire time series or frequency but cannot reveal the frequency component composition of the signal and the energy distribution of the relevant frequency component at a specific time scale. As such, apart from the traditional qualitative EEG methods, it is imperative to account for the nonstationary, nonlinear, and complex nature of holistically understanding brain activities.</w:t>
      </w:r>
    </w:p>
    <w:p w14:paraId="45B3E7AE"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recent decades, when studying the diagnosis of ASC using comparison techniques with spontaneous EEG </w:t>
      </w:r>
      <w:hyperlink r:id="rId88">
        <w:r w:rsidRPr="008F4E90">
          <w:rPr>
            <w:rFonts w:asciiTheme="majorBidi" w:eastAsia="Times New Roman" w:hAnsiTheme="majorBidi" w:cstheme="majorBidi"/>
            <w:sz w:val="24"/>
            <w:szCs w:val="24"/>
          </w:rPr>
          <w:t xml:space="preserve">(Hashemian &amp; </w:t>
        </w:r>
        <w:proofErr w:type="spellStart"/>
        <w:r w:rsidRPr="008F4E90">
          <w:rPr>
            <w:rFonts w:asciiTheme="majorBidi" w:eastAsia="Times New Roman" w:hAnsiTheme="majorBidi" w:cstheme="majorBidi"/>
            <w:sz w:val="24"/>
            <w:szCs w:val="24"/>
          </w:rPr>
          <w:t>Pourghassem</w:t>
        </w:r>
        <w:proofErr w:type="spellEnd"/>
        <w:r w:rsidRPr="008F4E90">
          <w:rPr>
            <w:rFonts w:asciiTheme="majorBidi" w:eastAsia="Times New Roman" w:hAnsiTheme="majorBidi" w:cstheme="majorBidi"/>
            <w:sz w:val="24"/>
            <w:szCs w:val="24"/>
          </w:rPr>
          <w:t>, 2014)</w:t>
        </w:r>
      </w:hyperlink>
      <w:r w:rsidRPr="008F4E90">
        <w:rPr>
          <w:rFonts w:asciiTheme="majorBidi" w:eastAsia="Times New Roman" w:hAnsiTheme="majorBidi" w:cstheme="majorBidi"/>
          <w:sz w:val="24"/>
          <w:szCs w:val="24"/>
        </w:rPr>
        <w:t xml:space="preserve">, researchers typically compare the EEG signals of individuals without ASC to those with ASC. These novel resting-state EEG methods require automated signal processing </w:t>
      </w:r>
      <w:hyperlink r:id="rId89">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Heunis</w:t>
        </w:r>
        <w:proofErr w:type="spellEnd"/>
        <w:r w:rsidRPr="008F4E90">
          <w:rPr>
            <w:rFonts w:asciiTheme="majorBidi" w:eastAsia="Times New Roman" w:hAnsiTheme="majorBidi" w:cstheme="majorBidi"/>
            <w:sz w:val="24"/>
            <w:szCs w:val="24"/>
          </w:rPr>
          <w:t xml:space="preserve"> et al., 2016)</w:t>
        </w:r>
      </w:hyperlink>
      <w:r w:rsidRPr="008F4E90">
        <w:rPr>
          <w:rFonts w:asciiTheme="majorBidi" w:eastAsia="Times New Roman" w:hAnsiTheme="majorBidi" w:cstheme="majorBidi"/>
          <w:sz w:val="24"/>
          <w:szCs w:val="24"/>
        </w:rPr>
        <w:t xml:space="preserve">. Automated EEG signal processing occurs across data acquisition, preprocessing, feature extraction and classification. In the feature extraction step, specific characteristics of the EEG signals will be determined and further examined. These signals contain valuable spontaneous EEG information that needs to be extracted and compared, and these extracted pieces of information are referred to as "features." Various signal processing methods and different scenarios are employed to obtain these features. In the final step (classification), researchers must decide on an appropriate statistical </w:t>
      </w:r>
      <w:r w:rsidRPr="008F4E90">
        <w:rPr>
          <w:rFonts w:asciiTheme="majorBidi" w:eastAsia="Times New Roman" w:hAnsiTheme="majorBidi" w:cstheme="majorBidi"/>
          <w:sz w:val="24"/>
          <w:szCs w:val="24"/>
        </w:rPr>
        <w:lastRenderedPageBreak/>
        <w:t xml:space="preserve">method or use the machine learning classifiers to measure the pattern recognized between the EEG signals of individuals with ASC and those without ASC, based on the identified 'features'. EEG biomarker studies encompass time series analysis methods that should account for the nonstationary, nonlinear, and complex properties of EEG signals. These studies also incorporate machine learning and data-driven strategies to enhance the accuracy and effectiveness of the classification process </w:t>
      </w:r>
      <w:hyperlink r:id="rId9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Bosl</w:t>
        </w:r>
        <w:proofErr w:type="spellEnd"/>
        <w:r w:rsidRPr="008F4E90">
          <w:rPr>
            <w:rFonts w:asciiTheme="majorBidi" w:eastAsia="Times New Roman" w:hAnsiTheme="majorBidi" w:cstheme="majorBidi"/>
            <w:sz w:val="24"/>
            <w:szCs w:val="24"/>
          </w:rPr>
          <w:t xml:space="preserve"> et al., 2011; Duffy &amp; Als, 2012</w:t>
        </w:r>
      </w:hyperlink>
      <w:hyperlink r:id="rId91">
        <w:r w:rsidRPr="008F4E90">
          <w:rPr>
            <w:rFonts w:asciiTheme="majorBidi" w:eastAsia="Times New Roman" w:hAnsiTheme="majorBidi" w:cstheme="majorBidi"/>
            <w:sz w:val="24"/>
            <w:szCs w:val="24"/>
          </w:rPr>
          <w:t xml:space="preserve">; </w:t>
        </w:r>
      </w:hyperlink>
      <w:hyperlink r:id="rId92">
        <w:r w:rsidRPr="008F4E90">
          <w:rPr>
            <w:rFonts w:asciiTheme="majorBidi" w:eastAsia="Times New Roman" w:hAnsiTheme="majorBidi" w:cstheme="majorBidi"/>
            <w:sz w:val="24"/>
            <w:szCs w:val="24"/>
          </w:rPr>
          <w:t xml:space="preserve"> Pistorius et al., 2013)</w:t>
        </w:r>
      </w:hyperlink>
      <w:r w:rsidRPr="008F4E90">
        <w:rPr>
          <w:rFonts w:asciiTheme="majorBidi" w:eastAsia="Times New Roman" w:hAnsiTheme="majorBidi" w:cstheme="majorBidi"/>
          <w:sz w:val="24"/>
          <w:szCs w:val="24"/>
        </w:rPr>
        <w:t>. In this thesis, we will also stick with the comparison techniques and novel EEG study pipeline by extracting mainly nonlinear features of spontaneous EEG and fMRI.</w:t>
      </w:r>
    </w:p>
    <w:p w14:paraId="21CBDE32" w14:textId="77777777" w:rsidR="00EB25CA" w:rsidRPr="008F4E90" w:rsidRDefault="00EB25CA" w:rsidP="00EB25CA">
      <w:pPr>
        <w:pStyle w:val="Heading1"/>
        <w:spacing w:after="160" w:line="480" w:lineRule="auto"/>
        <w:rPr>
          <w:rFonts w:asciiTheme="majorBidi" w:eastAsia="Times New Roman" w:hAnsiTheme="majorBidi" w:cstheme="majorBidi"/>
          <w:b/>
          <w:bCs/>
          <w:iCs/>
          <w:sz w:val="24"/>
          <w:szCs w:val="24"/>
        </w:rPr>
      </w:pPr>
      <w:bookmarkStart w:id="5" w:name="_hajjake1wgrw" w:colFirst="0" w:colLast="0"/>
      <w:bookmarkEnd w:id="5"/>
      <w:r w:rsidRPr="008F4E90">
        <w:rPr>
          <w:rFonts w:asciiTheme="majorBidi" w:eastAsia="Times New Roman" w:hAnsiTheme="majorBidi" w:cstheme="majorBidi"/>
          <w:b/>
          <w:bCs/>
          <w:iCs/>
          <w:sz w:val="24"/>
          <w:szCs w:val="24"/>
        </w:rPr>
        <w:t>Clinical confounding factors in development of resting-state EEG biomarkers for ASC</w:t>
      </w:r>
    </w:p>
    <w:p w14:paraId="2517F1CB"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Ongoing advancements in signal processing and analytical methods for diagnosing ASC can benefit from the incorporating multivariate variables, which could aid in identifying clinically relevant subgroups and novel biomarkers for treatment monitoring. Specifically, there is a notable gap in exploring clinical confounding factors related to biomarker development for ASC. The existing literature provides clear evidence that traditional qualitative EEG methods influenced by various sociodemographic, technical, and clinical factors </w:t>
      </w:r>
      <w:hyperlink r:id="rId93">
        <w:r w:rsidRPr="008F4E90">
          <w:rPr>
            <w:rFonts w:asciiTheme="majorBidi" w:eastAsia="Times New Roman" w:hAnsiTheme="majorBidi" w:cstheme="majorBidi"/>
            <w:sz w:val="24"/>
            <w:szCs w:val="24"/>
          </w:rPr>
          <w:t>(Billeci et al. 2013)</w:t>
        </w:r>
      </w:hyperlink>
      <w:r w:rsidRPr="008F4E90">
        <w:rPr>
          <w:rFonts w:asciiTheme="majorBidi" w:eastAsia="Times New Roman" w:hAnsiTheme="majorBidi" w:cstheme="majorBidi"/>
          <w:sz w:val="24"/>
          <w:szCs w:val="24"/>
        </w:rPr>
        <w:t>. These factors include age, gender, socioeconomic status (SES), comorbidity, medication usage, the condition of eyes open versus closed, the number and placement of electrodes, and the reliability of test-retest measurements. The effects of these factors on EEG have primarily studied in healthy individuals, but there is limited research on their impact specifically in individuals with ASC. The following sections will briefly review the current evidence regarding these clinical and demographic confounders, with a particular emphasis on age and the condition of eyes open versus closed. It is essential to conduct empirical studies to determine whether a similar range of factors in individuals with ASC will also influence novel resting-state EEG biomarkers.</w:t>
      </w:r>
    </w:p>
    <w:p w14:paraId="22A3B31E" w14:textId="77777777" w:rsidR="00EB25CA" w:rsidRPr="008F4E90" w:rsidRDefault="00EB25CA" w:rsidP="00EB25CA">
      <w:pPr>
        <w:spacing w:after="160"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Confounding factor: Age</w:t>
      </w:r>
    </w:p>
    <w:p w14:paraId="7D1B4C7A" w14:textId="77777777" w:rsidR="00EB25CA" w:rsidRPr="008F4E90" w:rsidRDefault="00EB25CA" w:rsidP="00B37FF3">
      <w:pPr>
        <w:spacing w:after="160" w:line="480" w:lineRule="auto"/>
        <w:ind w:firstLine="720"/>
        <w:rPr>
          <w:rFonts w:asciiTheme="majorBidi" w:eastAsia="Times New Roman" w:hAnsiTheme="majorBidi" w:cstheme="majorBidi"/>
          <w:b/>
          <w:i/>
          <w:sz w:val="24"/>
          <w:szCs w:val="24"/>
        </w:rPr>
      </w:pPr>
      <w:r w:rsidRPr="008F4E90">
        <w:rPr>
          <w:rFonts w:asciiTheme="majorBidi" w:eastAsia="Times New Roman" w:hAnsiTheme="majorBidi" w:cstheme="majorBidi"/>
          <w:b/>
          <w:i/>
          <w:sz w:val="24"/>
          <w:szCs w:val="24"/>
        </w:rPr>
        <w:t xml:space="preserve">Age-Related Changes in EEG Biomarkers: Impact on power spectra and entropy.  </w:t>
      </w:r>
      <w:r w:rsidRPr="008F4E90">
        <w:rPr>
          <w:rFonts w:asciiTheme="majorBidi" w:eastAsia="Times New Roman" w:hAnsiTheme="majorBidi" w:cstheme="majorBidi"/>
          <w:sz w:val="24"/>
          <w:szCs w:val="24"/>
        </w:rPr>
        <w:t xml:space="preserve">Age-related changes in EEG power spectra have consistently been observed in healthy individuals. These changes </w:t>
      </w:r>
      <w:r w:rsidRPr="008F4E90">
        <w:rPr>
          <w:rFonts w:asciiTheme="majorBidi" w:eastAsia="Times New Roman" w:hAnsiTheme="majorBidi" w:cstheme="majorBidi"/>
          <w:sz w:val="24"/>
          <w:szCs w:val="24"/>
        </w:rPr>
        <w:lastRenderedPageBreak/>
        <w:t xml:space="preserve">typically involve decreases in delta </w:t>
      </w:r>
      <w:hyperlink r:id="rId94">
        <w:r w:rsidRPr="008F4E90">
          <w:rPr>
            <w:rFonts w:asciiTheme="majorBidi" w:eastAsia="Times New Roman" w:hAnsiTheme="majorBidi" w:cstheme="majorBidi"/>
            <w:sz w:val="24"/>
            <w:szCs w:val="24"/>
          </w:rPr>
          <w:t>(Babiloni et al., 2006; Gaál et al., 2010</w:t>
        </w:r>
      </w:hyperlink>
      <w:hyperlink r:id="rId95">
        <w:r w:rsidRPr="008F4E90">
          <w:rPr>
            <w:rFonts w:asciiTheme="majorBidi" w:eastAsia="Times New Roman" w:hAnsiTheme="majorBidi" w:cstheme="majorBidi"/>
            <w:sz w:val="24"/>
            <w:szCs w:val="24"/>
          </w:rPr>
          <w:t xml:space="preserve">; </w:t>
        </w:r>
      </w:hyperlink>
      <w:hyperlink r:id="rId96">
        <w:r w:rsidRPr="008F4E90">
          <w:rPr>
            <w:rFonts w:asciiTheme="majorBidi" w:eastAsia="Times New Roman" w:hAnsiTheme="majorBidi" w:cstheme="majorBidi"/>
            <w:sz w:val="24"/>
            <w:szCs w:val="24"/>
          </w:rPr>
          <w:t>Rossini et al., 2007)</w:t>
        </w:r>
      </w:hyperlink>
      <w:r w:rsidRPr="008F4E90">
        <w:rPr>
          <w:rFonts w:asciiTheme="majorBidi" w:eastAsia="Times New Roman" w:hAnsiTheme="majorBidi" w:cstheme="majorBidi"/>
          <w:sz w:val="24"/>
          <w:szCs w:val="24"/>
        </w:rPr>
        <w:t xml:space="preserve"> and theta power </w:t>
      </w:r>
      <w:hyperlink r:id="rId97">
        <w:r w:rsidRPr="008F4E90">
          <w:rPr>
            <w:rFonts w:asciiTheme="majorBidi" w:eastAsia="Times New Roman" w:hAnsiTheme="majorBidi" w:cstheme="majorBidi"/>
            <w:sz w:val="24"/>
            <w:szCs w:val="24"/>
          </w:rPr>
          <w:t xml:space="preserve">(Cummins &amp; Finnigan, 2007; </w:t>
        </w:r>
        <w:proofErr w:type="spellStart"/>
        <w:r w:rsidRPr="008F4E90">
          <w:rPr>
            <w:rFonts w:asciiTheme="majorBidi" w:eastAsia="Times New Roman" w:hAnsiTheme="majorBidi" w:cstheme="majorBidi"/>
            <w:sz w:val="24"/>
            <w:szCs w:val="24"/>
          </w:rPr>
          <w:t>Sleimen-Malkoun</w:t>
        </w:r>
        <w:proofErr w:type="spellEnd"/>
        <w:r w:rsidRPr="008F4E90">
          <w:rPr>
            <w:rFonts w:asciiTheme="majorBidi" w:eastAsia="Times New Roman" w:hAnsiTheme="majorBidi" w:cstheme="majorBidi"/>
            <w:sz w:val="24"/>
            <w:szCs w:val="24"/>
          </w:rPr>
          <w:t xml:space="preserve"> et al., 2015; van </w:t>
        </w:r>
        <w:proofErr w:type="spellStart"/>
        <w:r w:rsidRPr="008F4E90">
          <w:rPr>
            <w:rFonts w:asciiTheme="majorBidi" w:eastAsia="Times New Roman" w:hAnsiTheme="majorBidi" w:cstheme="majorBidi"/>
            <w:sz w:val="24"/>
            <w:szCs w:val="24"/>
          </w:rPr>
          <w:t>Noordt</w:t>
        </w:r>
        <w:proofErr w:type="spellEnd"/>
        <w:r w:rsidRPr="008F4E90">
          <w:rPr>
            <w:rFonts w:asciiTheme="majorBidi" w:eastAsia="Times New Roman" w:hAnsiTheme="majorBidi" w:cstheme="majorBidi"/>
            <w:sz w:val="24"/>
            <w:szCs w:val="24"/>
          </w:rPr>
          <w:t xml:space="preserve"> &amp; Willoughby, 2021</w:t>
        </w:r>
      </w:hyperlink>
      <w:hyperlink r:id="rId98">
        <w:r w:rsidRPr="008F4E90">
          <w:rPr>
            <w:rFonts w:asciiTheme="majorBidi" w:eastAsia="Times New Roman" w:hAnsiTheme="majorBidi" w:cstheme="majorBidi"/>
            <w:sz w:val="24"/>
            <w:szCs w:val="24"/>
          </w:rPr>
          <w:t xml:space="preserve">; </w:t>
        </w:r>
      </w:hyperlink>
      <w:hyperlink r:id="rId99">
        <w:proofErr w:type="spellStart"/>
        <w:r w:rsidRPr="008F4E90">
          <w:rPr>
            <w:rFonts w:asciiTheme="majorBidi" w:eastAsia="Times New Roman" w:hAnsiTheme="majorBidi" w:cstheme="majorBidi"/>
            <w:sz w:val="24"/>
            <w:szCs w:val="24"/>
          </w:rPr>
          <w:t>Vysata</w:t>
        </w:r>
        <w:proofErr w:type="spellEnd"/>
        <w:r w:rsidRPr="008F4E90">
          <w:rPr>
            <w:rFonts w:asciiTheme="majorBidi" w:eastAsia="Times New Roman" w:hAnsiTheme="majorBidi" w:cstheme="majorBidi"/>
            <w:sz w:val="24"/>
            <w:szCs w:val="24"/>
          </w:rPr>
          <w:t xml:space="preserve"> et al., 2012)</w:t>
        </w:r>
      </w:hyperlink>
      <w:r w:rsidRPr="008F4E90">
        <w:rPr>
          <w:rFonts w:asciiTheme="majorBidi" w:eastAsia="Times New Roman" w:hAnsiTheme="majorBidi" w:cstheme="majorBidi"/>
          <w:sz w:val="24"/>
          <w:szCs w:val="24"/>
        </w:rPr>
        <w:t xml:space="preserve">. On the other hand, the findings regarding alpha power have been more varied, with some studies reporting increases with age </w:t>
      </w:r>
      <w:hyperlink r:id="rId100">
        <w:r w:rsidRPr="008F4E90">
          <w:rPr>
            <w:rFonts w:asciiTheme="majorBidi" w:eastAsia="Times New Roman" w:hAnsiTheme="majorBidi" w:cstheme="majorBidi"/>
            <w:sz w:val="24"/>
            <w:szCs w:val="24"/>
          </w:rPr>
          <w:t>(Clarke et al., 2001; Cragg et al., 2011)</w:t>
        </w:r>
      </w:hyperlink>
      <w:r w:rsidRPr="008F4E90">
        <w:rPr>
          <w:rFonts w:asciiTheme="majorBidi" w:eastAsia="Times New Roman" w:hAnsiTheme="majorBidi" w:cstheme="majorBidi"/>
          <w:sz w:val="24"/>
          <w:szCs w:val="24"/>
        </w:rPr>
        <w:t xml:space="preserve"> and others reporting decreases with age </w:t>
      </w:r>
      <w:hyperlink r:id="rId101">
        <w:r w:rsidRPr="008F4E90">
          <w:rPr>
            <w:rFonts w:asciiTheme="majorBidi" w:eastAsia="Times New Roman" w:hAnsiTheme="majorBidi" w:cstheme="majorBidi"/>
            <w:sz w:val="24"/>
            <w:szCs w:val="24"/>
          </w:rPr>
          <w:t>(Barry et al., 2007; Fan et al., 2014)</w:t>
        </w:r>
      </w:hyperlink>
      <w:r w:rsidRPr="008F4E90">
        <w:rPr>
          <w:rFonts w:asciiTheme="majorBidi" w:eastAsia="Times New Roman" w:hAnsiTheme="majorBidi" w:cstheme="majorBidi"/>
          <w:sz w:val="24"/>
          <w:szCs w:val="24"/>
        </w:rPr>
        <w:t xml:space="preserve">. Similar inconsistencies have been observed in the higher frequency beta band, with reports of both increases with age </w:t>
      </w:r>
      <w:hyperlink r:id="rId102">
        <w:r w:rsidRPr="008F4E90">
          <w:rPr>
            <w:rFonts w:asciiTheme="majorBidi" w:eastAsia="Times New Roman" w:hAnsiTheme="majorBidi" w:cstheme="majorBidi"/>
            <w:sz w:val="24"/>
            <w:szCs w:val="24"/>
          </w:rPr>
          <w:t>(Fan et al., 2014; Wang et al., 2016)</w:t>
        </w:r>
      </w:hyperlink>
      <w:r w:rsidRPr="008F4E90">
        <w:rPr>
          <w:rFonts w:asciiTheme="majorBidi" w:eastAsia="Times New Roman" w:hAnsiTheme="majorBidi" w:cstheme="majorBidi"/>
          <w:sz w:val="24"/>
          <w:szCs w:val="24"/>
        </w:rPr>
        <w:t xml:space="preserve"> and decreases with age </w:t>
      </w:r>
      <w:hyperlink r:id="rId103">
        <w:r w:rsidRPr="008F4E90">
          <w:rPr>
            <w:rFonts w:asciiTheme="majorBidi" w:eastAsia="Times New Roman" w:hAnsiTheme="majorBidi" w:cstheme="majorBidi"/>
            <w:sz w:val="24"/>
            <w:szCs w:val="24"/>
          </w:rPr>
          <w:t xml:space="preserve">(van </w:t>
        </w:r>
        <w:proofErr w:type="spellStart"/>
        <w:r w:rsidRPr="008F4E90">
          <w:rPr>
            <w:rFonts w:asciiTheme="majorBidi" w:eastAsia="Times New Roman" w:hAnsiTheme="majorBidi" w:cstheme="majorBidi"/>
            <w:sz w:val="24"/>
            <w:szCs w:val="24"/>
          </w:rPr>
          <w:t>Noordt</w:t>
        </w:r>
        <w:proofErr w:type="spellEnd"/>
        <w:r w:rsidRPr="008F4E90">
          <w:rPr>
            <w:rFonts w:asciiTheme="majorBidi" w:eastAsia="Times New Roman" w:hAnsiTheme="majorBidi" w:cstheme="majorBidi"/>
            <w:sz w:val="24"/>
            <w:szCs w:val="24"/>
          </w:rPr>
          <w:t xml:space="preserve"> &amp; Willoughby, 2021</w:t>
        </w:r>
      </w:hyperlink>
      <w:hyperlink r:id="rId104">
        <w:r w:rsidRPr="008F4E90">
          <w:rPr>
            <w:rFonts w:asciiTheme="majorBidi" w:eastAsia="Times New Roman" w:hAnsiTheme="majorBidi" w:cstheme="majorBidi"/>
            <w:sz w:val="24"/>
            <w:szCs w:val="24"/>
          </w:rPr>
          <w:t xml:space="preserve">; </w:t>
        </w:r>
      </w:hyperlink>
      <w:hyperlink r:id="rId105">
        <w:proofErr w:type="spellStart"/>
        <w:r w:rsidRPr="008F4E90">
          <w:rPr>
            <w:rFonts w:asciiTheme="majorBidi" w:eastAsia="Times New Roman" w:hAnsiTheme="majorBidi" w:cstheme="majorBidi"/>
            <w:sz w:val="24"/>
            <w:szCs w:val="24"/>
          </w:rPr>
          <w:t>Vysata</w:t>
        </w:r>
        <w:proofErr w:type="spellEnd"/>
        <w:r w:rsidRPr="008F4E90">
          <w:rPr>
            <w:rFonts w:asciiTheme="majorBidi" w:eastAsia="Times New Roman" w:hAnsiTheme="majorBidi" w:cstheme="majorBidi"/>
            <w:sz w:val="24"/>
            <w:szCs w:val="24"/>
          </w:rPr>
          <w:t xml:space="preserve"> et al., 2012)</w:t>
        </w:r>
      </w:hyperlink>
      <w:r w:rsidRPr="008F4E90">
        <w:rPr>
          <w:rFonts w:asciiTheme="majorBidi" w:eastAsia="Times New Roman" w:hAnsiTheme="majorBidi" w:cstheme="majorBidi"/>
          <w:sz w:val="24"/>
          <w:szCs w:val="24"/>
        </w:rPr>
        <w:t xml:space="preserve">. Furthermore, ageing is characterised by significant alterations in brain oscillatory activity, as indicated by studies conducted by  </w:t>
      </w:r>
      <w:hyperlink r:id="rId106">
        <w:r w:rsidRPr="008F4E90">
          <w:rPr>
            <w:rFonts w:asciiTheme="majorBidi" w:eastAsia="Times New Roman" w:hAnsiTheme="majorBidi" w:cstheme="majorBidi"/>
            <w:sz w:val="24"/>
            <w:szCs w:val="24"/>
          </w:rPr>
          <w:t>(Fernández et al., 2012</w:t>
        </w:r>
      </w:hyperlink>
      <w:hyperlink r:id="rId107">
        <w:r w:rsidRPr="008F4E90">
          <w:rPr>
            <w:rFonts w:asciiTheme="majorBidi" w:eastAsia="Times New Roman" w:hAnsiTheme="majorBidi" w:cstheme="majorBidi"/>
            <w:sz w:val="24"/>
            <w:szCs w:val="24"/>
          </w:rPr>
          <w:t xml:space="preserve">; </w:t>
        </w:r>
      </w:hyperlink>
      <w:hyperlink r:id="rId108">
        <w:r w:rsidRPr="008F4E90">
          <w:rPr>
            <w:rFonts w:asciiTheme="majorBidi" w:eastAsia="Times New Roman" w:hAnsiTheme="majorBidi" w:cstheme="majorBidi"/>
            <w:sz w:val="24"/>
            <w:szCs w:val="24"/>
          </w:rPr>
          <w:t>Ishii et al., 2017</w:t>
        </w:r>
      </w:hyperlink>
      <w:hyperlink r:id="rId109">
        <w:r w:rsidRPr="008F4E90">
          <w:rPr>
            <w:rFonts w:asciiTheme="majorBidi" w:eastAsia="Times New Roman" w:hAnsiTheme="majorBidi" w:cstheme="majorBidi"/>
            <w:sz w:val="24"/>
            <w:szCs w:val="24"/>
          </w:rPr>
          <w:t xml:space="preserve">; </w:t>
        </w:r>
      </w:hyperlink>
      <w:hyperlink r:id="rId110">
        <w:proofErr w:type="spellStart"/>
        <w:r w:rsidRPr="008F4E90">
          <w:rPr>
            <w:rFonts w:asciiTheme="majorBidi" w:eastAsia="Times New Roman" w:hAnsiTheme="majorBidi" w:cstheme="majorBidi"/>
            <w:sz w:val="24"/>
            <w:szCs w:val="24"/>
          </w:rPr>
          <w:t>Vlahou</w:t>
        </w:r>
        <w:proofErr w:type="spellEnd"/>
        <w:r w:rsidRPr="008F4E90">
          <w:rPr>
            <w:rFonts w:asciiTheme="majorBidi" w:eastAsia="Times New Roman" w:hAnsiTheme="majorBidi" w:cstheme="majorBidi"/>
            <w:sz w:val="24"/>
            <w:szCs w:val="24"/>
          </w:rPr>
          <w:t xml:space="preserve"> et al., 2014)</w:t>
        </w:r>
      </w:hyperlink>
      <w:r w:rsidRPr="008F4E90">
        <w:rPr>
          <w:rFonts w:asciiTheme="majorBidi" w:eastAsia="Times New Roman" w:hAnsiTheme="majorBidi" w:cstheme="majorBidi"/>
          <w:sz w:val="24"/>
          <w:szCs w:val="24"/>
        </w:rPr>
        <w:t xml:space="preserve">. The observed variations in EEG power spectra can be attributed to underlying physiological processes related to maturation, including changes in synaptic density, myelination, and skull thickness. These processes are associated with age-related changes in brain structure and function. </w:t>
      </w:r>
    </w:p>
    <w:p w14:paraId="1B51E892"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Additionally, ageing is generally associated with increased entropy </w:t>
      </w:r>
      <w:hyperlink r:id="rId111">
        <w:r w:rsidRPr="008F4E90">
          <w:rPr>
            <w:rFonts w:asciiTheme="majorBidi" w:eastAsia="Times New Roman" w:hAnsiTheme="majorBidi" w:cstheme="majorBidi"/>
            <w:sz w:val="24"/>
            <w:szCs w:val="24"/>
          </w:rPr>
          <w:t>(Hershey &amp; Lee, 1987</w:t>
        </w:r>
      </w:hyperlink>
      <w:hyperlink r:id="rId112">
        <w:r w:rsidRPr="008F4E90">
          <w:rPr>
            <w:rFonts w:asciiTheme="majorBidi" w:eastAsia="Times New Roman" w:hAnsiTheme="majorBidi" w:cstheme="majorBidi"/>
            <w:sz w:val="24"/>
            <w:szCs w:val="24"/>
          </w:rPr>
          <w:t xml:space="preserve">; </w:t>
        </w:r>
      </w:hyperlink>
      <w:hyperlink r:id="rId113">
        <w:r w:rsidRPr="008F4E90">
          <w:rPr>
            <w:rFonts w:asciiTheme="majorBidi" w:eastAsia="Times New Roman" w:hAnsiTheme="majorBidi" w:cstheme="majorBidi"/>
            <w:sz w:val="24"/>
            <w:szCs w:val="24"/>
          </w:rPr>
          <w:t>Yao et al., 2013)</w:t>
        </w:r>
      </w:hyperlink>
      <w:r w:rsidRPr="008F4E90">
        <w:rPr>
          <w:rFonts w:asciiTheme="majorBidi" w:eastAsia="Times New Roman" w:hAnsiTheme="majorBidi" w:cstheme="majorBidi"/>
          <w:sz w:val="24"/>
          <w:szCs w:val="24"/>
        </w:rPr>
        <w:t xml:space="preserve">. However, scrutiny of age-related studies reveals the presence of Simpson's paradox in correlations </w:t>
      </w:r>
      <w:hyperlink r:id="rId114">
        <w:r w:rsidRPr="008F4E90">
          <w:rPr>
            <w:rFonts w:asciiTheme="majorBidi" w:eastAsia="Times New Roman" w:hAnsiTheme="majorBidi" w:cstheme="majorBidi"/>
            <w:sz w:val="24"/>
            <w:szCs w:val="24"/>
          </w:rPr>
          <w:t>(Davy et al., 2003)</w:t>
        </w:r>
      </w:hyperlink>
      <w:r w:rsidRPr="008F4E90">
        <w:rPr>
          <w:rFonts w:asciiTheme="majorBidi" w:eastAsia="Times New Roman" w:hAnsiTheme="majorBidi" w:cstheme="majorBidi"/>
          <w:sz w:val="24"/>
          <w:szCs w:val="24"/>
        </w:rPr>
        <w:t xml:space="preserve">. Simpson's paradox occurs when the direction of correlation between two variables appears to be positive or negative, but this direction reverses when the variables are analysed within different subgroups. In the context of entropy and ageing, although there seems to be a positive correlation overall, the correlation may differ within specific age subgroups. For instance, there is a consistent increase in sample entropy in young adults </w:t>
      </w:r>
      <w:hyperlink r:id="rId115">
        <w:r w:rsidRPr="008F4E90">
          <w:rPr>
            <w:rFonts w:asciiTheme="majorBidi" w:eastAsia="Times New Roman" w:hAnsiTheme="majorBidi" w:cstheme="majorBidi"/>
            <w:sz w:val="24"/>
            <w:szCs w:val="24"/>
          </w:rPr>
          <w:t>(Takahashi et al., 2009)</w:t>
        </w:r>
      </w:hyperlink>
      <w:r w:rsidRPr="008F4E90">
        <w:rPr>
          <w:rFonts w:asciiTheme="majorBidi" w:eastAsia="Times New Roman" w:hAnsiTheme="majorBidi" w:cstheme="majorBidi"/>
          <w:sz w:val="24"/>
          <w:szCs w:val="24"/>
        </w:rPr>
        <w:t xml:space="preserve">, especially at the fine scales </w:t>
      </w:r>
      <w:hyperlink r:id="rId116">
        <w:r w:rsidRPr="008F4E90">
          <w:rPr>
            <w:rFonts w:asciiTheme="majorBidi" w:eastAsia="Times New Roman" w:hAnsiTheme="majorBidi" w:cstheme="majorBidi"/>
            <w:sz w:val="24"/>
            <w:szCs w:val="24"/>
          </w:rPr>
          <w:t xml:space="preserve">(van </w:t>
        </w:r>
        <w:proofErr w:type="spellStart"/>
        <w:r w:rsidRPr="008F4E90">
          <w:rPr>
            <w:rFonts w:asciiTheme="majorBidi" w:eastAsia="Times New Roman" w:hAnsiTheme="majorBidi" w:cstheme="majorBidi"/>
            <w:sz w:val="24"/>
            <w:szCs w:val="24"/>
          </w:rPr>
          <w:t>Noordt</w:t>
        </w:r>
        <w:proofErr w:type="spellEnd"/>
        <w:r w:rsidRPr="008F4E90">
          <w:rPr>
            <w:rFonts w:asciiTheme="majorBidi" w:eastAsia="Times New Roman" w:hAnsiTheme="majorBidi" w:cstheme="majorBidi"/>
            <w:sz w:val="24"/>
            <w:szCs w:val="24"/>
          </w:rPr>
          <w:t xml:space="preserve"> &amp; Willoughby, 2021)</w:t>
        </w:r>
      </w:hyperlink>
      <w:r w:rsidRPr="008F4E90">
        <w:rPr>
          <w:rFonts w:asciiTheme="majorBidi" w:eastAsia="Times New Roman" w:hAnsiTheme="majorBidi" w:cstheme="majorBidi"/>
          <w:sz w:val="24"/>
          <w:szCs w:val="24"/>
        </w:rPr>
        <w:t xml:space="preserve">. This increase aligns with the maturation process of functional brain networks, which involves the reinforcement of distributed long-distance connections </w:t>
      </w:r>
      <w:hyperlink r:id="rId117">
        <w:r w:rsidRPr="008F4E90">
          <w:rPr>
            <w:rFonts w:asciiTheme="majorBidi" w:eastAsia="Times New Roman" w:hAnsiTheme="majorBidi" w:cstheme="majorBidi"/>
            <w:sz w:val="24"/>
            <w:szCs w:val="24"/>
          </w:rPr>
          <w:t>(Casey et al., 2015; Hwang et al., 2013)</w:t>
        </w:r>
      </w:hyperlink>
      <w:r w:rsidRPr="008F4E90">
        <w:rPr>
          <w:rFonts w:asciiTheme="majorBidi" w:eastAsia="Times New Roman" w:hAnsiTheme="majorBidi" w:cstheme="majorBidi"/>
          <w:sz w:val="24"/>
          <w:szCs w:val="24"/>
        </w:rPr>
        <w:t xml:space="preserve">. Sample entropy at the fine scale reflects long-range connections </w:t>
      </w:r>
      <w:hyperlink r:id="rId118">
        <w:r w:rsidRPr="008F4E90">
          <w:rPr>
            <w:rFonts w:asciiTheme="majorBidi" w:eastAsia="Times New Roman" w:hAnsiTheme="majorBidi" w:cstheme="majorBidi"/>
            <w:sz w:val="24"/>
            <w:szCs w:val="24"/>
          </w:rPr>
          <w:t>(Heisz &amp; McIntosh, 2013)</w:t>
        </w:r>
      </w:hyperlink>
      <w:r w:rsidRPr="008F4E90">
        <w:rPr>
          <w:rFonts w:asciiTheme="majorBidi" w:eastAsia="Times New Roman" w:hAnsiTheme="majorBidi" w:cstheme="majorBidi"/>
          <w:sz w:val="24"/>
          <w:szCs w:val="24"/>
        </w:rPr>
        <w:t xml:space="preserve">, thereby providing an explanation for the observed increase in sample entropy. Conversely, older adults tend to exhibit a decrease in entropy as they age </w:t>
      </w:r>
      <w:hyperlink r:id="rId119">
        <w:r w:rsidRPr="008F4E90">
          <w:rPr>
            <w:rFonts w:asciiTheme="majorBidi" w:eastAsia="Times New Roman" w:hAnsiTheme="majorBidi" w:cstheme="majorBidi"/>
            <w:sz w:val="24"/>
            <w:szCs w:val="24"/>
          </w:rPr>
          <w:t>(Takahashi et al., 2009)</w:t>
        </w:r>
      </w:hyperlink>
      <w:r w:rsidRPr="008F4E90">
        <w:rPr>
          <w:rFonts w:asciiTheme="majorBidi" w:eastAsia="Times New Roman" w:hAnsiTheme="majorBidi" w:cstheme="majorBidi"/>
          <w:sz w:val="24"/>
          <w:szCs w:val="24"/>
        </w:rPr>
        <w:t xml:space="preserve">. However, the presence of </w:t>
      </w:r>
      <w:r w:rsidRPr="008F4E90">
        <w:rPr>
          <w:rFonts w:asciiTheme="majorBidi" w:eastAsia="Times New Roman" w:hAnsiTheme="majorBidi" w:cstheme="majorBidi"/>
          <w:sz w:val="24"/>
          <w:szCs w:val="24"/>
        </w:rPr>
        <w:lastRenderedPageBreak/>
        <w:t xml:space="preserve">positive age-related correlations in multiscale sample entropy appears to be lacking in individuals with ASC </w:t>
      </w:r>
      <w:hyperlink r:id="rId120">
        <w:r w:rsidRPr="008F4E90">
          <w:rPr>
            <w:rFonts w:asciiTheme="majorBidi" w:eastAsia="Times New Roman" w:hAnsiTheme="majorBidi" w:cstheme="majorBidi"/>
            <w:sz w:val="24"/>
            <w:szCs w:val="24"/>
          </w:rPr>
          <w:t>(Milne et al., 2019)</w:t>
        </w:r>
      </w:hyperlink>
      <w:r w:rsidRPr="008F4E90">
        <w:rPr>
          <w:rFonts w:asciiTheme="majorBidi" w:eastAsia="Times New Roman" w:hAnsiTheme="majorBidi" w:cstheme="majorBidi"/>
          <w:sz w:val="24"/>
          <w:szCs w:val="24"/>
        </w:rPr>
        <w:t>.</w:t>
      </w:r>
    </w:p>
    <w:p w14:paraId="3053F372" w14:textId="77777777" w:rsidR="00B37FF3" w:rsidRPr="008F4E90" w:rsidRDefault="00EB25CA" w:rsidP="00E135A4">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Given these alterations in EEG biomarkers that are associated with age, and considering that age has been demonstrated as a highly strong predictor of spontaneous EEG metrics according to the study by </w:t>
      </w:r>
      <w:hyperlink r:id="rId121">
        <w:r w:rsidRPr="008F4E90">
          <w:rPr>
            <w:rFonts w:asciiTheme="majorBidi" w:eastAsia="Times New Roman" w:hAnsiTheme="majorBidi" w:cstheme="majorBidi"/>
            <w:sz w:val="24"/>
            <w:szCs w:val="24"/>
          </w:rPr>
          <w:t>(Dede et al., 2023)</w:t>
        </w:r>
      </w:hyperlink>
      <w:r w:rsidRPr="008F4E90">
        <w:rPr>
          <w:rFonts w:asciiTheme="majorBidi" w:eastAsia="Times New Roman" w:hAnsiTheme="majorBidi" w:cstheme="majorBidi"/>
          <w:sz w:val="24"/>
          <w:szCs w:val="24"/>
        </w:rPr>
        <w:t>, it is of utmost importance to consider the impact of age when examining EEG patterns in individuals with ASC. By comprehending the normative age-related shifts in EEG, researchers can more effectively differentiate the specific EEG features linked to ASC from typical age-related fluctuations.</w:t>
      </w:r>
    </w:p>
    <w:p w14:paraId="1FAF1E0E" w14:textId="77777777" w:rsidR="00EB25CA" w:rsidRPr="008F4E90" w:rsidRDefault="00EB25CA" w:rsidP="00EB25CA">
      <w:pPr>
        <w:spacing w:after="160"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Confounding factor: Eye Conditions (Eyes open &amp; eyes closed)</w:t>
      </w:r>
    </w:p>
    <w:p w14:paraId="1C20B70F" w14:textId="77777777" w:rsidR="00B37FF3" w:rsidRPr="008F4E90" w:rsidRDefault="00EB25CA" w:rsidP="00B37FF3">
      <w:pPr>
        <w:spacing w:after="160" w:line="480" w:lineRule="auto"/>
        <w:ind w:firstLine="720"/>
        <w:rPr>
          <w:rFonts w:asciiTheme="majorBidi" w:eastAsia="Times New Roman" w:hAnsiTheme="majorBidi" w:cstheme="majorBidi"/>
          <w:b/>
          <w:i/>
          <w:sz w:val="24"/>
          <w:szCs w:val="24"/>
        </w:rPr>
      </w:pPr>
      <w:r w:rsidRPr="008F4E90">
        <w:rPr>
          <w:rFonts w:asciiTheme="majorBidi" w:eastAsia="Times New Roman" w:hAnsiTheme="majorBidi" w:cstheme="majorBidi"/>
          <w:b/>
          <w:i/>
          <w:sz w:val="24"/>
          <w:szCs w:val="24"/>
        </w:rPr>
        <w:t>The Impact of Eye Conditions on spontaneous EEG in ASC</w:t>
      </w:r>
      <w:r w:rsidR="00B37FF3" w:rsidRPr="008F4E90">
        <w:rPr>
          <w:rFonts w:asciiTheme="majorBidi" w:eastAsia="Times New Roman" w:hAnsiTheme="majorBidi" w:cstheme="majorBidi"/>
          <w:b/>
          <w:i/>
          <w:sz w:val="24"/>
          <w:szCs w:val="24"/>
        </w:rPr>
        <w:t xml:space="preserve">. </w:t>
      </w:r>
      <w:r w:rsidRPr="008F4E90">
        <w:rPr>
          <w:rFonts w:asciiTheme="majorBidi" w:eastAsia="Times New Roman" w:hAnsiTheme="majorBidi" w:cstheme="majorBidi"/>
          <w:sz w:val="24"/>
          <w:szCs w:val="24"/>
        </w:rPr>
        <w:t xml:space="preserve">Changes in brain states, such as variations in eye conditions (e.g., eyes open versus eyes closed), can potentially introduce confounding factors when analysing spontaneous EEG. This is because spontaneous EEG is capable of accurately capturing the impact of external sensory or visual stimuli and detecting differences between resting states under different eye conditions </w:t>
      </w:r>
      <w:hyperlink r:id="rId122">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Boytsova</w:t>
        </w:r>
        <w:proofErr w:type="spellEnd"/>
        <w:r w:rsidRPr="008F4E90">
          <w:rPr>
            <w:rFonts w:asciiTheme="majorBidi" w:eastAsia="Times New Roman" w:hAnsiTheme="majorBidi" w:cstheme="majorBidi"/>
            <w:sz w:val="24"/>
            <w:szCs w:val="24"/>
          </w:rPr>
          <w:t xml:space="preserve"> &amp; Danko, 2010</w:t>
        </w:r>
      </w:hyperlink>
      <w:hyperlink r:id="rId123">
        <w:r w:rsidRPr="008F4E90">
          <w:rPr>
            <w:rFonts w:asciiTheme="majorBidi" w:eastAsia="Times New Roman" w:hAnsiTheme="majorBidi" w:cstheme="majorBidi"/>
            <w:sz w:val="24"/>
            <w:szCs w:val="24"/>
          </w:rPr>
          <w:t xml:space="preserve">; </w:t>
        </w:r>
      </w:hyperlink>
      <w:hyperlink r:id="rId124">
        <w:r w:rsidRPr="008F4E90">
          <w:rPr>
            <w:rFonts w:asciiTheme="majorBidi" w:eastAsia="Times New Roman" w:hAnsiTheme="majorBidi" w:cstheme="majorBidi"/>
            <w:sz w:val="24"/>
            <w:szCs w:val="24"/>
          </w:rPr>
          <w:t>Wei et al., 2018)</w:t>
        </w:r>
      </w:hyperlink>
      <w:r w:rsidRPr="008F4E90">
        <w:rPr>
          <w:rFonts w:asciiTheme="majorBidi" w:eastAsia="Times New Roman" w:hAnsiTheme="majorBidi" w:cstheme="majorBidi"/>
          <w:sz w:val="24"/>
          <w:szCs w:val="24"/>
        </w:rPr>
        <w:t xml:space="preserve">. Studies have suggested that eye conditions can affect the brain signal; when healthy individuals are seated and in a relaxed state with their eyes closed, the increased brain activity in the low-frequency delta and theta ranges, along with the prominent alpha range, is predominantly observed throughout a widespread region </w:t>
      </w:r>
      <w:hyperlink r:id="rId125">
        <w:r w:rsidRPr="008F4E90">
          <w:rPr>
            <w:rFonts w:asciiTheme="majorBidi" w:eastAsia="Times New Roman" w:hAnsiTheme="majorBidi" w:cstheme="majorBidi"/>
            <w:sz w:val="24"/>
            <w:szCs w:val="24"/>
          </w:rPr>
          <w:t>(Geller et al., 2014)</w:t>
        </w:r>
      </w:hyperlink>
      <w:r w:rsidRPr="008F4E90">
        <w:rPr>
          <w:rFonts w:asciiTheme="majorBidi" w:eastAsia="Times New Roman" w:hAnsiTheme="majorBidi" w:cstheme="majorBidi"/>
          <w:sz w:val="24"/>
          <w:szCs w:val="24"/>
        </w:rPr>
        <w:t xml:space="preserve">; and their brain complexity is decreased (Vecchio et al., 2021). In a study conducted by </w:t>
      </w:r>
      <w:hyperlink r:id="rId126">
        <w:r w:rsidRPr="008F4E90">
          <w:rPr>
            <w:rFonts w:asciiTheme="majorBidi" w:eastAsia="Times New Roman" w:hAnsiTheme="majorBidi" w:cstheme="majorBidi"/>
            <w:sz w:val="24"/>
            <w:szCs w:val="24"/>
          </w:rPr>
          <w:t>La Rocca et al., 2014</w:t>
        </w:r>
      </w:hyperlink>
      <w:r w:rsidRPr="008F4E90">
        <w:rPr>
          <w:rFonts w:asciiTheme="majorBidi" w:eastAsia="Times New Roman" w:hAnsiTheme="majorBidi" w:cstheme="majorBidi"/>
          <w:sz w:val="24"/>
          <w:szCs w:val="24"/>
        </w:rPr>
        <w:t xml:space="preserve">, connectivity metrics of the frontal and parietal lobes were employed to accurately classify individuals into eyes open, and eyes closed states with a high level of accuracy. Additionally, a study reported that the abrupt transition between eye states, from eyes closed to eyes open and vice versa, can have an impact on brain signals. The change in eye state was effectively detected in less than two seconds by machine learning classifiers </w:t>
      </w:r>
      <w:hyperlink r:id="rId127">
        <w:r w:rsidRPr="008F4E90">
          <w:rPr>
            <w:rFonts w:asciiTheme="majorBidi" w:eastAsia="Times New Roman" w:hAnsiTheme="majorBidi" w:cstheme="majorBidi"/>
            <w:sz w:val="24"/>
            <w:szCs w:val="24"/>
          </w:rPr>
          <w:t>(Saghafi et al., 2017)</w:t>
        </w:r>
      </w:hyperlink>
      <w:r w:rsidRPr="008F4E90">
        <w:rPr>
          <w:rFonts w:asciiTheme="majorBidi" w:eastAsia="Times New Roman" w:hAnsiTheme="majorBidi" w:cstheme="majorBidi"/>
          <w:sz w:val="24"/>
          <w:szCs w:val="24"/>
        </w:rPr>
        <w:t xml:space="preserve">. However, in practical settings, the heterogeneity in collecting data on subjects' eye states under specific and consistent criteria is often overlooked across </w:t>
      </w:r>
      <w:r w:rsidRPr="008F4E90">
        <w:rPr>
          <w:rFonts w:asciiTheme="majorBidi" w:eastAsia="Times New Roman" w:hAnsiTheme="majorBidi" w:cstheme="majorBidi"/>
          <w:sz w:val="24"/>
          <w:szCs w:val="24"/>
        </w:rPr>
        <w:lastRenderedPageBreak/>
        <w:t xml:space="preserve">studies. Indeed, it has been suggested that brain state may be an important factor to consider and control when searching for biomarkers of autism </w:t>
      </w:r>
      <w:hyperlink r:id="rId128">
        <w:r w:rsidRPr="008F4E90">
          <w:rPr>
            <w:rFonts w:asciiTheme="majorBidi" w:eastAsia="Times New Roman" w:hAnsiTheme="majorBidi" w:cstheme="majorBidi"/>
            <w:sz w:val="24"/>
            <w:szCs w:val="24"/>
          </w:rPr>
          <w:t>(Newson &amp; Thiagarajan, 2018)</w:t>
        </w:r>
      </w:hyperlink>
      <w:r w:rsidRPr="008F4E90">
        <w:rPr>
          <w:rFonts w:asciiTheme="majorBidi" w:eastAsia="Times New Roman" w:hAnsiTheme="majorBidi" w:cstheme="majorBidi"/>
          <w:sz w:val="24"/>
          <w:szCs w:val="24"/>
        </w:rPr>
        <w:t xml:space="preserve">. </w:t>
      </w:r>
    </w:p>
    <w:p w14:paraId="2E1B883A" w14:textId="77777777" w:rsidR="00EB25CA" w:rsidRPr="008F4E90" w:rsidRDefault="00EB25CA" w:rsidP="00B37FF3">
      <w:pPr>
        <w:spacing w:after="160" w:line="480" w:lineRule="auto"/>
        <w:ind w:firstLine="720"/>
        <w:rPr>
          <w:rFonts w:asciiTheme="majorBidi" w:eastAsia="Times New Roman" w:hAnsiTheme="majorBidi" w:cstheme="majorBidi"/>
          <w:b/>
          <w:i/>
          <w:sz w:val="24"/>
          <w:szCs w:val="24"/>
        </w:rPr>
      </w:pPr>
      <w:r w:rsidRPr="008F4E90">
        <w:rPr>
          <w:rFonts w:asciiTheme="majorBidi" w:eastAsia="Times New Roman" w:hAnsiTheme="majorBidi" w:cstheme="majorBidi"/>
          <w:b/>
          <w:i/>
          <w:sz w:val="24"/>
          <w:szCs w:val="24"/>
        </w:rPr>
        <w:t>The Impact of Eye Conditions on power spectrum in ASC</w:t>
      </w:r>
      <w:r w:rsidR="00B37FF3" w:rsidRPr="008F4E90">
        <w:rPr>
          <w:rFonts w:asciiTheme="majorBidi" w:eastAsia="Times New Roman" w:hAnsiTheme="majorBidi" w:cstheme="majorBidi"/>
          <w:b/>
          <w:i/>
          <w:sz w:val="24"/>
          <w:szCs w:val="24"/>
        </w:rPr>
        <w:t xml:space="preserve">.  </w:t>
      </w:r>
      <w:r w:rsidRPr="008F4E90">
        <w:rPr>
          <w:rFonts w:asciiTheme="majorBidi" w:eastAsia="Times New Roman" w:hAnsiTheme="majorBidi" w:cstheme="majorBidi"/>
          <w:sz w:val="24"/>
          <w:szCs w:val="24"/>
        </w:rPr>
        <w:t>During a seated and relaxed state with closed eyes, healthy individuals exhibit heightened brain activity primarily in the low-frequency delta and theta ranges and in the dominant alpha range, which is observed across a widespread region</w:t>
      </w:r>
      <w:hyperlink r:id="rId129">
        <w:r w:rsidRPr="008F4E90">
          <w:rPr>
            <w:rFonts w:asciiTheme="majorBidi" w:eastAsia="Times New Roman" w:hAnsiTheme="majorBidi" w:cstheme="majorBidi"/>
            <w:sz w:val="24"/>
            <w:szCs w:val="24"/>
          </w:rPr>
          <w:t>(Barry et al., 2007)</w:t>
        </w:r>
      </w:hyperlink>
      <w:r w:rsidRPr="008F4E90">
        <w:rPr>
          <w:rFonts w:asciiTheme="majorBidi" w:eastAsia="Times New Roman" w:hAnsiTheme="majorBidi" w:cstheme="majorBidi"/>
          <w:sz w:val="24"/>
          <w:szCs w:val="24"/>
        </w:rPr>
        <w:t xml:space="preserve">. Additionally, there is a decrease in EEG power at higher frequencies </w:t>
      </w:r>
      <w:hyperlink r:id="rId130">
        <w:r w:rsidRPr="008F4E90">
          <w:rPr>
            <w:rFonts w:asciiTheme="majorBidi" w:eastAsia="Times New Roman" w:hAnsiTheme="majorBidi" w:cstheme="majorBidi"/>
            <w:sz w:val="24"/>
            <w:szCs w:val="24"/>
          </w:rPr>
          <w:t>(Geller et al., 2014</w:t>
        </w:r>
      </w:hyperlink>
      <w:hyperlink r:id="rId131">
        <w:r w:rsidRPr="008F4E90">
          <w:rPr>
            <w:rFonts w:asciiTheme="majorBidi" w:eastAsia="Times New Roman" w:hAnsiTheme="majorBidi" w:cstheme="majorBidi"/>
            <w:sz w:val="24"/>
            <w:szCs w:val="24"/>
          </w:rPr>
          <w:t xml:space="preserve">; </w:t>
        </w:r>
      </w:hyperlink>
      <w:hyperlink r:id="rId132">
        <w:r w:rsidRPr="008F4E90">
          <w:rPr>
            <w:rFonts w:asciiTheme="majorBidi" w:eastAsia="Times New Roman" w:hAnsiTheme="majorBidi" w:cstheme="majorBidi"/>
            <w:sz w:val="24"/>
            <w:szCs w:val="24"/>
          </w:rPr>
          <w:t>Isler et al., 2023)</w:t>
        </w:r>
      </w:hyperlink>
      <w:r w:rsidRPr="008F4E90">
        <w:rPr>
          <w:rFonts w:asciiTheme="majorBidi" w:eastAsia="Times New Roman" w:hAnsiTheme="majorBidi" w:cstheme="majorBidi"/>
          <w:sz w:val="24"/>
          <w:szCs w:val="24"/>
        </w:rPr>
        <w:t>.</w:t>
      </w:r>
    </w:p>
    <w:p w14:paraId="7145E160"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the case of ASC, several studies have indicated that individuals with ASC exhibit divergent EEG patterns compared to neurotypical controls when examining the differences between eyes-open and eyes-closed conditions. A comprehensive review investigated the resting-state EEG power spectrum across various psychiatric conditions, suggesting that individuals with ASC display reduced delta and beta power compared to neurotypical controls during eyes-closed conditions and decreased alpha power during eyes-open conditions and the eye-closed condition resting-state may be a more reliable approach for identifying abnormal alpha oscillations in individuals with neurodevelopmental disorder </w:t>
      </w:r>
      <w:hyperlink r:id="rId133">
        <w:r w:rsidRPr="008F4E90">
          <w:rPr>
            <w:rFonts w:asciiTheme="majorBidi" w:eastAsia="Times New Roman" w:hAnsiTheme="majorBidi" w:cstheme="majorBidi"/>
            <w:sz w:val="24"/>
            <w:szCs w:val="24"/>
          </w:rPr>
          <w:t>(Newson &amp; Thiagarajan, 2018)</w:t>
        </w:r>
      </w:hyperlink>
      <w:r w:rsidRPr="008F4E90">
        <w:rPr>
          <w:rFonts w:asciiTheme="majorBidi" w:eastAsia="Times New Roman" w:hAnsiTheme="majorBidi" w:cstheme="majorBidi"/>
          <w:sz w:val="24"/>
          <w:szCs w:val="24"/>
        </w:rPr>
        <w:t xml:space="preserve">. Furthermore, a specific study has even shown that children with ASC exhibit a notable reduction in absolute alpha power, regardless of the eye conditions </w:t>
      </w:r>
      <w:hyperlink r:id="rId134">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Bellato</w:t>
        </w:r>
        <w:proofErr w:type="spellEnd"/>
        <w:r w:rsidRPr="008F4E90">
          <w:rPr>
            <w:rFonts w:asciiTheme="majorBidi" w:eastAsia="Times New Roman" w:hAnsiTheme="majorBidi" w:cstheme="majorBidi"/>
            <w:sz w:val="24"/>
            <w:szCs w:val="24"/>
          </w:rPr>
          <w:t xml:space="preserve"> et al., 2020)</w:t>
        </w:r>
      </w:hyperlink>
      <w:r w:rsidRPr="008F4E90">
        <w:rPr>
          <w:rFonts w:asciiTheme="majorBidi" w:eastAsia="Times New Roman" w:hAnsiTheme="majorBidi" w:cstheme="majorBidi"/>
          <w:sz w:val="24"/>
          <w:szCs w:val="24"/>
        </w:rPr>
        <w:t>. Due to conflicting research findings on the precise power differences between eye conditions in ASC compared to control groups and the potential diagnostic value of resting-state eye closed condition, a clear understanding of these distinctions should be established.</w:t>
      </w:r>
    </w:p>
    <w:p w14:paraId="20E40495" w14:textId="77777777" w:rsidR="00EB25CA" w:rsidRPr="008F4E90" w:rsidRDefault="00EB25CA" w:rsidP="00EB25CA">
      <w:pPr>
        <w:spacing w:line="480" w:lineRule="auto"/>
        <w:rPr>
          <w:rFonts w:asciiTheme="majorBidi" w:eastAsia="Times New Roman" w:hAnsiTheme="majorBidi" w:cstheme="majorBidi"/>
          <w:b/>
          <w:iCs/>
          <w:sz w:val="24"/>
          <w:szCs w:val="24"/>
        </w:rPr>
      </w:pPr>
      <w:r w:rsidRPr="008F4E90">
        <w:rPr>
          <w:rFonts w:asciiTheme="majorBidi" w:eastAsia="Times New Roman" w:hAnsiTheme="majorBidi" w:cstheme="majorBidi"/>
          <w:b/>
          <w:iCs/>
          <w:sz w:val="24"/>
          <w:szCs w:val="24"/>
        </w:rPr>
        <w:t>Resting state EEG abnormalities in Relative Power in ASC</w:t>
      </w:r>
    </w:p>
    <w:p w14:paraId="66908066"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 systematic study </w:t>
      </w:r>
      <w:hyperlink r:id="rId135">
        <w:r w:rsidRPr="008F4E90">
          <w:rPr>
            <w:rFonts w:asciiTheme="majorBidi" w:eastAsia="Times New Roman" w:hAnsiTheme="majorBidi" w:cstheme="majorBidi"/>
            <w:sz w:val="24"/>
            <w:szCs w:val="24"/>
          </w:rPr>
          <w:t>(Wang et al., 2013)</w:t>
        </w:r>
      </w:hyperlink>
      <w:r w:rsidRPr="008F4E90">
        <w:rPr>
          <w:rFonts w:asciiTheme="majorBidi" w:eastAsia="Times New Roman" w:hAnsiTheme="majorBidi" w:cstheme="majorBidi"/>
          <w:sz w:val="24"/>
          <w:szCs w:val="24"/>
        </w:rPr>
        <w:t xml:space="preserve"> suggested a potential "U-shaped" pattern of EEG power changes across various brain regions. Specifically, there was an increase in power in the low (i.e., delta, theta) and high-frequency bands (i.e., beta and gamma bands) and a decrease in power in the mid-frequency band (alpha band) in comparison to typically developing individuals </w:t>
      </w:r>
      <w:hyperlink r:id="rId136">
        <w:r w:rsidRPr="008F4E90">
          <w:rPr>
            <w:rFonts w:asciiTheme="majorBidi" w:eastAsia="Times New Roman" w:hAnsiTheme="majorBidi" w:cstheme="majorBidi"/>
            <w:sz w:val="24"/>
            <w:szCs w:val="24"/>
          </w:rPr>
          <w:t>(Murias et al., 2007</w:t>
        </w:r>
      </w:hyperlink>
      <w:hyperlink r:id="rId137">
        <w:r w:rsidRPr="008F4E90">
          <w:rPr>
            <w:rFonts w:asciiTheme="majorBidi" w:eastAsia="Times New Roman" w:hAnsiTheme="majorBidi" w:cstheme="majorBidi"/>
            <w:sz w:val="24"/>
            <w:szCs w:val="24"/>
          </w:rPr>
          <w:t xml:space="preserve">; </w:t>
        </w:r>
      </w:hyperlink>
      <w:hyperlink r:id="rId138">
        <w:r w:rsidRPr="008F4E90">
          <w:rPr>
            <w:rFonts w:asciiTheme="majorBidi" w:eastAsia="Times New Roman" w:hAnsiTheme="majorBidi" w:cstheme="majorBidi"/>
            <w:sz w:val="24"/>
            <w:szCs w:val="24"/>
          </w:rPr>
          <w:t>Coben et al., 2008)</w:t>
        </w:r>
      </w:hyperlink>
      <w:r w:rsidRPr="008F4E90">
        <w:rPr>
          <w:rFonts w:asciiTheme="majorBidi" w:eastAsia="Times New Roman" w:hAnsiTheme="majorBidi" w:cstheme="majorBidi"/>
          <w:sz w:val="24"/>
          <w:szCs w:val="24"/>
        </w:rPr>
        <w:t xml:space="preserve">. These studies support the notion that disruptions in neural oscillations occur in ASC and that EEG power can capture some of the associated dynamics of this disruption. </w:t>
      </w:r>
    </w:p>
    <w:p w14:paraId="509AB2B4"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Early investigations into resting-state EEG in individuals with ASC did not uncover consistent patterns of abnormal neural activity (</w:t>
      </w:r>
      <w:hyperlink r:id="rId139">
        <w:r w:rsidRPr="008F4E90">
          <w:rPr>
            <w:rFonts w:asciiTheme="majorBidi" w:eastAsia="Times New Roman" w:hAnsiTheme="majorBidi" w:cstheme="majorBidi"/>
            <w:sz w:val="24"/>
            <w:szCs w:val="24"/>
          </w:rPr>
          <w:t>Afifi et al., 2015</w:t>
        </w:r>
      </w:hyperlink>
      <w:hyperlink r:id="rId140">
        <w:r w:rsidRPr="008F4E90">
          <w:rPr>
            <w:rFonts w:asciiTheme="majorBidi" w:eastAsia="Times New Roman" w:hAnsiTheme="majorBidi" w:cstheme="majorBidi"/>
            <w:sz w:val="24"/>
            <w:szCs w:val="24"/>
          </w:rPr>
          <w:t xml:space="preserve">; </w:t>
        </w:r>
      </w:hyperlink>
      <w:hyperlink r:id="rId141">
        <w:r w:rsidRPr="008F4E90">
          <w:rPr>
            <w:rFonts w:asciiTheme="majorBidi" w:eastAsia="Times New Roman" w:hAnsiTheme="majorBidi" w:cstheme="majorBidi"/>
            <w:sz w:val="24"/>
            <w:szCs w:val="24"/>
          </w:rPr>
          <w:t>Cantor et al., 1986</w:t>
        </w:r>
      </w:hyperlink>
      <w:hyperlink r:id="rId142">
        <w:r w:rsidRPr="008F4E90">
          <w:rPr>
            <w:rFonts w:asciiTheme="majorBidi" w:eastAsia="Times New Roman" w:hAnsiTheme="majorBidi" w:cstheme="majorBidi"/>
            <w:sz w:val="24"/>
            <w:szCs w:val="24"/>
          </w:rPr>
          <w:t xml:space="preserve">; </w:t>
        </w:r>
      </w:hyperlink>
      <w:hyperlink r:id="rId143">
        <w:r w:rsidRPr="008F4E90">
          <w:rPr>
            <w:rFonts w:asciiTheme="majorBidi" w:eastAsia="Times New Roman" w:hAnsiTheme="majorBidi" w:cstheme="majorBidi"/>
            <w:sz w:val="24"/>
            <w:szCs w:val="24"/>
          </w:rPr>
          <w:t>Chan et al., 2007</w:t>
        </w:r>
      </w:hyperlink>
      <w:hyperlink r:id="rId144">
        <w:r w:rsidRPr="008F4E90">
          <w:rPr>
            <w:rFonts w:asciiTheme="majorBidi" w:eastAsia="Times New Roman" w:hAnsiTheme="majorBidi" w:cstheme="majorBidi"/>
            <w:sz w:val="24"/>
            <w:szCs w:val="24"/>
          </w:rPr>
          <w:t xml:space="preserve">; </w:t>
        </w:r>
      </w:hyperlink>
      <w:hyperlink r:id="rId145">
        <w:r w:rsidRPr="008F4E90">
          <w:rPr>
            <w:rFonts w:asciiTheme="majorBidi" w:eastAsia="Times New Roman" w:hAnsiTheme="majorBidi" w:cstheme="majorBidi"/>
            <w:sz w:val="24"/>
            <w:szCs w:val="24"/>
          </w:rPr>
          <w:t>Coben et al., 2008</w:t>
        </w:r>
      </w:hyperlink>
      <w:hyperlink r:id="rId146">
        <w:r w:rsidRPr="008F4E90">
          <w:rPr>
            <w:rFonts w:asciiTheme="majorBidi" w:eastAsia="Times New Roman" w:hAnsiTheme="majorBidi" w:cstheme="majorBidi"/>
            <w:sz w:val="24"/>
            <w:szCs w:val="24"/>
          </w:rPr>
          <w:t xml:space="preserve">; </w:t>
        </w:r>
      </w:hyperlink>
      <w:hyperlink r:id="rId147">
        <w:proofErr w:type="spellStart"/>
        <w:r w:rsidRPr="008F4E90">
          <w:rPr>
            <w:rFonts w:asciiTheme="majorBidi" w:eastAsia="Times New Roman" w:hAnsiTheme="majorBidi" w:cstheme="majorBidi"/>
            <w:sz w:val="24"/>
            <w:szCs w:val="24"/>
          </w:rPr>
          <w:t>Cornew</w:t>
        </w:r>
        <w:proofErr w:type="spellEnd"/>
        <w:r w:rsidRPr="008F4E90">
          <w:rPr>
            <w:rFonts w:asciiTheme="majorBidi" w:eastAsia="Times New Roman" w:hAnsiTheme="majorBidi" w:cstheme="majorBidi"/>
            <w:sz w:val="24"/>
            <w:szCs w:val="24"/>
          </w:rPr>
          <w:t xml:space="preserve"> et al., 2012</w:t>
        </w:r>
      </w:hyperlink>
      <w:hyperlink r:id="rId148">
        <w:r w:rsidRPr="008F4E90">
          <w:rPr>
            <w:rFonts w:asciiTheme="majorBidi" w:eastAsia="Times New Roman" w:hAnsiTheme="majorBidi" w:cstheme="majorBidi"/>
            <w:sz w:val="24"/>
            <w:szCs w:val="24"/>
          </w:rPr>
          <w:t xml:space="preserve">; </w:t>
        </w:r>
      </w:hyperlink>
      <w:hyperlink r:id="rId149">
        <w:r w:rsidRPr="008F4E90">
          <w:rPr>
            <w:rFonts w:asciiTheme="majorBidi" w:eastAsia="Times New Roman" w:hAnsiTheme="majorBidi" w:cstheme="majorBidi"/>
            <w:sz w:val="24"/>
            <w:szCs w:val="24"/>
          </w:rPr>
          <w:t>Murias et al., 2007</w:t>
        </w:r>
      </w:hyperlink>
      <w:r w:rsidRPr="008F4E90">
        <w:rPr>
          <w:rFonts w:asciiTheme="majorBidi" w:eastAsia="Times New Roman" w:hAnsiTheme="majorBidi" w:cstheme="majorBidi"/>
          <w:sz w:val="24"/>
          <w:szCs w:val="24"/>
        </w:rPr>
        <w:t xml:space="preserve">). The reported incidence of EEG irregularities in ASC subjects exhibited significant variations across studies, potentially due to the absence of standardised diagnostic methods during that period or limitations stemming from EEG recording technology (e.g., different eye conditions, fewer </w:t>
      </w:r>
      <w:r w:rsidR="0028543C" w:rsidRPr="008F4E90">
        <w:rPr>
          <w:rFonts w:asciiTheme="majorBidi" w:eastAsia="Times New Roman" w:hAnsiTheme="majorBidi" w:cstheme="majorBidi"/>
          <w:sz w:val="24"/>
          <w:szCs w:val="24"/>
        </w:rPr>
        <w:t>electrodes,</w:t>
      </w:r>
      <w:r w:rsidRPr="008F4E90">
        <w:rPr>
          <w:rFonts w:asciiTheme="majorBidi" w:eastAsia="Times New Roman" w:hAnsiTheme="majorBidi" w:cstheme="majorBidi"/>
          <w:sz w:val="24"/>
          <w:szCs w:val="24"/>
        </w:rPr>
        <w:t xml:space="preserve"> or small sample size) and analysis techniques (e.g., qualitative assessments, diverse quantification approaches). EEG spectral power discussed in this thesis was assessed in relative form to mitigate the impact of overall power fluctuations and enhance comparability across different diagnosis groups and eye conditions. This approach offers the advantages of reducing the influence of overall power variations and facilitating comparisons between groups. This table includes EEG studies that employ relative power spectral analysis to examine activity in different power bands and eye conditions (i.e., eyes open or closed) between brain regions. Not surprisingly, relative power differences are inconsistent across studies due to the wide range of ages under investigation. Nevertheless, regardless of the different eye states, a similar 'U-shaped' pattern of relative power spectrum has been observed in individuals with ASC, as reported by </w:t>
      </w:r>
      <w:hyperlink r:id="rId150">
        <w:r w:rsidRPr="008F4E90">
          <w:rPr>
            <w:rFonts w:asciiTheme="majorBidi" w:eastAsia="Times New Roman" w:hAnsiTheme="majorBidi" w:cstheme="majorBidi"/>
            <w:sz w:val="24"/>
            <w:szCs w:val="24"/>
          </w:rPr>
          <w:t>(Wang et al., 2013)</w:t>
        </w:r>
      </w:hyperlink>
      <w:r w:rsidRPr="008F4E90">
        <w:rPr>
          <w:rFonts w:asciiTheme="majorBidi" w:eastAsia="Times New Roman" w:hAnsiTheme="majorBidi" w:cstheme="majorBidi"/>
          <w:sz w:val="24"/>
          <w:szCs w:val="24"/>
        </w:rPr>
        <w:t>, which is characterised by enhanced relative power at low frequencies, followed by a decrease in relative power within the alpha band, and a subsequent enhancement at higher frequencies.</w:t>
      </w:r>
    </w:p>
    <w:p w14:paraId="59C68193" w14:textId="77777777" w:rsidR="00484F62" w:rsidRPr="008F4E90" w:rsidRDefault="00484F62" w:rsidP="00EB25CA">
      <w:pPr>
        <w:spacing w:line="480" w:lineRule="auto"/>
        <w:ind w:firstLine="720"/>
        <w:rPr>
          <w:rFonts w:asciiTheme="majorBidi" w:eastAsia="Times New Roman" w:hAnsiTheme="majorBidi" w:cstheme="majorBidi"/>
          <w:sz w:val="24"/>
          <w:szCs w:val="24"/>
        </w:rPr>
      </w:pPr>
    </w:p>
    <w:p w14:paraId="2F65CA9B" w14:textId="77777777" w:rsidR="00484F62" w:rsidRPr="008F4E90" w:rsidRDefault="00484F62" w:rsidP="00EB25CA">
      <w:pPr>
        <w:spacing w:line="480" w:lineRule="auto"/>
        <w:ind w:firstLine="720"/>
        <w:rPr>
          <w:rFonts w:asciiTheme="majorBidi" w:eastAsia="Times New Roman" w:hAnsiTheme="majorBidi" w:cstheme="majorBidi"/>
          <w:sz w:val="24"/>
          <w:szCs w:val="24"/>
        </w:rPr>
      </w:pPr>
    </w:p>
    <w:p w14:paraId="6F1A6CDB" w14:textId="77777777" w:rsidR="00484F62" w:rsidRPr="008F4E90" w:rsidRDefault="00484F62" w:rsidP="00EB25CA">
      <w:pPr>
        <w:spacing w:line="480" w:lineRule="auto"/>
        <w:ind w:firstLine="720"/>
        <w:rPr>
          <w:rFonts w:asciiTheme="majorBidi" w:eastAsia="Times New Roman" w:hAnsiTheme="majorBidi" w:cstheme="majorBidi"/>
          <w:sz w:val="24"/>
          <w:szCs w:val="24"/>
        </w:rPr>
      </w:pPr>
    </w:p>
    <w:p w14:paraId="63CEF183" w14:textId="77777777" w:rsidR="00484F62" w:rsidRPr="008F4E90" w:rsidRDefault="00484F62" w:rsidP="00EB25CA">
      <w:pPr>
        <w:spacing w:line="480" w:lineRule="auto"/>
        <w:ind w:firstLine="720"/>
        <w:rPr>
          <w:rFonts w:asciiTheme="majorBidi" w:eastAsia="Times New Roman" w:hAnsiTheme="majorBidi" w:cstheme="majorBidi"/>
          <w:sz w:val="24"/>
          <w:szCs w:val="24"/>
        </w:rPr>
      </w:pPr>
    </w:p>
    <w:p w14:paraId="1514146C" w14:textId="77777777" w:rsidR="00484F62" w:rsidRPr="008F4E90" w:rsidRDefault="00484F62" w:rsidP="00EB25CA">
      <w:pPr>
        <w:spacing w:line="480" w:lineRule="auto"/>
        <w:ind w:firstLine="720"/>
        <w:rPr>
          <w:rFonts w:asciiTheme="majorBidi" w:eastAsia="Times New Roman" w:hAnsiTheme="majorBidi" w:cstheme="majorBidi"/>
          <w:sz w:val="24"/>
          <w:szCs w:val="24"/>
        </w:rPr>
      </w:pPr>
    </w:p>
    <w:p w14:paraId="3E6020F1" w14:textId="77777777" w:rsidR="00484F62" w:rsidRPr="008F4E90" w:rsidRDefault="00484F62" w:rsidP="00EB25CA">
      <w:pPr>
        <w:spacing w:line="480" w:lineRule="auto"/>
        <w:ind w:firstLine="720"/>
        <w:rPr>
          <w:rFonts w:asciiTheme="majorBidi" w:eastAsia="Times New Roman" w:hAnsiTheme="majorBidi" w:cstheme="majorBidi"/>
          <w:sz w:val="24"/>
          <w:szCs w:val="24"/>
        </w:rPr>
      </w:pPr>
    </w:p>
    <w:p w14:paraId="08DC8FC0" w14:textId="77777777" w:rsidR="00EB25CA" w:rsidRPr="008F4E90" w:rsidRDefault="00EB25CA" w:rsidP="00EB25CA">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Table 1</w:t>
      </w:r>
    </w:p>
    <w:p w14:paraId="10837632" w14:textId="77777777" w:rsidR="00EB25CA" w:rsidRPr="008F4E90" w:rsidRDefault="00EB25CA" w:rsidP="00EB25CA">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Exploring Brain Region Activity Across Various Power Bands and Eye Conditions in EEG Studies Utilizing Relative Power Spectral Analysis</w:t>
      </w:r>
    </w:p>
    <w:tbl>
      <w:tblPr>
        <w:tblW w:w="9936"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6"/>
        <w:gridCol w:w="1275"/>
        <w:gridCol w:w="1560"/>
        <w:gridCol w:w="1559"/>
        <w:gridCol w:w="1198"/>
        <w:gridCol w:w="1650"/>
      </w:tblGrid>
      <w:tr w:rsidR="008F4E90" w:rsidRPr="008F4E90" w14:paraId="3133EEF0" w14:textId="77777777" w:rsidTr="00CA1E73">
        <w:tc>
          <w:tcPr>
            <w:tcW w:w="1418" w:type="dxa"/>
            <w:tcBorders>
              <w:top w:val="single" w:sz="5" w:space="0" w:color="000000"/>
              <w:left w:val="single" w:sz="5" w:space="0" w:color="FFFFFF"/>
              <w:bottom w:val="single" w:sz="5" w:space="0" w:color="000000"/>
              <w:right w:val="single" w:sz="5" w:space="0" w:color="FFFFFF"/>
            </w:tcBorders>
            <w:shd w:val="clear" w:color="auto" w:fill="FFFFFF"/>
            <w:tcMar>
              <w:top w:w="100" w:type="dxa"/>
              <w:left w:w="100" w:type="dxa"/>
              <w:bottom w:w="100" w:type="dxa"/>
              <w:right w:w="100" w:type="dxa"/>
            </w:tcMar>
          </w:tcPr>
          <w:p w14:paraId="1E5A0D8B" w14:textId="77777777" w:rsidR="00337CCA" w:rsidRPr="008F4E90" w:rsidRDefault="00337CCA" w:rsidP="00ED0B86">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Frequency </w:t>
            </w:r>
          </w:p>
          <w:p w14:paraId="7FC65BDE" w14:textId="77777777" w:rsidR="00337CCA" w:rsidRPr="008F4E90" w:rsidRDefault="00337CCA" w:rsidP="00ED0B86">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band</w:t>
            </w:r>
          </w:p>
        </w:tc>
        <w:tc>
          <w:tcPr>
            <w:tcW w:w="1276" w:type="dxa"/>
            <w:tcBorders>
              <w:top w:val="single" w:sz="5" w:space="0" w:color="000000"/>
              <w:left w:val="single" w:sz="5" w:space="0" w:color="FFFFFF"/>
              <w:bottom w:val="single" w:sz="5" w:space="0" w:color="000000"/>
              <w:right w:val="single" w:sz="5" w:space="0" w:color="FFFFFF"/>
            </w:tcBorders>
            <w:shd w:val="clear" w:color="auto" w:fill="FFFFFF"/>
            <w:tcMar>
              <w:top w:w="100" w:type="dxa"/>
              <w:left w:w="100" w:type="dxa"/>
              <w:bottom w:w="100" w:type="dxa"/>
              <w:right w:w="100" w:type="dxa"/>
            </w:tcMar>
          </w:tcPr>
          <w:p w14:paraId="77BF53B3" w14:textId="77777777" w:rsidR="00337CCA" w:rsidRPr="008F4E90" w:rsidRDefault="00337CCA" w:rsidP="00ED0B86">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Brain region(s)</w:t>
            </w:r>
          </w:p>
        </w:tc>
        <w:tc>
          <w:tcPr>
            <w:tcW w:w="1275" w:type="dxa"/>
            <w:tcBorders>
              <w:top w:val="single" w:sz="5" w:space="0" w:color="000000"/>
              <w:left w:val="single" w:sz="5" w:space="0" w:color="FFFFFF"/>
              <w:bottom w:val="single" w:sz="5" w:space="0" w:color="000000"/>
              <w:right w:val="single" w:sz="5" w:space="0" w:color="FFFFFF"/>
            </w:tcBorders>
            <w:shd w:val="clear" w:color="auto" w:fill="FFFFFF"/>
            <w:tcMar>
              <w:top w:w="100" w:type="dxa"/>
              <w:left w:w="100" w:type="dxa"/>
              <w:bottom w:w="100" w:type="dxa"/>
              <w:right w:w="100" w:type="dxa"/>
            </w:tcMar>
          </w:tcPr>
          <w:p w14:paraId="01FAE434" w14:textId="77777777" w:rsidR="00337CCA" w:rsidRPr="008F4E90" w:rsidRDefault="00337CCA" w:rsidP="00ED0B86">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Effect</w:t>
            </w:r>
          </w:p>
        </w:tc>
        <w:tc>
          <w:tcPr>
            <w:tcW w:w="1560" w:type="dxa"/>
            <w:tcBorders>
              <w:top w:val="single" w:sz="5" w:space="0" w:color="000000"/>
              <w:left w:val="single" w:sz="5" w:space="0" w:color="FFFFFF"/>
              <w:bottom w:val="single" w:sz="5" w:space="0" w:color="000000"/>
              <w:right w:val="single" w:sz="5" w:space="0" w:color="FFFFFF"/>
            </w:tcBorders>
            <w:shd w:val="clear" w:color="auto" w:fill="FFFFFF"/>
            <w:tcMar>
              <w:top w:w="100" w:type="dxa"/>
              <w:left w:w="100" w:type="dxa"/>
              <w:bottom w:w="100" w:type="dxa"/>
              <w:right w:w="100" w:type="dxa"/>
            </w:tcMar>
          </w:tcPr>
          <w:p w14:paraId="11116135" w14:textId="77777777" w:rsidR="00337CCA" w:rsidRPr="008F4E90" w:rsidRDefault="00337CCA" w:rsidP="00ED0B86">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Eye Condition</w:t>
            </w:r>
          </w:p>
        </w:tc>
        <w:tc>
          <w:tcPr>
            <w:tcW w:w="1559" w:type="dxa"/>
            <w:tcBorders>
              <w:top w:val="single" w:sz="5" w:space="0" w:color="000000"/>
              <w:left w:val="single" w:sz="5" w:space="0" w:color="FFFFFF"/>
              <w:bottom w:val="single" w:sz="5" w:space="0" w:color="000000"/>
              <w:right w:val="single" w:sz="5" w:space="0" w:color="FFFFFF"/>
            </w:tcBorders>
            <w:shd w:val="clear" w:color="auto" w:fill="FFFFFF"/>
            <w:tcMar>
              <w:top w:w="100" w:type="dxa"/>
              <w:left w:w="100" w:type="dxa"/>
              <w:bottom w:w="100" w:type="dxa"/>
              <w:right w:w="100" w:type="dxa"/>
            </w:tcMar>
          </w:tcPr>
          <w:p w14:paraId="62CAD837" w14:textId="77777777" w:rsidR="00337CCA" w:rsidRPr="008F4E90" w:rsidRDefault="00337CCA" w:rsidP="00337CCA">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Sample Size</w:t>
            </w:r>
          </w:p>
        </w:tc>
        <w:tc>
          <w:tcPr>
            <w:tcW w:w="1198" w:type="dxa"/>
            <w:tcBorders>
              <w:top w:val="single" w:sz="5" w:space="0" w:color="000000"/>
              <w:left w:val="single" w:sz="5" w:space="0" w:color="FFFFFF"/>
              <w:bottom w:val="single" w:sz="5" w:space="0" w:color="000000"/>
              <w:right w:val="single" w:sz="5" w:space="0" w:color="FFFFFF"/>
            </w:tcBorders>
            <w:shd w:val="clear" w:color="auto" w:fill="FFFFFF"/>
            <w:tcMar>
              <w:top w:w="100" w:type="dxa"/>
              <w:left w:w="100" w:type="dxa"/>
              <w:bottom w:w="100" w:type="dxa"/>
              <w:right w:w="100" w:type="dxa"/>
            </w:tcMar>
          </w:tcPr>
          <w:p w14:paraId="1AD59C09" w14:textId="77777777" w:rsidR="00337CCA" w:rsidRPr="008F4E90" w:rsidRDefault="00337CCA" w:rsidP="00337CCA">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Age Group</w:t>
            </w:r>
          </w:p>
        </w:tc>
        <w:tc>
          <w:tcPr>
            <w:tcW w:w="1650" w:type="dxa"/>
            <w:tcBorders>
              <w:top w:val="single" w:sz="5" w:space="0" w:color="000000"/>
              <w:left w:val="single" w:sz="5" w:space="0" w:color="FFFFFF"/>
              <w:bottom w:val="single" w:sz="5" w:space="0" w:color="000000"/>
              <w:right w:val="single" w:sz="5" w:space="0" w:color="FFFFFF"/>
            </w:tcBorders>
            <w:shd w:val="clear" w:color="auto" w:fill="FFFFFF"/>
            <w:tcMar>
              <w:top w:w="100" w:type="dxa"/>
              <w:left w:w="100" w:type="dxa"/>
              <w:bottom w:w="100" w:type="dxa"/>
              <w:right w:w="100" w:type="dxa"/>
            </w:tcMar>
          </w:tcPr>
          <w:p w14:paraId="0FCFC7E2" w14:textId="77777777" w:rsidR="00337CCA" w:rsidRPr="008F4E90" w:rsidRDefault="00337CCA" w:rsidP="00ED0B86">
            <w:pPr>
              <w:widowControl w:val="0"/>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Ref(s)</w:t>
            </w:r>
          </w:p>
        </w:tc>
      </w:tr>
      <w:tr w:rsidR="008F4E90" w:rsidRPr="008F4E90" w14:paraId="2E22794A" w14:textId="77777777" w:rsidTr="00CA1E73">
        <w:tc>
          <w:tcPr>
            <w:tcW w:w="1418" w:type="dxa"/>
            <w:tcBorders>
              <w:top w:val="single" w:sz="5"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622BC1"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All</w:t>
            </w:r>
          </w:p>
        </w:tc>
        <w:tc>
          <w:tcPr>
            <w:tcW w:w="1276" w:type="dxa"/>
            <w:tcBorders>
              <w:top w:val="single" w:sz="5"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35584A"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5" w:type="dxa"/>
            <w:tcBorders>
              <w:top w:val="single" w:sz="5"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88EC2B"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No effect</w:t>
            </w:r>
          </w:p>
        </w:tc>
        <w:tc>
          <w:tcPr>
            <w:tcW w:w="1560" w:type="dxa"/>
            <w:tcBorders>
              <w:top w:val="single" w:sz="5"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D90CEE"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open in dark</w:t>
            </w:r>
          </w:p>
        </w:tc>
        <w:tc>
          <w:tcPr>
            <w:tcW w:w="1559" w:type="dxa"/>
            <w:tcBorders>
              <w:top w:val="single" w:sz="5"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D1E219"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222 ASC</w:t>
            </w:r>
            <w:r w:rsidRPr="008F4E90">
              <w:rPr>
                <w:rFonts w:asciiTheme="majorBidi" w:eastAsia="Times New Roman" w:hAnsiTheme="majorBidi" w:cstheme="majorBidi"/>
                <w:sz w:val="24"/>
                <w:szCs w:val="24"/>
              </w:rPr>
              <w:br/>
              <w:t>210 CON</w:t>
            </w:r>
          </w:p>
        </w:tc>
        <w:tc>
          <w:tcPr>
            <w:tcW w:w="1198" w:type="dxa"/>
            <w:tcBorders>
              <w:top w:val="single" w:sz="5"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DBB88A" w14:textId="77777777" w:rsidR="00337CCA" w:rsidRPr="008F4E90" w:rsidRDefault="00337CCA" w:rsidP="00337CCA">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3-36 </w:t>
            </w:r>
          </w:p>
          <w:p w14:paraId="38436FB5" w14:textId="77777777" w:rsidR="00337CCA" w:rsidRPr="008F4E90" w:rsidRDefault="00337CCA" w:rsidP="00337CCA">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months</w:t>
            </w:r>
          </w:p>
        </w:tc>
        <w:tc>
          <w:tcPr>
            <w:tcW w:w="1650" w:type="dxa"/>
            <w:tcBorders>
              <w:top w:val="single" w:sz="5"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214A0C"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51">
              <w:r w:rsidR="00337CCA" w:rsidRPr="008F4E90">
                <w:rPr>
                  <w:rFonts w:asciiTheme="majorBidi" w:eastAsia="Times New Roman" w:hAnsiTheme="majorBidi" w:cstheme="majorBidi"/>
                  <w:sz w:val="24"/>
                  <w:szCs w:val="24"/>
                </w:rPr>
                <w:t>(Huberty et al. 2021)</w:t>
              </w:r>
            </w:hyperlink>
            <w:r w:rsidR="00337CCA" w:rsidRPr="008F4E90">
              <w:rPr>
                <w:rFonts w:asciiTheme="majorBidi" w:eastAsia="Times New Roman" w:hAnsiTheme="majorBidi" w:cstheme="majorBidi"/>
                <w:sz w:val="24"/>
                <w:szCs w:val="24"/>
              </w:rPr>
              <w:t xml:space="preserve"> </w:t>
            </w:r>
            <w:r w:rsidR="00337CCA" w:rsidRPr="008F4E90">
              <w:rPr>
                <w:rFonts w:asciiTheme="majorBidi" w:eastAsia="Times New Roman" w:hAnsiTheme="majorBidi" w:cstheme="majorBidi"/>
                <w:sz w:val="24"/>
                <w:szCs w:val="24"/>
              </w:rPr>
              <w:br/>
            </w:r>
          </w:p>
        </w:tc>
      </w:tr>
      <w:tr w:rsidR="008F4E90" w:rsidRPr="008F4E90" w14:paraId="76968E97"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93D7EF"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Delta</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CFD3AC" w14:textId="77777777" w:rsidR="00337CCA" w:rsidRPr="008F4E90" w:rsidRDefault="00337CCA" w:rsidP="0028543C">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All region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F86465"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305AB8"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open</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15317E"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 ASC</w:t>
            </w:r>
            <w:r w:rsidRPr="008F4E90">
              <w:rPr>
                <w:rFonts w:asciiTheme="majorBidi" w:eastAsia="Times New Roman" w:hAnsiTheme="majorBidi" w:cstheme="majorBidi"/>
                <w:sz w:val="24"/>
                <w:szCs w:val="24"/>
              </w:rPr>
              <w:br/>
              <w:t>13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1870EF" w14:textId="77777777" w:rsidR="00337CCA" w:rsidRPr="008F4E90" w:rsidRDefault="00337CCA" w:rsidP="00337CCA">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4-12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B16993"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52">
              <w:r w:rsidR="00337CCA" w:rsidRPr="008F4E90">
                <w:rPr>
                  <w:rFonts w:asciiTheme="majorBidi" w:eastAsia="Times New Roman" w:hAnsiTheme="majorBidi" w:cstheme="majorBidi"/>
                  <w:sz w:val="24"/>
                  <w:szCs w:val="24"/>
                </w:rPr>
                <w:t>(Cantor et al. 1986)</w:t>
              </w:r>
            </w:hyperlink>
            <w:r w:rsidR="00337CCA" w:rsidRPr="008F4E90">
              <w:rPr>
                <w:rFonts w:asciiTheme="majorBidi" w:eastAsia="Times New Roman" w:hAnsiTheme="majorBidi" w:cstheme="majorBidi"/>
                <w:sz w:val="24"/>
                <w:szCs w:val="24"/>
              </w:rPr>
              <w:t xml:space="preserve"> </w:t>
            </w:r>
          </w:p>
          <w:p w14:paraId="1F2C03B2"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r>
      <w:tr w:rsidR="008F4E90" w:rsidRPr="008F4E90" w14:paraId="10A177AE"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E92946" w14:textId="77777777" w:rsidR="00337CCA" w:rsidRPr="008F4E90" w:rsidRDefault="00337CCA" w:rsidP="00ED0B86">
            <w:pPr>
              <w:widowControl w:val="0"/>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E123FD"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All region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2E9EA4"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88CBA0"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gently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F88EFE"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27 ASC</w:t>
            </w:r>
            <w:r w:rsidRPr="008F4E90">
              <w:rPr>
                <w:rFonts w:asciiTheme="majorBidi" w:eastAsia="Times New Roman" w:hAnsiTheme="majorBidi" w:cstheme="majorBidi"/>
                <w:sz w:val="24"/>
                <w:szCs w:val="24"/>
              </w:rPr>
              <w:br/>
              <w:t>23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928641"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6-15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355F9A" w14:textId="77777777" w:rsidR="00337CCA" w:rsidRPr="008F4E90" w:rsidRDefault="00000000" w:rsidP="00ED0B86">
            <w:pPr>
              <w:widowControl w:val="0"/>
              <w:jc w:val="center"/>
              <w:rPr>
                <w:rFonts w:asciiTheme="majorBidi" w:eastAsia="Times New Roman" w:hAnsiTheme="majorBidi" w:cstheme="majorBidi"/>
                <w:sz w:val="24"/>
                <w:szCs w:val="24"/>
              </w:rPr>
            </w:pPr>
            <w:hyperlink r:id="rId153">
              <w:r w:rsidR="00337CCA" w:rsidRPr="008F4E90">
                <w:rPr>
                  <w:rFonts w:asciiTheme="majorBidi" w:eastAsia="Times New Roman" w:hAnsiTheme="majorBidi" w:cstheme="majorBidi"/>
                  <w:sz w:val="24"/>
                  <w:szCs w:val="24"/>
                </w:rPr>
                <w:t>(</w:t>
              </w:r>
              <w:proofErr w:type="spellStart"/>
              <w:r w:rsidR="00337CCA" w:rsidRPr="008F4E90">
                <w:rPr>
                  <w:rFonts w:asciiTheme="majorBidi" w:eastAsia="Times New Roman" w:hAnsiTheme="majorBidi" w:cstheme="majorBidi"/>
                  <w:sz w:val="24"/>
                  <w:szCs w:val="24"/>
                </w:rPr>
                <w:t>Cornew</w:t>
              </w:r>
              <w:proofErr w:type="spellEnd"/>
              <w:r w:rsidR="00337CCA" w:rsidRPr="008F4E90">
                <w:rPr>
                  <w:rFonts w:asciiTheme="majorBidi" w:eastAsia="Times New Roman" w:hAnsiTheme="majorBidi" w:cstheme="majorBidi"/>
                  <w:sz w:val="24"/>
                  <w:szCs w:val="24"/>
                </w:rPr>
                <w:t xml:space="preserve"> et al. 2012)</w:t>
              </w:r>
            </w:hyperlink>
            <w:r w:rsidR="00337CCA" w:rsidRPr="008F4E90">
              <w:rPr>
                <w:rFonts w:asciiTheme="majorBidi" w:eastAsia="Times New Roman" w:hAnsiTheme="majorBidi" w:cstheme="majorBidi"/>
                <w:sz w:val="24"/>
                <w:szCs w:val="24"/>
              </w:rPr>
              <w:t xml:space="preserve"> </w:t>
            </w:r>
          </w:p>
        </w:tc>
      </w:tr>
      <w:tr w:rsidR="008F4E90" w:rsidRPr="008F4E90" w14:paraId="340F8D29"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7914DF"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226D80"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Frontal</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CFB412"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3BF7F2"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gently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A3DDDA"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27 ASC</w:t>
            </w:r>
            <w:r w:rsidRPr="008F4E90">
              <w:rPr>
                <w:rFonts w:asciiTheme="majorBidi" w:eastAsia="Times New Roman" w:hAnsiTheme="majorBidi" w:cstheme="majorBidi"/>
                <w:sz w:val="24"/>
                <w:szCs w:val="24"/>
              </w:rPr>
              <w:br/>
              <w:t>23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82ACFE"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6-15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3359FA" w14:textId="77777777" w:rsidR="00337CCA" w:rsidRPr="008F4E90" w:rsidRDefault="00000000" w:rsidP="00ED0B86">
            <w:pPr>
              <w:widowControl w:val="0"/>
              <w:jc w:val="center"/>
              <w:rPr>
                <w:rFonts w:asciiTheme="majorBidi" w:eastAsia="Times New Roman" w:hAnsiTheme="majorBidi" w:cstheme="majorBidi"/>
                <w:sz w:val="24"/>
                <w:szCs w:val="24"/>
              </w:rPr>
            </w:pPr>
            <w:hyperlink r:id="rId154">
              <w:r w:rsidR="00337CCA" w:rsidRPr="008F4E90">
                <w:rPr>
                  <w:rFonts w:asciiTheme="majorBidi" w:eastAsia="Times New Roman" w:hAnsiTheme="majorBidi" w:cstheme="majorBidi"/>
                  <w:sz w:val="24"/>
                  <w:szCs w:val="24"/>
                </w:rPr>
                <w:t>(</w:t>
              </w:r>
              <w:proofErr w:type="spellStart"/>
              <w:r w:rsidR="00337CCA" w:rsidRPr="008F4E90">
                <w:rPr>
                  <w:rFonts w:asciiTheme="majorBidi" w:eastAsia="Times New Roman" w:hAnsiTheme="majorBidi" w:cstheme="majorBidi"/>
                  <w:sz w:val="24"/>
                  <w:szCs w:val="24"/>
                </w:rPr>
                <w:t>Cornew</w:t>
              </w:r>
              <w:proofErr w:type="spellEnd"/>
              <w:r w:rsidR="00337CCA" w:rsidRPr="008F4E90">
                <w:rPr>
                  <w:rFonts w:asciiTheme="majorBidi" w:eastAsia="Times New Roman" w:hAnsiTheme="majorBidi" w:cstheme="majorBidi"/>
                  <w:sz w:val="24"/>
                  <w:szCs w:val="24"/>
                </w:rPr>
                <w:t xml:space="preserve"> et al. 2012)</w:t>
              </w:r>
            </w:hyperlink>
          </w:p>
        </w:tc>
      </w:tr>
      <w:tr w:rsidR="008F4E90" w:rsidRPr="008F4E90" w14:paraId="4FC003E5"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A7205B"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912151"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Frontal</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B80D98"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Decreased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EE7302"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BEF80F"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20 ASC</w:t>
            </w:r>
            <w:r w:rsidRPr="008F4E90">
              <w:rPr>
                <w:rFonts w:asciiTheme="majorBidi" w:eastAsia="Times New Roman" w:hAnsiTheme="majorBidi" w:cstheme="majorBidi"/>
                <w:sz w:val="24"/>
                <w:szCs w:val="24"/>
              </w:rPr>
              <w:br/>
              <w:t>20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3F133D" w14:textId="77777777" w:rsidR="00337CCA" w:rsidRPr="008F4E90" w:rsidRDefault="00337CCA" w:rsidP="00337CCA">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6-11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D20969"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55">
              <w:r w:rsidR="00337CCA" w:rsidRPr="008F4E90">
                <w:rPr>
                  <w:rFonts w:asciiTheme="majorBidi" w:eastAsia="Times New Roman" w:hAnsiTheme="majorBidi" w:cstheme="majorBidi"/>
                  <w:sz w:val="24"/>
                  <w:szCs w:val="24"/>
                </w:rPr>
                <w:t>(Coben et al. 2008)</w:t>
              </w:r>
            </w:hyperlink>
            <w:r w:rsidR="00337CCA" w:rsidRPr="008F4E90">
              <w:rPr>
                <w:rFonts w:asciiTheme="majorBidi" w:eastAsia="Times New Roman" w:hAnsiTheme="majorBidi" w:cstheme="majorBidi"/>
                <w:sz w:val="24"/>
                <w:szCs w:val="24"/>
              </w:rPr>
              <w:t xml:space="preserve"> </w:t>
            </w:r>
          </w:p>
        </w:tc>
      </w:tr>
      <w:tr w:rsidR="008F4E90" w:rsidRPr="008F4E90" w14:paraId="5DCCE318"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6240AF"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5840E9"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Central/</w:t>
            </w:r>
          </w:p>
          <w:p w14:paraId="0CBEDB20"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Parietal</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E9221C"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CE4A96"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open</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104219"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66 ASC</w:t>
            </w:r>
            <w:r w:rsidRPr="008F4E90">
              <w:rPr>
                <w:rFonts w:asciiTheme="majorBidi" w:eastAsia="Times New Roman" w:hAnsiTheme="majorBidi" w:cstheme="majorBidi"/>
                <w:sz w:val="24"/>
                <w:szCs w:val="24"/>
              </w:rPr>
              <w:br/>
              <w:t>90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C47840"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5-18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45E772" w14:textId="77777777" w:rsidR="00337CCA" w:rsidRPr="008F4E90" w:rsidRDefault="00000000" w:rsidP="00ED0B86">
            <w:pPr>
              <w:widowControl w:val="0"/>
              <w:jc w:val="center"/>
              <w:rPr>
                <w:rFonts w:asciiTheme="majorBidi" w:eastAsia="Times New Roman" w:hAnsiTheme="majorBidi" w:cstheme="majorBidi"/>
                <w:sz w:val="24"/>
                <w:szCs w:val="24"/>
              </w:rPr>
            </w:pPr>
            <w:hyperlink r:id="rId156">
              <w:r w:rsidR="00337CCA" w:rsidRPr="008F4E90">
                <w:rPr>
                  <w:rFonts w:asciiTheme="majorBidi" w:eastAsia="Times New Roman" w:hAnsiTheme="majorBidi" w:cstheme="majorBidi"/>
                  <w:sz w:val="24"/>
                  <w:szCs w:val="24"/>
                </w:rPr>
                <w:t>(Chan et al. 2007)</w:t>
              </w:r>
            </w:hyperlink>
          </w:p>
        </w:tc>
      </w:tr>
      <w:tr w:rsidR="008F4E90" w:rsidRPr="008F4E90" w14:paraId="2E96BE84"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30F207"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Theta</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C1B602" w14:textId="77777777" w:rsidR="00337CCA" w:rsidRPr="008F4E90" w:rsidRDefault="00337CCA" w:rsidP="0028543C">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Frontal/</w:t>
            </w:r>
          </w:p>
          <w:p w14:paraId="2A703ECC" w14:textId="77777777" w:rsidR="00337CCA" w:rsidRPr="008F4E90" w:rsidRDefault="00337CCA" w:rsidP="0028543C">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Temporal</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25EA4F"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9A9624"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7EBAD2"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18 ASC</w:t>
            </w:r>
            <w:r w:rsidRPr="008F4E90">
              <w:rPr>
                <w:rFonts w:asciiTheme="majorBidi" w:eastAsia="Times New Roman" w:hAnsiTheme="majorBidi" w:cstheme="majorBidi"/>
                <w:sz w:val="24"/>
                <w:szCs w:val="24"/>
              </w:rPr>
              <w:br/>
              <w:t>18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D1D8A9"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Adult</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71CB73"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57">
              <w:r w:rsidR="00337CCA" w:rsidRPr="008F4E90">
                <w:rPr>
                  <w:rFonts w:asciiTheme="majorBidi" w:eastAsia="Times New Roman" w:hAnsiTheme="majorBidi" w:cstheme="majorBidi"/>
                  <w:sz w:val="24"/>
                  <w:szCs w:val="24"/>
                </w:rPr>
                <w:t>(Murias et al. 2007)</w:t>
              </w:r>
            </w:hyperlink>
          </w:p>
        </w:tc>
      </w:tr>
      <w:tr w:rsidR="008F4E90" w:rsidRPr="008F4E90" w14:paraId="7832BD2C" w14:textId="77777777" w:rsidTr="00CA1E73">
        <w:trPr>
          <w:trHeight w:val="519"/>
        </w:trPr>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178938"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F81D2E" w14:textId="77777777" w:rsidR="00337CCA" w:rsidRPr="008F4E90" w:rsidRDefault="00337CCA" w:rsidP="0028543C">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Posterior</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8466DE"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6B47D6"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AFB9E0"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20 ASC</w:t>
            </w:r>
            <w:r w:rsidRPr="008F4E90">
              <w:rPr>
                <w:rFonts w:asciiTheme="majorBidi" w:eastAsia="Times New Roman" w:hAnsiTheme="majorBidi" w:cstheme="majorBidi"/>
                <w:sz w:val="24"/>
                <w:szCs w:val="24"/>
              </w:rPr>
              <w:br/>
              <w:t>20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7ABE1C"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6-11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DC1C33"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58">
              <w:r w:rsidR="00337CCA" w:rsidRPr="008F4E90">
                <w:rPr>
                  <w:rFonts w:asciiTheme="majorBidi" w:eastAsia="Times New Roman" w:hAnsiTheme="majorBidi" w:cstheme="majorBidi"/>
                  <w:sz w:val="24"/>
                  <w:szCs w:val="24"/>
                </w:rPr>
                <w:t>(Coben et al. 2008)</w:t>
              </w:r>
            </w:hyperlink>
            <w:r w:rsidR="00337CCA" w:rsidRPr="008F4E90">
              <w:rPr>
                <w:rFonts w:asciiTheme="majorBidi" w:eastAsia="Times New Roman" w:hAnsiTheme="majorBidi" w:cstheme="majorBidi"/>
                <w:sz w:val="24"/>
                <w:szCs w:val="24"/>
              </w:rPr>
              <w:t xml:space="preserve"> </w:t>
            </w:r>
          </w:p>
        </w:tc>
      </w:tr>
      <w:tr w:rsidR="008F4E90" w:rsidRPr="008F4E90" w14:paraId="407F5FF4"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90295C"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Alpha</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8F8950" w14:textId="77777777" w:rsidR="00337CCA" w:rsidRPr="008F4E90" w:rsidRDefault="00337CCA" w:rsidP="0028543C">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938233"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No effect</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F6CAF2"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D49FC0"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20 ASC</w:t>
            </w:r>
            <w:r w:rsidRPr="008F4E90">
              <w:rPr>
                <w:rFonts w:asciiTheme="majorBidi" w:eastAsia="Times New Roman" w:hAnsiTheme="majorBidi" w:cstheme="majorBidi"/>
                <w:sz w:val="24"/>
                <w:szCs w:val="24"/>
              </w:rPr>
              <w:br/>
              <w:t>20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014990"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6-11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6FF7B9" w14:textId="77777777" w:rsidR="00337CCA" w:rsidRPr="008F4E90" w:rsidRDefault="00000000" w:rsidP="00ED0B86">
            <w:pPr>
              <w:widowControl w:val="0"/>
              <w:jc w:val="center"/>
              <w:rPr>
                <w:rFonts w:asciiTheme="majorBidi" w:eastAsia="Times New Roman" w:hAnsiTheme="majorBidi" w:cstheme="majorBidi"/>
                <w:sz w:val="24"/>
                <w:szCs w:val="24"/>
              </w:rPr>
            </w:pPr>
            <w:hyperlink r:id="rId159">
              <w:r w:rsidR="00337CCA" w:rsidRPr="008F4E90">
                <w:rPr>
                  <w:rFonts w:asciiTheme="majorBidi" w:eastAsia="Times New Roman" w:hAnsiTheme="majorBidi" w:cstheme="majorBidi"/>
                  <w:sz w:val="24"/>
                  <w:szCs w:val="24"/>
                </w:rPr>
                <w:t>(Coben et al. 2008)</w:t>
              </w:r>
            </w:hyperlink>
          </w:p>
        </w:tc>
      </w:tr>
      <w:tr w:rsidR="008F4E90" w:rsidRPr="008F4E90" w14:paraId="63C7634F"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90F545"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1E4BE7"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All region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52D63A"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Decreased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F14BD5"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open</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F6FF46"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66 ASC</w:t>
            </w:r>
            <w:r w:rsidRPr="008F4E90">
              <w:rPr>
                <w:rFonts w:asciiTheme="majorBidi" w:eastAsia="Times New Roman" w:hAnsiTheme="majorBidi" w:cstheme="majorBidi"/>
                <w:sz w:val="24"/>
                <w:szCs w:val="24"/>
              </w:rPr>
              <w:br/>
              <w:t>90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ABF28E"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5-18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84E80E" w14:textId="77777777" w:rsidR="00337CCA" w:rsidRPr="008F4E90" w:rsidRDefault="00000000" w:rsidP="00ED0B86">
            <w:pPr>
              <w:widowControl w:val="0"/>
              <w:jc w:val="center"/>
              <w:rPr>
                <w:rFonts w:asciiTheme="majorBidi" w:eastAsia="Times New Roman" w:hAnsiTheme="majorBidi" w:cstheme="majorBidi"/>
                <w:sz w:val="24"/>
                <w:szCs w:val="24"/>
              </w:rPr>
            </w:pPr>
            <w:hyperlink r:id="rId160">
              <w:r w:rsidR="00337CCA" w:rsidRPr="008F4E90">
                <w:rPr>
                  <w:rFonts w:asciiTheme="majorBidi" w:eastAsia="Times New Roman" w:hAnsiTheme="majorBidi" w:cstheme="majorBidi"/>
                  <w:sz w:val="24"/>
                  <w:szCs w:val="24"/>
                </w:rPr>
                <w:t>(Chan et al. 2007)</w:t>
              </w:r>
            </w:hyperlink>
          </w:p>
        </w:tc>
      </w:tr>
      <w:tr w:rsidR="008F4E90" w:rsidRPr="008F4E90" w14:paraId="69F7803D"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39C236"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DC7CC5"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All region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AB3B73"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Decreased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149939"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open</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46EF82"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11ASC</w:t>
            </w:r>
            <w:r w:rsidRPr="008F4E90">
              <w:rPr>
                <w:rFonts w:asciiTheme="majorBidi" w:eastAsia="Times New Roman" w:hAnsiTheme="majorBidi" w:cstheme="majorBidi"/>
                <w:sz w:val="24"/>
                <w:szCs w:val="24"/>
              </w:rPr>
              <w:br/>
              <w:t>13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5F12DB" w14:textId="77777777" w:rsidR="00337CCA" w:rsidRPr="008F4E90" w:rsidRDefault="00337CCA" w:rsidP="00337CCA">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4-12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636A72"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61">
              <w:r w:rsidR="00337CCA" w:rsidRPr="008F4E90">
                <w:rPr>
                  <w:rFonts w:asciiTheme="majorBidi" w:eastAsia="Times New Roman" w:hAnsiTheme="majorBidi" w:cstheme="majorBidi"/>
                  <w:sz w:val="24"/>
                  <w:szCs w:val="24"/>
                </w:rPr>
                <w:t>(Cantor et al. 1986)</w:t>
              </w:r>
            </w:hyperlink>
            <w:r w:rsidR="00337CCA" w:rsidRPr="008F4E90">
              <w:rPr>
                <w:rFonts w:asciiTheme="majorBidi" w:eastAsia="Times New Roman" w:hAnsiTheme="majorBidi" w:cstheme="majorBidi"/>
                <w:sz w:val="24"/>
                <w:szCs w:val="24"/>
              </w:rPr>
              <w:t xml:space="preserve"> </w:t>
            </w:r>
          </w:p>
        </w:tc>
      </w:tr>
      <w:tr w:rsidR="008F4E90" w:rsidRPr="008F4E90" w14:paraId="6C740ACA"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FF827E"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3E0FEA"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All region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F54C51"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Decreased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7D7DC4"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open</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4EA6D6"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21 ASC</w:t>
            </w:r>
            <w:r w:rsidRPr="008F4E90">
              <w:rPr>
                <w:rFonts w:asciiTheme="majorBidi" w:eastAsia="Times New Roman" w:hAnsiTheme="majorBidi" w:cstheme="majorBidi"/>
                <w:sz w:val="24"/>
                <w:szCs w:val="24"/>
              </w:rPr>
              <w:br/>
              <w:t>21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634965"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4-12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035F84"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62">
              <w:r w:rsidR="00337CCA" w:rsidRPr="008F4E90">
                <w:rPr>
                  <w:rFonts w:asciiTheme="majorBidi" w:eastAsia="Times New Roman" w:hAnsiTheme="majorBidi" w:cstheme="majorBidi"/>
                  <w:sz w:val="24"/>
                  <w:szCs w:val="24"/>
                </w:rPr>
                <w:t>(Afifi et al. 2015)</w:t>
              </w:r>
            </w:hyperlink>
          </w:p>
        </w:tc>
      </w:tr>
      <w:tr w:rsidR="008F4E90" w:rsidRPr="008F4E90" w14:paraId="05CAA40C"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CEDE4B"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32C747"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Frontal/</w:t>
            </w:r>
          </w:p>
          <w:p w14:paraId="1013B514"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Parietal/</w:t>
            </w:r>
          </w:p>
          <w:p w14:paraId="5F168247"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Occipital</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90B89A"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Decreased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06F1D8"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78B5BA"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18 ASC</w:t>
            </w:r>
            <w:r w:rsidRPr="008F4E90">
              <w:rPr>
                <w:rFonts w:asciiTheme="majorBidi" w:eastAsia="Times New Roman" w:hAnsiTheme="majorBidi" w:cstheme="majorBidi"/>
                <w:sz w:val="24"/>
                <w:szCs w:val="24"/>
              </w:rPr>
              <w:br/>
              <w:t>18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E05445"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Adult</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0DC1A5"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63">
              <w:r w:rsidR="00337CCA" w:rsidRPr="008F4E90">
                <w:rPr>
                  <w:rFonts w:asciiTheme="majorBidi" w:eastAsia="Times New Roman" w:hAnsiTheme="majorBidi" w:cstheme="majorBidi"/>
                  <w:sz w:val="24"/>
                  <w:szCs w:val="24"/>
                </w:rPr>
                <w:t>(Murias et al. 2007)</w:t>
              </w:r>
            </w:hyperlink>
          </w:p>
        </w:tc>
      </w:tr>
      <w:tr w:rsidR="008F4E90" w:rsidRPr="008F4E90" w14:paraId="1786F873"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041050"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F2B07F"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Temporal/Parietal</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69AD0A"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201540"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gently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DC1010"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27 ASC</w:t>
            </w:r>
            <w:r w:rsidRPr="008F4E90">
              <w:rPr>
                <w:rFonts w:asciiTheme="majorBidi" w:eastAsia="Times New Roman" w:hAnsiTheme="majorBidi" w:cstheme="majorBidi"/>
                <w:sz w:val="24"/>
                <w:szCs w:val="24"/>
              </w:rPr>
              <w:br/>
              <w:t>23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613184"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6-15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B590F5" w14:textId="77777777" w:rsidR="00337CCA" w:rsidRPr="008F4E90" w:rsidRDefault="00000000" w:rsidP="00ED0B86">
            <w:pPr>
              <w:widowControl w:val="0"/>
              <w:jc w:val="center"/>
              <w:rPr>
                <w:rFonts w:asciiTheme="majorBidi" w:eastAsia="Times New Roman" w:hAnsiTheme="majorBidi" w:cstheme="majorBidi"/>
                <w:sz w:val="24"/>
                <w:szCs w:val="24"/>
              </w:rPr>
            </w:pPr>
            <w:hyperlink r:id="rId164">
              <w:r w:rsidR="00337CCA" w:rsidRPr="008F4E90">
                <w:rPr>
                  <w:rFonts w:asciiTheme="majorBidi" w:eastAsia="Times New Roman" w:hAnsiTheme="majorBidi" w:cstheme="majorBidi"/>
                  <w:sz w:val="24"/>
                  <w:szCs w:val="24"/>
                </w:rPr>
                <w:t>(</w:t>
              </w:r>
              <w:proofErr w:type="spellStart"/>
              <w:r w:rsidR="00337CCA" w:rsidRPr="008F4E90">
                <w:rPr>
                  <w:rFonts w:asciiTheme="majorBidi" w:eastAsia="Times New Roman" w:hAnsiTheme="majorBidi" w:cstheme="majorBidi"/>
                  <w:sz w:val="24"/>
                  <w:szCs w:val="24"/>
                </w:rPr>
                <w:t>Cornew</w:t>
              </w:r>
              <w:proofErr w:type="spellEnd"/>
              <w:r w:rsidR="00337CCA" w:rsidRPr="008F4E90">
                <w:rPr>
                  <w:rFonts w:asciiTheme="majorBidi" w:eastAsia="Times New Roman" w:hAnsiTheme="majorBidi" w:cstheme="majorBidi"/>
                  <w:sz w:val="24"/>
                  <w:szCs w:val="24"/>
                </w:rPr>
                <w:t xml:space="preserve"> et al. 2012)</w:t>
              </w:r>
            </w:hyperlink>
          </w:p>
        </w:tc>
      </w:tr>
      <w:tr w:rsidR="008F4E90" w:rsidRPr="008F4E90" w14:paraId="6B1A96CD"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F6078E"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Beta</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8C99C5"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All region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F3E37A"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Decreased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6A68AF"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open</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3EBF3F"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21 ASC</w:t>
            </w:r>
            <w:r w:rsidRPr="008F4E90">
              <w:rPr>
                <w:rFonts w:asciiTheme="majorBidi" w:eastAsia="Times New Roman" w:hAnsiTheme="majorBidi" w:cstheme="majorBidi"/>
                <w:sz w:val="24"/>
                <w:szCs w:val="24"/>
              </w:rPr>
              <w:br/>
              <w:t>21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3B73CF"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4-12 years</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D68E37" w14:textId="77777777" w:rsidR="00337CCA" w:rsidRPr="008F4E90" w:rsidRDefault="00000000" w:rsidP="00ED0B86">
            <w:pPr>
              <w:widowControl w:val="0"/>
              <w:jc w:val="center"/>
              <w:rPr>
                <w:rFonts w:asciiTheme="majorBidi" w:eastAsia="Times New Roman" w:hAnsiTheme="majorBidi" w:cstheme="majorBidi"/>
                <w:sz w:val="24"/>
                <w:szCs w:val="24"/>
              </w:rPr>
            </w:pPr>
            <w:hyperlink r:id="rId165">
              <w:r w:rsidR="00337CCA" w:rsidRPr="008F4E90">
                <w:rPr>
                  <w:rFonts w:asciiTheme="majorBidi" w:eastAsia="Times New Roman" w:hAnsiTheme="majorBidi" w:cstheme="majorBidi"/>
                  <w:sz w:val="24"/>
                  <w:szCs w:val="24"/>
                </w:rPr>
                <w:t>(Afifi et al. 2015)</w:t>
              </w:r>
            </w:hyperlink>
          </w:p>
        </w:tc>
      </w:tr>
      <w:tr w:rsidR="008F4E90" w:rsidRPr="008F4E90" w14:paraId="4E588AE7" w14:textId="77777777" w:rsidTr="00CA1E73">
        <w:tc>
          <w:tcPr>
            <w:tcW w:w="141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1837A5" w14:textId="77777777" w:rsidR="00337CCA" w:rsidRPr="008F4E90" w:rsidRDefault="00337CCA" w:rsidP="00ED0B86">
            <w:pPr>
              <w:widowControl w:val="0"/>
              <w:jc w:val="center"/>
              <w:rPr>
                <w:rFonts w:asciiTheme="majorBidi" w:eastAsia="Times New Roman" w:hAnsiTheme="majorBidi" w:cstheme="majorBidi"/>
                <w:sz w:val="24"/>
                <w:szCs w:val="24"/>
              </w:rPr>
            </w:pP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1BBAD7" w14:textId="77777777" w:rsidR="0028543C"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Parietal/</w:t>
            </w:r>
          </w:p>
          <w:p w14:paraId="34DB945C"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Occipital</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D7677C"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A9E69F"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closed</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015527"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18 ASC</w:t>
            </w:r>
            <w:r w:rsidRPr="008F4E90">
              <w:rPr>
                <w:rFonts w:asciiTheme="majorBidi" w:eastAsia="Times New Roman" w:hAnsiTheme="majorBidi" w:cstheme="majorBidi"/>
                <w:sz w:val="24"/>
                <w:szCs w:val="24"/>
              </w:rPr>
              <w:br/>
              <w:t>18 CON</w:t>
            </w:r>
          </w:p>
        </w:tc>
        <w:tc>
          <w:tcPr>
            <w:tcW w:w="119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2C8884"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Adult</w:t>
            </w:r>
          </w:p>
        </w:tc>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7E1782" w14:textId="77777777" w:rsidR="00337CCA" w:rsidRPr="008F4E90" w:rsidRDefault="00000000" w:rsidP="00ED0B86">
            <w:pPr>
              <w:widowControl w:val="0"/>
              <w:jc w:val="center"/>
              <w:rPr>
                <w:rFonts w:asciiTheme="majorBidi" w:eastAsia="Times New Roman" w:hAnsiTheme="majorBidi" w:cstheme="majorBidi"/>
                <w:sz w:val="24"/>
                <w:szCs w:val="24"/>
              </w:rPr>
            </w:pPr>
            <w:hyperlink r:id="rId166">
              <w:r w:rsidR="00337CCA" w:rsidRPr="008F4E90">
                <w:rPr>
                  <w:rFonts w:asciiTheme="majorBidi" w:eastAsia="Times New Roman" w:hAnsiTheme="majorBidi" w:cstheme="majorBidi"/>
                  <w:sz w:val="24"/>
                  <w:szCs w:val="24"/>
                </w:rPr>
                <w:t>(Murias et al. 2007)</w:t>
              </w:r>
            </w:hyperlink>
          </w:p>
        </w:tc>
      </w:tr>
      <w:tr w:rsidR="008F4E90" w:rsidRPr="008F4E90" w14:paraId="194B9B65" w14:textId="77777777" w:rsidTr="00CA1E73">
        <w:tc>
          <w:tcPr>
            <w:tcW w:w="141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5D58DFF" w14:textId="77777777" w:rsidR="00337CCA" w:rsidRPr="008F4E90" w:rsidRDefault="00337CCA" w:rsidP="00ED0B86">
            <w:pPr>
              <w:widowControl w:val="0"/>
              <w:pBdr>
                <w:top w:val="nil"/>
                <w:left w:val="nil"/>
                <w:bottom w:val="nil"/>
                <w:right w:val="nil"/>
                <w:between w:val="nil"/>
              </w:pBdr>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Gamma</w:t>
            </w:r>
          </w:p>
        </w:tc>
        <w:tc>
          <w:tcPr>
            <w:tcW w:w="127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CB52D73" w14:textId="77777777" w:rsidR="00337CCA" w:rsidRPr="008F4E90" w:rsidRDefault="00337CCA" w:rsidP="0028543C">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Frontal, Parietal /Temporal</w:t>
            </w:r>
          </w:p>
        </w:tc>
        <w:tc>
          <w:tcPr>
            <w:tcW w:w="12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D9D8F5D"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Enhanced</w:t>
            </w:r>
          </w:p>
        </w:tc>
        <w:tc>
          <w:tcPr>
            <w:tcW w:w="15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0919C8F" w14:textId="77777777" w:rsidR="00337CCA" w:rsidRPr="008F4E90" w:rsidRDefault="00337CCA" w:rsidP="00ED0B86">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Eyes closed</w:t>
            </w:r>
          </w:p>
        </w:tc>
        <w:tc>
          <w:tcPr>
            <w:tcW w:w="1559"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D2FCF26"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19 ASC</w:t>
            </w:r>
            <w:r w:rsidRPr="008F4E90">
              <w:rPr>
                <w:rFonts w:asciiTheme="majorBidi" w:eastAsia="Times New Roman" w:hAnsiTheme="majorBidi" w:cstheme="majorBidi"/>
                <w:sz w:val="24"/>
                <w:szCs w:val="24"/>
              </w:rPr>
              <w:br/>
              <w:t>19 CON</w:t>
            </w:r>
          </w:p>
        </w:tc>
        <w:tc>
          <w:tcPr>
            <w:tcW w:w="119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E2ABD4B" w14:textId="77777777" w:rsidR="00337CCA" w:rsidRPr="008F4E90" w:rsidRDefault="00337CCA" w:rsidP="00337CCA">
            <w:pPr>
              <w:widowControl w:val="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shd w:val="clear" w:color="auto" w:fill="FCFCFC"/>
              </w:rPr>
              <w:t>children</w:t>
            </w:r>
          </w:p>
        </w:tc>
        <w:tc>
          <w:tcPr>
            <w:tcW w:w="16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8ACD3F0" w14:textId="77777777" w:rsidR="00337CCA" w:rsidRPr="008F4E90" w:rsidRDefault="00000000" w:rsidP="00ED0B86">
            <w:pPr>
              <w:widowControl w:val="0"/>
              <w:pBdr>
                <w:top w:val="nil"/>
                <w:left w:val="nil"/>
                <w:bottom w:val="nil"/>
                <w:right w:val="nil"/>
                <w:between w:val="nil"/>
              </w:pBdr>
              <w:jc w:val="center"/>
              <w:rPr>
                <w:rFonts w:asciiTheme="majorBidi" w:eastAsia="Times New Roman" w:hAnsiTheme="majorBidi" w:cstheme="majorBidi"/>
                <w:sz w:val="24"/>
                <w:szCs w:val="24"/>
              </w:rPr>
            </w:pPr>
            <w:hyperlink r:id="rId167">
              <w:r w:rsidR="00337CCA" w:rsidRPr="008F4E90">
                <w:rPr>
                  <w:rFonts w:asciiTheme="majorBidi" w:eastAsia="Times New Roman" w:hAnsiTheme="majorBidi" w:cstheme="majorBidi"/>
                  <w:sz w:val="24"/>
                  <w:szCs w:val="24"/>
                </w:rPr>
                <w:t xml:space="preserve">(van </w:t>
              </w:r>
              <w:proofErr w:type="spellStart"/>
              <w:r w:rsidR="00337CCA" w:rsidRPr="008F4E90">
                <w:rPr>
                  <w:rFonts w:asciiTheme="majorBidi" w:eastAsia="Times New Roman" w:hAnsiTheme="majorBidi" w:cstheme="majorBidi"/>
                  <w:sz w:val="24"/>
                  <w:szCs w:val="24"/>
                </w:rPr>
                <w:t>Diessen</w:t>
              </w:r>
              <w:proofErr w:type="spellEnd"/>
              <w:r w:rsidR="00337CCA" w:rsidRPr="008F4E90">
                <w:rPr>
                  <w:rFonts w:asciiTheme="majorBidi" w:eastAsia="Times New Roman" w:hAnsiTheme="majorBidi" w:cstheme="majorBidi"/>
                  <w:sz w:val="24"/>
                  <w:szCs w:val="24"/>
                </w:rPr>
                <w:t xml:space="preserve"> et al. 2015)</w:t>
              </w:r>
            </w:hyperlink>
          </w:p>
        </w:tc>
      </w:tr>
    </w:tbl>
    <w:p w14:paraId="04953940" w14:textId="77777777" w:rsidR="00EB25CA" w:rsidRPr="008F4E90" w:rsidRDefault="00EB25CA" w:rsidP="00EB25CA">
      <w:pPr>
        <w:pStyle w:val="Heading1"/>
        <w:spacing w:after="160" w:line="480" w:lineRule="auto"/>
        <w:rPr>
          <w:rFonts w:asciiTheme="majorBidi" w:eastAsia="Times New Roman" w:hAnsiTheme="majorBidi" w:cstheme="majorBidi"/>
          <w:b/>
          <w:bCs/>
          <w:sz w:val="24"/>
          <w:szCs w:val="24"/>
        </w:rPr>
      </w:pPr>
      <w:bookmarkStart w:id="6" w:name="_s8vcsf3s5kv5" w:colFirst="0" w:colLast="0"/>
      <w:bookmarkEnd w:id="6"/>
      <w:r w:rsidRPr="008F4E90">
        <w:rPr>
          <w:rFonts w:asciiTheme="majorBidi" w:eastAsia="Times New Roman" w:hAnsiTheme="majorBidi" w:cstheme="majorBidi"/>
          <w:b/>
          <w:bCs/>
          <w:sz w:val="24"/>
          <w:szCs w:val="24"/>
        </w:rPr>
        <w:t>Complexity Measures and Entropy Methods</w:t>
      </w:r>
    </w:p>
    <w:p w14:paraId="6BC211A2"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Brain function can be analysed using methods beyond traditional linear approaches commonly seen in deterministic systems. EEG signals are segmented into sections with comparable traits that are particularly meaningful to evaluate. The signals are statistically stationary within each segment and analysed in the time or frequency domains. Nevertheless, EEG signal results from an overlap of various spatial structures (some fundamental oscillations) embedded in spectrum noise at multiple temporal scales </w:t>
      </w:r>
      <w:hyperlink r:id="rId168">
        <w:r w:rsidRPr="008F4E90">
          <w:rPr>
            <w:rFonts w:asciiTheme="majorBidi" w:eastAsia="Times New Roman" w:hAnsiTheme="majorBidi" w:cstheme="majorBidi"/>
            <w:sz w:val="24"/>
            <w:szCs w:val="24"/>
          </w:rPr>
          <w:t>(Nayak &amp; Anilkumar, 2020)</w:t>
        </w:r>
      </w:hyperlink>
      <w:r w:rsidRPr="008F4E90">
        <w:rPr>
          <w:rFonts w:asciiTheme="majorBidi" w:eastAsia="Times New Roman" w:hAnsiTheme="majorBidi" w:cstheme="majorBidi"/>
          <w:sz w:val="24"/>
          <w:szCs w:val="24"/>
        </w:rPr>
        <w:t xml:space="preserve">. Also, EEG signals originate from a deterministic chaotic dynamical system </w:t>
      </w:r>
      <w:hyperlink r:id="rId169">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Pijn</w:t>
        </w:r>
        <w:proofErr w:type="spellEnd"/>
        <w:r w:rsidRPr="008F4E90">
          <w:rPr>
            <w:rFonts w:asciiTheme="majorBidi" w:eastAsia="Times New Roman" w:hAnsiTheme="majorBidi" w:cstheme="majorBidi"/>
            <w:sz w:val="24"/>
            <w:szCs w:val="24"/>
          </w:rPr>
          <w:t xml:space="preserve"> et al., 1991</w:t>
        </w:r>
      </w:hyperlink>
      <w:hyperlink r:id="rId170">
        <w:r w:rsidRPr="008F4E90">
          <w:rPr>
            <w:rFonts w:asciiTheme="majorBidi" w:eastAsia="Times New Roman" w:hAnsiTheme="majorBidi" w:cstheme="majorBidi"/>
            <w:sz w:val="24"/>
            <w:szCs w:val="24"/>
          </w:rPr>
          <w:t xml:space="preserve">; </w:t>
        </w:r>
      </w:hyperlink>
      <w:hyperlink r:id="rId171">
        <w:proofErr w:type="spellStart"/>
        <w:r w:rsidRPr="008F4E90">
          <w:rPr>
            <w:rFonts w:asciiTheme="majorBidi" w:eastAsia="Times New Roman" w:hAnsiTheme="majorBidi" w:cstheme="majorBidi"/>
            <w:sz w:val="24"/>
            <w:szCs w:val="24"/>
          </w:rPr>
          <w:t>Röschke</w:t>
        </w:r>
        <w:proofErr w:type="spellEnd"/>
        <w:r w:rsidRPr="008F4E90">
          <w:rPr>
            <w:rFonts w:asciiTheme="majorBidi" w:eastAsia="Times New Roman" w:hAnsiTheme="majorBidi" w:cstheme="majorBidi"/>
            <w:sz w:val="24"/>
            <w:szCs w:val="24"/>
          </w:rPr>
          <w:t xml:space="preserve"> &amp; </w:t>
        </w:r>
        <w:proofErr w:type="spellStart"/>
        <w:r w:rsidRPr="008F4E90">
          <w:rPr>
            <w:rFonts w:asciiTheme="majorBidi" w:eastAsia="Times New Roman" w:hAnsiTheme="majorBidi" w:cstheme="majorBidi"/>
            <w:sz w:val="24"/>
            <w:szCs w:val="24"/>
          </w:rPr>
          <w:t>Aldenhoff</w:t>
        </w:r>
        <w:proofErr w:type="spellEnd"/>
        <w:r w:rsidRPr="008F4E90">
          <w:rPr>
            <w:rFonts w:asciiTheme="majorBidi" w:eastAsia="Times New Roman" w:hAnsiTheme="majorBidi" w:cstheme="majorBidi"/>
            <w:sz w:val="24"/>
            <w:szCs w:val="24"/>
          </w:rPr>
          <w:t>, 1992)</w:t>
        </w:r>
      </w:hyperlink>
      <w:r w:rsidRPr="008F4E90">
        <w:rPr>
          <w:rFonts w:asciiTheme="majorBidi" w:eastAsia="Times New Roman" w:hAnsiTheme="majorBidi" w:cstheme="majorBidi"/>
          <w:sz w:val="24"/>
          <w:szCs w:val="24"/>
        </w:rPr>
        <w:t xml:space="preserve">. Based on the feature of EEG signals, nonlinear dynamical parameters provide a more accurate depiction of dynamic properties than those based on power spectrum analysis </w:t>
      </w:r>
      <w:hyperlink r:id="rId172">
        <w:r w:rsidRPr="008F4E90">
          <w:rPr>
            <w:rFonts w:asciiTheme="majorBidi" w:eastAsia="Times New Roman" w:hAnsiTheme="majorBidi" w:cstheme="majorBidi"/>
            <w:sz w:val="24"/>
            <w:szCs w:val="24"/>
          </w:rPr>
          <w:t>(Fell et al., 1996)</w:t>
        </w:r>
      </w:hyperlink>
      <w:r w:rsidRPr="008F4E90">
        <w:rPr>
          <w:rFonts w:asciiTheme="majorBidi" w:eastAsia="Times New Roman" w:hAnsiTheme="majorBidi" w:cstheme="majorBidi"/>
          <w:sz w:val="24"/>
          <w:szCs w:val="24"/>
        </w:rPr>
        <w:t xml:space="preserve">. The complexity of a time series can be characterised by its symbolisation (coarseness) and the quantity in the nonlinear dynamic domain, such as the correlation dimension </w:t>
      </w:r>
      <w:hyperlink r:id="rId173">
        <w:r w:rsidRPr="008F4E90">
          <w:rPr>
            <w:rFonts w:asciiTheme="majorBidi" w:eastAsia="Times New Roman" w:hAnsiTheme="majorBidi" w:cstheme="majorBidi"/>
            <w:sz w:val="24"/>
            <w:szCs w:val="24"/>
          </w:rPr>
          <w:t>(Eke et al., 2002)</w:t>
        </w:r>
      </w:hyperlink>
      <w:r w:rsidRPr="008F4E90">
        <w:rPr>
          <w:rFonts w:asciiTheme="majorBidi" w:eastAsia="Times New Roman" w:hAnsiTheme="majorBidi" w:cstheme="majorBidi"/>
          <w:sz w:val="24"/>
          <w:szCs w:val="24"/>
        </w:rPr>
        <w:t>.</w:t>
      </w:r>
    </w:p>
    <w:p w14:paraId="0F2B5556"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quantify spontaneous EEG signals, Shannon </w:t>
      </w:r>
      <w:hyperlink r:id="rId174">
        <w:r w:rsidRPr="008F4E90">
          <w:rPr>
            <w:rFonts w:asciiTheme="majorBidi" w:eastAsia="Times New Roman" w:hAnsiTheme="majorBidi" w:cstheme="majorBidi"/>
            <w:sz w:val="24"/>
            <w:szCs w:val="24"/>
          </w:rPr>
          <w:t>(Shannon, 1948)</w:t>
        </w:r>
      </w:hyperlink>
      <w:r w:rsidRPr="008F4E90">
        <w:rPr>
          <w:rFonts w:asciiTheme="majorBidi" w:eastAsia="Times New Roman" w:hAnsiTheme="majorBidi" w:cstheme="majorBidi"/>
          <w:sz w:val="24"/>
          <w:szCs w:val="24"/>
        </w:rPr>
        <w:t xml:space="preserve"> introduced entropy from purely physical interpretation into information theory to describe the distribution of possibilities of signal components. Sample entropy refines from the approximate entropy family of statistics introduced by </w:t>
      </w:r>
      <w:r w:rsidRPr="008F4E90">
        <w:rPr>
          <w:rFonts w:asciiTheme="majorBidi" w:eastAsia="Times New Roman" w:hAnsiTheme="majorBidi" w:cstheme="majorBidi"/>
          <w:sz w:val="24"/>
          <w:szCs w:val="24"/>
        </w:rPr>
        <w:lastRenderedPageBreak/>
        <w:t xml:space="preserve">Pincus </w:t>
      </w:r>
      <w:hyperlink r:id="rId175">
        <w:r w:rsidRPr="008F4E90">
          <w:rPr>
            <w:rFonts w:asciiTheme="majorBidi" w:eastAsia="Times New Roman" w:hAnsiTheme="majorBidi" w:cstheme="majorBidi"/>
            <w:sz w:val="24"/>
            <w:szCs w:val="24"/>
          </w:rPr>
          <w:t>(Pincus, 1991)</w:t>
        </w:r>
      </w:hyperlink>
      <w:r w:rsidRPr="008F4E90">
        <w:rPr>
          <w:rFonts w:asciiTheme="majorBidi" w:eastAsia="Times New Roman" w:hAnsiTheme="majorBidi" w:cstheme="majorBidi"/>
          <w:sz w:val="24"/>
          <w:szCs w:val="24"/>
        </w:rPr>
        <w:t xml:space="preserve">. It is frequently prescribed as a measure of the probability of similar patterns within a time series in terms of its regularity (or, inversely, irregularity) or its predictability over time by identifying repetitive patterns. Generally, a higher sample entropy value indicates less predictability or is commonly referred to as more complexity. Additionally, it demonstrates stability and accuracy even when dealing with short and fragmented data segments </w:t>
      </w:r>
      <w:hyperlink r:id="rId176">
        <w:r w:rsidRPr="008F4E90">
          <w:rPr>
            <w:rFonts w:asciiTheme="majorBidi" w:eastAsia="Times New Roman" w:hAnsiTheme="majorBidi" w:cstheme="majorBidi"/>
            <w:sz w:val="24"/>
            <w:szCs w:val="24"/>
          </w:rPr>
          <w:t>(McCamley et al., 2018; Yentes et al., 2013)</w:t>
        </w:r>
      </w:hyperlink>
      <w:r w:rsidRPr="008F4E90">
        <w:rPr>
          <w:rFonts w:asciiTheme="majorBidi" w:eastAsia="Times New Roman" w:hAnsiTheme="majorBidi" w:cstheme="majorBidi"/>
          <w:sz w:val="24"/>
          <w:szCs w:val="24"/>
        </w:rPr>
        <w:t>.</w:t>
      </w:r>
    </w:p>
    <w:p w14:paraId="0C7583DC" w14:textId="77777777" w:rsidR="0023297B" w:rsidRPr="008F4E90" w:rsidRDefault="00EB25CA" w:rsidP="00AB1E6F">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Entropy-based methods have been widely used to identify many neurological disorders </w:t>
      </w:r>
      <w:hyperlink r:id="rId177">
        <w:r w:rsidRPr="008F4E90">
          <w:rPr>
            <w:rFonts w:asciiTheme="majorBidi" w:eastAsia="Times New Roman" w:hAnsiTheme="majorBidi" w:cstheme="majorBidi"/>
            <w:sz w:val="24"/>
            <w:szCs w:val="24"/>
          </w:rPr>
          <w:t>(Delgado-Bonal &amp; Marshak, 2019)</w:t>
        </w:r>
      </w:hyperlink>
      <w:r w:rsidRPr="008F4E90">
        <w:rPr>
          <w:rFonts w:asciiTheme="majorBidi" w:eastAsia="Times New Roman" w:hAnsiTheme="majorBidi" w:cstheme="majorBidi"/>
          <w:sz w:val="24"/>
          <w:szCs w:val="24"/>
        </w:rPr>
        <w:t xml:space="preserve">, such as Alzheimer’s disease </w:t>
      </w:r>
      <w:hyperlink r:id="rId178">
        <w:r w:rsidRPr="008F4E90">
          <w:rPr>
            <w:rFonts w:asciiTheme="majorBidi" w:eastAsia="Times New Roman" w:hAnsiTheme="majorBidi" w:cstheme="majorBidi"/>
            <w:sz w:val="24"/>
            <w:szCs w:val="24"/>
          </w:rPr>
          <w:t>(Azami et al., 2017; Simons et al., 2018)</w:t>
        </w:r>
      </w:hyperlink>
      <w:r w:rsidRPr="008F4E90">
        <w:rPr>
          <w:rFonts w:asciiTheme="majorBidi" w:eastAsia="Times New Roman" w:hAnsiTheme="majorBidi" w:cstheme="majorBidi"/>
          <w:sz w:val="24"/>
          <w:szCs w:val="24"/>
        </w:rPr>
        <w:t xml:space="preserve">, epileptic seizure </w:t>
      </w:r>
      <w:hyperlink r:id="rId179">
        <w:r w:rsidRPr="008F4E90">
          <w:rPr>
            <w:rFonts w:asciiTheme="majorBidi" w:eastAsia="Times New Roman" w:hAnsiTheme="majorBidi" w:cstheme="majorBidi"/>
            <w:sz w:val="24"/>
            <w:szCs w:val="24"/>
          </w:rPr>
          <w:t>(Yang et al., 2018)</w:t>
        </w:r>
      </w:hyperlink>
      <w:r w:rsidRPr="008F4E90">
        <w:rPr>
          <w:rFonts w:asciiTheme="majorBidi" w:eastAsia="Times New Roman" w:hAnsiTheme="majorBidi" w:cstheme="majorBidi"/>
          <w:sz w:val="24"/>
          <w:szCs w:val="24"/>
        </w:rPr>
        <w:t xml:space="preserve"> and schizophrenia </w:t>
      </w:r>
      <w:hyperlink r:id="rId180">
        <w:r w:rsidRPr="008F4E90">
          <w:rPr>
            <w:rFonts w:asciiTheme="majorBidi" w:eastAsia="Times New Roman" w:hAnsiTheme="majorBidi" w:cstheme="majorBidi"/>
            <w:sz w:val="24"/>
            <w:szCs w:val="24"/>
          </w:rPr>
          <w:t>(Tan et al., 2016)</w:t>
        </w:r>
      </w:hyperlink>
      <w:r w:rsidRPr="008F4E90">
        <w:rPr>
          <w:rFonts w:asciiTheme="majorBidi" w:eastAsia="Times New Roman" w:hAnsiTheme="majorBidi" w:cstheme="majorBidi"/>
          <w:sz w:val="24"/>
          <w:szCs w:val="24"/>
        </w:rPr>
        <w:t xml:space="preserve">. Several studies have identified the presence of atypical sample entropy in electrobiological signals for ASC </w:t>
      </w:r>
      <w:hyperlink r:id="rId181">
        <w:r w:rsidRPr="008F4E90">
          <w:rPr>
            <w:rFonts w:asciiTheme="majorBidi" w:eastAsia="Times New Roman" w:hAnsiTheme="majorBidi" w:cstheme="majorBidi"/>
            <w:sz w:val="24"/>
            <w:szCs w:val="24"/>
          </w:rPr>
          <w:t xml:space="preserve">(Catarino et al., 2011; </w:t>
        </w:r>
        <w:proofErr w:type="spellStart"/>
        <w:r w:rsidRPr="008F4E90">
          <w:rPr>
            <w:rFonts w:asciiTheme="majorBidi" w:eastAsia="Times New Roman" w:hAnsiTheme="majorBidi" w:cstheme="majorBidi"/>
            <w:sz w:val="24"/>
            <w:szCs w:val="24"/>
          </w:rPr>
          <w:t>Hadoush</w:t>
        </w:r>
        <w:proofErr w:type="spellEnd"/>
        <w:r w:rsidRPr="008F4E90">
          <w:rPr>
            <w:rFonts w:asciiTheme="majorBidi" w:eastAsia="Times New Roman" w:hAnsiTheme="majorBidi" w:cstheme="majorBidi"/>
            <w:sz w:val="24"/>
            <w:szCs w:val="24"/>
          </w:rPr>
          <w:t xml:space="preserve"> et al., 2019)</w:t>
        </w:r>
      </w:hyperlink>
      <w:r w:rsidRPr="008F4E90">
        <w:rPr>
          <w:rFonts w:asciiTheme="majorBidi" w:eastAsia="Times New Roman" w:hAnsiTheme="majorBidi" w:cstheme="majorBidi"/>
          <w:sz w:val="24"/>
          <w:szCs w:val="24"/>
        </w:rPr>
        <w:t xml:space="preserve">. A recent application of sample entropy in </w:t>
      </w:r>
      <w:proofErr w:type="spellStart"/>
      <w:r w:rsidRPr="008F4E90">
        <w:rPr>
          <w:rFonts w:asciiTheme="majorBidi" w:eastAsia="Times New Roman" w:hAnsiTheme="majorBidi" w:cstheme="majorBidi"/>
          <w:sz w:val="24"/>
          <w:szCs w:val="24"/>
        </w:rPr>
        <w:t>fNIRS</w:t>
      </w:r>
      <w:proofErr w:type="spellEnd"/>
      <w:r w:rsidRPr="008F4E90">
        <w:rPr>
          <w:rFonts w:asciiTheme="majorBidi" w:eastAsia="Times New Roman" w:hAnsiTheme="majorBidi" w:cstheme="majorBidi"/>
          <w:sz w:val="24"/>
          <w:szCs w:val="24"/>
        </w:rPr>
        <w:t xml:space="preserve"> data </w:t>
      </w:r>
      <w:hyperlink r:id="rId182">
        <w:r w:rsidRPr="008F4E90">
          <w:rPr>
            <w:rFonts w:asciiTheme="majorBidi" w:eastAsia="Times New Roman" w:hAnsiTheme="majorBidi" w:cstheme="majorBidi"/>
            <w:sz w:val="24"/>
            <w:szCs w:val="24"/>
          </w:rPr>
          <w:t>(Xu et al., 2020)</w:t>
        </w:r>
      </w:hyperlink>
      <w:r w:rsidRPr="008F4E90">
        <w:rPr>
          <w:rFonts w:asciiTheme="majorBidi" w:eastAsia="Times New Roman" w:hAnsiTheme="majorBidi" w:cstheme="majorBidi"/>
          <w:sz w:val="24"/>
          <w:szCs w:val="24"/>
        </w:rPr>
        <w:t xml:space="preserve"> and fMRI signals </w:t>
      </w:r>
      <w:hyperlink r:id="rId183">
        <w:r w:rsidRPr="008F4E90">
          <w:rPr>
            <w:rFonts w:asciiTheme="majorBidi" w:eastAsia="Times New Roman" w:hAnsiTheme="majorBidi" w:cstheme="majorBidi"/>
            <w:sz w:val="24"/>
            <w:szCs w:val="24"/>
          </w:rPr>
          <w:t>(Maximo et al., 2021)</w:t>
        </w:r>
      </w:hyperlink>
      <w:r w:rsidRPr="008F4E90">
        <w:rPr>
          <w:rFonts w:asciiTheme="majorBidi" w:eastAsia="Times New Roman" w:hAnsiTheme="majorBidi" w:cstheme="majorBidi"/>
          <w:sz w:val="24"/>
          <w:szCs w:val="24"/>
        </w:rPr>
        <w:t xml:space="preserve">, respectively, demonstrated accurate discrimination of ASC and further identified specific aberrant brain complexity associated with the symptoms </w:t>
      </w:r>
      <w:hyperlink r:id="rId184">
        <w:r w:rsidRPr="008F4E90">
          <w:rPr>
            <w:rFonts w:asciiTheme="majorBidi" w:eastAsia="Times New Roman" w:hAnsiTheme="majorBidi" w:cstheme="majorBidi"/>
            <w:sz w:val="24"/>
            <w:szCs w:val="24"/>
          </w:rPr>
          <w:t>(Zhang et al., 2020)</w:t>
        </w:r>
      </w:hyperlink>
      <w:r w:rsidRPr="008F4E90">
        <w:rPr>
          <w:rFonts w:asciiTheme="majorBidi" w:eastAsia="Times New Roman" w:hAnsiTheme="majorBidi" w:cstheme="majorBidi"/>
          <w:sz w:val="24"/>
          <w:szCs w:val="24"/>
        </w:rPr>
        <w:t xml:space="preserve">. </w:t>
      </w:r>
    </w:p>
    <w:p w14:paraId="13504A91" w14:textId="77777777" w:rsidR="00B37FF3" w:rsidRPr="008F4E90" w:rsidRDefault="00B37FF3" w:rsidP="00B37FF3">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Illustration of Sample Entropy Calculation </w:t>
      </w:r>
    </w:p>
    <w:p w14:paraId="0A4966A2" w14:textId="77777777" w:rsidR="00B37FF3" w:rsidRPr="008F4E90" w:rsidRDefault="00B37FF3" w:rsidP="00B37FF3">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Figure 1</w:t>
      </w:r>
    </w:p>
    <w:p w14:paraId="3CF3130B" w14:textId="77777777" w:rsidR="00B37FF3" w:rsidRPr="008F4E90" w:rsidRDefault="00B37FF3" w:rsidP="00B37FF3">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noProof/>
          <w:sz w:val="24"/>
          <w:szCs w:val="24"/>
        </w:rPr>
        <w:drawing>
          <wp:anchor distT="0" distB="0" distL="114300" distR="114300" simplePos="0" relativeHeight="251658240" behindDoc="1" locked="0" layoutInCell="1" allowOverlap="1" wp14:anchorId="5CBF71E5" wp14:editId="3781545B">
            <wp:simplePos x="0" y="0"/>
            <wp:positionH relativeFrom="margin">
              <wp:posOffset>526415</wp:posOffset>
            </wp:positionH>
            <wp:positionV relativeFrom="paragraph">
              <wp:posOffset>300990</wp:posOffset>
            </wp:positionV>
            <wp:extent cx="5730875" cy="2794000"/>
            <wp:effectExtent l="0" t="0" r="3175" b="6350"/>
            <wp:wrapThrough wrapText="bothSides">
              <wp:wrapPolygon edited="0">
                <wp:start x="0" y="0"/>
                <wp:lineTo x="0" y="21502"/>
                <wp:lineTo x="21540" y="21502"/>
                <wp:lineTo x="21540" y="0"/>
                <wp:lineTo x="0" y="0"/>
              </wp:wrapPolygon>
            </wp:wrapThrough>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a:xfrm>
                      <a:off x="0" y="0"/>
                      <a:ext cx="5730875" cy="2794000"/>
                    </a:xfrm>
                    <a:prstGeom prst="rect">
                      <a:avLst/>
                    </a:prstGeom>
                    <a:ln/>
                  </pic:spPr>
                </pic:pic>
              </a:graphicData>
            </a:graphic>
          </wp:anchor>
        </w:drawing>
      </w:r>
      <w:r w:rsidRPr="008F4E90">
        <w:rPr>
          <w:rFonts w:asciiTheme="majorBidi" w:eastAsia="Times New Roman" w:hAnsiTheme="majorBidi" w:cstheme="majorBidi"/>
          <w:i/>
          <w:sz w:val="24"/>
          <w:szCs w:val="24"/>
        </w:rPr>
        <w:t xml:space="preserve">Illustration of Sample Entropy Calculation </w:t>
      </w:r>
    </w:p>
    <w:p w14:paraId="542E5DB1" w14:textId="77777777" w:rsidR="00B37FF3" w:rsidRPr="008F4E90" w:rsidRDefault="00B37FF3" w:rsidP="00B37FF3">
      <w:pPr>
        <w:spacing w:line="480" w:lineRule="auto"/>
        <w:rPr>
          <w:rFonts w:asciiTheme="majorBidi" w:eastAsia="Times New Roman" w:hAnsiTheme="majorBidi" w:cstheme="majorBidi"/>
          <w:b/>
          <w:sz w:val="24"/>
          <w:szCs w:val="24"/>
        </w:rPr>
      </w:pPr>
    </w:p>
    <w:p w14:paraId="11CD4132" w14:textId="77777777" w:rsidR="00EB25CA" w:rsidRPr="008F4E90" w:rsidRDefault="00EB25CA" w:rsidP="00EB25CA">
      <w:pPr>
        <w:spacing w:line="480" w:lineRule="auto"/>
        <w:rPr>
          <w:rFonts w:asciiTheme="majorBidi" w:eastAsia="Times New Roman" w:hAnsiTheme="majorBidi" w:cstheme="majorBidi"/>
          <w:sz w:val="24"/>
          <w:szCs w:val="24"/>
        </w:rPr>
      </w:pPr>
    </w:p>
    <w:p w14:paraId="0A4AD23D"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Here is a piece of real EEG data extracted from a real EEG signal. This time series u(1), . . . , u(n) is shown to illustrate the procedure for Sample Entropy calculation in which the pattern length, m, is 2, </w:t>
      </w:r>
      <w:r w:rsidRPr="008F4E90">
        <w:rPr>
          <w:rFonts w:asciiTheme="majorBidi" w:eastAsia="Times New Roman" w:hAnsiTheme="majorBidi" w:cstheme="majorBidi"/>
          <w:sz w:val="24"/>
          <w:szCs w:val="24"/>
        </w:rPr>
        <w:lastRenderedPageBreak/>
        <w:t>and the similarity threshold, r, is 25. (r is a given positive real value that is typically chosen to be between 10% and 20% of the standard deviation of the time series.) We started with u(1</w:t>
      </w:r>
      <w:r w:rsidR="00CA1E73" w:rsidRPr="008F4E90">
        <w:rPr>
          <w:rFonts w:asciiTheme="majorBidi" w:eastAsia="Times New Roman" w:hAnsiTheme="majorBidi" w:cstheme="majorBidi"/>
          <w:sz w:val="24"/>
          <w:szCs w:val="24"/>
        </w:rPr>
        <w:t>), u</w:t>
      </w:r>
      <w:r w:rsidRPr="008F4E90">
        <w:rPr>
          <w:rFonts w:asciiTheme="majorBidi" w:eastAsia="Times New Roman" w:hAnsiTheme="majorBidi" w:cstheme="majorBidi"/>
          <w:sz w:val="24"/>
          <w:szCs w:val="24"/>
        </w:rPr>
        <w:t xml:space="preserve">(2) and u(3), which are represented by purple, green and orange dots and dotted horizontal lines around them represent u(1,2,3) ± r * std(time series) respectively with corresponding colours. If any pairwise distance between u(1) and other data points within this finite time series is under similarity criterion r * std(time series), they will be labelled as indistinguishable and marked as the same colour with u(1) (e.g., u(8),u(23),u(42),u(43) ... u(60)). Similarly, we’ve obtained other matching points as u(2) and u(3) and they are marked as green for u(2) and orange for u(3). </w:t>
      </w:r>
    </w:p>
    <w:p w14:paraId="7370350A"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Given the 2-component (purple-green template pattern [u(1), u(2)])and the 3-component (purple-green-orange template pattern [u(1), u(2),u(3)]), there are two purple-green sequences,[u(10), u(11)] and [u(16), u(17)], except the self-matching sequences, that match the template sequence, and also two purple-green-orange sequence [u(51), u(52),u(53)] and[u(55), u(56),u(57)], that matches the template sequence [u(1), u(2),u(3)]. Therefore, in this case, the number of sequences matching the 2-component template pattern is two, and the number of sequences matching the 3-component template pattern is 2. These calculations are repeated for the next 2-component and 3-component template pattern, which are ([u(2), u(3)]) and ([u(2), u(3), u(4)]), respectively. Sequences that match each of the 2- and 3-component template patterns are again detected and added to the amounts. This procedure is then repeated for all other possible template sequences to determine the ratio between the total number of m component template matches and the total number of m+1 component template matches. </w:t>
      </w:r>
      <w:proofErr w:type="spellStart"/>
      <w:r w:rsidRPr="008F4E90">
        <w:rPr>
          <w:rFonts w:asciiTheme="majorBidi" w:eastAsia="Times New Roman" w:hAnsiTheme="majorBidi" w:cstheme="majorBidi"/>
          <w:sz w:val="24"/>
          <w:szCs w:val="24"/>
        </w:rPr>
        <w:t>SampEn</w:t>
      </w:r>
      <w:proofErr w:type="spellEnd"/>
      <w:r w:rsidRPr="008F4E90">
        <w:rPr>
          <w:rFonts w:asciiTheme="majorBidi" w:eastAsia="Times New Roman" w:hAnsiTheme="majorBidi" w:cstheme="majorBidi"/>
          <w:sz w:val="24"/>
          <w:szCs w:val="24"/>
        </w:rPr>
        <w:t xml:space="preserve"> is the natural logarithm of this ratio and reflects the probability that sequences that match each other for the first m data points will also match for the next point.</w:t>
      </w:r>
    </w:p>
    <w:p w14:paraId="32AFBA64" w14:textId="77777777" w:rsidR="00B37FF3" w:rsidRPr="008F4E90" w:rsidRDefault="00B37FF3" w:rsidP="00B37FF3">
      <w:pPr>
        <w:spacing w:after="160" w:line="480" w:lineRule="auto"/>
        <w:rPr>
          <w:rFonts w:asciiTheme="majorBidi" w:eastAsia="Times New Roman" w:hAnsiTheme="majorBidi" w:cstheme="majorBidi"/>
          <w:b/>
          <w:bCs/>
          <w:sz w:val="24"/>
          <w:szCs w:val="24"/>
        </w:rPr>
      </w:pPr>
      <w:r w:rsidRPr="008F4E90">
        <w:rPr>
          <w:rFonts w:asciiTheme="majorBidi" w:eastAsia="Times New Roman" w:hAnsiTheme="majorBidi" w:cstheme="majorBidi"/>
          <w:b/>
          <w:bCs/>
          <w:sz w:val="24"/>
          <w:szCs w:val="24"/>
        </w:rPr>
        <w:t>Why Multiscale Sample Entropy?</w:t>
      </w:r>
    </w:p>
    <w:p w14:paraId="1A8E6E9D"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bookmarkStart w:id="7" w:name="_c1ghpq283mhf" w:colFirst="0" w:colLast="0"/>
      <w:bookmarkEnd w:id="7"/>
      <w:r w:rsidRPr="008F4E90">
        <w:rPr>
          <w:rFonts w:asciiTheme="majorBidi" w:eastAsia="Times New Roman" w:hAnsiTheme="majorBidi" w:cstheme="majorBidi"/>
          <w:sz w:val="24"/>
          <w:szCs w:val="24"/>
        </w:rPr>
        <w:t xml:space="preserve">Despite the effectiveness and efficiency of single-scale sample entropy in assessing complexity based on signal regularity at the original time scale, there have been criticisms regarding its ability to </w:t>
      </w:r>
      <w:r w:rsidRPr="008F4E90">
        <w:rPr>
          <w:rFonts w:asciiTheme="majorBidi" w:eastAsia="Times New Roman" w:hAnsiTheme="majorBidi" w:cstheme="majorBidi"/>
          <w:sz w:val="24"/>
          <w:szCs w:val="24"/>
        </w:rPr>
        <w:lastRenderedPageBreak/>
        <w:t xml:space="preserve">fully capture the intricate nature of biological systems. In the study of brain complexity in neurological disorders, there exist contradictory findings where most studies indicate a reduction in complexity </w:t>
      </w:r>
      <w:hyperlink r:id="rId186">
        <w:r w:rsidRPr="008F4E90">
          <w:rPr>
            <w:rFonts w:asciiTheme="majorBidi" w:eastAsia="Times New Roman" w:hAnsiTheme="majorBidi" w:cstheme="majorBidi"/>
            <w:sz w:val="24"/>
            <w:szCs w:val="24"/>
          </w:rPr>
          <w:t>(Kang et al., 2018</w:t>
        </w:r>
      </w:hyperlink>
      <w:hyperlink r:id="rId187">
        <w:r w:rsidRPr="008F4E90">
          <w:rPr>
            <w:rFonts w:asciiTheme="majorBidi" w:eastAsia="Times New Roman" w:hAnsiTheme="majorBidi" w:cstheme="majorBidi"/>
            <w:sz w:val="24"/>
            <w:szCs w:val="24"/>
          </w:rPr>
          <w:t xml:space="preserve">; </w:t>
        </w:r>
      </w:hyperlink>
      <w:hyperlink r:id="rId188">
        <w:r w:rsidRPr="008F4E90">
          <w:rPr>
            <w:rFonts w:asciiTheme="majorBidi" w:eastAsia="Times New Roman" w:hAnsiTheme="majorBidi" w:cstheme="majorBidi"/>
            <w:sz w:val="24"/>
            <w:szCs w:val="24"/>
          </w:rPr>
          <w:t>Xu et al., 2020; Zhang et al., 2020)</w:t>
        </w:r>
      </w:hyperlink>
      <w:r w:rsidRPr="008F4E90">
        <w:rPr>
          <w:rFonts w:asciiTheme="majorBidi" w:eastAsia="Times New Roman" w:hAnsiTheme="majorBidi" w:cstheme="majorBidi"/>
          <w:sz w:val="24"/>
          <w:szCs w:val="24"/>
        </w:rPr>
        <w:t xml:space="preserve">, while others propose an increase in complexity </w:t>
      </w:r>
      <w:hyperlink r:id="rId189">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Bosl</w:t>
        </w:r>
        <w:proofErr w:type="spellEnd"/>
        <w:r w:rsidRPr="008F4E90">
          <w:rPr>
            <w:rFonts w:asciiTheme="majorBidi" w:eastAsia="Times New Roman" w:hAnsiTheme="majorBidi" w:cstheme="majorBidi"/>
            <w:sz w:val="24"/>
            <w:szCs w:val="24"/>
          </w:rPr>
          <w:t xml:space="preserve"> et al., 2018</w:t>
        </w:r>
      </w:hyperlink>
      <w:hyperlink r:id="rId190">
        <w:r w:rsidRPr="008F4E90">
          <w:rPr>
            <w:rFonts w:asciiTheme="majorBidi" w:eastAsia="Times New Roman" w:hAnsiTheme="majorBidi" w:cstheme="majorBidi"/>
            <w:sz w:val="24"/>
            <w:szCs w:val="24"/>
          </w:rPr>
          <w:t xml:space="preserve">; </w:t>
        </w:r>
      </w:hyperlink>
      <w:hyperlink r:id="rId191">
        <w:r w:rsidRPr="008F4E90">
          <w:rPr>
            <w:rFonts w:asciiTheme="majorBidi" w:eastAsia="Times New Roman" w:hAnsiTheme="majorBidi" w:cstheme="majorBidi"/>
            <w:sz w:val="24"/>
            <w:szCs w:val="24"/>
          </w:rPr>
          <w:t>Zhang et al., 2021)</w:t>
        </w:r>
      </w:hyperlink>
      <w:r w:rsidRPr="008F4E90">
        <w:rPr>
          <w:rFonts w:asciiTheme="majorBidi" w:eastAsia="Times New Roman" w:hAnsiTheme="majorBidi" w:cstheme="majorBidi"/>
          <w:sz w:val="24"/>
          <w:szCs w:val="24"/>
        </w:rPr>
        <w:t xml:space="preserve">. In addition to considering the influence of different brain regions </w:t>
      </w:r>
      <w:hyperlink r:id="rId192">
        <w:r w:rsidRPr="008F4E90">
          <w:rPr>
            <w:rFonts w:asciiTheme="majorBidi" w:eastAsia="Times New Roman" w:hAnsiTheme="majorBidi" w:cstheme="majorBidi"/>
            <w:sz w:val="24"/>
            <w:szCs w:val="24"/>
          </w:rPr>
          <w:t>(Maximo et al., 2021; Kang et al., 2018</w:t>
        </w:r>
      </w:hyperlink>
      <w:hyperlink r:id="rId193">
        <w:r w:rsidRPr="008F4E90">
          <w:rPr>
            <w:rFonts w:asciiTheme="majorBidi" w:eastAsia="Times New Roman" w:hAnsiTheme="majorBidi" w:cstheme="majorBidi"/>
            <w:sz w:val="24"/>
            <w:szCs w:val="24"/>
          </w:rPr>
          <w:t xml:space="preserve">; </w:t>
        </w:r>
      </w:hyperlink>
      <w:hyperlink r:id="rId194">
        <w:r w:rsidRPr="008F4E90">
          <w:rPr>
            <w:rFonts w:asciiTheme="majorBidi" w:eastAsia="Times New Roman" w:hAnsiTheme="majorBidi" w:cstheme="majorBidi"/>
            <w:sz w:val="24"/>
            <w:szCs w:val="24"/>
          </w:rPr>
          <w:t>Xu et al., 2020)</w:t>
        </w:r>
      </w:hyperlink>
      <w:r w:rsidRPr="008F4E90">
        <w:rPr>
          <w:rFonts w:asciiTheme="majorBidi" w:eastAsia="Times New Roman" w:hAnsiTheme="majorBidi" w:cstheme="majorBidi"/>
          <w:sz w:val="24"/>
          <w:szCs w:val="24"/>
        </w:rPr>
        <w:t xml:space="preserve"> and age groups </w:t>
      </w:r>
      <w:hyperlink r:id="rId195">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Bosl</w:t>
        </w:r>
        <w:proofErr w:type="spellEnd"/>
        <w:r w:rsidRPr="008F4E90">
          <w:rPr>
            <w:rFonts w:asciiTheme="majorBidi" w:eastAsia="Times New Roman" w:hAnsiTheme="majorBidi" w:cstheme="majorBidi"/>
            <w:sz w:val="24"/>
            <w:szCs w:val="24"/>
          </w:rPr>
          <w:t xml:space="preserve"> et al., 2018; Kang et al., 2018)</w:t>
        </w:r>
      </w:hyperlink>
      <w:r w:rsidRPr="008F4E90">
        <w:rPr>
          <w:rFonts w:asciiTheme="majorBidi" w:eastAsia="Times New Roman" w:hAnsiTheme="majorBidi" w:cstheme="majorBidi"/>
          <w:sz w:val="24"/>
          <w:szCs w:val="24"/>
        </w:rPr>
        <w:t>, this inconsistency can be attributed to inherent limitations of single-scale sample entropy as a measurement tool for complexity.</w:t>
      </w:r>
    </w:p>
    <w:p w14:paraId="6536402B"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human brain is regulated by an evolving interacting mechanism </w:t>
      </w:r>
      <w:hyperlink r:id="rId196">
        <w:r w:rsidRPr="008F4E90">
          <w:rPr>
            <w:rFonts w:asciiTheme="majorBidi" w:eastAsia="Times New Roman" w:hAnsiTheme="majorBidi" w:cstheme="majorBidi"/>
            <w:sz w:val="24"/>
            <w:szCs w:val="24"/>
          </w:rPr>
          <w:t>(Barrett, 2012)</w:t>
        </w:r>
      </w:hyperlink>
      <w:r w:rsidRPr="008F4E90">
        <w:rPr>
          <w:rFonts w:asciiTheme="majorBidi" w:eastAsia="Times New Roman" w:hAnsiTheme="majorBidi" w:cstheme="majorBidi"/>
          <w:sz w:val="24"/>
          <w:szCs w:val="24"/>
        </w:rPr>
        <w:t xml:space="preserve">, ensuring consistency in the time domain during ongoing processes </w:t>
      </w:r>
      <w:hyperlink r:id="rId197">
        <w:r w:rsidRPr="008F4E90">
          <w:rPr>
            <w:rFonts w:asciiTheme="majorBidi" w:eastAsia="Times New Roman" w:hAnsiTheme="majorBidi" w:cstheme="majorBidi"/>
            <w:sz w:val="24"/>
            <w:szCs w:val="24"/>
          </w:rPr>
          <w:t>(Bassett &amp; Gazzaniga, 2011)</w:t>
        </w:r>
      </w:hyperlink>
      <w:r w:rsidRPr="008F4E90">
        <w:rPr>
          <w:rFonts w:asciiTheme="majorBidi" w:eastAsia="Times New Roman" w:hAnsiTheme="majorBidi" w:cstheme="majorBidi"/>
          <w:sz w:val="24"/>
          <w:szCs w:val="24"/>
        </w:rPr>
        <w:t xml:space="preserve">. Considering that signals from the brain hold different meanings across various spatial and temporal scales </w:t>
      </w:r>
      <w:hyperlink r:id="rId198">
        <w:r w:rsidRPr="008F4E90">
          <w:rPr>
            <w:rFonts w:asciiTheme="majorBidi" w:eastAsia="Times New Roman" w:hAnsiTheme="majorBidi" w:cstheme="majorBidi"/>
            <w:sz w:val="24"/>
            <w:szCs w:val="24"/>
          </w:rPr>
          <w:t>(Busa &amp; van Emmerik, 2016; Yakovleva et al., 2020)</w:t>
        </w:r>
      </w:hyperlink>
      <w:r w:rsidRPr="008F4E90">
        <w:rPr>
          <w:rFonts w:asciiTheme="majorBidi" w:eastAsia="Times New Roman" w:hAnsiTheme="majorBidi" w:cstheme="majorBidi"/>
          <w:sz w:val="24"/>
          <w:szCs w:val="24"/>
        </w:rPr>
        <w:t xml:space="preserve">, it is crucial to accurately assess the multiscale spatiotemporal complexity of physiological signals composed of interrelated information </w:t>
      </w:r>
      <w:hyperlink r:id="rId199">
        <w:r w:rsidRPr="008F4E90">
          <w:rPr>
            <w:rFonts w:asciiTheme="majorBidi" w:eastAsia="Times New Roman" w:hAnsiTheme="majorBidi" w:cstheme="majorBidi"/>
            <w:sz w:val="24"/>
            <w:szCs w:val="24"/>
          </w:rPr>
          <w:t>(Costa et al., 2005)</w:t>
        </w:r>
      </w:hyperlink>
      <w:r w:rsidRPr="008F4E90">
        <w:rPr>
          <w:rFonts w:asciiTheme="majorBidi" w:eastAsia="Times New Roman" w:hAnsiTheme="majorBidi" w:cstheme="majorBidi"/>
          <w:sz w:val="24"/>
          <w:szCs w:val="24"/>
        </w:rPr>
        <w:t xml:space="preserve">. Intuitively, complexity is associated with “meaningful structural richness” </w:t>
      </w:r>
      <w:hyperlink r:id="rId20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Grassberger</w:t>
        </w:r>
        <w:proofErr w:type="spellEnd"/>
        <w:r w:rsidRPr="008F4E90">
          <w:rPr>
            <w:rFonts w:asciiTheme="majorBidi" w:eastAsia="Times New Roman" w:hAnsiTheme="majorBidi" w:cstheme="majorBidi"/>
            <w:sz w:val="24"/>
            <w:szCs w:val="24"/>
          </w:rPr>
          <w:t>, 1991)</w:t>
        </w:r>
      </w:hyperlink>
      <w:r w:rsidRPr="008F4E90">
        <w:rPr>
          <w:rFonts w:asciiTheme="majorBidi" w:eastAsia="Times New Roman" w:hAnsiTheme="majorBidi" w:cstheme="majorBidi"/>
          <w:sz w:val="24"/>
          <w:szCs w:val="24"/>
        </w:rPr>
        <w:t xml:space="preserve">, thus revealing correlations over multiple spatiotemporal scales in a time series. However, in some cases, others observed that an increase in single-scale sample entropy does not necessarily indicate a corresponding increase in physiological complexity </w:t>
      </w:r>
      <w:hyperlink r:id="rId201">
        <w:r w:rsidRPr="008F4E90">
          <w:rPr>
            <w:rFonts w:asciiTheme="majorBidi" w:eastAsia="Times New Roman" w:hAnsiTheme="majorBidi" w:cstheme="majorBidi"/>
            <w:sz w:val="24"/>
            <w:szCs w:val="24"/>
          </w:rPr>
          <w:t>(</w:t>
        </w:r>
      </w:hyperlink>
      <w:hyperlink r:id="rId202">
        <w:r w:rsidRPr="008F4E90">
          <w:rPr>
            <w:rFonts w:asciiTheme="majorBidi" w:eastAsia="Times New Roman" w:hAnsiTheme="majorBidi" w:cstheme="majorBidi"/>
            <w:sz w:val="24"/>
            <w:szCs w:val="24"/>
          </w:rPr>
          <w:t>Delgado-Bonal &amp; Marshak, 2019</w:t>
        </w:r>
      </w:hyperlink>
      <w:hyperlink r:id="rId203">
        <w:r w:rsidRPr="008F4E90">
          <w:rPr>
            <w:rFonts w:asciiTheme="majorBidi" w:eastAsia="Times New Roman" w:hAnsiTheme="majorBidi" w:cstheme="majorBidi"/>
            <w:sz w:val="24"/>
            <w:szCs w:val="24"/>
          </w:rPr>
          <w:t>; Goldberger et al., 2000</w:t>
        </w:r>
      </w:hyperlink>
      <w:hyperlink r:id="rId204">
        <w:r w:rsidRPr="008F4E90">
          <w:rPr>
            <w:rFonts w:asciiTheme="majorBidi" w:eastAsia="Times New Roman" w:hAnsiTheme="majorBidi" w:cstheme="majorBidi"/>
            <w:sz w:val="24"/>
            <w:szCs w:val="24"/>
          </w:rPr>
          <w:t xml:space="preserve">; </w:t>
        </w:r>
      </w:hyperlink>
      <w:hyperlink r:id="rId205">
        <w:r w:rsidRPr="008F4E90">
          <w:rPr>
            <w:rFonts w:asciiTheme="majorBidi" w:eastAsia="Times New Roman" w:hAnsiTheme="majorBidi" w:cstheme="majorBidi"/>
            <w:sz w:val="24"/>
            <w:szCs w:val="24"/>
          </w:rPr>
          <w:t>Vaillancourt &amp; Newell, 2002)</w:t>
        </w:r>
      </w:hyperlink>
      <w:r w:rsidRPr="008F4E90">
        <w:rPr>
          <w:rFonts w:asciiTheme="majorBidi" w:eastAsia="Times New Roman" w:hAnsiTheme="majorBidi" w:cstheme="majorBidi"/>
          <w:sz w:val="24"/>
          <w:szCs w:val="24"/>
        </w:rPr>
        <w:t xml:space="preserve">. Minimum entropy is not present in signals that are entirely predictable (e.g., periodic signals), and signals that are entirely unpredictable (e.g., uncorrelated random signals) do not display the expected maximum entropy. This leads to a challenge in distinguishing between regularity and complexity as it assigns high entropy values to both random and complex signals. </w:t>
      </w:r>
    </w:p>
    <w:p w14:paraId="6D48A83B"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illustrate this, </w:t>
      </w:r>
      <w:hyperlink r:id="rId206">
        <w:r w:rsidRPr="008F4E90">
          <w:rPr>
            <w:rFonts w:asciiTheme="majorBidi" w:eastAsia="Times New Roman" w:hAnsiTheme="majorBidi" w:cstheme="majorBidi"/>
            <w:sz w:val="24"/>
            <w:szCs w:val="24"/>
          </w:rPr>
          <w:t>Newell, 2002</w:t>
        </w:r>
      </w:hyperlink>
      <w:r w:rsidRPr="008F4E90">
        <w:rPr>
          <w:rFonts w:asciiTheme="majorBidi" w:eastAsia="Times New Roman" w:hAnsiTheme="majorBidi" w:cstheme="majorBidi"/>
          <w:sz w:val="24"/>
          <w:szCs w:val="24"/>
        </w:rPr>
        <w:t xml:space="preserve"> extracted a sequence of data points representing the interval time series of a healthy heartbeat, which has been found to exhibit one of the most complex (i.e., multifractal) processes in nature </w:t>
      </w:r>
      <w:hyperlink r:id="rId207">
        <w:r w:rsidRPr="008F4E90">
          <w:rPr>
            <w:rFonts w:asciiTheme="majorBidi" w:eastAsia="Times New Roman" w:hAnsiTheme="majorBidi" w:cstheme="majorBidi"/>
            <w:sz w:val="24"/>
            <w:szCs w:val="24"/>
          </w:rPr>
          <w:t>(Ivanov et al., 1999)</w:t>
        </w:r>
      </w:hyperlink>
      <w:r w:rsidRPr="008F4E90">
        <w:rPr>
          <w:rFonts w:asciiTheme="majorBidi" w:eastAsia="Times New Roman" w:hAnsiTheme="majorBidi" w:cstheme="majorBidi"/>
          <w:sz w:val="24"/>
          <w:szCs w:val="24"/>
        </w:rPr>
        <w:t xml:space="preserve">. Then, the order of these data points was shuffled to create a randomised surrogate data; the sample entropy value of the surrogate data increases because traditional entropy treats the randomly randomised surrogate data as more irregular and unpredictable than the </w:t>
      </w:r>
      <w:r w:rsidRPr="008F4E90">
        <w:rPr>
          <w:rFonts w:asciiTheme="majorBidi" w:eastAsia="Times New Roman" w:hAnsiTheme="majorBidi" w:cstheme="majorBidi"/>
          <w:sz w:val="24"/>
          <w:szCs w:val="24"/>
        </w:rPr>
        <w:lastRenderedPageBreak/>
        <w:t xml:space="preserve">original heartbeat data. However, this randomised signal lacks the fractal correlation properties and nonlinear interactions present in the original data, as the process of randomly shuffling the original data points completely destroys the original internal correlations </w:t>
      </w:r>
      <w:hyperlink r:id="rId208">
        <w:r w:rsidRPr="008F4E90">
          <w:rPr>
            <w:rFonts w:asciiTheme="majorBidi" w:eastAsia="Times New Roman" w:hAnsiTheme="majorBidi" w:cstheme="majorBidi"/>
            <w:sz w:val="24"/>
            <w:szCs w:val="24"/>
          </w:rPr>
          <w:t>(Lancaster et al., 2018)</w:t>
        </w:r>
      </w:hyperlink>
      <w:r w:rsidRPr="008F4E90">
        <w:rPr>
          <w:rFonts w:asciiTheme="majorBidi" w:eastAsia="Times New Roman" w:hAnsiTheme="majorBidi" w:cstheme="majorBidi"/>
          <w:sz w:val="24"/>
          <w:szCs w:val="24"/>
        </w:rPr>
        <w:t xml:space="preserve">. As a result, despite the higher sample entropy value, the randomised dataset is considered to be less physiologically complex according to the definition provided above. This single time scale, along the gradient from regularity to randomness, leads to the perplexing conclusion that randomness is complex in some circumstances. For example, traditional entropy-based algorithms always assign the highest value to uncorrelated random signals (i.e. white noise), which can be confusing with the expected value of structurally complex signals </w:t>
      </w:r>
      <w:hyperlink r:id="rId209">
        <w:r w:rsidRPr="008F4E90">
          <w:rPr>
            <w:rFonts w:asciiTheme="majorBidi" w:eastAsia="Times New Roman" w:hAnsiTheme="majorBidi" w:cstheme="majorBidi"/>
            <w:sz w:val="24"/>
            <w:szCs w:val="24"/>
          </w:rPr>
          <w:t>(Costa et al., 2003)</w:t>
        </w:r>
      </w:hyperlink>
      <w:r w:rsidRPr="008F4E90">
        <w:rPr>
          <w:rFonts w:asciiTheme="majorBidi" w:eastAsia="Times New Roman" w:hAnsiTheme="majorBidi" w:cstheme="majorBidi"/>
          <w:sz w:val="24"/>
          <w:szCs w:val="24"/>
        </w:rPr>
        <w:t xml:space="preserve">. Therefore, it is important to recognise that increased irregularity or entropy does not necessarily imply an increase in physiological complexity. In such cases, assessing the physiological complexity is better achieved using scaling techniques that can detect and quantify the presence of long-range correlations in nonstationary time series, that is, the multiscale sample entropy </w:t>
      </w:r>
      <w:hyperlink r:id="rId210">
        <w:r w:rsidRPr="008F4E90">
          <w:rPr>
            <w:rFonts w:asciiTheme="majorBidi" w:eastAsia="Times New Roman" w:hAnsiTheme="majorBidi" w:cstheme="majorBidi"/>
            <w:sz w:val="24"/>
            <w:szCs w:val="24"/>
          </w:rPr>
          <w:t>(Costa et al., 2002)</w:t>
        </w:r>
      </w:hyperlink>
      <w:r w:rsidRPr="008F4E90">
        <w:rPr>
          <w:rFonts w:asciiTheme="majorBidi" w:eastAsia="Times New Roman" w:hAnsiTheme="majorBidi" w:cstheme="majorBidi"/>
          <w:sz w:val="24"/>
          <w:szCs w:val="24"/>
        </w:rPr>
        <w:t>.</w:t>
      </w:r>
    </w:p>
    <w:p w14:paraId="176ACDE1"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Multiscale entropy (MSE) is an extension of sample entropy that includes an additional coarse-graining procedure </w:t>
      </w:r>
      <w:hyperlink r:id="rId211">
        <w:r w:rsidRPr="008F4E90">
          <w:rPr>
            <w:rFonts w:asciiTheme="majorBidi" w:eastAsia="Times New Roman" w:hAnsiTheme="majorBidi" w:cstheme="majorBidi"/>
            <w:sz w:val="24"/>
            <w:szCs w:val="24"/>
          </w:rPr>
          <w:t>(Costa et al., 2002)</w:t>
        </w:r>
      </w:hyperlink>
      <w:r w:rsidRPr="008F4E90">
        <w:rPr>
          <w:rFonts w:asciiTheme="majorBidi" w:eastAsia="Times New Roman" w:hAnsiTheme="majorBidi" w:cstheme="majorBidi"/>
          <w:sz w:val="24"/>
          <w:szCs w:val="24"/>
        </w:rPr>
        <w:t xml:space="preserve">. Integrating the temporal coarse-graining procedure within MSE progressively downsizes the original signal by applying a moving average filter with non-overlapping windows to average the adjacent data points into several subsets with increasing time scales </w:t>
      </w:r>
      <w:hyperlink r:id="rId212">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w:t>
        </w:r>
      </w:hyperlink>
      <w:r w:rsidRPr="008F4E90">
        <w:rPr>
          <w:rFonts w:asciiTheme="majorBidi" w:eastAsia="Times New Roman" w:hAnsiTheme="majorBidi" w:cstheme="majorBidi"/>
          <w:sz w:val="24"/>
          <w:szCs w:val="24"/>
        </w:rPr>
        <w:t xml:space="preserve">. With the increasing temporal scales, the power spectral density of frequency after coarse graining shrank. In this case, the coarse-graining procedure acts like the low-pass filter in the frequency domain and </w:t>
      </w:r>
      <w:proofErr w:type="spellStart"/>
      <w:r w:rsidRPr="008F4E90">
        <w:rPr>
          <w:rFonts w:asciiTheme="majorBidi" w:eastAsia="Times New Roman" w:hAnsiTheme="majorBidi" w:cstheme="majorBidi"/>
          <w:sz w:val="24"/>
          <w:szCs w:val="24"/>
        </w:rPr>
        <w:t>downsamples</w:t>
      </w:r>
      <w:proofErr w:type="spellEnd"/>
      <w:r w:rsidRPr="008F4E90">
        <w:rPr>
          <w:rFonts w:asciiTheme="majorBidi" w:eastAsia="Times New Roman" w:hAnsiTheme="majorBidi" w:cstheme="majorBidi"/>
          <w:sz w:val="24"/>
          <w:szCs w:val="24"/>
        </w:rPr>
        <w:t xml:space="preserve"> the data points </w:t>
      </w:r>
      <w:hyperlink r:id="rId213">
        <w:r w:rsidRPr="008F4E90">
          <w:rPr>
            <w:rFonts w:asciiTheme="majorBidi" w:eastAsia="Times New Roman" w:hAnsiTheme="majorBidi" w:cstheme="majorBidi"/>
            <w:sz w:val="24"/>
            <w:szCs w:val="24"/>
          </w:rPr>
          <w:t xml:space="preserve">(Govindan et al., 2007; </w:t>
        </w:r>
        <w:proofErr w:type="spellStart"/>
        <w:r w:rsidRPr="008F4E90">
          <w:rPr>
            <w:rFonts w:asciiTheme="majorBidi" w:eastAsia="Times New Roman" w:hAnsiTheme="majorBidi" w:cstheme="majorBidi"/>
            <w:sz w:val="24"/>
            <w:szCs w:val="24"/>
          </w:rPr>
          <w:t>Kaffashi</w:t>
        </w:r>
        <w:proofErr w:type="spellEnd"/>
        <w:r w:rsidRPr="008F4E90">
          <w:rPr>
            <w:rFonts w:asciiTheme="majorBidi" w:eastAsia="Times New Roman" w:hAnsiTheme="majorBidi" w:cstheme="majorBidi"/>
            <w:sz w:val="24"/>
            <w:szCs w:val="24"/>
          </w:rPr>
          <w:t xml:space="preserve"> et al., 2008)</w:t>
        </w:r>
      </w:hyperlink>
      <w:r w:rsidRPr="008F4E90">
        <w:rPr>
          <w:rFonts w:asciiTheme="majorBidi" w:eastAsia="Times New Roman" w:hAnsiTheme="majorBidi" w:cstheme="majorBidi"/>
          <w:sz w:val="24"/>
          <w:szCs w:val="24"/>
        </w:rPr>
        <w:t xml:space="preserve">. Recent research proved that coarse-graining is mathematically identical to wavelet decomposition </w:t>
      </w:r>
      <w:hyperlink r:id="rId214">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Bosl</w:t>
        </w:r>
        <w:proofErr w:type="spellEnd"/>
        <w:r w:rsidRPr="008F4E90">
          <w:rPr>
            <w:rFonts w:asciiTheme="majorBidi" w:eastAsia="Times New Roman" w:hAnsiTheme="majorBidi" w:cstheme="majorBidi"/>
            <w:sz w:val="24"/>
            <w:szCs w:val="24"/>
          </w:rPr>
          <w:t xml:space="preserve"> et al., 2018)</w:t>
        </w:r>
      </w:hyperlink>
      <w:r w:rsidRPr="008F4E90">
        <w:rPr>
          <w:rFonts w:asciiTheme="majorBidi" w:eastAsia="Times New Roman" w:hAnsiTheme="majorBidi" w:cstheme="majorBidi"/>
          <w:sz w:val="24"/>
          <w:szCs w:val="24"/>
        </w:rPr>
        <w:t xml:space="preserve">, especially Haar wavelet approximations at power-of-two scales </w:t>
      </w:r>
      <w:hyperlink r:id="rId215">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Bosl</w:t>
        </w:r>
        <w:proofErr w:type="spellEnd"/>
        <w:r w:rsidRPr="008F4E90">
          <w:rPr>
            <w:rFonts w:asciiTheme="majorBidi" w:eastAsia="Times New Roman" w:hAnsiTheme="majorBidi" w:cstheme="majorBidi"/>
            <w:sz w:val="24"/>
            <w:szCs w:val="24"/>
          </w:rPr>
          <w:t xml:space="preserve"> et al., 2022)</w:t>
        </w:r>
      </w:hyperlink>
      <w:r w:rsidRPr="008F4E90">
        <w:rPr>
          <w:rFonts w:asciiTheme="majorBidi" w:eastAsia="Times New Roman" w:hAnsiTheme="majorBidi" w:cstheme="majorBidi"/>
          <w:sz w:val="24"/>
          <w:szCs w:val="24"/>
        </w:rPr>
        <w:t xml:space="preserve">. This extension to multiple time scales allows the determination of the irregularity in long-range temporal dynamics, that is, evoked neural dynamics that associate current brain activity with previously activated connectivity that has been generated by recurrent dynamics through multiple hierarchic levels of cortical networks </w:t>
      </w:r>
      <w:hyperlink r:id="rId216">
        <w:r w:rsidRPr="008F4E90">
          <w:rPr>
            <w:rFonts w:asciiTheme="majorBidi" w:eastAsia="Times New Roman" w:hAnsiTheme="majorBidi" w:cstheme="majorBidi"/>
            <w:sz w:val="24"/>
            <w:szCs w:val="24"/>
          </w:rPr>
          <w:t>(Garrido et al., 2007)</w:t>
        </w:r>
      </w:hyperlink>
      <w:r w:rsidRPr="008F4E90">
        <w:rPr>
          <w:rFonts w:asciiTheme="majorBidi" w:eastAsia="Times New Roman" w:hAnsiTheme="majorBidi" w:cstheme="majorBidi"/>
          <w:sz w:val="24"/>
          <w:szCs w:val="24"/>
        </w:rPr>
        <w:t xml:space="preserve">. Specifically, higher values of multiscale entropy (MSE), particularly at coarse time scales, </w:t>
      </w:r>
      <w:r w:rsidRPr="008F4E90">
        <w:rPr>
          <w:rFonts w:asciiTheme="majorBidi" w:eastAsia="Times New Roman" w:hAnsiTheme="majorBidi" w:cstheme="majorBidi"/>
          <w:sz w:val="24"/>
          <w:szCs w:val="24"/>
        </w:rPr>
        <w:lastRenderedPageBreak/>
        <w:t xml:space="preserve">are indicative of higher frequency, nonlinearities, and heightened stochasticity </w:t>
      </w:r>
      <w:hyperlink r:id="rId217">
        <w:r w:rsidRPr="008F4E90">
          <w:rPr>
            <w:rFonts w:asciiTheme="majorBidi" w:eastAsia="Times New Roman" w:hAnsiTheme="majorBidi" w:cstheme="majorBidi"/>
            <w:sz w:val="24"/>
            <w:szCs w:val="24"/>
          </w:rPr>
          <w:t>(Azami et al., 2017</w:t>
        </w:r>
      </w:hyperlink>
      <w:hyperlink r:id="rId218">
        <w:r w:rsidRPr="008F4E90">
          <w:rPr>
            <w:rFonts w:asciiTheme="majorBidi" w:eastAsia="Times New Roman" w:hAnsiTheme="majorBidi" w:cstheme="majorBidi"/>
            <w:sz w:val="24"/>
            <w:szCs w:val="24"/>
          </w:rPr>
          <w:t xml:space="preserve">; </w:t>
        </w:r>
      </w:hyperlink>
      <w:hyperlink r:id="rId219">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 van </w:t>
        </w:r>
        <w:proofErr w:type="spellStart"/>
        <w:r w:rsidRPr="008F4E90">
          <w:rPr>
            <w:rFonts w:asciiTheme="majorBidi" w:eastAsia="Times New Roman" w:hAnsiTheme="majorBidi" w:cstheme="majorBidi"/>
            <w:sz w:val="24"/>
            <w:szCs w:val="24"/>
          </w:rPr>
          <w:t>Noordt</w:t>
        </w:r>
        <w:proofErr w:type="spellEnd"/>
        <w:r w:rsidRPr="008F4E90">
          <w:rPr>
            <w:rFonts w:asciiTheme="majorBidi" w:eastAsia="Times New Roman" w:hAnsiTheme="majorBidi" w:cstheme="majorBidi"/>
            <w:sz w:val="24"/>
            <w:szCs w:val="24"/>
          </w:rPr>
          <w:t xml:space="preserve"> &amp; Willoughby, 2021)</w:t>
        </w:r>
      </w:hyperlink>
      <w:r w:rsidRPr="008F4E90">
        <w:rPr>
          <w:rFonts w:asciiTheme="majorBidi" w:eastAsia="Times New Roman" w:hAnsiTheme="majorBidi" w:cstheme="majorBidi"/>
          <w:sz w:val="24"/>
          <w:szCs w:val="24"/>
        </w:rPr>
        <w:t xml:space="preserve"> or more transients in signals </w:t>
      </w:r>
      <w:hyperlink r:id="rId220">
        <w:r w:rsidRPr="008F4E90">
          <w:rPr>
            <w:rFonts w:asciiTheme="majorBidi" w:eastAsia="Times New Roman" w:hAnsiTheme="majorBidi" w:cstheme="majorBidi"/>
            <w:sz w:val="24"/>
            <w:szCs w:val="24"/>
          </w:rPr>
          <w:t xml:space="preserve">(School of Chemical Engineering and Technology, Xi'an </w:t>
        </w:r>
        <w:proofErr w:type="spellStart"/>
        <w:r w:rsidRPr="008F4E90">
          <w:rPr>
            <w:rFonts w:asciiTheme="majorBidi" w:eastAsia="Times New Roman" w:hAnsiTheme="majorBidi" w:cstheme="majorBidi"/>
            <w:sz w:val="24"/>
            <w:szCs w:val="24"/>
          </w:rPr>
          <w:t>Jiaotong</w:t>
        </w:r>
        <w:proofErr w:type="spellEnd"/>
        <w:r w:rsidRPr="008F4E90">
          <w:rPr>
            <w:rFonts w:asciiTheme="majorBidi" w:eastAsia="Times New Roman" w:hAnsiTheme="majorBidi" w:cstheme="majorBidi"/>
            <w:sz w:val="24"/>
            <w:szCs w:val="24"/>
          </w:rPr>
          <w:t xml:space="preserve"> University, Xi'an 710049; China &amp; Wu, 2017)</w:t>
        </w:r>
      </w:hyperlink>
      <w:r w:rsidRPr="008F4E90">
        <w:rPr>
          <w:rFonts w:asciiTheme="majorBidi" w:eastAsia="Times New Roman" w:hAnsiTheme="majorBidi" w:cstheme="majorBidi"/>
          <w:sz w:val="24"/>
          <w:szCs w:val="24"/>
        </w:rPr>
        <w:t xml:space="preserve">, while conventional entropy-based measurements overlook these aspects. </w:t>
      </w:r>
    </w:p>
    <w:p w14:paraId="776900AF"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Additionally, multiscale entropy performs differently in different types of time series; unlike the confusion in single-scale sample entropy, multiscale entropy instead shows an increased trend on EEG signals, while a decreased trend on surrogate one with the same pattern showing in white noise </w:t>
      </w:r>
      <w:hyperlink r:id="rId221">
        <w:r w:rsidRPr="008F4E90">
          <w:rPr>
            <w:rFonts w:asciiTheme="majorBidi" w:eastAsia="Times New Roman" w:hAnsiTheme="majorBidi" w:cstheme="majorBidi"/>
            <w:sz w:val="24"/>
            <w:szCs w:val="24"/>
          </w:rPr>
          <w:t>(Costa et al., 2003)</w:t>
        </w:r>
      </w:hyperlink>
      <w:r w:rsidRPr="008F4E90">
        <w:rPr>
          <w:rFonts w:asciiTheme="majorBidi" w:eastAsia="Times New Roman" w:hAnsiTheme="majorBidi" w:cstheme="majorBidi"/>
          <w:sz w:val="24"/>
          <w:szCs w:val="24"/>
        </w:rPr>
        <w:t xml:space="preserve">. MSE can reveal the dependence of entropy measures over multiple time scales. MSE performs differently in a random noise because its information only concentrates on the short time scales; as the signal being coarse-grained, its average remained unchanged and standard deviation monotonically reduced due to the absence of new structure </w:t>
      </w:r>
      <w:hyperlink r:id="rId222">
        <w:r w:rsidRPr="008F4E90">
          <w:rPr>
            <w:rFonts w:asciiTheme="majorBidi" w:eastAsia="Times New Roman" w:hAnsiTheme="majorBidi" w:cstheme="majorBidi"/>
            <w:sz w:val="24"/>
            <w:szCs w:val="24"/>
          </w:rPr>
          <w:t>(Costa et al., 2005)</w:t>
        </w:r>
      </w:hyperlink>
      <w:r w:rsidRPr="008F4E90">
        <w:rPr>
          <w:rFonts w:asciiTheme="majorBidi" w:eastAsia="Times New Roman" w:hAnsiTheme="majorBidi" w:cstheme="majorBidi"/>
          <w:sz w:val="24"/>
          <w:szCs w:val="24"/>
        </w:rPr>
        <w:t>. Therefore, MSE managed to present different patterns on different time series.</w:t>
      </w:r>
    </w:p>
    <w:p w14:paraId="124C3283"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Here, the aim was to compare the performance of MSE on noise to demonstrate their performance of capturing features of different types of data as the foundation of the interpretation of multiscale entropy-based methods.</w:t>
      </w:r>
    </w:p>
    <w:p w14:paraId="103A85AA" w14:textId="77777777" w:rsidR="00EB25CA" w:rsidRPr="008F4E90" w:rsidRDefault="00EB25CA" w:rsidP="00EB25CA">
      <w:pPr>
        <w:numPr>
          <w:ilvl w:val="0"/>
          <w:numId w:val="1"/>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MSE of noise: The dependency between the above-mentioned multiscale entropy-based methods and 1/f noise (i.e., PN) and white noise (WN). </w:t>
      </w:r>
    </w:p>
    <w:p w14:paraId="30267578" w14:textId="77777777" w:rsidR="00CA1E73" w:rsidRPr="008F4E90" w:rsidRDefault="00EB25CA" w:rsidP="00B37FF3">
      <w:pPr>
        <w:numPr>
          <w:ilvl w:val="0"/>
          <w:numId w:val="1"/>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MSE of Phase-shuffled surrogate time series: To further test whether MSE is sensitive to nonlinear temporal dependencies in EEG and fMRI signal irregularities and to confirm its validity in the studies </w:t>
      </w:r>
      <w:hyperlink r:id="rId223">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Kosciessa</w:t>
        </w:r>
        <w:proofErr w:type="spellEnd"/>
        <w:r w:rsidRPr="008F4E90">
          <w:rPr>
            <w:rFonts w:asciiTheme="majorBidi" w:eastAsia="Times New Roman" w:hAnsiTheme="majorBidi" w:cstheme="majorBidi"/>
            <w:sz w:val="24"/>
            <w:szCs w:val="24"/>
          </w:rPr>
          <w:t xml:space="preserve"> et al., 2020)</w:t>
        </w:r>
      </w:hyperlink>
      <w:r w:rsidRPr="008F4E90">
        <w:rPr>
          <w:rFonts w:asciiTheme="majorBidi" w:eastAsia="Times New Roman" w:hAnsiTheme="majorBidi" w:cstheme="majorBidi"/>
          <w:sz w:val="24"/>
          <w:szCs w:val="24"/>
        </w:rPr>
        <w:t>, the MSE was applied to the corresponding phase-shuffled surrogate time series of the original time series.</w:t>
      </w:r>
    </w:p>
    <w:p w14:paraId="4E754499" w14:textId="77777777" w:rsidR="00B37FF3" w:rsidRPr="008F4E90" w:rsidRDefault="00EB25CA" w:rsidP="00B37FF3">
      <w:pPr>
        <w:spacing w:line="480" w:lineRule="auto"/>
        <w:jc w:val="both"/>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Evaluation of Multiscale Entropy-based method on</w:t>
      </w:r>
      <w:r w:rsidR="000A31BA" w:rsidRPr="008F4E90">
        <w:rPr>
          <w:rFonts w:asciiTheme="majorBidi" w:eastAsia="Times New Roman" w:hAnsiTheme="majorBidi" w:cstheme="majorBidi"/>
          <w:b/>
          <w:sz w:val="24"/>
          <w:szCs w:val="24"/>
        </w:rPr>
        <w:t xml:space="preserve"> Noises</w:t>
      </w:r>
    </w:p>
    <w:p w14:paraId="03D590C8" w14:textId="77777777" w:rsidR="00EB25CA" w:rsidRPr="008F4E90" w:rsidRDefault="00EB25CA" w:rsidP="00B37FF3">
      <w:pPr>
        <w:spacing w:line="480" w:lineRule="auto"/>
        <w:ind w:firstLine="720"/>
        <w:jc w:val="both"/>
        <w:rPr>
          <w:rFonts w:asciiTheme="majorBidi" w:eastAsia="Times New Roman" w:hAnsiTheme="majorBidi" w:cstheme="majorBidi"/>
          <w:b/>
          <w:sz w:val="24"/>
          <w:szCs w:val="24"/>
        </w:rPr>
      </w:pPr>
      <w:r w:rsidRPr="008F4E90">
        <w:rPr>
          <w:rFonts w:asciiTheme="majorBidi" w:eastAsia="Times New Roman" w:hAnsiTheme="majorBidi" w:cstheme="majorBidi"/>
          <w:b/>
          <w:i/>
          <w:sz w:val="24"/>
          <w:szCs w:val="24"/>
        </w:rPr>
        <w:t>White Noise and 1/f Noise Generation</w:t>
      </w:r>
      <w:r w:rsidR="004D3F34">
        <w:rPr>
          <w:rFonts w:asciiTheme="majorBidi" w:eastAsia="Times New Roman" w:hAnsiTheme="majorBidi" w:cstheme="majorBidi"/>
          <w:b/>
          <w:i/>
          <w:sz w:val="24"/>
          <w:szCs w:val="24"/>
        </w:rPr>
        <w:t>.</w:t>
      </w:r>
      <w:r w:rsidR="000A31BA" w:rsidRPr="008F4E90">
        <w:rPr>
          <w:rFonts w:asciiTheme="majorBidi" w:eastAsia="Times New Roman" w:hAnsiTheme="majorBidi" w:cstheme="majorBidi"/>
          <w:b/>
          <w:sz w:val="24"/>
          <w:szCs w:val="24"/>
        </w:rPr>
        <w:t xml:space="preserve"> </w:t>
      </w:r>
      <w:r w:rsidRPr="008F4E90">
        <w:rPr>
          <w:rFonts w:asciiTheme="majorBidi" w:eastAsia="Times New Roman" w:hAnsiTheme="majorBidi" w:cstheme="majorBidi"/>
          <w:sz w:val="24"/>
          <w:szCs w:val="24"/>
        </w:rPr>
        <w:t xml:space="preserve">White noise (WN) has a constant power spectral density, whose samples are randomly drawn from the Gaussian distribution and uncorrelated </w:t>
      </w:r>
      <w:hyperlink r:id="rId224">
        <w:r w:rsidRPr="008F4E90">
          <w:rPr>
            <w:rFonts w:asciiTheme="majorBidi" w:eastAsia="Times New Roman" w:hAnsiTheme="majorBidi" w:cstheme="majorBidi"/>
            <w:sz w:val="24"/>
            <w:szCs w:val="24"/>
          </w:rPr>
          <w:t>(Diebold 1998)</w:t>
        </w:r>
      </w:hyperlink>
      <w:r w:rsidRPr="008F4E90">
        <w:rPr>
          <w:rFonts w:asciiTheme="majorBidi" w:eastAsia="Times New Roman" w:hAnsiTheme="majorBidi" w:cstheme="majorBidi"/>
          <w:sz w:val="24"/>
          <w:szCs w:val="24"/>
        </w:rPr>
        <w:t xml:space="preserve">. WN </w:t>
      </w:r>
      <w:r w:rsidRPr="008F4E90">
        <w:rPr>
          <w:rFonts w:asciiTheme="majorBidi" w:eastAsia="Times New Roman" w:hAnsiTheme="majorBidi" w:cstheme="majorBidi"/>
          <w:sz w:val="24"/>
          <w:szCs w:val="24"/>
        </w:rPr>
        <w:lastRenderedPageBreak/>
        <w:t xml:space="preserve">generated by </w:t>
      </w:r>
      <m:oMath>
        <m:r>
          <w:rPr>
            <w:rFonts w:ascii="Cambria Math" w:eastAsia="Times New Roman" w:hAnsi="Cambria Math" w:cstheme="majorBidi"/>
            <w:sz w:val="24"/>
            <w:szCs w:val="24"/>
          </w:rPr>
          <m:t xml:space="preserve">stretch * </m:t>
        </m:r>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X</m:t>
            </m:r>
          </m:e>
          <m:sub>
            <m:r>
              <w:rPr>
                <w:rFonts w:ascii="Cambria Math" w:eastAsia="Times New Roman" w:hAnsi="Cambria Math" w:cstheme="majorBidi"/>
                <w:sz w:val="24"/>
                <w:szCs w:val="24"/>
              </w:rPr>
              <m:t xml:space="preserve">n </m:t>
            </m:r>
          </m:sub>
        </m:sSub>
        <m:r>
          <w:rPr>
            <w:rFonts w:ascii="Cambria Math" w:eastAsia="Times New Roman" w:hAnsi="Cambria Math" w:cstheme="majorBidi"/>
            <w:sz w:val="24"/>
            <w:szCs w:val="24"/>
          </w:rPr>
          <m:t>+ shift</m:t>
        </m:r>
      </m:oMath>
      <w:r w:rsidRPr="008F4E90">
        <w:rPr>
          <w:rFonts w:asciiTheme="majorBidi" w:eastAsia="Times New Roman" w:hAnsiTheme="majorBidi" w:cstheme="majorBidi"/>
          <w:sz w:val="24"/>
          <w:szCs w:val="24"/>
        </w:rPr>
        <w:t xml:space="preserve">, where </w:t>
      </w:r>
      <m:oMath>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X</m:t>
            </m:r>
          </m:e>
          <m:sub>
            <m:r>
              <w:rPr>
                <w:rFonts w:ascii="Cambria Math" w:eastAsia="Times New Roman" w:hAnsi="Cambria Math" w:cstheme="majorBidi"/>
                <w:sz w:val="24"/>
                <w:szCs w:val="24"/>
              </w:rPr>
              <m:t xml:space="preserve">n </m:t>
            </m:r>
          </m:sub>
        </m:sSub>
      </m:oMath>
      <w:r w:rsidRPr="008F4E90">
        <w:rPr>
          <w:rFonts w:asciiTheme="majorBidi" w:eastAsia="Times New Roman" w:hAnsiTheme="majorBidi" w:cstheme="majorBidi"/>
          <w:sz w:val="24"/>
          <w:szCs w:val="24"/>
        </w:rPr>
        <w:t xml:space="preserve"> is a random scalar drawn from the standard normal distribution. </w:t>
      </w:r>
      <m:oMath>
        <m:r>
          <w:rPr>
            <w:rFonts w:ascii="Cambria Math" w:eastAsia="Times New Roman" w:hAnsi="Cambria Math" w:cstheme="majorBidi"/>
            <w:sz w:val="24"/>
            <w:szCs w:val="24"/>
          </w:rPr>
          <m:t>stretch</m:t>
        </m:r>
      </m:oMath>
      <w:r w:rsidRPr="008F4E90">
        <w:rPr>
          <w:rFonts w:asciiTheme="majorBidi" w:eastAsia="Times New Roman" w:hAnsiTheme="majorBidi" w:cstheme="majorBidi"/>
          <w:sz w:val="24"/>
          <w:szCs w:val="24"/>
        </w:rPr>
        <w:t xml:space="preserve"> is a parameter to adjust the width of the Gasussian distribution and </w:t>
      </w:r>
      <m:oMath>
        <m:r>
          <w:rPr>
            <w:rFonts w:ascii="Cambria Math" w:eastAsia="Times New Roman" w:hAnsi="Cambria Math" w:cstheme="majorBidi"/>
            <w:sz w:val="24"/>
            <w:szCs w:val="24"/>
          </w:rPr>
          <m:t xml:space="preserve"> shift</m:t>
        </m:r>
      </m:oMath>
      <w:r w:rsidRPr="008F4E90">
        <w:rPr>
          <w:rFonts w:asciiTheme="majorBidi" w:eastAsia="Times New Roman" w:hAnsiTheme="majorBidi" w:cstheme="majorBidi"/>
          <w:sz w:val="24"/>
          <w:szCs w:val="24"/>
        </w:rPr>
        <w:t xml:space="preserve"> parameter works to shift the distribution. </w:t>
      </w:r>
    </w:p>
    <w:p w14:paraId="331FEB0D" w14:textId="77777777" w:rsidR="00CA1E73" w:rsidRPr="008F4E90" w:rsidRDefault="00EB25CA" w:rsidP="0023297B">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1/f noise is defined by </w:t>
      </w:r>
      <m:oMath>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1</m:t>
            </m:r>
          </m:num>
          <m:den>
            <m:sSup>
              <m:sSupPr>
                <m:ctrlPr>
                  <w:rPr>
                    <w:rFonts w:ascii="Cambria Math" w:eastAsia="Times New Roman" w:hAnsi="Cambria Math" w:cstheme="majorBidi"/>
                    <w:sz w:val="24"/>
                    <w:szCs w:val="24"/>
                  </w:rPr>
                </m:ctrlPr>
              </m:sSupPr>
              <m:e>
                <m:r>
                  <w:rPr>
                    <w:rFonts w:ascii="Cambria Math" w:eastAsia="Times New Roman" w:hAnsi="Cambria Math" w:cstheme="majorBidi"/>
                    <w:sz w:val="24"/>
                    <w:szCs w:val="24"/>
                  </w:rPr>
                  <m:t>f</m:t>
                </m:r>
              </m:e>
              <m:sup>
                <m:r>
                  <w:rPr>
                    <w:rFonts w:ascii="Cambria Math" w:eastAsia="Times New Roman" w:hAnsi="Cambria Math" w:cstheme="majorBidi"/>
                    <w:sz w:val="24"/>
                    <w:szCs w:val="24"/>
                  </w:rPr>
                  <m:t>c</m:t>
                </m:r>
              </m:sup>
            </m:sSup>
          </m:den>
        </m:f>
      </m:oMath>
      <w:r w:rsidRPr="008F4E90">
        <w:rPr>
          <w:rFonts w:asciiTheme="majorBidi" w:eastAsia="Times New Roman" w:hAnsiTheme="majorBidi" w:cstheme="majorBidi"/>
          <w:sz w:val="24"/>
          <w:szCs w:val="24"/>
        </w:rPr>
        <w:t xml:space="preserve">. The key difference with 1/f noise is that it has a power spectrum that decreases with increasing frequency </w:t>
      </w:r>
      <w:hyperlink r:id="rId225">
        <w:r w:rsidRPr="008F4E90">
          <w:rPr>
            <w:rFonts w:asciiTheme="majorBidi" w:eastAsia="Times New Roman" w:hAnsiTheme="majorBidi" w:cstheme="majorBidi"/>
            <w:sz w:val="24"/>
            <w:szCs w:val="24"/>
          </w:rPr>
          <w:t>(Baxandall 1968)</w:t>
        </w:r>
      </w:hyperlink>
      <w:r w:rsidRPr="008F4E90">
        <w:rPr>
          <w:rFonts w:asciiTheme="majorBidi" w:eastAsia="Times New Roman" w:hAnsiTheme="majorBidi" w:cstheme="majorBidi"/>
          <w:sz w:val="24"/>
          <w:szCs w:val="24"/>
        </w:rPr>
        <w:t xml:space="preserve">. To generate it, we define its frequency description and then transform inversely to reveal it at the time domain. To generate it, we define its frequency description and transform it inversely to reveal it at the time domain. The frequency description is defined to generate the 1/f noise, and then the inverse transformation is applied to reveal it in the time domain. Firstly, an exponential decay parameter is set to define the steepness of the frequency distribution slope. Uniformly distributed random numbers with half the length of the noise are generated and multiplied by a negative exponential to create a </w:t>
      </w:r>
      <m:oMath>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f</m:t>
            </m:r>
          </m:den>
        </m:f>
      </m:oMath>
      <w:r w:rsidRPr="008F4E90">
        <w:rPr>
          <w:rFonts w:asciiTheme="majorBidi" w:eastAsia="Times New Roman" w:hAnsiTheme="majorBidi" w:cstheme="majorBidi"/>
          <w:sz w:val="24"/>
          <w:szCs w:val="24"/>
        </w:rPr>
        <w:t xml:space="preserve"> amplitude spectrum. Now, this amplitude spectrum moves towards zero, and it is mirrored using some additional random factors to obtain the coefficients for the inverse Fourier transform.</w:t>
      </w:r>
    </w:p>
    <w:p w14:paraId="6A891382" w14:textId="77777777" w:rsidR="00B37FF3" w:rsidRPr="008F4E90" w:rsidRDefault="00EB25CA" w:rsidP="00B37FF3">
      <w:pPr>
        <w:spacing w:line="480" w:lineRule="auto"/>
        <w:ind w:firstLine="720"/>
        <w:jc w:val="both"/>
        <w:rPr>
          <w:rFonts w:asciiTheme="majorBidi" w:eastAsia="Times New Roman" w:hAnsiTheme="majorBidi" w:cstheme="majorBidi"/>
          <w:b/>
          <w:i/>
          <w:sz w:val="24"/>
          <w:szCs w:val="24"/>
        </w:rPr>
      </w:pPr>
      <w:r w:rsidRPr="008F4E90">
        <w:rPr>
          <w:rFonts w:asciiTheme="majorBidi" w:eastAsia="Times New Roman" w:hAnsiTheme="majorBidi" w:cstheme="majorBidi"/>
          <w:b/>
          <w:i/>
          <w:sz w:val="24"/>
          <w:szCs w:val="24"/>
        </w:rPr>
        <w:t xml:space="preserve">Evaluating Multiscale Sample Entropy Performance on White Noise and 1/f Noise with Various Exponential Decay </w:t>
      </w:r>
      <w:r w:rsidR="00B37FF3" w:rsidRPr="008F4E90">
        <w:rPr>
          <w:rFonts w:asciiTheme="majorBidi" w:eastAsia="Times New Roman" w:hAnsiTheme="majorBidi" w:cstheme="majorBidi"/>
          <w:b/>
          <w:i/>
          <w:sz w:val="24"/>
          <w:szCs w:val="24"/>
        </w:rPr>
        <w:t>Parameters</w:t>
      </w:r>
      <w:r w:rsidR="00B37FF3" w:rsidRPr="008F4E90">
        <w:rPr>
          <w:rFonts w:asciiTheme="majorBidi" w:eastAsiaTheme="minorEastAsia" w:hAnsiTheme="majorBidi" w:cstheme="majorBidi"/>
          <w:b/>
          <w:i/>
          <w:sz w:val="24"/>
          <w:szCs w:val="24"/>
        </w:rPr>
        <w:t>.</w:t>
      </w:r>
      <w:r w:rsidR="00B37FF3" w:rsidRPr="008F4E90">
        <w:rPr>
          <w:rFonts w:asciiTheme="majorBidi" w:eastAsia="Times New Roman" w:hAnsiTheme="majorBidi" w:cstheme="majorBidi"/>
          <w:sz w:val="24"/>
          <w:szCs w:val="24"/>
        </w:rPr>
        <w:t xml:space="preserve"> Figure 2 illustrates the time and frequency domain description of the normally distributed white noise and 1/f noise and their multiscale entropy curves. Panel A and B are for WN and PN, respectively. Subplots(</w:t>
      </w:r>
      <w:proofErr w:type="spellStart"/>
      <w:r w:rsidR="00B37FF3" w:rsidRPr="008F4E90">
        <w:rPr>
          <w:rFonts w:asciiTheme="majorBidi" w:eastAsia="Times New Roman" w:hAnsiTheme="majorBidi" w:cstheme="majorBidi"/>
          <w:sz w:val="24"/>
          <w:szCs w:val="24"/>
        </w:rPr>
        <w:t>i</w:t>
      </w:r>
      <w:proofErr w:type="spellEnd"/>
      <w:r w:rsidR="00B37FF3" w:rsidRPr="008F4E90">
        <w:rPr>
          <w:rFonts w:asciiTheme="majorBidi" w:eastAsia="Times New Roman" w:hAnsiTheme="majorBidi" w:cstheme="majorBidi"/>
          <w:sz w:val="24"/>
          <w:szCs w:val="24"/>
        </w:rPr>
        <w:t>) are the time domain signal while subplots(ii) are the frequency domain signal, and subplots (iii) are the MSE pattern for noises.</w:t>
      </w:r>
    </w:p>
    <w:p w14:paraId="27BE4E80" w14:textId="77777777" w:rsidR="00B37FF3" w:rsidRPr="008F4E90" w:rsidRDefault="00B37FF3" w:rsidP="00B37FF3">
      <w:pPr>
        <w:spacing w:line="480" w:lineRule="auto"/>
        <w:ind w:firstLine="720"/>
        <w:jc w:val="both"/>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signal distribution of WN and PN is similar, and they are all close to the Gaussian distribution. Values alone are not what distinguish 1/f noise from white noise. In the white noise, entropy values go down over time as the coarse-grained WN standard deviation decreases monotonously due to the absence of a new structure </w:t>
      </w:r>
      <w:hyperlink r:id="rId226">
        <w:r w:rsidRPr="008F4E90">
          <w:rPr>
            <w:rFonts w:asciiTheme="majorBidi" w:eastAsia="Times New Roman" w:hAnsiTheme="majorBidi" w:cstheme="majorBidi"/>
            <w:sz w:val="24"/>
            <w:szCs w:val="24"/>
          </w:rPr>
          <w:t xml:space="preserve">(School of Chemical Engineering and Technology, Xi’an </w:t>
        </w:r>
        <w:proofErr w:type="spellStart"/>
        <w:r w:rsidRPr="008F4E90">
          <w:rPr>
            <w:rFonts w:asciiTheme="majorBidi" w:eastAsia="Times New Roman" w:hAnsiTheme="majorBidi" w:cstheme="majorBidi"/>
            <w:sz w:val="24"/>
            <w:szCs w:val="24"/>
          </w:rPr>
          <w:t>Jiaotong</w:t>
        </w:r>
        <w:proofErr w:type="spellEnd"/>
        <w:r w:rsidRPr="008F4E90">
          <w:rPr>
            <w:rFonts w:asciiTheme="majorBidi" w:eastAsia="Times New Roman" w:hAnsiTheme="majorBidi" w:cstheme="majorBidi"/>
            <w:sz w:val="24"/>
            <w:szCs w:val="24"/>
          </w:rPr>
          <w:t xml:space="preserve"> University, Xi’an 710049; China &amp; Wu, 2017)</w:t>
        </w:r>
      </w:hyperlink>
      <w:r w:rsidRPr="008F4E90">
        <w:rPr>
          <w:rFonts w:asciiTheme="majorBidi" w:eastAsia="Times New Roman" w:hAnsiTheme="majorBidi" w:cstheme="majorBidi"/>
          <w:sz w:val="24"/>
          <w:szCs w:val="24"/>
        </w:rPr>
        <w:t xml:space="preserve">. </w:t>
      </w:r>
    </w:p>
    <w:p w14:paraId="4AD64A08" w14:textId="77777777" w:rsidR="00B37FF3" w:rsidRPr="008F4E90" w:rsidRDefault="00B37FF3" w:rsidP="00B37FF3">
      <w:pPr>
        <w:spacing w:line="480" w:lineRule="auto"/>
        <w:ind w:firstLine="720"/>
        <w:jc w:val="both"/>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emphasise this statement, the occurrence of zeros in sample entropy for regular time series (i.e., periodic data) can also be observed, given their high predictability associated with the same repetitive data </w:t>
      </w:r>
      <w:r w:rsidRPr="008F4E90">
        <w:rPr>
          <w:rFonts w:asciiTheme="majorBidi" w:eastAsia="Times New Roman" w:hAnsiTheme="majorBidi" w:cstheme="majorBidi"/>
          <w:sz w:val="24"/>
          <w:szCs w:val="24"/>
        </w:rPr>
        <w:lastRenderedPageBreak/>
        <w:t xml:space="preserve">points </w:t>
      </w:r>
      <w:hyperlink r:id="rId227">
        <w:r w:rsidRPr="008F4E90">
          <w:rPr>
            <w:rFonts w:asciiTheme="majorBidi" w:eastAsia="Times New Roman" w:hAnsiTheme="majorBidi" w:cstheme="majorBidi"/>
            <w:sz w:val="24"/>
            <w:szCs w:val="24"/>
          </w:rPr>
          <w:t>(Delgado-Bonal &amp; Marshak, 2019)</w:t>
        </w:r>
      </w:hyperlink>
      <w:r w:rsidRPr="008F4E90">
        <w:rPr>
          <w:rFonts w:asciiTheme="majorBidi" w:eastAsia="Times New Roman" w:hAnsiTheme="majorBidi" w:cstheme="majorBidi"/>
          <w:sz w:val="24"/>
          <w:szCs w:val="24"/>
        </w:rPr>
        <w:t xml:space="preserve">. Unlike the findings reported in other studies, where the multiscale sample entropy profile of 1/f noise remains flat from the time scale 1 to 20 </w:t>
      </w:r>
      <w:hyperlink r:id="rId228">
        <w:r w:rsidRPr="008F4E90">
          <w:rPr>
            <w:rFonts w:asciiTheme="majorBidi" w:eastAsia="Times New Roman" w:hAnsiTheme="majorBidi" w:cstheme="majorBidi"/>
            <w:sz w:val="24"/>
            <w:szCs w:val="24"/>
          </w:rPr>
          <w:t>(Wu et al., 2013; Pham, 2017)</w:t>
        </w:r>
      </w:hyperlink>
      <w:r w:rsidRPr="008F4E90">
        <w:rPr>
          <w:rFonts w:asciiTheme="majorBidi" w:eastAsia="Times New Roman" w:hAnsiTheme="majorBidi" w:cstheme="majorBidi"/>
          <w:sz w:val="24"/>
          <w:szCs w:val="24"/>
        </w:rPr>
        <w:t>, this test demonstrates that the varying exponential decay parameter also influences the performance of multiscale sample entropy for 1/f noise. When the exponential decay parameter (ed) falls within the range of 50 and 200, this moderate ed has the potential to generate a noise signal resembling EEG characteristic. This is because EEG signals frequently encompass a wide spectrum ranging from slow-wave activity to higher-frequency components. The presence of the 1/f-like amplitude spectrum is why it looks more like a biological signal. The multiscale entropy-based approach also detects this characteristic. In the context of 1/f noise, the low-frequency components confirm the progressive rise in entropy at finer scales. The inherent fractal structure of 1/f noise prevents this entropy increase at coarser scales, maintaining a relatively consistent level. Moreover, it is evident that multiscale sample entropy is strongly influenced by frequency but may not depend on the amplitude of the examined signals.</w:t>
      </w:r>
    </w:p>
    <w:p w14:paraId="19E30454" w14:textId="77777777" w:rsidR="00B37FF3" w:rsidRPr="008F4E90" w:rsidRDefault="00B37FF3" w:rsidP="00B37FF3">
      <w:pPr>
        <w:spacing w:line="480" w:lineRule="auto"/>
        <w:ind w:firstLine="720"/>
        <w:jc w:val="both"/>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As the exponential decay parameter (ed) increases to over 300 in this case, the generated 1/f noise will tend to exhibit characteristics more similar to white noise. This is because higher values of exponential decay parameters lead to faster decay of the amplitude spectrum in the frequency domain. 1/f noise typically has a 1/f power spectrum, which means that as frequency increases, the amplitude decreases. When ed increases, the amplitudes of high-frequency components decrease more rapidly, making the noise signal resemble white noise, where all frequencies have similar amplitudes. This reduced distinction in amplitudes results in the noise signal having a more uniform distribution of frequencies, which is characteristic of white noise. This feature is also captured by the multiscale entropy-based method, as reflected by the declining pattern observed at coarser time scales, coinciding with the reduction of high-frequency components.</w:t>
      </w:r>
    </w:p>
    <w:p w14:paraId="3529C1D0" w14:textId="77777777" w:rsidR="00B37FF3" w:rsidRPr="008F4E90" w:rsidRDefault="00B37FF3" w:rsidP="00B37FF3">
      <w:pPr>
        <w:spacing w:line="480" w:lineRule="auto"/>
        <w:ind w:firstLine="720"/>
        <w:jc w:val="both"/>
        <w:rPr>
          <w:rFonts w:asciiTheme="majorBidi" w:eastAsia="Times New Roman" w:hAnsiTheme="majorBidi" w:cstheme="majorBidi"/>
          <w:sz w:val="24"/>
          <w:szCs w:val="24"/>
        </w:rPr>
      </w:pPr>
    </w:p>
    <w:p w14:paraId="1DFD245A" w14:textId="77777777" w:rsidR="00B37FF3" w:rsidRDefault="00B37FF3" w:rsidP="00B37FF3">
      <w:pPr>
        <w:spacing w:line="480" w:lineRule="auto"/>
        <w:ind w:firstLine="720"/>
        <w:jc w:val="both"/>
        <w:rPr>
          <w:rFonts w:asciiTheme="majorBidi" w:eastAsia="Times New Roman" w:hAnsiTheme="majorBidi" w:cstheme="majorBidi"/>
          <w:sz w:val="24"/>
          <w:szCs w:val="24"/>
        </w:rPr>
      </w:pPr>
    </w:p>
    <w:p w14:paraId="136857BB" w14:textId="77777777" w:rsidR="00AB1E6F" w:rsidRDefault="00AB1E6F" w:rsidP="00B37FF3">
      <w:pPr>
        <w:spacing w:line="480" w:lineRule="auto"/>
        <w:ind w:firstLine="720"/>
        <w:jc w:val="both"/>
        <w:rPr>
          <w:rFonts w:asciiTheme="majorBidi" w:eastAsia="Times New Roman" w:hAnsiTheme="majorBidi" w:cstheme="majorBidi"/>
          <w:sz w:val="24"/>
          <w:szCs w:val="24"/>
        </w:rPr>
      </w:pPr>
    </w:p>
    <w:p w14:paraId="24FA5BE7" w14:textId="77777777" w:rsidR="00AB1E6F" w:rsidRPr="008F4E90" w:rsidRDefault="00AB1E6F" w:rsidP="00B37FF3">
      <w:pPr>
        <w:spacing w:line="480" w:lineRule="auto"/>
        <w:ind w:firstLine="720"/>
        <w:jc w:val="both"/>
        <w:rPr>
          <w:rFonts w:asciiTheme="majorBidi" w:eastAsia="Times New Roman" w:hAnsiTheme="majorBidi" w:cstheme="majorBidi"/>
          <w:sz w:val="24"/>
          <w:szCs w:val="24"/>
        </w:rPr>
      </w:pPr>
    </w:p>
    <w:p w14:paraId="472EBE44" w14:textId="130CFE3B" w:rsidR="00407511" w:rsidRDefault="00407511" w:rsidP="00407511">
      <w:pPr>
        <w:pStyle w:val="NormalWeb"/>
        <w:spacing w:before="240" w:beforeAutospacing="0" w:after="240" w:afterAutospacing="0" w:line="480" w:lineRule="auto"/>
        <w:jc w:val="both"/>
      </w:pPr>
      <w:r>
        <w:rPr>
          <w:b/>
          <w:bCs/>
          <w:color w:val="000000"/>
          <w:sz w:val="28"/>
          <w:szCs w:val="28"/>
        </w:rPr>
        <w:lastRenderedPageBreak/>
        <w:t xml:space="preserve">Figure </w:t>
      </w:r>
      <w:r>
        <w:rPr>
          <w:b/>
          <w:bCs/>
          <w:color w:val="000000"/>
          <w:sz w:val="28"/>
          <w:szCs w:val="28"/>
        </w:rPr>
        <w:t>2</w:t>
      </w:r>
    </w:p>
    <w:p w14:paraId="674621D9" w14:textId="160DE2A2" w:rsidR="00407511" w:rsidRDefault="00407511" w:rsidP="00407511">
      <w:pPr>
        <w:pStyle w:val="NormalWeb"/>
        <w:spacing w:before="240" w:beforeAutospacing="0" w:after="240" w:afterAutospacing="0" w:line="480" w:lineRule="auto"/>
      </w:pPr>
      <w:r>
        <w:rPr>
          <w:i/>
          <w:iCs/>
          <w:color w:val="000000"/>
          <w:sz w:val="28"/>
          <w:szCs w:val="28"/>
        </w:rPr>
        <w:t>Analysis of White Noise Signals in Time and Frequency Domains, Multiscale Sample Entropy Profile</w:t>
      </w:r>
      <w:r>
        <w:rPr>
          <w:noProof/>
          <w:color w:val="000000"/>
          <w:sz w:val="28"/>
          <w:szCs w:val="28"/>
          <w:bdr w:val="none" w:sz="0" w:space="0" w:color="auto" w:frame="1"/>
        </w:rPr>
        <w:drawing>
          <wp:inline distT="0" distB="0" distL="0" distR="0" wp14:anchorId="4D22B2B6" wp14:editId="0A686059">
            <wp:extent cx="5732145" cy="3241040"/>
            <wp:effectExtent l="0" t="0" r="1905" b="0"/>
            <wp:docPr id="1961212937" name="Picture 1" descr="A diagram of a sound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12937" name="Picture 1" descr="A diagram of a sound wave&#10;&#10;Description automatically generated with medium confidence"/>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32145" cy="3241040"/>
                    </a:xfrm>
                    <a:prstGeom prst="rect">
                      <a:avLst/>
                    </a:prstGeom>
                    <a:noFill/>
                    <a:ln>
                      <a:noFill/>
                    </a:ln>
                  </pic:spPr>
                </pic:pic>
              </a:graphicData>
            </a:graphic>
          </wp:inline>
        </w:drawing>
      </w:r>
    </w:p>
    <w:p w14:paraId="088D784C" w14:textId="390768ED" w:rsidR="00407511" w:rsidRDefault="00407511" w:rsidP="00407511">
      <w:pPr>
        <w:pStyle w:val="NormalWeb"/>
        <w:spacing w:before="240" w:beforeAutospacing="0" w:after="240" w:afterAutospacing="0" w:line="480" w:lineRule="auto"/>
        <w:ind w:firstLine="720"/>
        <w:jc w:val="both"/>
        <w:rPr>
          <w:color w:val="000000"/>
          <w:sz w:val="28"/>
          <w:szCs w:val="28"/>
        </w:rPr>
      </w:pPr>
      <w:r>
        <w:rPr>
          <w:color w:val="000000"/>
          <w:sz w:val="28"/>
          <w:szCs w:val="28"/>
        </w:rPr>
        <w:t xml:space="preserve">Figure </w:t>
      </w:r>
      <w:r>
        <w:rPr>
          <w:color w:val="000000"/>
          <w:sz w:val="28"/>
          <w:szCs w:val="28"/>
        </w:rPr>
        <w:t>2</w:t>
      </w:r>
      <w:r>
        <w:rPr>
          <w:color w:val="000000"/>
          <w:sz w:val="28"/>
          <w:szCs w:val="28"/>
        </w:rPr>
        <w:t xml:space="preserve"> illustrates the time and frequency domain description of the normally distributed white noise and its multiscale entropy curve. Subplots(</w:t>
      </w:r>
      <w:proofErr w:type="spellStart"/>
      <w:r>
        <w:rPr>
          <w:color w:val="000000"/>
          <w:sz w:val="28"/>
          <w:szCs w:val="28"/>
        </w:rPr>
        <w:t>i</w:t>
      </w:r>
      <w:proofErr w:type="spellEnd"/>
      <w:r>
        <w:rPr>
          <w:color w:val="000000"/>
          <w:sz w:val="28"/>
          <w:szCs w:val="28"/>
        </w:rPr>
        <w:t>) are the time domain signal while subplots (ii) are the frequency domain signal, and subplots (iii) are the MSE pattern for white noise.</w:t>
      </w:r>
    </w:p>
    <w:p w14:paraId="2B3D2A04" w14:textId="3DD270A7" w:rsidR="00407511" w:rsidRDefault="00407511" w:rsidP="00407511">
      <w:pPr>
        <w:pStyle w:val="NormalWeb"/>
        <w:spacing w:before="240" w:beforeAutospacing="0" w:after="240" w:afterAutospacing="0" w:line="480" w:lineRule="auto"/>
        <w:jc w:val="both"/>
      </w:pPr>
      <w:r>
        <w:rPr>
          <w:b/>
          <w:bCs/>
          <w:color w:val="000000"/>
          <w:sz w:val="28"/>
          <w:szCs w:val="28"/>
        </w:rPr>
        <w:t xml:space="preserve">Figure </w:t>
      </w:r>
      <w:r>
        <w:rPr>
          <w:b/>
          <w:bCs/>
          <w:color w:val="000000"/>
          <w:sz w:val="28"/>
          <w:szCs w:val="28"/>
        </w:rPr>
        <w:t>3</w:t>
      </w:r>
    </w:p>
    <w:p w14:paraId="064686EC" w14:textId="704E5FB1" w:rsidR="00407511" w:rsidRDefault="00407511" w:rsidP="00407511">
      <w:pPr>
        <w:pStyle w:val="NormalWeb"/>
        <w:spacing w:before="240" w:beforeAutospacing="0" w:after="240" w:afterAutospacing="0" w:line="480" w:lineRule="auto"/>
      </w:pPr>
      <w:r>
        <w:rPr>
          <w:i/>
          <w:iCs/>
          <w:color w:val="000000"/>
          <w:sz w:val="28"/>
          <w:szCs w:val="28"/>
        </w:rPr>
        <w:t xml:space="preserve">Analysis of 1/f Noise Signals in Time and Frequency Domains, Multiscale Sample Entropy </w:t>
      </w:r>
      <w:r>
        <w:rPr>
          <w:i/>
          <w:iCs/>
          <w:color w:val="000000"/>
          <w:sz w:val="28"/>
          <w:szCs w:val="28"/>
        </w:rPr>
        <w:t>Profile,</w:t>
      </w:r>
      <w:r>
        <w:rPr>
          <w:i/>
          <w:iCs/>
          <w:color w:val="000000"/>
          <w:sz w:val="28"/>
          <w:szCs w:val="28"/>
        </w:rPr>
        <w:t xml:space="preserve"> and the impact of varied exponential decay parameter</w:t>
      </w:r>
    </w:p>
    <w:p w14:paraId="5B493BA1" w14:textId="1F417A4A" w:rsidR="00407511" w:rsidRDefault="00407511" w:rsidP="00407511">
      <w:pPr>
        <w:pStyle w:val="NormalWeb"/>
        <w:spacing w:before="240" w:beforeAutospacing="0" w:after="240" w:afterAutospacing="0" w:line="480" w:lineRule="auto"/>
      </w:pPr>
      <w:r>
        <w:rPr>
          <w:noProof/>
          <w:color w:val="000000"/>
          <w:sz w:val="28"/>
          <w:szCs w:val="28"/>
          <w:bdr w:val="none" w:sz="0" w:space="0" w:color="auto" w:frame="1"/>
        </w:rPr>
        <w:lastRenderedPageBreak/>
        <w:drawing>
          <wp:inline distT="0" distB="0" distL="0" distR="0" wp14:anchorId="494E47F9" wp14:editId="632D8FAA">
            <wp:extent cx="6481445" cy="3768725"/>
            <wp:effectExtent l="0" t="0" r="0" b="3175"/>
            <wp:docPr id="1012707439" name="Picture 3"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07439" name="Picture 3" descr="A close-up of several graphs&#10;&#10;Description automatically generat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481445" cy="3768725"/>
                    </a:xfrm>
                    <a:prstGeom prst="rect">
                      <a:avLst/>
                    </a:prstGeom>
                    <a:noFill/>
                    <a:ln>
                      <a:noFill/>
                    </a:ln>
                  </pic:spPr>
                </pic:pic>
              </a:graphicData>
            </a:graphic>
          </wp:inline>
        </w:drawing>
      </w:r>
    </w:p>
    <w:p w14:paraId="4782A5F2" w14:textId="0557851E" w:rsidR="00CA1E73" w:rsidRPr="00407511" w:rsidRDefault="00407511" w:rsidP="00407511">
      <w:pPr>
        <w:pStyle w:val="NormalWeb"/>
        <w:spacing w:before="240" w:beforeAutospacing="0" w:after="240" w:afterAutospacing="0" w:line="480" w:lineRule="auto"/>
        <w:jc w:val="both"/>
      </w:pPr>
      <w:r>
        <w:rPr>
          <w:color w:val="000000"/>
          <w:sz w:val="28"/>
          <w:szCs w:val="28"/>
        </w:rPr>
        <w:t xml:space="preserve">Figure </w:t>
      </w:r>
      <w:r>
        <w:rPr>
          <w:color w:val="000000"/>
          <w:sz w:val="28"/>
          <w:szCs w:val="28"/>
        </w:rPr>
        <w:t>3</w:t>
      </w:r>
      <w:r>
        <w:rPr>
          <w:color w:val="000000"/>
          <w:sz w:val="28"/>
          <w:szCs w:val="28"/>
        </w:rPr>
        <w:t xml:space="preserve"> illustrates the time and frequency domain description of the 1/f noise and its multiscale entropy curve. Subplots(</w:t>
      </w:r>
      <w:proofErr w:type="spellStart"/>
      <w:r>
        <w:rPr>
          <w:color w:val="000000"/>
          <w:sz w:val="28"/>
          <w:szCs w:val="28"/>
        </w:rPr>
        <w:t>i</w:t>
      </w:r>
      <w:proofErr w:type="spellEnd"/>
      <w:r>
        <w:rPr>
          <w:color w:val="000000"/>
          <w:sz w:val="28"/>
          <w:szCs w:val="28"/>
        </w:rPr>
        <w:t>) are the time domain signal while subplots (ii) are the frequency domain signal, and subplots (iii) are the MSE pattern for 1/f noise.</w:t>
      </w:r>
    </w:p>
    <w:p w14:paraId="7A250D54" w14:textId="77777777" w:rsidR="00B37FF3" w:rsidRPr="008F4E90" w:rsidRDefault="00B37FF3" w:rsidP="00EB25CA">
      <w:pPr>
        <w:spacing w:line="480" w:lineRule="auto"/>
        <w:jc w:val="both"/>
        <w:rPr>
          <w:rFonts w:asciiTheme="majorBidi" w:eastAsia="Times New Roman" w:hAnsiTheme="majorBidi" w:cstheme="majorBidi"/>
          <w:b/>
          <w:sz w:val="24"/>
          <w:szCs w:val="24"/>
        </w:rPr>
      </w:pPr>
    </w:p>
    <w:p w14:paraId="7A7D363D" w14:textId="772F6FE2" w:rsidR="00EB25CA" w:rsidRPr="008F4E90" w:rsidRDefault="00EB25CA" w:rsidP="00B37FF3">
      <w:pPr>
        <w:spacing w:line="480" w:lineRule="auto"/>
        <w:ind w:firstLine="720"/>
        <w:rPr>
          <w:rFonts w:asciiTheme="majorBidi" w:eastAsia="Times New Roman" w:hAnsiTheme="majorBidi" w:cstheme="majorBidi"/>
          <w:b/>
          <w:i/>
          <w:sz w:val="24"/>
          <w:szCs w:val="24"/>
        </w:rPr>
      </w:pPr>
      <w:r w:rsidRPr="008F4E90">
        <w:rPr>
          <w:rFonts w:asciiTheme="majorBidi" w:eastAsia="Times New Roman" w:hAnsiTheme="majorBidi" w:cstheme="majorBidi"/>
          <w:b/>
          <w:i/>
          <w:sz w:val="24"/>
          <w:szCs w:val="24"/>
        </w:rPr>
        <w:t>Evaluating Multiscale Sample Entropy Performance on Phase-shuffled Surrogate time series</w:t>
      </w:r>
      <w:r w:rsidR="00B37FF3" w:rsidRPr="008F4E90">
        <w:rPr>
          <w:rFonts w:asciiTheme="majorBidi" w:eastAsia="Times New Roman" w:hAnsiTheme="majorBidi" w:cstheme="majorBidi"/>
          <w:b/>
          <w:i/>
          <w:sz w:val="24"/>
          <w:szCs w:val="24"/>
        </w:rPr>
        <w:t xml:space="preserve">. </w:t>
      </w:r>
      <w:r w:rsidRPr="008F4E90">
        <w:rPr>
          <w:rFonts w:asciiTheme="majorBidi" w:eastAsia="Times New Roman" w:hAnsiTheme="majorBidi" w:cstheme="majorBidi"/>
          <w:sz w:val="24"/>
          <w:szCs w:val="24"/>
        </w:rPr>
        <w:t xml:space="preserve">To further examine the sensitivity of MSE to nonlinear temporal dependencies in resting-state EEG and fMRI signal irregularities and verify its validity, phase-shuffled surrogate time series were introduced. These surrogate time series were generated by subjecting the original EEG and fMRI signals to a Fourier transform (FFT), uniformly randomly shuffling the phase of the Fourier components, and then applying the inverse Fourier transform to reconstruct the time domain. To enhance reliability in identifying nonlinearity, the iterated amplitude-adjusted Fourier transform (IAAFT) technique was employed to shift the nonlinear correlation structure (multifractality) while keeping the degree of linear correlation </w:t>
      </w:r>
      <w:r w:rsidRPr="008F4E90">
        <w:rPr>
          <w:rFonts w:asciiTheme="majorBidi" w:eastAsia="Times New Roman" w:hAnsiTheme="majorBidi" w:cstheme="majorBidi"/>
          <w:sz w:val="24"/>
          <w:szCs w:val="24"/>
        </w:rPr>
        <w:lastRenderedPageBreak/>
        <w:t xml:space="preserve">(persistence) and the amplitude distribution </w:t>
      </w:r>
      <w:hyperlink r:id="rId231">
        <w:r w:rsidRPr="008F4E90">
          <w:rPr>
            <w:rFonts w:asciiTheme="majorBidi" w:eastAsia="Times New Roman" w:hAnsiTheme="majorBidi" w:cstheme="majorBidi"/>
            <w:sz w:val="24"/>
            <w:szCs w:val="24"/>
          </w:rPr>
          <w:t>(Theiler et al., 1992; Schreiber &amp; Schmitz, 1996)</w:t>
        </w:r>
      </w:hyperlink>
      <w:r w:rsidRPr="008F4E90">
        <w:rPr>
          <w:rFonts w:asciiTheme="majorBidi" w:eastAsia="Times New Roman" w:hAnsiTheme="majorBidi" w:cstheme="majorBidi"/>
          <w:sz w:val="24"/>
          <w:szCs w:val="24"/>
        </w:rPr>
        <w:t>. This procedure includes the following steps:</w:t>
      </w:r>
    </w:p>
    <w:p w14:paraId="3096C390" w14:textId="77777777" w:rsidR="00EB25CA" w:rsidRPr="008F4E90" w:rsidRDefault="00EB25CA" w:rsidP="00EB25CA">
      <w:pPr>
        <w:numPr>
          <w:ilvl w:val="0"/>
          <w:numId w:val="2"/>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Perform FFT on the original time series.</w:t>
      </w:r>
    </w:p>
    <w:p w14:paraId="22D93977" w14:textId="77777777" w:rsidR="00EB25CA" w:rsidRPr="008F4E90" w:rsidRDefault="00EB25CA" w:rsidP="00EB25CA">
      <w:pPr>
        <w:numPr>
          <w:ilvl w:val="0"/>
          <w:numId w:val="2"/>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Initialise the surrogate time series and Perform FFT on the surrogate time series.</w:t>
      </w:r>
    </w:p>
    <w:p w14:paraId="027E4F05" w14:textId="77777777" w:rsidR="00EB25CA" w:rsidRPr="008F4E90" w:rsidRDefault="00EB25CA" w:rsidP="00EB25CA">
      <w:pPr>
        <w:numPr>
          <w:ilvl w:val="0"/>
          <w:numId w:val="2"/>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Match the amplitude of the original FFT and surrogate FFT.</w:t>
      </w:r>
    </w:p>
    <w:p w14:paraId="42AA1C8D" w14:textId="77777777" w:rsidR="00EB25CA" w:rsidRPr="008F4E90" w:rsidRDefault="00EB25CA" w:rsidP="00EB25CA">
      <w:pPr>
        <w:numPr>
          <w:ilvl w:val="0"/>
          <w:numId w:val="2"/>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Generate random phase shifts.</w:t>
      </w:r>
    </w:p>
    <w:p w14:paraId="13162DBC" w14:textId="77777777" w:rsidR="00EB25CA" w:rsidRPr="008F4E90" w:rsidRDefault="00EB25CA" w:rsidP="00EB25CA">
      <w:pPr>
        <w:numPr>
          <w:ilvl w:val="0"/>
          <w:numId w:val="2"/>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Apply the phase shifts to the amplitude-matched FFT.</w:t>
      </w:r>
    </w:p>
    <w:p w14:paraId="54E54DFA" w14:textId="77777777" w:rsidR="00EB25CA" w:rsidRPr="008F4E90" w:rsidRDefault="00EB25CA" w:rsidP="00EB25CA">
      <w:pPr>
        <w:numPr>
          <w:ilvl w:val="0"/>
          <w:numId w:val="2"/>
        </w:num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Apply inverse FFT to obtain the phase-shuffled surrogate time series.</w:t>
      </w:r>
    </w:p>
    <w:p w14:paraId="7BED5100" w14:textId="49B4CAC0"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phase-shuffled surrogate time series were obtained through a maximum of 100 iterations. </w:t>
      </w:r>
      <w:r w:rsidR="00197ACC" w:rsidRPr="00197ACC">
        <w:rPr>
          <w:rFonts w:asciiTheme="majorBidi" w:eastAsia="Times New Roman" w:hAnsiTheme="majorBidi" w:cstheme="majorBidi"/>
          <w:sz w:val="24"/>
          <w:szCs w:val="24"/>
        </w:rPr>
        <w:t>The entire execution was carried out using a custom MATLAB script available on GitHub at the following link: https://github.com/wenyixiao0058/MSE_effectiveness.git, specifically referring to the "</w:t>
      </w:r>
      <w:proofErr w:type="spellStart"/>
      <w:r w:rsidR="00197ACC" w:rsidRPr="00197ACC">
        <w:rPr>
          <w:rFonts w:asciiTheme="majorBidi" w:eastAsia="Times New Roman" w:hAnsiTheme="majorBidi" w:cstheme="majorBidi"/>
          <w:sz w:val="24"/>
          <w:szCs w:val="24"/>
        </w:rPr>
        <w:t>phase_suffled_surrogate.m</w:t>
      </w:r>
      <w:proofErr w:type="spellEnd"/>
      <w:r w:rsidR="00197ACC" w:rsidRPr="00197ACC">
        <w:rPr>
          <w:rFonts w:asciiTheme="majorBidi" w:eastAsia="Times New Roman" w:hAnsiTheme="majorBidi" w:cstheme="majorBidi"/>
          <w:sz w:val="24"/>
          <w:szCs w:val="24"/>
        </w:rPr>
        <w:t>" file</w:t>
      </w:r>
      <w:r w:rsidR="00197ACC">
        <w:rPr>
          <w:rFonts w:asciiTheme="majorBidi" w:eastAsia="Times New Roman" w:hAnsiTheme="majorBidi" w:cstheme="majorBidi"/>
          <w:sz w:val="24"/>
          <w:szCs w:val="24"/>
        </w:rPr>
        <w:t xml:space="preserve">, </w:t>
      </w:r>
      <w:r w:rsidR="00197ACC" w:rsidRPr="00197ACC">
        <w:rPr>
          <w:rFonts w:asciiTheme="majorBidi" w:eastAsia="Times New Roman" w:hAnsiTheme="majorBidi" w:cstheme="majorBidi"/>
          <w:sz w:val="24"/>
          <w:szCs w:val="24"/>
        </w:rPr>
        <w:t xml:space="preserve">which employs built-in functions like </w:t>
      </w:r>
      <w:proofErr w:type="spellStart"/>
      <w:r w:rsidR="00197ACC" w:rsidRPr="00197ACC">
        <w:rPr>
          <w:rFonts w:asciiTheme="majorBidi" w:eastAsia="Times New Roman" w:hAnsiTheme="majorBidi" w:cstheme="majorBidi"/>
          <w:i/>
          <w:iCs/>
          <w:sz w:val="24"/>
          <w:szCs w:val="24"/>
        </w:rPr>
        <w:t>fft</w:t>
      </w:r>
      <w:proofErr w:type="spellEnd"/>
      <w:r w:rsidR="00197ACC" w:rsidRPr="00197ACC">
        <w:rPr>
          <w:rFonts w:asciiTheme="majorBidi" w:eastAsia="Times New Roman" w:hAnsiTheme="majorBidi" w:cstheme="majorBidi"/>
          <w:sz w:val="24"/>
          <w:szCs w:val="24"/>
        </w:rPr>
        <w:t xml:space="preserve"> for extracting FFT characteristics and </w:t>
      </w:r>
      <w:proofErr w:type="spellStart"/>
      <w:r w:rsidR="00197ACC" w:rsidRPr="00197ACC">
        <w:rPr>
          <w:rFonts w:asciiTheme="majorBidi" w:eastAsia="Times New Roman" w:hAnsiTheme="majorBidi" w:cstheme="majorBidi"/>
          <w:i/>
          <w:iCs/>
          <w:sz w:val="24"/>
          <w:szCs w:val="24"/>
        </w:rPr>
        <w:t>ifft</w:t>
      </w:r>
      <w:proofErr w:type="spellEnd"/>
      <w:r w:rsidR="00197ACC" w:rsidRPr="00197ACC">
        <w:rPr>
          <w:rFonts w:asciiTheme="majorBidi" w:eastAsia="Times New Roman" w:hAnsiTheme="majorBidi" w:cstheme="majorBidi"/>
          <w:sz w:val="24"/>
          <w:szCs w:val="24"/>
        </w:rPr>
        <w:t xml:space="preserve"> for reversing the data to its original time domain representation.</w:t>
      </w:r>
      <w:r w:rsidR="00557A4A">
        <w:rPr>
          <w:rFonts w:asciiTheme="majorBidi" w:eastAsia="Times New Roman" w:hAnsiTheme="majorBidi" w:cstheme="majorBidi"/>
          <w:sz w:val="24"/>
          <w:szCs w:val="24"/>
        </w:rPr>
        <w:t xml:space="preserve"> </w:t>
      </w:r>
      <w:r w:rsidRPr="008F4E90">
        <w:rPr>
          <w:rFonts w:asciiTheme="majorBidi" w:eastAsia="Times New Roman" w:hAnsiTheme="majorBidi" w:cstheme="majorBidi"/>
          <w:sz w:val="24"/>
          <w:szCs w:val="24"/>
        </w:rPr>
        <w:t>Refer to Figure 3 for an example comparing the original EEG signals with the surrogate time series. Notably, the power spectrum of both the original EEG and phase-shuffled time series is identical. As the power spectrum reflects a linear process but lacks phase information, the phase-shuffled time series is expected to exhibit higher entropy than the original EEG or fMRI time series due to its increased irregularity.</w:t>
      </w:r>
    </w:p>
    <w:p w14:paraId="5A495D64" w14:textId="77777777" w:rsidR="00B37FF3" w:rsidRPr="008F4E90" w:rsidRDefault="00B37FF3" w:rsidP="00EB25CA">
      <w:pPr>
        <w:spacing w:line="480" w:lineRule="auto"/>
        <w:ind w:firstLine="720"/>
        <w:rPr>
          <w:rFonts w:asciiTheme="majorBidi" w:eastAsia="Times New Roman" w:hAnsiTheme="majorBidi" w:cstheme="majorBidi"/>
          <w:sz w:val="24"/>
          <w:szCs w:val="24"/>
        </w:rPr>
      </w:pPr>
    </w:p>
    <w:p w14:paraId="4B90B0DA" w14:textId="77777777" w:rsidR="00B37FF3" w:rsidRDefault="00B37FF3" w:rsidP="00EE2DE9">
      <w:pPr>
        <w:spacing w:line="480" w:lineRule="auto"/>
        <w:rPr>
          <w:rFonts w:asciiTheme="majorBidi" w:eastAsia="Times New Roman" w:hAnsiTheme="majorBidi" w:cstheme="majorBidi"/>
          <w:sz w:val="24"/>
          <w:szCs w:val="24"/>
        </w:rPr>
      </w:pPr>
    </w:p>
    <w:p w14:paraId="20C2F694" w14:textId="77777777" w:rsidR="00407511" w:rsidRDefault="00407511" w:rsidP="00EE2DE9">
      <w:pPr>
        <w:spacing w:line="480" w:lineRule="auto"/>
        <w:rPr>
          <w:rFonts w:asciiTheme="majorBidi" w:eastAsia="Times New Roman" w:hAnsiTheme="majorBidi" w:cstheme="majorBidi"/>
          <w:sz w:val="24"/>
          <w:szCs w:val="24"/>
        </w:rPr>
      </w:pPr>
    </w:p>
    <w:p w14:paraId="59FDDAFC" w14:textId="77777777" w:rsidR="00407511" w:rsidRDefault="00407511" w:rsidP="00EE2DE9">
      <w:pPr>
        <w:spacing w:line="480" w:lineRule="auto"/>
        <w:rPr>
          <w:rFonts w:asciiTheme="majorBidi" w:eastAsia="Times New Roman" w:hAnsiTheme="majorBidi" w:cstheme="majorBidi"/>
          <w:sz w:val="24"/>
          <w:szCs w:val="24"/>
        </w:rPr>
      </w:pPr>
    </w:p>
    <w:p w14:paraId="37906054" w14:textId="77777777" w:rsidR="00407511" w:rsidRDefault="00407511" w:rsidP="00EE2DE9">
      <w:pPr>
        <w:spacing w:line="480" w:lineRule="auto"/>
        <w:rPr>
          <w:rFonts w:asciiTheme="majorBidi" w:eastAsia="Times New Roman" w:hAnsiTheme="majorBidi" w:cstheme="majorBidi"/>
          <w:sz w:val="24"/>
          <w:szCs w:val="24"/>
        </w:rPr>
      </w:pPr>
    </w:p>
    <w:p w14:paraId="0F95975B" w14:textId="77777777" w:rsidR="00407511" w:rsidRDefault="00407511" w:rsidP="00EE2DE9">
      <w:pPr>
        <w:spacing w:line="480" w:lineRule="auto"/>
        <w:rPr>
          <w:rFonts w:asciiTheme="majorBidi" w:eastAsia="Times New Roman" w:hAnsiTheme="majorBidi" w:cstheme="majorBidi"/>
          <w:sz w:val="24"/>
          <w:szCs w:val="24"/>
        </w:rPr>
      </w:pPr>
    </w:p>
    <w:p w14:paraId="3505C82E" w14:textId="77777777" w:rsidR="00407511" w:rsidRDefault="00407511" w:rsidP="00EE2DE9">
      <w:pPr>
        <w:spacing w:line="480" w:lineRule="auto"/>
        <w:rPr>
          <w:rFonts w:asciiTheme="majorBidi" w:eastAsia="Times New Roman" w:hAnsiTheme="majorBidi" w:cstheme="majorBidi"/>
          <w:sz w:val="24"/>
          <w:szCs w:val="24"/>
        </w:rPr>
      </w:pPr>
    </w:p>
    <w:p w14:paraId="7CD98AB8" w14:textId="77777777" w:rsidR="00407511" w:rsidRPr="008F4E90" w:rsidRDefault="00407511" w:rsidP="00EE2DE9">
      <w:pPr>
        <w:spacing w:line="480" w:lineRule="auto"/>
        <w:rPr>
          <w:rFonts w:asciiTheme="majorBidi" w:eastAsia="Times New Roman" w:hAnsiTheme="majorBidi" w:cstheme="majorBidi"/>
          <w:sz w:val="24"/>
          <w:szCs w:val="24"/>
        </w:rPr>
      </w:pPr>
    </w:p>
    <w:p w14:paraId="08DD67C7" w14:textId="06785985" w:rsidR="00EB25CA" w:rsidRPr="008F4E90" w:rsidRDefault="00EB25CA" w:rsidP="00EB25CA">
      <w:pPr>
        <w:spacing w:line="480" w:lineRule="auto"/>
        <w:jc w:val="both"/>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 xml:space="preserve">Figure </w:t>
      </w:r>
      <w:r w:rsidR="00407511">
        <w:rPr>
          <w:rFonts w:asciiTheme="majorBidi" w:eastAsia="Times New Roman" w:hAnsiTheme="majorBidi" w:cstheme="majorBidi"/>
          <w:b/>
          <w:sz w:val="24"/>
          <w:szCs w:val="24"/>
        </w:rPr>
        <w:t>4</w:t>
      </w:r>
    </w:p>
    <w:p w14:paraId="30E2E2D5" w14:textId="77777777" w:rsidR="00EB25CA" w:rsidRPr="008F4E90" w:rsidRDefault="00EB25CA" w:rsidP="00EB25CA">
      <w:pPr>
        <w:spacing w:line="480" w:lineRule="auto"/>
        <w:jc w:val="both"/>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Multiscale Sample Entropy of original EEG signal and surrogate time series</w:t>
      </w:r>
    </w:p>
    <w:p w14:paraId="0B24DF4C" w14:textId="77777777" w:rsidR="00EB25CA" w:rsidRPr="008F4E90" w:rsidRDefault="000A31BA" w:rsidP="00EB25CA">
      <w:pPr>
        <w:spacing w:line="480" w:lineRule="auto"/>
        <w:jc w:val="both"/>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anchor distT="0" distB="0" distL="114300" distR="114300" simplePos="0" relativeHeight="251659264" behindDoc="1" locked="0" layoutInCell="1" allowOverlap="1" wp14:anchorId="4CC0007A" wp14:editId="389C4A6D">
            <wp:simplePos x="0" y="0"/>
            <wp:positionH relativeFrom="margin">
              <wp:align>center</wp:align>
            </wp:positionH>
            <wp:positionV relativeFrom="paragraph">
              <wp:posOffset>89535</wp:posOffset>
            </wp:positionV>
            <wp:extent cx="5731200" cy="3403600"/>
            <wp:effectExtent l="0" t="0" r="3175" b="6350"/>
            <wp:wrapTight wrapText="bothSides">
              <wp:wrapPolygon edited="0">
                <wp:start x="0" y="0"/>
                <wp:lineTo x="0" y="21519"/>
                <wp:lineTo x="21540" y="21519"/>
                <wp:lineTo x="21540" y="0"/>
                <wp:lineTo x="0" y="0"/>
              </wp:wrapPolygon>
            </wp:wrapTight>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a:xfrm>
                      <a:off x="0" y="0"/>
                      <a:ext cx="5731200" cy="3403600"/>
                    </a:xfrm>
                    <a:prstGeom prst="rect">
                      <a:avLst/>
                    </a:prstGeom>
                    <a:ln/>
                  </pic:spPr>
                </pic:pic>
              </a:graphicData>
            </a:graphic>
          </wp:anchor>
        </w:drawing>
      </w:r>
    </w:p>
    <w:p w14:paraId="209718E3" w14:textId="77777777" w:rsidR="00EB25CA" w:rsidRPr="008F4E90" w:rsidRDefault="00EB25CA" w:rsidP="00EB25CA">
      <w:pPr>
        <w:spacing w:line="480" w:lineRule="auto"/>
        <w:jc w:val="both"/>
        <w:rPr>
          <w:rFonts w:asciiTheme="majorBidi" w:eastAsia="Times New Roman" w:hAnsiTheme="majorBidi" w:cstheme="majorBidi"/>
          <w:sz w:val="24"/>
          <w:szCs w:val="24"/>
        </w:rPr>
      </w:pPr>
    </w:p>
    <w:p w14:paraId="5FA291BB" w14:textId="77777777" w:rsidR="00EB25CA" w:rsidRPr="008F4E90" w:rsidRDefault="00EB25CA" w:rsidP="00EB25CA">
      <w:pPr>
        <w:spacing w:line="480" w:lineRule="auto"/>
        <w:jc w:val="both"/>
        <w:rPr>
          <w:rFonts w:asciiTheme="majorBidi" w:eastAsia="Times New Roman" w:hAnsiTheme="majorBidi" w:cstheme="majorBidi"/>
          <w:sz w:val="24"/>
          <w:szCs w:val="24"/>
        </w:rPr>
      </w:pPr>
    </w:p>
    <w:p w14:paraId="7ABDA7E5" w14:textId="77777777" w:rsidR="00EB25CA" w:rsidRPr="008F4E90" w:rsidRDefault="00EB25CA" w:rsidP="00EB25CA">
      <w:pPr>
        <w:spacing w:line="480" w:lineRule="auto"/>
        <w:jc w:val="both"/>
        <w:rPr>
          <w:rFonts w:asciiTheme="majorBidi" w:eastAsia="Times New Roman" w:hAnsiTheme="majorBidi" w:cstheme="majorBidi"/>
          <w:sz w:val="24"/>
          <w:szCs w:val="24"/>
        </w:rPr>
      </w:pPr>
    </w:p>
    <w:p w14:paraId="58DEEAC9" w14:textId="77777777" w:rsidR="00EB25CA" w:rsidRPr="008F4E90" w:rsidRDefault="00EB25CA" w:rsidP="00EB25CA">
      <w:pPr>
        <w:spacing w:line="480" w:lineRule="auto"/>
        <w:ind w:firstLine="720"/>
        <w:jc w:val="both"/>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The upper panel depicts a section of continuous EEG time series (represented by the solid blue line) alongside phase-shuffled surrogate time series (depicted by the dashed red line). Notably, the power spectrum of both the original EEG and phase-shuffled time series is identical. MSE assigns greater entropy to the phase-shuffled surrogate time series compared to the original time series due to its increased irregularity.</w:t>
      </w:r>
    </w:p>
    <w:p w14:paraId="7AE1FEC0" w14:textId="77777777" w:rsidR="00EB25CA" w:rsidRPr="008F4E90" w:rsidRDefault="00EB25CA" w:rsidP="00EB25CA">
      <w:pPr>
        <w:spacing w:line="480" w:lineRule="auto"/>
        <w:ind w:firstLine="720"/>
        <w:jc w:val="both"/>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Again, the phase-shuffled surrogate time series for a signal from each intracerebral voxel was produced using the previously described method that was applied to the EEG signal. Here, the multiscale sample entropy was only employed on the grey matter signal using the same parameters in the following study (Chapter 3). The standardised multiscale sample entropy was computed by subtracting the global mean and subsequently dividing by the global standard deviation, resulting in a regenerated standardised multiscale sample entropy. As anticipated, the raw and standardised multiscale sample entropy of the phase-shuffled surrogate time series exceeded that of the original fMRI signal (Figure 4). </w:t>
      </w:r>
    </w:p>
    <w:p w14:paraId="4AF714DE" w14:textId="77777777" w:rsidR="00B37FF3" w:rsidRPr="008F4E90" w:rsidRDefault="00B37FF3" w:rsidP="00EE2DE9">
      <w:pPr>
        <w:spacing w:line="480" w:lineRule="auto"/>
        <w:jc w:val="both"/>
        <w:rPr>
          <w:rFonts w:asciiTheme="majorBidi" w:eastAsia="Times New Roman" w:hAnsiTheme="majorBidi" w:cstheme="majorBidi"/>
          <w:sz w:val="24"/>
          <w:szCs w:val="24"/>
        </w:rPr>
      </w:pPr>
    </w:p>
    <w:p w14:paraId="03E87214" w14:textId="172D9506" w:rsidR="00EB25CA" w:rsidRPr="008F4E90" w:rsidRDefault="00EB25CA" w:rsidP="00EB25CA">
      <w:pPr>
        <w:spacing w:line="480" w:lineRule="auto"/>
        <w:jc w:val="both"/>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 xml:space="preserve">Figure </w:t>
      </w:r>
      <w:r w:rsidR="00407511">
        <w:rPr>
          <w:rFonts w:asciiTheme="majorBidi" w:eastAsia="Times New Roman" w:hAnsiTheme="majorBidi" w:cstheme="majorBidi"/>
          <w:b/>
          <w:sz w:val="24"/>
          <w:szCs w:val="24"/>
        </w:rPr>
        <w:t>5</w:t>
      </w:r>
    </w:p>
    <w:p w14:paraId="076D0C30" w14:textId="77777777" w:rsidR="00EB25CA" w:rsidRPr="008F4E90" w:rsidRDefault="00EB25CA" w:rsidP="00EB25CA">
      <w:pPr>
        <w:spacing w:line="480" w:lineRule="auto"/>
        <w:jc w:val="both"/>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 xml:space="preserve">Raw and </w:t>
      </w:r>
      <w:proofErr w:type="spellStart"/>
      <w:r w:rsidRPr="008F4E90">
        <w:rPr>
          <w:rFonts w:asciiTheme="majorBidi" w:eastAsia="Times New Roman" w:hAnsiTheme="majorBidi" w:cstheme="majorBidi"/>
          <w:i/>
          <w:sz w:val="24"/>
          <w:szCs w:val="24"/>
        </w:rPr>
        <w:t>Standardrised</w:t>
      </w:r>
      <w:proofErr w:type="spellEnd"/>
      <w:r w:rsidRPr="008F4E90">
        <w:rPr>
          <w:rFonts w:asciiTheme="majorBidi" w:eastAsia="Times New Roman" w:hAnsiTheme="majorBidi" w:cstheme="majorBidi"/>
          <w:i/>
          <w:sz w:val="24"/>
          <w:szCs w:val="24"/>
        </w:rPr>
        <w:t xml:space="preserve"> Multiscale Sample Entropy of original fMRI signal and surrogate time series</w:t>
      </w:r>
    </w:p>
    <w:p w14:paraId="7D793346" w14:textId="77777777" w:rsidR="00EB25CA" w:rsidRPr="008F4E90" w:rsidRDefault="000A31BA" w:rsidP="00EB25CA">
      <w:pPr>
        <w:spacing w:line="480" w:lineRule="auto"/>
        <w:jc w:val="both"/>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anchor distT="0" distB="0" distL="114300" distR="114300" simplePos="0" relativeHeight="251660288" behindDoc="1" locked="0" layoutInCell="1" allowOverlap="1" wp14:anchorId="17D7E8F0" wp14:editId="27D52FEC">
            <wp:simplePos x="0" y="0"/>
            <wp:positionH relativeFrom="margin">
              <wp:align>center</wp:align>
            </wp:positionH>
            <wp:positionV relativeFrom="paragraph">
              <wp:posOffset>49530</wp:posOffset>
            </wp:positionV>
            <wp:extent cx="5731200" cy="3149600"/>
            <wp:effectExtent l="0" t="0" r="3175" b="0"/>
            <wp:wrapTight wrapText="bothSides">
              <wp:wrapPolygon edited="0">
                <wp:start x="0" y="0"/>
                <wp:lineTo x="0" y="21426"/>
                <wp:lineTo x="21540" y="21426"/>
                <wp:lineTo x="21540" y="0"/>
                <wp:lineTo x="0" y="0"/>
              </wp:wrapPolygon>
            </wp:wrapTight>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a:xfrm>
                      <a:off x="0" y="0"/>
                      <a:ext cx="5731200" cy="3149600"/>
                    </a:xfrm>
                    <a:prstGeom prst="rect">
                      <a:avLst/>
                    </a:prstGeom>
                    <a:ln/>
                  </pic:spPr>
                </pic:pic>
              </a:graphicData>
            </a:graphic>
          </wp:anchor>
        </w:drawing>
      </w:r>
    </w:p>
    <w:p w14:paraId="2DB0FA38"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797BFE7F"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24DF4B45"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255756BB"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22A71469"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7EC6B6C4"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285E6701"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48A2571F" w14:textId="77777777" w:rsidR="000A31BA" w:rsidRPr="008F4E90" w:rsidRDefault="000A31BA" w:rsidP="00EB25CA">
      <w:pPr>
        <w:spacing w:line="480" w:lineRule="auto"/>
        <w:jc w:val="both"/>
        <w:rPr>
          <w:rFonts w:asciiTheme="majorBidi" w:eastAsia="Times New Roman" w:hAnsiTheme="majorBidi" w:cstheme="majorBidi"/>
          <w:sz w:val="24"/>
          <w:szCs w:val="24"/>
        </w:rPr>
      </w:pPr>
    </w:p>
    <w:p w14:paraId="16F51E3A" w14:textId="77777777" w:rsidR="00EB25CA" w:rsidRPr="008F4E90" w:rsidRDefault="00EB25CA" w:rsidP="00EB25CA">
      <w:pPr>
        <w:spacing w:line="480" w:lineRule="auto"/>
        <w:ind w:firstLine="720"/>
        <w:jc w:val="both"/>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The upper panel depicts a fMRI time series from a random grey matter voxel (represented by the solid blue line) alongside a phase-shuffled surrogate time series (depicted by the dashed red line). Notably, the power spectrum of both the original fMRI and phase-shuffled time series is identical. MSE assigns greater entropy to the phase-shuffled surrogate time series than the original time series due to its increased irregularity. In this case, the decreasing trend in MSE for the fMRI signal needs to be clarified; it could be attributed to the insufficient data points, remaining noise artefacts, or limitations in capturing frequency components of different filtering methods employed within this investigation. Nevertheless, an in-depth exploration of these factors exceeds the bounds of this thesis and could be a novel direction for future research. The analysis will rely on standardised multiscale sample entropy for interpretation in the current study. Standardised multiscale sample entropy can capture enhanced nonlinear features of the phase-shuffled surrogate fMRI time series, as evidenced in this test. Furthermore, it effectively reproduces key MSE findings, including age-related variations and identifying the eyes-closed condition in the following studies (i.e., Chapters 3 and 4).</w:t>
      </w:r>
    </w:p>
    <w:p w14:paraId="54954201" w14:textId="77777777" w:rsidR="00B37FF3" w:rsidRPr="008F4E90" w:rsidRDefault="00B37FF3" w:rsidP="0023297B">
      <w:pPr>
        <w:spacing w:line="480" w:lineRule="auto"/>
        <w:jc w:val="both"/>
        <w:rPr>
          <w:rFonts w:asciiTheme="majorBidi" w:eastAsia="Times New Roman" w:hAnsiTheme="majorBidi" w:cstheme="majorBidi"/>
          <w:sz w:val="24"/>
          <w:szCs w:val="24"/>
        </w:rPr>
      </w:pPr>
    </w:p>
    <w:p w14:paraId="7D11FD45" w14:textId="77777777" w:rsidR="00EB25CA" w:rsidRPr="008F4E90" w:rsidRDefault="00EB25CA" w:rsidP="000A31BA">
      <w:pPr>
        <w:spacing w:line="480" w:lineRule="auto"/>
        <w:jc w:val="both"/>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lastRenderedPageBreak/>
        <w:t>Multiscale Sample Entropy as a biomarker for ASC</w:t>
      </w:r>
    </w:p>
    <w:p w14:paraId="362E4943" w14:textId="77777777" w:rsidR="00EB25CA" w:rsidRPr="008F4E90" w:rsidRDefault="00EB25CA" w:rsidP="00EB25CA">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date, several studies have analysed the neural correlates of ASC based on multiscale entropy calculation, which has shown an atypical neuronal pattern. In contrast to the inconclusive outcomes observed with single-scale sample entropy, evidence from studies conducted under resting-state conditions suggests a consistent reduction in multiscale entropy among individuals with ASC. This reduction is primarily observed at coarse time scales (i.e., larger time scales) </w:t>
      </w:r>
      <w:hyperlink r:id="rId234">
        <w:r w:rsidRPr="008F4E90">
          <w:rPr>
            <w:rFonts w:asciiTheme="majorBidi" w:eastAsia="Times New Roman" w:hAnsiTheme="majorBidi" w:cstheme="majorBidi"/>
            <w:sz w:val="24"/>
            <w:szCs w:val="24"/>
          </w:rPr>
          <w:t>(Catarino et al., 2011)</w:t>
        </w:r>
      </w:hyperlink>
      <w:r w:rsidRPr="008F4E90">
        <w:rPr>
          <w:rFonts w:asciiTheme="majorBidi" w:eastAsia="Times New Roman" w:hAnsiTheme="majorBidi" w:cstheme="majorBidi"/>
          <w:sz w:val="24"/>
          <w:szCs w:val="24"/>
        </w:rPr>
        <w:t xml:space="preserve">, with some effects also observed at fine time scales (i.e., smaller time scales) </w:t>
      </w:r>
      <w:hyperlink r:id="rId235">
        <w:r w:rsidRPr="008F4E90">
          <w:rPr>
            <w:rFonts w:asciiTheme="majorBidi" w:eastAsia="Times New Roman" w:hAnsiTheme="majorBidi" w:cstheme="majorBidi"/>
            <w:sz w:val="24"/>
            <w:szCs w:val="24"/>
          </w:rPr>
          <w:t>(Milne et al., 2019)</w:t>
        </w:r>
      </w:hyperlink>
      <w:r w:rsidRPr="008F4E90">
        <w:rPr>
          <w:rFonts w:asciiTheme="majorBidi" w:eastAsia="Times New Roman" w:hAnsiTheme="majorBidi" w:cstheme="majorBidi"/>
          <w:sz w:val="24"/>
          <w:szCs w:val="24"/>
        </w:rPr>
        <w:t xml:space="preserve">. Given the high heterogeneity of ASC, some studies parallelly explore the MSE pattern at subgroups based on the severity of ASC. </w:t>
      </w:r>
      <w:hyperlink r:id="rId236">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Hadoush</w:t>
        </w:r>
        <w:proofErr w:type="spellEnd"/>
        <w:r w:rsidRPr="008F4E90">
          <w:rPr>
            <w:rFonts w:asciiTheme="majorBidi" w:eastAsia="Times New Roman" w:hAnsiTheme="majorBidi" w:cstheme="majorBidi"/>
            <w:sz w:val="24"/>
            <w:szCs w:val="24"/>
          </w:rPr>
          <w:t xml:space="preserve"> et al. 2019)</w:t>
        </w:r>
      </w:hyperlink>
      <w:r w:rsidRPr="008F4E90">
        <w:rPr>
          <w:rFonts w:asciiTheme="majorBidi" w:eastAsia="Times New Roman" w:hAnsiTheme="majorBidi" w:cstheme="majorBidi"/>
          <w:sz w:val="24"/>
          <w:szCs w:val="24"/>
        </w:rPr>
        <w:t xml:space="preserve"> have suggested that children with severe ASC exhibit a lower MSE in the parietal and right frontal region. An overall decreased MSE among high-risk ASC groups was also found in another study </w:t>
      </w:r>
      <w:hyperlink r:id="rId237">
        <w:r w:rsidRPr="008F4E90">
          <w:rPr>
            <w:rFonts w:asciiTheme="majorBidi" w:eastAsia="Times New Roman" w:hAnsiTheme="majorBidi" w:cstheme="majorBidi"/>
            <w:sz w:val="24"/>
            <w:szCs w:val="24"/>
          </w:rPr>
          <w:t>(Anon, n.d.)</w:t>
        </w:r>
      </w:hyperlink>
      <w:r w:rsidRPr="008F4E90">
        <w:rPr>
          <w:rFonts w:asciiTheme="majorBidi" w:eastAsia="Times New Roman" w:hAnsiTheme="majorBidi" w:cstheme="majorBidi"/>
          <w:sz w:val="24"/>
          <w:szCs w:val="24"/>
        </w:rPr>
        <w:t xml:space="preserve">. Although there is an indirect association between MSE and other linear features </w:t>
      </w:r>
      <w:hyperlink r:id="rId238">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w:t>
        </w:r>
      </w:hyperlink>
      <w:hyperlink r:id="rId239">
        <w:r w:rsidRPr="008F4E90">
          <w:rPr>
            <w:rFonts w:asciiTheme="majorBidi" w:eastAsia="Times New Roman" w:hAnsiTheme="majorBidi" w:cstheme="majorBidi"/>
            <w:sz w:val="24"/>
            <w:szCs w:val="24"/>
          </w:rPr>
          <w:t xml:space="preserve">; </w:t>
        </w:r>
      </w:hyperlink>
      <w:hyperlink r:id="rId240">
        <w:r w:rsidRPr="008F4E90">
          <w:rPr>
            <w:rFonts w:asciiTheme="majorBidi" w:eastAsia="Times New Roman" w:hAnsiTheme="majorBidi" w:cstheme="majorBidi"/>
            <w:sz w:val="24"/>
            <w:szCs w:val="24"/>
          </w:rPr>
          <w:t xml:space="preserve">van </w:t>
        </w:r>
        <w:proofErr w:type="spellStart"/>
        <w:r w:rsidRPr="008F4E90">
          <w:rPr>
            <w:rFonts w:asciiTheme="majorBidi" w:eastAsia="Times New Roman" w:hAnsiTheme="majorBidi" w:cstheme="majorBidi"/>
            <w:sz w:val="24"/>
            <w:szCs w:val="24"/>
          </w:rPr>
          <w:t>Noordt</w:t>
        </w:r>
        <w:proofErr w:type="spellEnd"/>
        <w:r w:rsidRPr="008F4E90">
          <w:rPr>
            <w:rFonts w:asciiTheme="majorBidi" w:eastAsia="Times New Roman" w:hAnsiTheme="majorBidi" w:cstheme="majorBidi"/>
            <w:sz w:val="24"/>
            <w:szCs w:val="24"/>
          </w:rPr>
          <w:t xml:space="preserve"> &amp; Willoughby, 2021)</w:t>
        </w:r>
      </w:hyperlink>
      <w:r w:rsidRPr="008F4E90">
        <w:rPr>
          <w:rFonts w:asciiTheme="majorBidi" w:eastAsia="Times New Roman" w:hAnsiTheme="majorBidi" w:cstheme="majorBidi"/>
          <w:sz w:val="24"/>
          <w:szCs w:val="24"/>
        </w:rPr>
        <w:t>, such as power content and functional connectivity, it remains uncertain whether the observed decrease in multiscale sample entropy in individuals with ASC stems from dysfunctional neuronal connectivity.</w:t>
      </w:r>
    </w:p>
    <w:p w14:paraId="28BD594C" w14:textId="77777777" w:rsidR="00EB25CA" w:rsidRPr="008F4E90" w:rsidRDefault="00EB25CA" w:rsidP="00EB25CA">
      <w:pPr>
        <w:spacing w:after="160" w:line="480" w:lineRule="auto"/>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 xml:space="preserve">Brain complexity in </w:t>
      </w:r>
      <w:proofErr w:type="spellStart"/>
      <w:r w:rsidRPr="008F4E90">
        <w:rPr>
          <w:rFonts w:asciiTheme="majorBidi" w:eastAsia="Times New Roman" w:hAnsiTheme="majorBidi" w:cstheme="majorBidi"/>
          <w:b/>
          <w:sz w:val="24"/>
          <w:szCs w:val="24"/>
        </w:rPr>
        <w:t>rs</w:t>
      </w:r>
      <w:proofErr w:type="spellEnd"/>
      <w:r w:rsidRPr="008F4E90">
        <w:rPr>
          <w:rFonts w:asciiTheme="majorBidi" w:eastAsia="Times New Roman" w:hAnsiTheme="majorBidi" w:cstheme="majorBidi"/>
          <w:b/>
          <w:sz w:val="24"/>
          <w:szCs w:val="24"/>
        </w:rPr>
        <w:t xml:space="preserve">-fMRI BOLD signals in ASC </w:t>
      </w:r>
    </w:p>
    <w:p w14:paraId="031776CE"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comprehensively understand the brain complexity in ASC populations, multimodal imaging datasets will be analysed from the perspective of the atypical neurophysiological dynamics would be guided by a direct measure rich in information in both spatial (i.e., localisation of atypical brain complexity) and temporal (i.e., time series of the BOLD signal) context. The high spatial resolution of resting-state fMRI can effectively detect this richness in atypical brain complexity information and underlying cortical neuronal generators. </w:t>
      </w:r>
    </w:p>
    <w:p w14:paraId="3635672C"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Neurons do not store glucose or oxygen as internal energy reserves </w:t>
      </w:r>
      <w:hyperlink r:id="rId241">
        <w:r w:rsidRPr="008F4E90">
          <w:rPr>
            <w:rFonts w:asciiTheme="majorBidi" w:eastAsia="Times New Roman" w:hAnsiTheme="majorBidi" w:cstheme="majorBidi"/>
            <w:sz w:val="24"/>
            <w:szCs w:val="24"/>
          </w:rPr>
          <w:t>(Falkowska et al., 2015)</w:t>
        </w:r>
      </w:hyperlink>
      <w:r w:rsidRPr="008F4E90">
        <w:rPr>
          <w:rFonts w:asciiTheme="majorBidi" w:eastAsia="Times New Roman" w:hAnsiTheme="majorBidi" w:cstheme="majorBidi"/>
          <w:sz w:val="24"/>
          <w:szCs w:val="24"/>
        </w:rPr>
        <w:t xml:space="preserve">. When a specific brain area becomes up-regulated, the increased neural activity and heightened signalling processes lead to an augmented demand for energy through the hemodynamic response in that particular brain region. This mechanism boosts regional cerebral blood flow and provides more oxygen than the </w:t>
      </w:r>
      <w:r w:rsidRPr="008F4E90">
        <w:rPr>
          <w:rFonts w:asciiTheme="majorBidi" w:eastAsia="Times New Roman" w:hAnsiTheme="majorBidi" w:cstheme="majorBidi"/>
          <w:sz w:val="24"/>
          <w:szCs w:val="24"/>
        </w:rPr>
        <w:lastRenderedPageBreak/>
        <w:t xml:space="preserve">neurons typically require </w:t>
      </w:r>
      <w:hyperlink r:id="rId242">
        <w:r w:rsidRPr="008F4E90">
          <w:rPr>
            <w:rFonts w:asciiTheme="majorBidi" w:eastAsia="Times New Roman" w:hAnsiTheme="majorBidi" w:cstheme="majorBidi"/>
            <w:sz w:val="24"/>
            <w:szCs w:val="24"/>
          </w:rPr>
          <w:t>(Ogawa et al., 1993)</w:t>
        </w:r>
      </w:hyperlink>
      <w:r w:rsidRPr="008F4E90">
        <w:rPr>
          <w:rFonts w:asciiTheme="majorBidi" w:eastAsia="Times New Roman" w:hAnsiTheme="majorBidi" w:cstheme="majorBidi"/>
          <w:sz w:val="24"/>
          <w:szCs w:val="24"/>
        </w:rPr>
        <w:t xml:space="preserve">. As a result, there is a detectable change in the relative levels of oxyhaemoglobin and deoxyhaemoglobin </w:t>
      </w:r>
      <w:hyperlink r:id="rId243">
        <w:r w:rsidRPr="008F4E90">
          <w:rPr>
            <w:rFonts w:asciiTheme="majorBidi" w:eastAsia="Times New Roman" w:hAnsiTheme="majorBidi" w:cstheme="majorBidi"/>
            <w:sz w:val="24"/>
            <w:szCs w:val="24"/>
          </w:rPr>
          <w:t>(Sheng et al. 2022)</w:t>
        </w:r>
      </w:hyperlink>
      <w:r w:rsidRPr="008F4E90">
        <w:rPr>
          <w:rFonts w:asciiTheme="majorBidi" w:eastAsia="Times New Roman" w:hAnsiTheme="majorBidi" w:cstheme="majorBidi"/>
          <w:sz w:val="24"/>
          <w:szCs w:val="24"/>
        </w:rPr>
        <w:t xml:space="preserve">, discernible through MR imaging due to their distinct magnetic susceptibilities </w:t>
      </w:r>
      <w:hyperlink r:id="rId244">
        <w:r w:rsidRPr="008F4E90">
          <w:rPr>
            <w:rFonts w:asciiTheme="majorBidi" w:eastAsia="Times New Roman" w:hAnsiTheme="majorBidi" w:cstheme="majorBidi"/>
            <w:sz w:val="24"/>
            <w:szCs w:val="24"/>
          </w:rPr>
          <w:t>(Schenck, 1996)</w:t>
        </w:r>
      </w:hyperlink>
      <w:r w:rsidRPr="008F4E90">
        <w:rPr>
          <w:rFonts w:asciiTheme="majorBidi" w:eastAsia="Times New Roman" w:hAnsiTheme="majorBidi" w:cstheme="majorBidi"/>
          <w:sz w:val="24"/>
          <w:szCs w:val="24"/>
        </w:rPr>
        <w:t xml:space="preserve">. This imaging technique is known as the blood oxygen level-dependent (BOLD) contrast imaging. </w:t>
      </w:r>
    </w:p>
    <w:p w14:paraId="39C3CE84" w14:textId="77777777" w:rsidR="00EB25CA" w:rsidRPr="008F4E90" w:rsidRDefault="00EB25CA" w:rsidP="004D3F34">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Biswal et al. first described the biological significance of neural activity fluctuations </w:t>
      </w:r>
      <w:hyperlink r:id="rId245">
        <w:r w:rsidRPr="008F4E90">
          <w:rPr>
            <w:rFonts w:asciiTheme="majorBidi" w:eastAsia="Times New Roman" w:hAnsiTheme="majorBidi" w:cstheme="majorBidi"/>
            <w:sz w:val="24"/>
            <w:szCs w:val="24"/>
          </w:rPr>
          <w:t>(Biswal et al., 1995)</w:t>
        </w:r>
      </w:hyperlink>
      <w:r w:rsidRPr="008F4E90">
        <w:rPr>
          <w:rFonts w:asciiTheme="majorBidi" w:eastAsia="Times New Roman" w:hAnsiTheme="majorBidi" w:cstheme="majorBidi"/>
          <w:sz w:val="24"/>
          <w:szCs w:val="24"/>
        </w:rPr>
        <w:t xml:space="preserve">. Since then, fMRI has been extensively utilised to investigate spontaneous fluctuations of various resting-state brain regions in neurotypical individuals and individuals with neurological and psychiatric disorders </w:t>
      </w:r>
      <w:hyperlink r:id="rId246">
        <w:r w:rsidRPr="008F4E90">
          <w:rPr>
            <w:rFonts w:asciiTheme="majorBidi" w:eastAsia="Times New Roman" w:hAnsiTheme="majorBidi" w:cstheme="majorBidi"/>
            <w:sz w:val="24"/>
            <w:szCs w:val="24"/>
          </w:rPr>
          <w:t>(Lee et al., 2013; Zhan &amp; Yu, 2015)</w:t>
        </w:r>
      </w:hyperlink>
      <w:r w:rsidRPr="008F4E90">
        <w:rPr>
          <w:rFonts w:asciiTheme="majorBidi" w:eastAsia="Times New Roman" w:hAnsiTheme="majorBidi" w:cstheme="majorBidi"/>
          <w:sz w:val="24"/>
          <w:szCs w:val="24"/>
        </w:rPr>
        <w:t xml:space="preserve">. Like the EEG signal, the fMRI time series exhibits linear properties and nonlinearity </w:t>
      </w:r>
      <w:hyperlink r:id="rId247">
        <w:r w:rsidRPr="008F4E90">
          <w:rPr>
            <w:rFonts w:asciiTheme="majorBidi" w:eastAsia="Times New Roman" w:hAnsiTheme="majorBidi" w:cstheme="majorBidi"/>
            <w:sz w:val="24"/>
            <w:szCs w:val="24"/>
          </w:rPr>
          <w:t>(Friston et al., 1998</w:t>
        </w:r>
      </w:hyperlink>
      <w:hyperlink r:id="rId248">
        <w:r w:rsidRPr="008F4E90">
          <w:rPr>
            <w:rFonts w:asciiTheme="majorBidi" w:eastAsia="Times New Roman" w:hAnsiTheme="majorBidi" w:cstheme="majorBidi"/>
            <w:sz w:val="24"/>
            <w:szCs w:val="24"/>
          </w:rPr>
          <w:t xml:space="preserve">; </w:t>
        </w:r>
      </w:hyperlink>
      <w:hyperlink r:id="rId249">
        <w:proofErr w:type="spellStart"/>
        <w:r w:rsidRPr="008F4E90">
          <w:rPr>
            <w:rFonts w:asciiTheme="majorBidi" w:eastAsia="Times New Roman" w:hAnsiTheme="majorBidi" w:cstheme="majorBidi"/>
            <w:sz w:val="24"/>
            <w:szCs w:val="24"/>
          </w:rPr>
          <w:t>Gultepe</w:t>
        </w:r>
        <w:proofErr w:type="spellEnd"/>
        <w:r w:rsidRPr="008F4E90">
          <w:rPr>
            <w:rFonts w:asciiTheme="majorBidi" w:eastAsia="Times New Roman" w:hAnsiTheme="majorBidi" w:cstheme="majorBidi"/>
            <w:sz w:val="24"/>
            <w:szCs w:val="24"/>
          </w:rPr>
          <w:t xml:space="preserve"> &amp; He, 2013)</w:t>
        </w:r>
      </w:hyperlink>
      <w:r w:rsidRPr="008F4E90">
        <w:rPr>
          <w:rFonts w:asciiTheme="majorBidi" w:eastAsia="Times New Roman" w:hAnsiTheme="majorBidi" w:cstheme="majorBidi"/>
          <w:sz w:val="24"/>
          <w:szCs w:val="24"/>
        </w:rPr>
        <w:t xml:space="preserve">. This nonlinearity in fMRI holds the potential to offer a more comprehensive understanding of the underlying neuronal mechanisms. Entropy measure has been commonly used to analyse spontaneous electrophysiological signals </w:t>
      </w:r>
      <w:hyperlink r:id="rId250">
        <w:r w:rsidRPr="008F4E90">
          <w:rPr>
            <w:rFonts w:asciiTheme="majorBidi" w:eastAsia="Times New Roman" w:hAnsiTheme="majorBidi" w:cstheme="majorBidi"/>
            <w:sz w:val="24"/>
            <w:szCs w:val="24"/>
          </w:rPr>
          <w:t>(Chenxi et al., 2016; De Wel et al., 2017)</w:t>
        </w:r>
      </w:hyperlink>
      <w:r w:rsidRPr="008F4E90">
        <w:rPr>
          <w:rFonts w:asciiTheme="majorBidi" w:eastAsia="Times New Roman" w:hAnsiTheme="majorBidi" w:cstheme="majorBidi"/>
          <w:sz w:val="24"/>
          <w:szCs w:val="24"/>
        </w:rPr>
        <w:t xml:space="preserve"> and to detect brain alterations in neurodevelopmental disorders.</w:t>
      </w:r>
    </w:p>
    <w:p w14:paraId="27D66C08" w14:textId="77777777" w:rsidR="00EB25CA" w:rsidRPr="008F4E90" w:rsidRDefault="00EB25CA" w:rsidP="00EB25CA">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Clinical Relevance of Default Mode Network (DMN) in ASC</w:t>
      </w:r>
    </w:p>
    <w:p w14:paraId="67FB2CB8"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Successful social interactions rely on understanding the concept of "self" about others </w:t>
      </w:r>
      <w:hyperlink r:id="rId251">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Steinbeis</w:t>
        </w:r>
        <w:proofErr w:type="spellEnd"/>
        <w:r w:rsidRPr="008F4E90">
          <w:rPr>
            <w:rFonts w:asciiTheme="majorBidi" w:eastAsia="Times New Roman" w:hAnsiTheme="majorBidi" w:cstheme="majorBidi"/>
            <w:sz w:val="24"/>
            <w:szCs w:val="24"/>
          </w:rPr>
          <w:t>, 2016)</w:t>
        </w:r>
      </w:hyperlink>
      <w:r w:rsidRPr="008F4E90">
        <w:rPr>
          <w:rFonts w:asciiTheme="majorBidi" w:eastAsia="Times New Roman" w:hAnsiTheme="majorBidi" w:cstheme="majorBidi"/>
          <w:sz w:val="24"/>
          <w:szCs w:val="24"/>
        </w:rPr>
        <w:t xml:space="preserve">. It is theorised that individuals with ASC face challenges in reciprocal social interaction because they struggle with self-referential cognitive processing and inferring the mental states of others </w:t>
      </w:r>
      <w:hyperlink r:id="rId252">
        <w:r w:rsidRPr="008F4E90">
          <w:rPr>
            <w:rFonts w:asciiTheme="majorBidi" w:eastAsia="Times New Roman" w:hAnsiTheme="majorBidi" w:cstheme="majorBidi"/>
            <w:sz w:val="24"/>
            <w:szCs w:val="24"/>
          </w:rPr>
          <w:t>(Lombardo et al., 2007)</w:t>
        </w:r>
      </w:hyperlink>
      <w:r w:rsidRPr="008F4E90">
        <w:rPr>
          <w:rFonts w:asciiTheme="majorBidi" w:eastAsia="Times New Roman" w:hAnsiTheme="majorBidi" w:cstheme="majorBidi"/>
          <w:sz w:val="24"/>
          <w:szCs w:val="24"/>
        </w:rPr>
        <w:t xml:space="preserve">. These difficulties contribute to the difficulties experienced by individuals with ASC in engaging effectively in social interactions. Given the importance of understanding the concepts of "self" and "other" in social interactions, it is not unexpected that the DMN, a fundamental brain system involved in processing information related to the self and others </w:t>
      </w:r>
      <w:hyperlink r:id="rId253">
        <w:r w:rsidRPr="008F4E90">
          <w:rPr>
            <w:rFonts w:asciiTheme="majorBidi" w:eastAsia="Times New Roman" w:hAnsiTheme="majorBidi" w:cstheme="majorBidi"/>
            <w:sz w:val="24"/>
            <w:szCs w:val="24"/>
          </w:rPr>
          <w:t>(Andrews-Hanna et al., 2010; Buckner &amp; DiNicola, 2019</w:t>
        </w:r>
      </w:hyperlink>
      <w:hyperlink r:id="rId254">
        <w:r w:rsidRPr="008F4E90">
          <w:rPr>
            <w:rFonts w:asciiTheme="majorBidi" w:eastAsia="Times New Roman" w:hAnsiTheme="majorBidi" w:cstheme="majorBidi"/>
            <w:sz w:val="24"/>
            <w:szCs w:val="24"/>
          </w:rPr>
          <w:t xml:space="preserve">; </w:t>
        </w:r>
      </w:hyperlink>
      <w:hyperlink r:id="rId255">
        <w:r w:rsidRPr="008F4E90">
          <w:rPr>
            <w:rFonts w:asciiTheme="majorBidi" w:eastAsia="Times New Roman" w:hAnsiTheme="majorBidi" w:cstheme="majorBidi"/>
            <w:sz w:val="24"/>
            <w:szCs w:val="24"/>
          </w:rPr>
          <w:t>Dixon et al., 2021; Li et al., 2014; Molnar-Szakacs &amp; Uddin, 2013)</w:t>
        </w:r>
      </w:hyperlink>
      <w:r w:rsidRPr="008F4E90">
        <w:rPr>
          <w:rFonts w:asciiTheme="majorBidi" w:eastAsia="Times New Roman" w:hAnsiTheme="majorBidi" w:cstheme="majorBidi"/>
          <w:sz w:val="24"/>
          <w:szCs w:val="24"/>
        </w:rPr>
        <w:t xml:space="preserve">, has been identified as a critical network implicated in social dysfunction in ASC </w:t>
      </w:r>
      <w:hyperlink r:id="rId256">
        <w:r w:rsidRPr="008F4E90">
          <w:rPr>
            <w:rFonts w:asciiTheme="majorBidi" w:eastAsia="Times New Roman" w:hAnsiTheme="majorBidi" w:cstheme="majorBidi"/>
            <w:sz w:val="24"/>
            <w:szCs w:val="24"/>
          </w:rPr>
          <w:t>(Feng et al., 2022; Lombardo et al., 2019</w:t>
        </w:r>
      </w:hyperlink>
      <w:hyperlink r:id="rId257">
        <w:r w:rsidRPr="008F4E90">
          <w:rPr>
            <w:rFonts w:asciiTheme="majorBidi" w:eastAsia="Times New Roman" w:hAnsiTheme="majorBidi" w:cstheme="majorBidi"/>
            <w:sz w:val="24"/>
            <w:szCs w:val="24"/>
          </w:rPr>
          <w:t xml:space="preserve">; </w:t>
        </w:r>
      </w:hyperlink>
      <w:hyperlink r:id="rId258">
        <w:proofErr w:type="spellStart"/>
        <w:r w:rsidRPr="008F4E90">
          <w:rPr>
            <w:rFonts w:asciiTheme="majorBidi" w:eastAsia="Times New Roman" w:hAnsiTheme="majorBidi" w:cstheme="majorBidi"/>
            <w:sz w:val="24"/>
            <w:szCs w:val="24"/>
          </w:rPr>
          <w:t>Yerys</w:t>
        </w:r>
        <w:proofErr w:type="spellEnd"/>
        <w:r w:rsidRPr="008F4E90">
          <w:rPr>
            <w:rFonts w:asciiTheme="majorBidi" w:eastAsia="Times New Roman" w:hAnsiTheme="majorBidi" w:cstheme="majorBidi"/>
            <w:sz w:val="24"/>
            <w:szCs w:val="24"/>
          </w:rPr>
          <w:t xml:space="preserve"> et al., 2015)</w:t>
        </w:r>
      </w:hyperlink>
      <w:r w:rsidRPr="008F4E90">
        <w:rPr>
          <w:rFonts w:asciiTheme="majorBidi" w:eastAsia="Times New Roman" w:hAnsiTheme="majorBidi" w:cstheme="majorBidi"/>
          <w:sz w:val="24"/>
          <w:szCs w:val="24"/>
        </w:rPr>
        <w:t xml:space="preserve">. </w:t>
      </w:r>
    </w:p>
    <w:p w14:paraId="29EF896E"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 xml:space="preserve">In general, fMRI time series studies commonly utilise linear-based methods to analyse time-varying linear correlations among regions of interest. Regarding ASC, the literature predominantly indicates a mixture of under- and over-connectivity patterns. These patterns vary depending on whether one examines local or global networks. Whole-brain connectivity approaches have presented evidence indicating that individuals with ASC exhibit the lowest levels of whole-brain functional connectivity, while controls demonstrated the highest levels </w:t>
      </w:r>
      <w:hyperlink r:id="rId259">
        <w:r w:rsidRPr="008F4E90">
          <w:rPr>
            <w:rFonts w:asciiTheme="majorBidi" w:eastAsia="Times New Roman" w:hAnsiTheme="majorBidi" w:cstheme="majorBidi"/>
            <w:sz w:val="24"/>
            <w:szCs w:val="24"/>
          </w:rPr>
          <w:t>(Moseley et al., 2015)</w:t>
        </w:r>
      </w:hyperlink>
      <w:r w:rsidRPr="008F4E90">
        <w:rPr>
          <w:rFonts w:asciiTheme="majorBidi" w:eastAsia="Times New Roman" w:hAnsiTheme="majorBidi" w:cstheme="majorBidi"/>
          <w:sz w:val="24"/>
          <w:szCs w:val="24"/>
        </w:rPr>
        <w:t>. The seed region-of-interest (ROI) approach and data-driven ICA approaches indicate specific altered connections and corresponding relations to the deficits in ASC. In a ground-breaking study by Monk et al., they examined connectivity within the DMN in adults with ASC when their eyes open. Using the Posterior Cingulate Cortex (PCC) as a seed, they observed under-connectivity between the PCC and Superior Frontal Gyrus (SFG) in individuals with ASC. However, they also discovered over-connectivity between the PCC and bilateral temporal lobes and the right Posterior Hippocampal Gyrus (PHG).</w:t>
      </w:r>
    </w:p>
    <w:p w14:paraId="6577FABB"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Additionally, they found that social functioning was linked to the strength of connectivity between the PCC and temporal lobes. Weaker connectivity between the PCC and SFG was associated with poorer social functioning. In comparison, stronger connectivity between the PCC and right PHG was related to more severe restricted and repetitive behaviours </w:t>
      </w:r>
      <w:hyperlink r:id="rId260">
        <w:r w:rsidRPr="008F4E90">
          <w:rPr>
            <w:rFonts w:asciiTheme="majorBidi" w:eastAsia="Times New Roman" w:hAnsiTheme="majorBidi" w:cstheme="majorBidi"/>
            <w:sz w:val="24"/>
            <w:szCs w:val="24"/>
          </w:rPr>
          <w:t>(Monk et al., 2009)</w:t>
        </w:r>
      </w:hyperlink>
      <w:r w:rsidRPr="008F4E90">
        <w:rPr>
          <w:rFonts w:asciiTheme="majorBidi" w:eastAsia="Times New Roman" w:hAnsiTheme="majorBidi" w:cstheme="majorBidi"/>
          <w:sz w:val="24"/>
          <w:szCs w:val="24"/>
        </w:rPr>
        <w:t xml:space="preserve">. </w:t>
      </w:r>
    </w:p>
    <w:p w14:paraId="46DAB37F"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Another study, focused on children rather than adults, also identified changes in functional connectivity within the DMN during the eyes open condition </w:t>
      </w:r>
      <w:hyperlink r:id="rId261">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Paakki</w:t>
        </w:r>
        <w:proofErr w:type="spellEnd"/>
        <w:r w:rsidRPr="008F4E90">
          <w:rPr>
            <w:rFonts w:asciiTheme="majorBidi" w:eastAsia="Times New Roman" w:hAnsiTheme="majorBidi" w:cstheme="majorBidi"/>
            <w:sz w:val="24"/>
            <w:szCs w:val="24"/>
          </w:rPr>
          <w:t xml:space="preserve"> et al., 2010)</w:t>
        </w:r>
      </w:hyperlink>
      <w:r w:rsidRPr="008F4E90">
        <w:rPr>
          <w:rFonts w:asciiTheme="majorBidi" w:eastAsia="Times New Roman" w:hAnsiTheme="majorBidi" w:cstheme="majorBidi"/>
          <w:sz w:val="24"/>
          <w:szCs w:val="24"/>
        </w:rPr>
        <w:t xml:space="preserve">. They used regional homogeneity (ReHo), which measures the local synchronisation of spontaneous fMRI (BOLD) signal activity within specific clusters. ReHo analysis examines local connectivity but does not capture global or long-range FC. The study revealed significant alterations in the resting-state brain activity of children with ASC, particularly within regions of the right hemisphere closely associated with the DMN. Specifically, a decrease in ReHo, indicating under-connectivity, was found in the right superior temporal sulcus and right insula. However, it is worth noting that contradictory findings are reported in the </w:t>
      </w:r>
      <w:r w:rsidRPr="008F4E90">
        <w:rPr>
          <w:rFonts w:asciiTheme="majorBidi" w:eastAsia="Times New Roman" w:hAnsiTheme="majorBidi" w:cstheme="majorBidi"/>
          <w:sz w:val="24"/>
          <w:szCs w:val="24"/>
        </w:rPr>
        <w:lastRenderedPageBreak/>
        <w:t xml:space="preserve">literature on the eyes closed condition. For instance, an increase in ReHo has been reported in the right </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and inferior parietal gyrus by </w:t>
      </w:r>
      <w:hyperlink r:id="rId262">
        <w:r w:rsidRPr="008F4E90">
          <w:rPr>
            <w:rFonts w:asciiTheme="majorBidi" w:eastAsia="Times New Roman" w:hAnsiTheme="majorBidi" w:cstheme="majorBidi"/>
            <w:sz w:val="24"/>
            <w:szCs w:val="24"/>
          </w:rPr>
          <w:t>(Li et al., 2018)</w:t>
        </w:r>
      </w:hyperlink>
      <w:r w:rsidRPr="008F4E90">
        <w:rPr>
          <w:rFonts w:asciiTheme="majorBidi" w:eastAsia="Times New Roman" w:hAnsiTheme="majorBidi" w:cstheme="majorBidi"/>
          <w:sz w:val="24"/>
          <w:szCs w:val="24"/>
        </w:rPr>
        <w:t xml:space="preserve">. </w:t>
      </w:r>
    </w:p>
    <w:p w14:paraId="4F24E7A0"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On the other hand, individuals with ASC exhibit under-connectivity within the sub-components of the DMN, as highlighted by the research </w:t>
      </w:r>
      <w:hyperlink r:id="rId263">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Bathelt</w:t>
        </w:r>
        <w:proofErr w:type="spellEnd"/>
        <w:r w:rsidRPr="008F4E90">
          <w:rPr>
            <w:rFonts w:asciiTheme="majorBidi" w:eastAsia="Times New Roman" w:hAnsiTheme="majorBidi" w:cstheme="majorBidi"/>
            <w:sz w:val="24"/>
            <w:szCs w:val="24"/>
          </w:rPr>
          <w:t xml:space="preserve"> &amp; Geurts, 2021</w:t>
        </w:r>
      </w:hyperlink>
      <w:hyperlink r:id="rId264">
        <w:r w:rsidRPr="008F4E90">
          <w:rPr>
            <w:rFonts w:asciiTheme="majorBidi" w:eastAsia="Times New Roman" w:hAnsiTheme="majorBidi" w:cstheme="majorBidi"/>
            <w:sz w:val="24"/>
            <w:szCs w:val="24"/>
          </w:rPr>
          <w:t xml:space="preserve">; </w:t>
        </w:r>
      </w:hyperlink>
      <w:hyperlink r:id="rId265">
        <w:r w:rsidRPr="008F4E90">
          <w:rPr>
            <w:rFonts w:asciiTheme="majorBidi" w:eastAsia="Times New Roman" w:hAnsiTheme="majorBidi" w:cstheme="majorBidi"/>
            <w:sz w:val="24"/>
            <w:szCs w:val="24"/>
          </w:rPr>
          <w:t xml:space="preserve">Washington et al., 2014; </w:t>
        </w:r>
        <w:proofErr w:type="spellStart"/>
        <w:r w:rsidRPr="008F4E90">
          <w:rPr>
            <w:rFonts w:asciiTheme="majorBidi" w:eastAsia="Times New Roman" w:hAnsiTheme="majorBidi" w:cstheme="majorBidi"/>
            <w:sz w:val="24"/>
            <w:szCs w:val="24"/>
          </w:rPr>
          <w:t>Yerys</w:t>
        </w:r>
        <w:proofErr w:type="spellEnd"/>
        <w:r w:rsidRPr="008F4E90">
          <w:rPr>
            <w:rFonts w:asciiTheme="majorBidi" w:eastAsia="Times New Roman" w:hAnsiTheme="majorBidi" w:cstheme="majorBidi"/>
            <w:sz w:val="24"/>
            <w:szCs w:val="24"/>
          </w:rPr>
          <w:t xml:space="preserve"> et al., 2015)</w:t>
        </w:r>
      </w:hyperlink>
      <w:r w:rsidRPr="008F4E90">
        <w:rPr>
          <w:rFonts w:asciiTheme="majorBidi" w:eastAsia="Times New Roman" w:hAnsiTheme="majorBidi" w:cstheme="majorBidi"/>
          <w:sz w:val="24"/>
          <w:szCs w:val="24"/>
        </w:rPr>
        <w:t>. Specifically, under-connectivity is observed in the medial prefrontal cortex (</w:t>
      </w:r>
      <w:proofErr w:type="spellStart"/>
      <w:r w:rsidRPr="008F4E90">
        <w:rPr>
          <w:rFonts w:asciiTheme="majorBidi" w:eastAsia="Times New Roman" w:hAnsiTheme="majorBidi" w:cstheme="majorBidi"/>
          <w:sz w:val="24"/>
          <w:szCs w:val="24"/>
        </w:rPr>
        <w:t>mPFC</w:t>
      </w:r>
      <w:proofErr w:type="spellEnd"/>
      <w:r w:rsidRPr="008F4E90">
        <w:rPr>
          <w:rFonts w:asciiTheme="majorBidi" w:eastAsia="Times New Roman" w:hAnsiTheme="majorBidi" w:cstheme="majorBidi"/>
          <w:sz w:val="24"/>
          <w:szCs w:val="24"/>
        </w:rPr>
        <w:t xml:space="preserve">) and PCC of the DMN. Notably, the severity of social deficits in ASC individuals is correlated with the extent of this under-connectivity. However, there are still contradictory findings. The findings suggest that there are both under- </w:t>
      </w:r>
      <w:hyperlink r:id="rId266">
        <w:r w:rsidRPr="008F4E90">
          <w:rPr>
            <w:rFonts w:asciiTheme="majorBidi" w:eastAsia="Times New Roman" w:hAnsiTheme="majorBidi" w:cstheme="majorBidi"/>
            <w:sz w:val="24"/>
            <w:szCs w:val="24"/>
          </w:rPr>
          <w:t>(Assaf et al., 2010</w:t>
        </w:r>
      </w:hyperlink>
      <w:hyperlink r:id="rId267">
        <w:r w:rsidRPr="008F4E90">
          <w:rPr>
            <w:rFonts w:asciiTheme="majorBidi" w:eastAsia="Times New Roman" w:hAnsiTheme="majorBidi" w:cstheme="majorBidi"/>
            <w:sz w:val="24"/>
            <w:szCs w:val="24"/>
          </w:rPr>
          <w:t xml:space="preserve">; </w:t>
        </w:r>
      </w:hyperlink>
      <w:hyperlink r:id="rId268">
        <w:proofErr w:type="spellStart"/>
        <w:r w:rsidRPr="008F4E90">
          <w:rPr>
            <w:rFonts w:asciiTheme="majorBidi" w:eastAsia="Times New Roman" w:hAnsiTheme="majorBidi" w:cstheme="majorBidi"/>
            <w:sz w:val="24"/>
            <w:szCs w:val="24"/>
          </w:rPr>
          <w:t>Bathelt</w:t>
        </w:r>
        <w:proofErr w:type="spellEnd"/>
        <w:r w:rsidRPr="008F4E90">
          <w:rPr>
            <w:rFonts w:asciiTheme="majorBidi" w:eastAsia="Times New Roman" w:hAnsiTheme="majorBidi" w:cstheme="majorBidi"/>
            <w:sz w:val="24"/>
            <w:szCs w:val="24"/>
          </w:rPr>
          <w:t xml:space="preserve"> &amp; Geurts, 2021; Lynch et al., 2013)</w:t>
        </w:r>
      </w:hyperlink>
      <w:r w:rsidRPr="008F4E90">
        <w:rPr>
          <w:rFonts w:asciiTheme="majorBidi" w:eastAsia="Times New Roman" w:hAnsiTheme="majorBidi" w:cstheme="majorBidi"/>
          <w:sz w:val="24"/>
          <w:szCs w:val="24"/>
        </w:rPr>
        <w:t>and over-connections between the DMN and other brain regions</w:t>
      </w:r>
      <w:hyperlink r:id="rId269">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Glerean</w:t>
        </w:r>
        <w:proofErr w:type="spellEnd"/>
        <w:r w:rsidRPr="008F4E90">
          <w:rPr>
            <w:rFonts w:asciiTheme="majorBidi" w:eastAsia="Times New Roman" w:hAnsiTheme="majorBidi" w:cstheme="majorBidi"/>
            <w:sz w:val="24"/>
            <w:szCs w:val="24"/>
          </w:rPr>
          <w:t xml:space="preserve"> et al., 2016; Washington et al., 2014)</w:t>
        </w:r>
      </w:hyperlink>
      <w:r w:rsidRPr="008F4E90">
        <w:rPr>
          <w:rFonts w:asciiTheme="majorBidi" w:eastAsia="Times New Roman" w:hAnsiTheme="majorBidi" w:cstheme="majorBidi"/>
          <w:sz w:val="24"/>
          <w:szCs w:val="24"/>
        </w:rPr>
        <w:t xml:space="preserve">, particularly at the long-distance junction. This discrepancy is attributed to the distinct functioning of different sub-components of the DMN in individuals with ASC </w:t>
      </w:r>
      <w:hyperlink r:id="rId27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Bathelt</w:t>
        </w:r>
        <w:proofErr w:type="spellEnd"/>
        <w:r w:rsidRPr="008F4E90">
          <w:rPr>
            <w:rFonts w:asciiTheme="majorBidi" w:eastAsia="Times New Roman" w:hAnsiTheme="majorBidi" w:cstheme="majorBidi"/>
            <w:sz w:val="24"/>
            <w:szCs w:val="24"/>
          </w:rPr>
          <w:t xml:space="preserve"> &amp; Geurts, 2021)</w:t>
        </w:r>
      </w:hyperlink>
      <w:r w:rsidRPr="008F4E90">
        <w:rPr>
          <w:rFonts w:asciiTheme="majorBidi" w:eastAsia="Times New Roman" w:hAnsiTheme="majorBidi" w:cstheme="majorBidi"/>
          <w:sz w:val="24"/>
          <w:szCs w:val="24"/>
        </w:rPr>
        <w:t xml:space="preserve">. Specifically, the </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in ASC exhibits hypoconnectivity, while the posterior cingulate cortex demonstrates hyperconnectivity in ASC </w:t>
      </w:r>
      <w:hyperlink r:id="rId271">
        <w:r w:rsidRPr="008F4E90">
          <w:rPr>
            <w:rFonts w:asciiTheme="majorBidi" w:eastAsia="Times New Roman" w:hAnsiTheme="majorBidi" w:cstheme="majorBidi"/>
            <w:sz w:val="24"/>
            <w:szCs w:val="24"/>
          </w:rPr>
          <w:t>(Lynch et al., 2013; Assaf et al., 2010)</w:t>
        </w:r>
      </w:hyperlink>
      <w:r w:rsidRPr="008F4E90">
        <w:rPr>
          <w:rFonts w:asciiTheme="majorBidi" w:eastAsia="Times New Roman" w:hAnsiTheme="majorBidi" w:cstheme="majorBidi"/>
          <w:sz w:val="24"/>
          <w:szCs w:val="24"/>
        </w:rPr>
        <w:t xml:space="preserve">. It is important to note that these variations may also be influenced by the heterogeneity of the ASC endophenotype itself </w:t>
      </w:r>
      <w:hyperlink r:id="rId272">
        <w:r w:rsidRPr="008F4E90">
          <w:rPr>
            <w:rFonts w:asciiTheme="majorBidi" w:eastAsia="Times New Roman" w:hAnsiTheme="majorBidi" w:cstheme="majorBidi"/>
            <w:sz w:val="24"/>
            <w:szCs w:val="24"/>
          </w:rPr>
          <w:t>(Moseley et al., 2015)</w:t>
        </w:r>
      </w:hyperlink>
      <w:r w:rsidRPr="008F4E90">
        <w:rPr>
          <w:rFonts w:asciiTheme="majorBidi" w:eastAsia="Times New Roman" w:hAnsiTheme="majorBidi" w:cstheme="majorBidi"/>
          <w:sz w:val="24"/>
          <w:szCs w:val="24"/>
        </w:rPr>
        <w:t xml:space="preserve">. Moreover, these intra- and inter-DMN-associated connections are negatively correlated with the symptoms of ASC </w:t>
      </w:r>
      <w:hyperlink r:id="rId273">
        <w:r w:rsidRPr="008F4E90">
          <w:rPr>
            <w:rFonts w:asciiTheme="majorBidi" w:eastAsia="Times New Roman" w:hAnsiTheme="majorBidi" w:cstheme="majorBidi"/>
            <w:sz w:val="24"/>
            <w:szCs w:val="24"/>
          </w:rPr>
          <w:t>(Assaf et al., 2010</w:t>
        </w:r>
      </w:hyperlink>
      <w:hyperlink r:id="rId274">
        <w:r w:rsidRPr="008F4E90">
          <w:rPr>
            <w:rFonts w:asciiTheme="majorBidi" w:eastAsia="Times New Roman" w:hAnsiTheme="majorBidi" w:cstheme="majorBidi"/>
            <w:sz w:val="24"/>
            <w:szCs w:val="24"/>
          </w:rPr>
          <w:t xml:space="preserve">; </w:t>
        </w:r>
      </w:hyperlink>
      <w:hyperlink r:id="rId275">
        <w:r w:rsidRPr="008F4E90">
          <w:rPr>
            <w:rFonts w:asciiTheme="majorBidi" w:eastAsia="Times New Roman" w:hAnsiTheme="majorBidi" w:cstheme="majorBidi"/>
            <w:sz w:val="24"/>
            <w:szCs w:val="24"/>
          </w:rPr>
          <w:t>Feng et al., 2023)</w:t>
        </w:r>
      </w:hyperlink>
      <w:r w:rsidRPr="008F4E90">
        <w:rPr>
          <w:rFonts w:asciiTheme="majorBidi" w:eastAsia="Times New Roman" w:hAnsiTheme="majorBidi" w:cstheme="majorBidi"/>
          <w:sz w:val="24"/>
          <w:szCs w:val="24"/>
        </w:rPr>
        <w:t>.</w:t>
      </w:r>
    </w:p>
    <w:p w14:paraId="55D6D2D2" w14:textId="77777777" w:rsidR="00EB25CA" w:rsidRPr="008F4E90" w:rsidRDefault="00EB25CA" w:rsidP="00EB25CA">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Age-related variations in Default Mode Network (DMN)</w:t>
      </w:r>
    </w:p>
    <w:p w14:paraId="2D629922"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disparity in functional connectivity within and across the Default Mode Network (DMN) is also influenced by age. Age-related variations have been proposed to contribute to the modular structure of the DMN between childhood and early adulthood in healthy controls. The proposal suggests that during early development, there may exist a less specialised and more widely distributed proto-organisation of the DMN </w:t>
      </w:r>
      <w:hyperlink r:id="rId276">
        <w:r w:rsidRPr="008F4E90">
          <w:rPr>
            <w:rFonts w:asciiTheme="majorBidi" w:eastAsia="Times New Roman" w:hAnsiTheme="majorBidi" w:cstheme="majorBidi"/>
            <w:sz w:val="24"/>
            <w:szCs w:val="24"/>
          </w:rPr>
          <w:t>(Buckner &amp; DiNicola, 2019)</w:t>
        </w:r>
      </w:hyperlink>
      <w:r w:rsidRPr="008F4E90">
        <w:rPr>
          <w:rFonts w:asciiTheme="majorBidi" w:eastAsia="Times New Roman" w:hAnsiTheme="majorBidi" w:cstheme="majorBidi"/>
          <w:sz w:val="24"/>
          <w:szCs w:val="24"/>
        </w:rPr>
        <w:t xml:space="preserve">. It has been demonstrated that the growth of internodal functional connectivity within the DMN in typically developing children follows a quadratic trajectory about age, similar to the process of synaptogenesis. This growth of connectivity reaches its </w:t>
      </w:r>
      <w:r w:rsidRPr="008F4E90">
        <w:rPr>
          <w:rFonts w:asciiTheme="majorBidi" w:eastAsia="Times New Roman" w:hAnsiTheme="majorBidi" w:cstheme="majorBidi"/>
          <w:sz w:val="24"/>
          <w:szCs w:val="24"/>
        </w:rPr>
        <w:lastRenderedPageBreak/>
        <w:t xml:space="preserve">maximum point between the ages of 11 and 13. However, in children with ASC, these long-distance connections do not develop during adolescence </w:t>
      </w:r>
      <w:hyperlink r:id="rId277">
        <w:r w:rsidRPr="008F4E90">
          <w:rPr>
            <w:rFonts w:asciiTheme="majorBidi" w:eastAsia="Times New Roman" w:hAnsiTheme="majorBidi" w:cstheme="majorBidi"/>
            <w:sz w:val="24"/>
            <w:szCs w:val="24"/>
          </w:rPr>
          <w:t>(Washington et al., 2014)</w:t>
        </w:r>
      </w:hyperlink>
      <w:r w:rsidRPr="008F4E90">
        <w:rPr>
          <w:rFonts w:asciiTheme="majorBidi" w:eastAsia="Times New Roman" w:hAnsiTheme="majorBidi" w:cstheme="majorBidi"/>
          <w:sz w:val="24"/>
          <w:szCs w:val="24"/>
        </w:rPr>
        <w:t>.</w:t>
      </w:r>
    </w:p>
    <w:p w14:paraId="3A9974D5"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summary, multiple studies consistently reveal a notable trend: Intrinsic functional connectivity is typically diminished in adolescents and adults with autism compared to their age-matched counterparts, whereas in younger children with the condition, functional connectivity seems to be heightened </w:t>
      </w:r>
      <w:hyperlink r:id="rId278">
        <w:r w:rsidRPr="008F4E90">
          <w:rPr>
            <w:rFonts w:asciiTheme="majorBidi" w:eastAsia="Times New Roman" w:hAnsiTheme="majorBidi" w:cstheme="majorBidi"/>
            <w:sz w:val="24"/>
            <w:szCs w:val="24"/>
          </w:rPr>
          <w:t>(Fan et al., 2021)</w:t>
        </w:r>
      </w:hyperlink>
      <w:r w:rsidRPr="008F4E90">
        <w:rPr>
          <w:rFonts w:asciiTheme="majorBidi" w:eastAsia="Times New Roman" w:hAnsiTheme="majorBidi" w:cstheme="majorBidi"/>
          <w:sz w:val="24"/>
          <w:szCs w:val="24"/>
        </w:rPr>
        <w:t xml:space="preserve">. During the transition from childhood to adolescence in individuals with ASC, a shift was observed from overall hyperconnectivity to hypoconnectivity </w:t>
      </w:r>
      <w:hyperlink r:id="rId279">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Bathelt</w:t>
        </w:r>
        <w:proofErr w:type="spellEnd"/>
        <w:r w:rsidRPr="008F4E90">
          <w:rPr>
            <w:rFonts w:asciiTheme="majorBidi" w:eastAsia="Times New Roman" w:hAnsiTheme="majorBidi" w:cstheme="majorBidi"/>
            <w:sz w:val="24"/>
            <w:szCs w:val="24"/>
          </w:rPr>
          <w:t xml:space="preserve"> &amp; Geurts, 2021</w:t>
        </w:r>
      </w:hyperlink>
      <w:hyperlink r:id="rId280">
        <w:r w:rsidRPr="008F4E90">
          <w:rPr>
            <w:rFonts w:asciiTheme="majorBidi" w:eastAsia="Times New Roman" w:hAnsiTheme="majorBidi" w:cstheme="majorBidi"/>
            <w:sz w:val="24"/>
            <w:szCs w:val="24"/>
          </w:rPr>
          <w:t xml:space="preserve">; </w:t>
        </w:r>
      </w:hyperlink>
      <w:hyperlink r:id="rId281">
        <w:r w:rsidRPr="008F4E90">
          <w:rPr>
            <w:rFonts w:asciiTheme="majorBidi" w:eastAsia="Times New Roman" w:hAnsiTheme="majorBidi" w:cstheme="majorBidi"/>
            <w:sz w:val="24"/>
            <w:szCs w:val="24"/>
          </w:rPr>
          <w:t>Uddin et al., 2013)</w:t>
        </w:r>
      </w:hyperlink>
      <w:r w:rsidRPr="008F4E90">
        <w:rPr>
          <w:rFonts w:asciiTheme="majorBidi" w:eastAsia="Times New Roman" w:hAnsiTheme="majorBidi" w:cstheme="majorBidi"/>
          <w:sz w:val="24"/>
          <w:szCs w:val="24"/>
        </w:rPr>
        <w:t xml:space="preserve">. It is important to note that these alterations in connectivity also have the potential to be influenced by the modular organisation of the DMN. Consistent with this finding, several studies have shown increased connectivity within subnetworks of DMN during childhood in individuals with ASC. However, as individuals with ASC transition into adolescence, there is a notable shift towards decreased connectivity and greater modularity within the DMN </w:t>
      </w:r>
      <w:hyperlink r:id="rId282">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Bathelt</w:t>
        </w:r>
        <w:proofErr w:type="spellEnd"/>
        <w:r w:rsidRPr="008F4E90">
          <w:rPr>
            <w:rFonts w:asciiTheme="majorBidi" w:eastAsia="Times New Roman" w:hAnsiTheme="majorBidi" w:cstheme="majorBidi"/>
            <w:sz w:val="24"/>
            <w:szCs w:val="24"/>
          </w:rPr>
          <w:t xml:space="preserve"> &amp; Geurts, 2021; </w:t>
        </w:r>
        <w:proofErr w:type="spellStart"/>
        <w:r w:rsidRPr="008F4E90">
          <w:rPr>
            <w:rFonts w:asciiTheme="majorBidi" w:eastAsia="Times New Roman" w:hAnsiTheme="majorBidi" w:cstheme="majorBidi"/>
            <w:sz w:val="24"/>
            <w:szCs w:val="24"/>
          </w:rPr>
          <w:t>Glerean</w:t>
        </w:r>
        <w:proofErr w:type="spellEnd"/>
        <w:r w:rsidRPr="008F4E90">
          <w:rPr>
            <w:rFonts w:asciiTheme="majorBidi" w:eastAsia="Times New Roman" w:hAnsiTheme="majorBidi" w:cstheme="majorBidi"/>
            <w:sz w:val="24"/>
            <w:szCs w:val="24"/>
          </w:rPr>
          <w:t xml:space="preserve"> et al., 2016; Lynch et al., 2013)</w:t>
        </w:r>
      </w:hyperlink>
      <w:r w:rsidRPr="008F4E90">
        <w:rPr>
          <w:rFonts w:asciiTheme="majorBidi" w:eastAsia="Times New Roman" w:hAnsiTheme="majorBidi" w:cstheme="majorBidi"/>
          <w:sz w:val="24"/>
          <w:szCs w:val="24"/>
        </w:rPr>
        <w:t xml:space="preserve">. Insufficient evidence supported the expectation of hypoconnectivity within the DMN during adolescence. Instead, the strength of DMN subnetwork connections appeared similar between individuals with ASC and neurotypical individuals towards the end of the age range (18 years). As proposed by Uddin and colleagues, hypoconnectivity may emerge in later stages of development beyond 18 years </w:t>
      </w:r>
      <w:hyperlink r:id="rId283">
        <w:r w:rsidRPr="008F4E90">
          <w:rPr>
            <w:rFonts w:asciiTheme="majorBidi" w:eastAsia="Times New Roman" w:hAnsiTheme="majorBidi" w:cstheme="majorBidi"/>
            <w:sz w:val="24"/>
            <w:szCs w:val="24"/>
          </w:rPr>
          <w:t>(Uddin et al., 2013)</w:t>
        </w:r>
      </w:hyperlink>
      <w:r w:rsidRPr="008F4E90">
        <w:rPr>
          <w:rFonts w:asciiTheme="majorBidi" w:eastAsia="Times New Roman" w:hAnsiTheme="majorBidi" w:cstheme="majorBidi"/>
          <w:sz w:val="24"/>
          <w:szCs w:val="24"/>
        </w:rPr>
        <w:t xml:space="preserve">. On the other hand, the decrease in hyperconnectivity observed in the ASC group could indicate a delayed developmental pattern. According to a recent comprehensive review of the DMN </w:t>
      </w:r>
      <w:hyperlink r:id="rId284">
        <w:r w:rsidRPr="008F4E90">
          <w:rPr>
            <w:rFonts w:asciiTheme="majorBidi" w:eastAsia="Times New Roman" w:hAnsiTheme="majorBidi" w:cstheme="majorBidi"/>
            <w:sz w:val="24"/>
            <w:szCs w:val="24"/>
          </w:rPr>
          <w:t>(Buckner &amp; DiNicola, 2019)</w:t>
        </w:r>
      </w:hyperlink>
      <w:r w:rsidRPr="008F4E90">
        <w:rPr>
          <w:rFonts w:asciiTheme="majorBidi" w:eastAsia="Times New Roman" w:hAnsiTheme="majorBidi" w:cstheme="majorBidi"/>
          <w:sz w:val="24"/>
          <w:szCs w:val="24"/>
        </w:rPr>
        <w:t>, the modularisation of DMN subsystems is a developmental process that relies on activity and experience.</w:t>
      </w:r>
    </w:p>
    <w:p w14:paraId="2C23F429" w14:textId="77777777" w:rsidR="00EB25CA" w:rsidRPr="008F4E90" w:rsidRDefault="00EB25CA" w:rsidP="00EB25CA">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Assessing Entropy Measures in ASC Research Using Resting-State fMRI</w:t>
      </w:r>
    </w:p>
    <w:p w14:paraId="7A5A8821"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Nonlinear signal processing methods, such as approximate entropy (</w:t>
      </w:r>
      <w:proofErr w:type="spellStart"/>
      <w:r w:rsidRPr="008F4E90">
        <w:rPr>
          <w:rFonts w:asciiTheme="majorBidi" w:eastAsia="Times New Roman" w:hAnsiTheme="majorBidi" w:cstheme="majorBidi"/>
          <w:sz w:val="24"/>
          <w:szCs w:val="24"/>
        </w:rPr>
        <w:t>ApEn</w:t>
      </w:r>
      <w:proofErr w:type="spellEnd"/>
      <w:r w:rsidRPr="008F4E90">
        <w:rPr>
          <w:rFonts w:asciiTheme="majorBidi" w:eastAsia="Times New Roman" w:hAnsiTheme="majorBidi" w:cstheme="majorBidi"/>
          <w:sz w:val="24"/>
          <w:szCs w:val="24"/>
        </w:rPr>
        <w:t xml:space="preserve">) </w:t>
      </w:r>
      <w:hyperlink r:id="rId285">
        <w:r w:rsidRPr="008F4E90">
          <w:rPr>
            <w:rFonts w:asciiTheme="majorBidi" w:eastAsia="Times New Roman" w:hAnsiTheme="majorBidi" w:cstheme="majorBidi"/>
            <w:sz w:val="24"/>
            <w:szCs w:val="24"/>
          </w:rPr>
          <w:t>(Pincus, 1991</w:t>
        </w:r>
      </w:hyperlink>
      <w:hyperlink r:id="rId286">
        <w:r w:rsidRPr="008F4E90">
          <w:rPr>
            <w:rFonts w:asciiTheme="majorBidi" w:eastAsia="Times New Roman" w:hAnsiTheme="majorBidi" w:cstheme="majorBidi"/>
            <w:sz w:val="24"/>
            <w:szCs w:val="24"/>
          </w:rPr>
          <w:t xml:space="preserve">; </w:t>
        </w:r>
      </w:hyperlink>
      <w:hyperlink r:id="rId287">
        <w:r w:rsidRPr="008F4E90">
          <w:rPr>
            <w:rFonts w:asciiTheme="majorBidi" w:eastAsia="Times New Roman" w:hAnsiTheme="majorBidi" w:cstheme="majorBidi"/>
            <w:sz w:val="24"/>
            <w:szCs w:val="24"/>
          </w:rPr>
          <w:t>Pincus, 1995)</w:t>
        </w:r>
      </w:hyperlink>
      <w:r w:rsidRPr="008F4E90">
        <w:rPr>
          <w:rFonts w:asciiTheme="majorBidi" w:eastAsia="Times New Roman" w:hAnsiTheme="majorBidi" w:cstheme="majorBidi"/>
          <w:sz w:val="24"/>
          <w:szCs w:val="24"/>
        </w:rPr>
        <w:t xml:space="preserve"> and sample entropy (</w:t>
      </w:r>
      <w:proofErr w:type="spellStart"/>
      <w:r w:rsidRPr="008F4E90">
        <w:rPr>
          <w:rFonts w:asciiTheme="majorBidi" w:eastAsia="Times New Roman" w:hAnsiTheme="majorBidi" w:cstheme="majorBidi"/>
          <w:sz w:val="24"/>
          <w:szCs w:val="24"/>
        </w:rPr>
        <w:t>SampEn</w:t>
      </w:r>
      <w:proofErr w:type="spellEnd"/>
      <w:r w:rsidRPr="008F4E90">
        <w:rPr>
          <w:rFonts w:asciiTheme="majorBidi" w:eastAsia="Times New Roman" w:hAnsiTheme="majorBidi" w:cstheme="majorBidi"/>
          <w:sz w:val="24"/>
          <w:szCs w:val="24"/>
        </w:rPr>
        <w:t xml:space="preserve">) </w:t>
      </w:r>
      <w:hyperlink r:id="rId288">
        <w:r w:rsidRPr="008F4E90">
          <w:rPr>
            <w:rFonts w:asciiTheme="majorBidi" w:eastAsia="Times New Roman" w:hAnsiTheme="majorBidi" w:cstheme="majorBidi"/>
            <w:sz w:val="24"/>
            <w:szCs w:val="24"/>
          </w:rPr>
          <w:t>(Richman &amp; Moorman, 2000)</w:t>
        </w:r>
      </w:hyperlink>
      <w:r w:rsidRPr="008F4E90">
        <w:rPr>
          <w:rFonts w:asciiTheme="majorBidi" w:eastAsia="Times New Roman" w:hAnsiTheme="majorBidi" w:cstheme="majorBidi"/>
          <w:sz w:val="24"/>
          <w:szCs w:val="24"/>
        </w:rPr>
        <w:t xml:space="preserve">, have been recently applied to investigate the complexity of brain fMRI dynamics. Entropy indicates the frequency of pattern repetition within a signal, measuring both the randomness and predictability of a stochastic process. In general, </w:t>
      </w:r>
      <w:r w:rsidRPr="008F4E90">
        <w:rPr>
          <w:rFonts w:asciiTheme="majorBidi" w:eastAsia="Times New Roman" w:hAnsiTheme="majorBidi" w:cstheme="majorBidi"/>
          <w:sz w:val="24"/>
          <w:szCs w:val="24"/>
        </w:rPr>
        <w:lastRenderedPageBreak/>
        <w:t xml:space="preserve">entropy assigns a higher value to greater randomness. Conversely, lower entropy indicates a simpler signal or system with lower levels of complexity. According to the Goldberger/Lipsitz model </w:t>
      </w:r>
      <w:hyperlink r:id="rId289">
        <w:r w:rsidRPr="008F4E90">
          <w:rPr>
            <w:rFonts w:asciiTheme="majorBidi" w:eastAsia="Times New Roman" w:hAnsiTheme="majorBidi" w:cstheme="majorBidi"/>
            <w:sz w:val="24"/>
            <w:szCs w:val="24"/>
          </w:rPr>
          <w:t>(Goldberger, 1996; Goldberger et al., 2002)</w:t>
        </w:r>
      </w:hyperlink>
      <w:r w:rsidRPr="008F4E90">
        <w:rPr>
          <w:rFonts w:asciiTheme="majorBidi" w:eastAsia="Times New Roman" w:hAnsiTheme="majorBidi" w:cstheme="majorBidi"/>
          <w:sz w:val="24"/>
          <w:szCs w:val="24"/>
        </w:rPr>
        <w:t xml:space="preserve">, it is generally expected that healthier and more robust systems will exhibit greater complexity in their physiological output, whereas more predictable behaviours would be associated with pathological states </w:t>
      </w:r>
      <w:hyperlink r:id="rId290">
        <w:r w:rsidRPr="008F4E90">
          <w:rPr>
            <w:rFonts w:asciiTheme="majorBidi" w:eastAsia="Times New Roman" w:hAnsiTheme="majorBidi" w:cstheme="majorBidi"/>
            <w:sz w:val="24"/>
            <w:szCs w:val="24"/>
          </w:rPr>
          <w:t>(Pool 1989)</w:t>
        </w:r>
      </w:hyperlink>
      <w:r w:rsidRPr="008F4E90">
        <w:rPr>
          <w:rFonts w:asciiTheme="majorBidi" w:eastAsia="Times New Roman" w:hAnsiTheme="majorBidi" w:cstheme="majorBidi"/>
          <w:sz w:val="24"/>
          <w:szCs w:val="24"/>
        </w:rPr>
        <w:t xml:space="preserve">. </w:t>
      </w:r>
    </w:p>
    <w:p w14:paraId="7E2565E0" w14:textId="77777777" w:rsidR="00EB25CA" w:rsidRPr="008F4E90" w:rsidRDefault="00EB25CA" w:rsidP="00EB25CA">
      <w:pPr>
        <w:spacing w:line="480" w:lineRule="auto"/>
        <w:ind w:firstLine="720"/>
        <w:rPr>
          <w:rFonts w:asciiTheme="majorBidi" w:eastAsia="Times New Roman" w:hAnsiTheme="majorBidi" w:cstheme="majorBidi"/>
          <w:b/>
          <w:i/>
          <w:sz w:val="24"/>
          <w:szCs w:val="24"/>
        </w:rPr>
      </w:pPr>
      <w:r w:rsidRPr="008F4E90">
        <w:rPr>
          <w:rFonts w:asciiTheme="majorBidi" w:eastAsia="Times New Roman" w:hAnsiTheme="majorBidi" w:cstheme="majorBidi"/>
          <w:sz w:val="24"/>
          <w:szCs w:val="24"/>
        </w:rPr>
        <w:t xml:space="preserve">Except for the functional connectivity (FC) measures </w:t>
      </w:r>
      <w:hyperlink r:id="rId291">
        <w:r w:rsidRPr="008F4E90">
          <w:rPr>
            <w:rFonts w:asciiTheme="majorBidi" w:eastAsia="Times New Roman" w:hAnsiTheme="majorBidi" w:cstheme="majorBidi"/>
            <w:sz w:val="24"/>
            <w:szCs w:val="24"/>
          </w:rPr>
          <w:t>(Biswal et al., 1995)</w:t>
        </w:r>
      </w:hyperlink>
      <w:r w:rsidRPr="008F4E90">
        <w:rPr>
          <w:rFonts w:asciiTheme="majorBidi" w:eastAsia="Times New Roman" w:hAnsiTheme="majorBidi" w:cstheme="majorBidi"/>
          <w:sz w:val="24"/>
          <w:szCs w:val="24"/>
        </w:rPr>
        <w:t xml:space="preserve">, the temporally synchronised activity between segregated brain regions can also be assessed during unconstrained intrinsic activity with nonlinear methods. Using resting-state fMRI data, sample entropy was successfully employed to characterise the resting-state brain activity of many neurotypical participants from the 1000 functional connectome project (FCP) database. The resulting whole-brain entropy pattern was further verified to be parcelled into seven hierarchical regional networks </w:t>
      </w:r>
      <w:hyperlink r:id="rId292">
        <w:r w:rsidRPr="008F4E90">
          <w:rPr>
            <w:rFonts w:asciiTheme="majorBidi" w:eastAsia="Times New Roman" w:hAnsiTheme="majorBidi" w:cstheme="majorBidi"/>
            <w:sz w:val="24"/>
            <w:szCs w:val="24"/>
          </w:rPr>
          <w:t>(Wang et al., 2014)</w:t>
        </w:r>
      </w:hyperlink>
      <w:r w:rsidRPr="008F4E90">
        <w:rPr>
          <w:rFonts w:asciiTheme="majorBidi" w:eastAsia="Times New Roman" w:hAnsiTheme="majorBidi" w:cstheme="majorBidi"/>
          <w:sz w:val="24"/>
          <w:szCs w:val="24"/>
        </w:rPr>
        <w:t xml:space="preserve">. Entropy can also be applied to differentiate between the brain states of resting periods and working memory tasks among normal subjects </w:t>
      </w:r>
      <w:hyperlink r:id="rId293">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Nezafati</w:t>
        </w:r>
        <w:proofErr w:type="spellEnd"/>
        <w:r w:rsidRPr="008F4E90">
          <w:rPr>
            <w:rFonts w:asciiTheme="majorBidi" w:eastAsia="Times New Roman" w:hAnsiTheme="majorBidi" w:cstheme="majorBidi"/>
            <w:sz w:val="24"/>
            <w:szCs w:val="24"/>
          </w:rPr>
          <w:t xml:space="preserve"> et al., 2020)</w:t>
        </w:r>
      </w:hyperlink>
      <w:r w:rsidRPr="008F4E90">
        <w:rPr>
          <w:rFonts w:asciiTheme="majorBidi" w:eastAsia="Times New Roman" w:hAnsiTheme="majorBidi" w:cstheme="majorBidi"/>
          <w:sz w:val="24"/>
          <w:szCs w:val="24"/>
        </w:rPr>
        <w:t xml:space="preserve">. Despite concerns about the reliability and accuracy of using sample entropy to analyse fMRI data with shorter data points compared to EEG data, it has been shown that sample entropy is not dependent on data length and can effectively differentiate between regions in younger and elderly adults even with very few data points </w:t>
      </w:r>
      <w:hyperlink r:id="rId294">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2014)</w:t>
        </w:r>
      </w:hyperlink>
      <w:r w:rsidRPr="008F4E90">
        <w:rPr>
          <w:rFonts w:asciiTheme="majorBidi" w:eastAsia="Times New Roman" w:hAnsiTheme="majorBidi" w:cstheme="majorBidi"/>
          <w:sz w:val="24"/>
          <w:szCs w:val="24"/>
        </w:rPr>
        <w:t xml:space="preserve">. Additionally, brain entropy has been proposed as a potential differentiator for various psychiatric and neurophysiological disorders, such as schizophrenia </w:t>
      </w:r>
      <w:hyperlink r:id="rId295">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xml:space="preserve"> et al., 2014)</w:t>
        </w:r>
      </w:hyperlink>
      <w:r w:rsidRPr="008F4E90">
        <w:rPr>
          <w:rFonts w:asciiTheme="majorBidi" w:eastAsia="Times New Roman" w:hAnsiTheme="majorBidi" w:cstheme="majorBidi"/>
          <w:sz w:val="24"/>
          <w:szCs w:val="24"/>
        </w:rPr>
        <w:t xml:space="preserve">, Alzheimer's disease </w:t>
      </w:r>
      <w:hyperlink r:id="rId296">
        <w:r w:rsidRPr="008F4E90">
          <w:rPr>
            <w:rFonts w:asciiTheme="majorBidi" w:eastAsia="Times New Roman" w:hAnsiTheme="majorBidi" w:cstheme="majorBidi"/>
            <w:sz w:val="24"/>
            <w:szCs w:val="24"/>
          </w:rPr>
          <w:t>(Wang and Alzheimer's Disease Neuroimaging Initiative 2020)</w:t>
        </w:r>
      </w:hyperlink>
      <w:r w:rsidRPr="008F4E90">
        <w:rPr>
          <w:rFonts w:asciiTheme="majorBidi" w:eastAsia="Times New Roman" w:hAnsiTheme="majorBidi" w:cstheme="majorBidi"/>
          <w:sz w:val="24"/>
          <w:szCs w:val="24"/>
        </w:rPr>
        <w:t xml:space="preserve">, and ADHD </w:t>
      </w:r>
      <w:hyperlink r:id="rId297">
        <w:r w:rsidRPr="008F4E90">
          <w:rPr>
            <w:rFonts w:asciiTheme="majorBidi" w:eastAsia="Times New Roman" w:hAnsiTheme="majorBidi" w:cstheme="majorBidi"/>
            <w:sz w:val="24"/>
            <w:szCs w:val="24"/>
          </w:rPr>
          <w:t xml:space="preserve">(Sato et al., 2013; </w:t>
        </w:r>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xml:space="preserve"> et al., 2013)</w:t>
        </w:r>
      </w:hyperlink>
      <w:r w:rsidRPr="008F4E90">
        <w:rPr>
          <w:rFonts w:asciiTheme="majorBidi" w:eastAsia="Times New Roman" w:hAnsiTheme="majorBidi" w:cstheme="majorBidi"/>
          <w:sz w:val="24"/>
          <w:szCs w:val="24"/>
        </w:rPr>
        <w:t xml:space="preserve">. These findings demonstrate the potential of entropy as a tool for evaluating brain activity through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data. </w:t>
      </w:r>
    </w:p>
    <w:p w14:paraId="7BC2475F"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Entropy research in the ASC population is considerably limited and mostly relies on EEG-based quantitative analysis. Generally, ASC subjects exhibited a reduced entropy in the prefrontal cortex, such as the left orbitofrontal cortex </w:t>
      </w:r>
      <w:hyperlink r:id="rId298">
        <w:r w:rsidRPr="008F4E90">
          <w:rPr>
            <w:rFonts w:asciiTheme="majorBidi" w:eastAsia="Times New Roman" w:hAnsiTheme="majorBidi" w:cstheme="majorBidi"/>
            <w:sz w:val="24"/>
            <w:szCs w:val="24"/>
          </w:rPr>
          <w:t>(Zhang et al., 2020)</w:t>
        </w:r>
      </w:hyperlink>
      <w:r w:rsidRPr="008F4E90">
        <w:rPr>
          <w:rFonts w:asciiTheme="majorBidi" w:eastAsia="Times New Roman" w:hAnsiTheme="majorBidi" w:cstheme="majorBidi"/>
          <w:sz w:val="24"/>
          <w:szCs w:val="24"/>
        </w:rPr>
        <w:t xml:space="preserve"> and superior frontal gyrus </w:t>
      </w:r>
      <w:hyperlink r:id="rId299">
        <w:r w:rsidRPr="008F4E90">
          <w:rPr>
            <w:rFonts w:asciiTheme="majorBidi" w:eastAsia="Times New Roman" w:hAnsiTheme="majorBidi" w:cstheme="majorBidi"/>
            <w:sz w:val="24"/>
            <w:szCs w:val="24"/>
          </w:rPr>
          <w:t>(Maximo et al., 2021)</w:t>
        </w:r>
      </w:hyperlink>
      <w:r w:rsidRPr="008F4E90">
        <w:rPr>
          <w:rFonts w:asciiTheme="majorBidi" w:eastAsia="Times New Roman" w:hAnsiTheme="majorBidi" w:cstheme="majorBidi"/>
          <w:sz w:val="24"/>
          <w:szCs w:val="24"/>
        </w:rPr>
        <w:t>, as identified in resting-state functional magnetic resonance imaging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studies. Despite observing reduced entropy in the frontal cortex among ASC subjects, several resting-state fMRI studies have </w:t>
      </w:r>
      <w:r w:rsidRPr="008F4E90">
        <w:rPr>
          <w:rFonts w:asciiTheme="majorBidi" w:eastAsia="Times New Roman" w:hAnsiTheme="majorBidi" w:cstheme="majorBidi"/>
          <w:sz w:val="24"/>
          <w:szCs w:val="24"/>
        </w:rPr>
        <w:lastRenderedPageBreak/>
        <w:t xml:space="preserve">reported inconsistent results. For example, a study conducted by </w:t>
      </w:r>
      <w:hyperlink r:id="rId300">
        <w:r w:rsidRPr="008F4E90">
          <w:rPr>
            <w:rFonts w:asciiTheme="majorBidi" w:eastAsia="Times New Roman" w:hAnsiTheme="majorBidi" w:cstheme="majorBidi"/>
            <w:sz w:val="24"/>
            <w:szCs w:val="24"/>
          </w:rPr>
          <w:t>(Zhang et al., 2020)</w:t>
        </w:r>
      </w:hyperlink>
      <w:r w:rsidRPr="008F4E90">
        <w:rPr>
          <w:rFonts w:asciiTheme="majorBidi" w:eastAsia="Times New Roman" w:hAnsiTheme="majorBidi" w:cstheme="majorBidi"/>
          <w:sz w:val="24"/>
          <w:szCs w:val="24"/>
        </w:rPr>
        <w:t xml:space="preserve"> revealed that sample entropy values were notably decreased in individuals with ASC compared to neurotypical individuals across multiple brain regions responsible for processing visual and sensory information, indicating reduced complexity in the adult ASC brain. Another study found decreased entropy in the frontal cortex and increased entropy in the left angular, superior parietal lobule, and right inferior temporal gyrus in ASC children </w:t>
      </w:r>
      <w:hyperlink r:id="rId301">
        <w:r w:rsidRPr="008F4E90">
          <w:rPr>
            <w:rFonts w:asciiTheme="majorBidi" w:eastAsia="Times New Roman" w:hAnsiTheme="majorBidi" w:cstheme="majorBidi"/>
            <w:sz w:val="24"/>
            <w:szCs w:val="24"/>
          </w:rPr>
          <w:t>(Maximo et al., 2021)</w:t>
        </w:r>
      </w:hyperlink>
      <w:r w:rsidRPr="008F4E90">
        <w:rPr>
          <w:rFonts w:asciiTheme="majorBidi" w:eastAsia="Times New Roman" w:hAnsiTheme="majorBidi" w:cstheme="majorBidi"/>
          <w:sz w:val="24"/>
          <w:szCs w:val="24"/>
        </w:rPr>
        <w:t>.</w:t>
      </w:r>
    </w:p>
    <w:p w14:paraId="6738F13C"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Nevertheless, another study investigated the complexity of resting-state BOLD signals using sample entropy in children and adolescents and found no significant differences between the ASC and neurotypical groups </w:t>
      </w:r>
      <w:hyperlink r:id="rId302">
        <w:r w:rsidRPr="008F4E90">
          <w:rPr>
            <w:rFonts w:asciiTheme="majorBidi" w:eastAsia="Times New Roman" w:hAnsiTheme="majorBidi" w:cstheme="majorBidi"/>
            <w:sz w:val="24"/>
            <w:szCs w:val="24"/>
          </w:rPr>
          <w:t>(Easson &amp; McIntosh, 2019)</w:t>
        </w:r>
      </w:hyperlink>
      <w:r w:rsidRPr="008F4E90">
        <w:rPr>
          <w:rFonts w:asciiTheme="majorBidi" w:eastAsia="Times New Roman" w:hAnsiTheme="majorBidi" w:cstheme="majorBidi"/>
          <w:sz w:val="24"/>
          <w:szCs w:val="24"/>
        </w:rPr>
        <w:t xml:space="preserve">. These inconsistent studies might be attributed to the heterogeneity of ASC, as severe ASC children have relatively lower entropy across brain regions than mild ASC children </w:t>
      </w:r>
      <w:hyperlink r:id="rId303">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Hadoush</w:t>
        </w:r>
        <w:proofErr w:type="spellEnd"/>
        <w:r w:rsidRPr="008F4E90">
          <w:rPr>
            <w:rFonts w:asciiTheme="majorBidi" w:eastAsia="Times New Roman" w:hAnsiTheme="majorBidi" w:cstheme="majorBidi"/>
            <w:sz w:val="24"/>
            <w:szCs w:val="24"/>
          </w:rPr>
          <w:t xml:space="preserve"> et al., 2019)</w:t>
        </w:r>
      </w:hyperlink>
      <w:r w:rsidRPr="008F4E90">
        <w:rPr>
          <w:rFonts w:asciiTheme="majorBidi" w:eastAsia="Times New Roman" w:hAnsiTheme="majorBidi" w:cstheme="majorBidi"/>
          <w:sz w:val="24"/>
          <w:szCs w:val="24"/>
        </w:rPr>
        <w:t xml:space="preserve">. Furthermore, entropy is significantly negatively related to Autism Diagnostic Observation Schedule total scores (ADOS) in some specific brain regions, such as the left postcentral gyrus and the right lingual gyrus </w:t>
      </w:r>
      <w:hyperlink r:id="rId304">
        <w:r w:rsidRPr="008F4E90">
          <w:rPr>
            <w:rFonts w:asciiTheme="majorBidi" w:eastAsia="Times New Roman" w:hAnsiTheme="majorBidi" w:cstheme="majorBidi"/>
            <w:sz w:val="24"/>
            <w:szCs w:val="24"/>
          </w:rPr>
          <w:t>(Zhang et al., 2020)</w:t>
        </w:r>
      </w:hyperlink>
      <w:r w:rsidRPr="008F4E90">
        <w:rPr>
          <w:rFonts w:asciiTheme="majorBidi" w:eastAsia="Times New Roman" w:hAnsiTheme="majorBidi" w:cstheme="majorBidi"/>
          <w:sz w:val="24"/>
          <w:szCs w:val="24"/>
        </w:rPr>
        <w:t xml:space="preserve"> and also SRS scores </w:t>
      </w:r>
      <w:hyperlink r:id="rId305">
        <w:r w:rsidRPr="008F4E90">
          <w:rPr>
            <w:rFonts w:asciiTheme="majorBidi" w:eastAsia="Times New Roman" w:hAnsiTheme="majorBidi" w:cstheme="majorBidi"/>
            <w:sz w:val="24"/>
            <w:szCs w:val="24"/>
          </w:rPr>
          <w:t>(Easson &amp; McIntosh, 2019)</w:t>
        </w:r>
      </w:hyperlink>
      <w:r w:rsidRPr="008F4E90">
        <w:rPr>
          <w:rFonts w:asciiTheme="majorBidi" w:eastAsia="Times New Roman" w:hAnsiTheme="majorBidi" w:cstheme="majorBidi"/>
          <w:sz w:val="24"/>
          <w:szCs w:val="24"/>
        </w:rPr>
        <w:t>.</w:t>
      </w:r>
    </w:p>
    <w:p w14:paraId="0E8B7007"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These findings point to the potential diagnostic utility of entropy measured by methods like sample entropy for understanding the dynamics of the ASC brain, as well as the need for further examination of underlying ASC symptomatology. Nevertheless, there needs to be more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studies that have utilised multiscale sample entropy, primarily due to the limited temporal resolution of the fMRI technique and the inadequate number of time points available for robust analysis. The limited number of time points available for analysis can increase the data's noise levels </w:t>
      </w:r>
      <w:hyperlink r:id="rId306">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w:t>
        </w:r>
      </w:hyperlink>
      <w:hyperlink r:id="rId307">
        <w:r w:rsidRPr="008F4E90">
          <w:rPr>
            <w:rFonts w:asciiTheme="majorBidi" w:eastAsia="Times New Roman" w:hAnsiTheme="majorBidi" w:cstheme="majorBidi"/>
            <w:sz w:val="24"/>
            <w:szCs w:val="24"/>
          </w:rPr>
          <w:t xml:space="preserve">; </w:t>
        </w:r>
      </w:hyperlink>
      <w:hyperlink r:id="rId308">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2014)</w:t>
        </w:r>
      </w:hyperlink>
      <w:r w:rsidRPr="008F4E90">
        <w:rPr>
          <w:rFonts w:asciiTheme="majorBidi" w:eastAsia="Times New Roman" w:hAnsiTheme="majorBidi" w:cstheme="majorBidi"/>
          <w:sz w:val="24"/>
          <w:szCs w:val="24"/>
        </w:rPr>
        <w:t xml:space="preserve">. However, it is essential to emphasise that no study has yet directly proved the lack of validity or usefulness of Multiscale Sample Entropy (MSE) in the context of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analysis. Typically, BOLD (Blood Oxygen Level Dependent) time series data are relatively short, consisting of approximately 100-200 time points. When applying the coarse-grained procedure in MSE with a significant scale factor (greater than scale 5), the short length of the data may lead to unreliable estimations of sample entropy. </w:t>
      </w:r>
      <w:r w:rsidRPr="008F4E90">
        <w:rPr>
          <w:rFonts w:asciiTheme="majorBidi" w:eastAsia="Times New Roman" w:hAnsiTheme="majorBidi" w:cstheme="majorBidi"/>
          <w:sz w:val="24"/>
          <w:szCs w:val="24"/>
        </w:rPr>
        <w:lastRenderedPageBreak/>
        <w:t xml:space="preserve">Researchers have proposed estimating the appropriate parameters for MSE calculations from relatively short BOLD signals to address this issue. In the study </w:t>
      </w:r>
      <w:hyperlink r:id="rId309">
        <w:r w:rsidRPr="008F4E90">
          <w:rPr>
            <w:rFonts w:asciiTheme="majorBidi" w:eastAsia="Times New Roman" w:hAnsiTheme="majorBidi" w:cstheme="majorBidi"/>
            <w:sz w:val="24"/>
            <w:szCs w:val="24"/>
          </w:rPr>
          <w:t>(Yang &amp; Tsai, 2013)</w:t>
        </w:r>
      </w:hyperlink>
      <w:r w:rsidRPr="008F4E90">
        <w:rPr>
          <w:rFonts w:asciiTheme="majorBidi" w:eastAsia="Times New Roman" w:hAnsiTheme="majorBidi" w:cstheme="majorBidi"/>
          <w:sz w:val="24"/>
          <w:szCs w:val="24"/>
        </w:rPr>
        <w:t xml:space="preserve">, they utilised a time scale factor of up to 5 to mitigate this concern. In another study, entropy was successfully employed to partition seven distinct brain networks at a resting state. To accommodate the limited number of time points in the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study, the researchers utilised parameters of </w:t>
      </w:r>
      <w:r w:rsidRPr="008F4E90">
        <w:rPr>
          <w:rFonts w:asciiTheme="majorBidi" w:eastAsia="Times New Roman" w:hAnsiTheme="majorBidi" w:cstheme="majorBidi"/>
          <w:i/>
          <w:sz w:val="24"/>
          <w:szCs w:val="24"/>
        </w:rPr>
        <w:t>m</w:t>
      </w:r>
      <w:r w:rsidRPr="008F4E90">
        <w:rPr>
          <w:rFonts w:asciiTheme="majorBidi" w:eastAsia="Times New Roman" w:hAnsiTheme="majorBidi" w:cstheme="majorBidi"/>
          <w:sz w:val="24"/>
          <w:szCs w:val="24"/>
        </w:rPr>
        <w:t xml:space="preserve"> = 2 and</w:t>
      </w:r>
      <w:r w:rsidRPr="008F4E90">
        <w:rPr>
          <w:rFonts w:asciiTheme="majorBidi" w:eastAsia="Times New Roman" w:hAnsiTheme="majorBidi" w:cstheme="majorBidi"/>
          <w:i/>
          <w:sz w:val="24"/>
          <w:szCs w:val="24"/>
        </w:rPr>
        <w:t xml:space="preserve"> r</w:t>
      </w:r>
      <w:r w:rsidRPr="008F4E90">
        <w:rPr>
          <w:rFonts w:asciiTheme="majorBidi" w:eastAsia="Times New Roman" w:hAnsiTheme="majorBidi" w:cstheme="majorBidi"/>
          <w:sz w:val="24"/>
          <w:szCs w:val="24"/>
        </w:rPr>
        <w:t xml:space="preserve"> = 0.6 </w:t>
      </w:r>
      <w:hyperlink r:id="rId31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Nezafati</w:t>
        </w:r>
        <w:proofErr w:type="spellEnd"/>
        <w:r w:rsidRPr="008F4E90">
          <w:rPr>
            <w:rFonts w:asciiTheme="majorBidi" w:eastAsia="Times New Roman" w:hAnsiTheme="majorBidi" w:cstheme="majorBidi"/>
            <w:sz w:val="24"/>
            <w:szCs w:val="24"/>
          </w:rPr>
          <w:t xml:space="preserve"> et al., 2020</w:t>
        </w:r>
      </w:hyperlink>
      <w:hyperlink r:id="rId311">
        <w:r w:rsidRPr="008F4E90">
          <w:rPr>
            <w:rFonts w:asciiTheme="majorBidi" w:eastAsia="Times New Roman" w:hAnsiTheme="majorBidi" w:cstheme="majorBidi"/>
            <w:sz w:val="24"/>
            <w:szCs w:val="24"/>
          </w:rPr>
          <w:t xml:space="preserve">; </w:t>
        </w:r>
      </w:hyperlink>
      <w:hyperlink r:id="rId312">
        <w:r w:rsidRPr="008F4E90">
          <w:rPr>
            <w:rFonts w:asciiTheme="majorBidi" w:eastAsia="Times New Roman" w:hAnsiTheme="majorBidi" w:cstheme="majorBidi"/>
            <w:sz w:val="24"/>
            <w:szCs w:val="24"/>
          </w:rPr>
          <w:t>Wang et al., 2014)</w:t>
        </w:r>
      </w:hyperlink>
      <w:r w:rsidRPr="008F4E90">
        <w:rPr>
          <w:rFonts w:asciiTheme="majorBidi" w:eastAsia="Times New Roman" w:hAnsiTheme="majorBidi" w:cstheme="majorBidi"/>
          <w:sz w:val="24"/>
          <w:szCs w:val="24"/>
        </w:rPr>
        <w:t xml:space="preserve">. This adjustment was made to ensure the suitability of entropy analysis in the context of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studies with relatively few time points available </w:t>
      </w:r>
      <w:hyperlink r:id="rId313">
        <w:r w:rsidRPr="008F4E90">
          <w:rPr>
            <w:rFonts w:asciiTheme="majorBidi" w:eastAsia="Times New Roman" w:hAnsiTheme="majorBidi" w:cstheme="majorBidi"/>
            <w:sz w:val="24"/>
            <w:szCs w:val="24"/>
          </w:rPr>
          <w:t>(Yang et al., 2018)</w:t>
        </w:r>
      </w:hyperlink>
      <w:r w:rsidRPr="008F4E90">
        <w:rPr>
          <w:rFonts w:asciiTheme="majorBidi" w:eastAsia="Times New Roman" w:hAnsiTheme="majorBidi" w:cstheme="majorBidi"/>
          <w:sz w:val="24"/>
          <w:szCs w:val="24"/>
        </w:rPr>
        <w:t xml:space="preserve">. </w:t>
      </w:r>
    </w:p>
    <w:p w14:paraId="16557F3B"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change in the BOLD signal is crucial in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imaging, which is commonly used to generate maps that reveal specialised brain regions engaged during the resting state, focusing on low-frequency fluctuations typically ranging from 0.01 to 0.1 Hz. The primary interest in resting-state fMRI is studying these low-frequency fluctuations </w:t>
      </w:r>
      <w:hyperlink r:id="rId314">
        <w:r w:rsidRPr="008F4E90">
          <w:rPr>
            <w:rFonts w:asciiTheme="majorBidi" w:eastAsia="Times New Roman" w:hAnsiTheme="majorBidi" w:cstheme="majorBidi"/>
            <w:sz w:val="24"/>
            <w:szCs w:val="24"/>
          </w:rPr>
          <w:t>(Lee et al., 2013)</w:t>
        </w:r>
      </w:hyperlink>
      <w:r w:rsidRPr="008F4E90">
        <w:rPr>
          <w:rFonts w:asciiTheme="majorBidi" w:eastAsia="Times New Roman" w:hAnsiTheme="majorBidi" w:cstheme="majorBidi"/>
          <w:sz w:val="24"/>
          <w:szCs w:val="24"/>
        </w:rPr>
        <w:t xml:space="preserve">. However, using low-pass filtering in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continues to be a subject of debate and disagreement in the field. Evidence suggests that low-pass filtering can reduce detection sensitivity without significantly improving specificity </w:t>
      </w:r>
      <w:hyperlink r:id="rId315">
        <w:r w:rsidRPr="008F4E90">
          <w:rPr>
            <w:rFonts w:asciiTheme="majorBidi" w:eastAsia="Times New Roman" w:hAnsiTheme="majorBidi" w:cstheme="majorBidi"/>
            <w:sz w:val="24"/>
            <w:szCs w:val="24"/>
          </w:rPr>
          <w:t>(Della-Maggiore et al., 2002</w:t>
        </w:r>
      </w:hyperlink>
      <w:hyperlink r:id="rId316">
        <w:r w:rsidRPr="008F4E90">
          <w:rPr>
            <w:rFonts w:asciiTheme="majorBidi" w:eastAsia="Times New Roman" w:hAnsiTheme="majorBidi" w:cstheme="majorBidi"/>
            <w:sz w:val="24"/>
            <w:szCs w:val="24"/>
          </w:rPr>
          <w:t xml:space="preserve">; </w:t>
        </w:r>
      </w:hyperlink>
      <w:hyperlink r:id="rId317">
        <w:proofErr w:type="spellStart"/>
        <w:r w:rsidRPr="008F4E90">
          <w:rPr>
            <w:rFonts w:asciiTheme="majorBidi" w:eastAsia="Times New Roman" w:hAnsiTheme="majorBidi" w:cstheme="majorBidi"/>
            <w:sz w:val="24"/>
            <w:szCs w:val="24"/>
          </w:rPr>
          <w:t>Skudlarski</w:t>
        </w:r>
        <w:proofErr w:type="spellEnd"/>
        <w:r w:rsidRPr="008F4E90">
          <w:rPr>
            <w:rFonts w:asciiTheme="majorBidi" w:eastAsia="Times New Roman" w:hAnsiTheme="majorBidi" w:cstheme="majorBidi"/>
            <w:sz w:val="24"/>
            <w:szCs w:val="24"/>
          </w:rPr>
          <w:t xml:space="preserve"> et al., 1999)</w:t>
        </w:r>
      </w:hyperlink>
      <w:r w:rsidRPr="008F4E90">
        <w:rPr>
          <w:rFonts w:asciiTheme="majorBidi" w:eastAsia="Times New Roman" w:hAnsiTheme="majorBidi" w:cstheme="majorBidi"/>
          <w:sz w:val="24"/>
          <w:szCs w:val="24"/>
        </w:rPr>
        <w:t xml:space="preserve">. Furthermore, low-pass filtering might impose a high level of autocorrelation on the signal, violates the assumption of temporal independence </w:t>
      </w:r>
      <w:hyperlink r:id="rId318">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Christova</w:t>
        </w:r>
        <w:proofErr w:type="spellEnd"/>
        <w:r w:rsidRPr="008F4E90">
          <w:rPr>
            <w:rFonts w:asciiTheme="majorBidi" w:eastAsia="Times New Roman" w:hAnsiTheme="majorBidi" w:cstheme="majorBidi"/>
            <w:sz w:val="24"/>
            <w:szCs w:val="24"/>
          </w:rPr>
          <w:t xml:space="preserve"> et al., 2011</w:t>
        </w:r>
      </w:hyperlink>
      <w:hyperlink r:id="rId319">
        <w:r w:rsidRPr="008F4E90">
          <w:rPr>
            <w:rFonts w:asciiTheme="majorBidi" w:eastAsia="Times New Roman" w:hAnsiTheme="majorBidi" w:cstheme="majorBidi"/>
            <w:sz w:val="24"/>
            <w:szCs w:val="24"/>
          </w:rPr>
          <w:t xml:space="preserve">; </w:t>
        </w:r>
      </w:hyperlink>
      <w:hyperlink r:id="rId320">
        <w:r w:rsidRPr="008F4E90">
          <w:rPr>
            <w:rFonts w:asciiTheme="majorBidi" w:eastAsia="Times New Roman" w:hAnsiTheme="majorBidi" w:cstheme="majorBidi"/>
            <w:sz w:val="24"/>
            <w:szCs w:val="24"/>
          </w:rPr>
          <w:t>Friston et al., 2000)</w:t>
        </w:r>
      </w:hyperlink>
      <w:r w:rsidRPr="008F4E90">
        <w:rPr>
          <w:rFonts w:asciiTheme="majorBidi" w:eastAsia="Times New Roman" w:hAnsiTheme="majorBidi" w:cstheme="majorBidi"/>
          <w:sz w:val="24"/>
          <w:szCs w:val="24"/>
        </w:rPr>
        <w:t xml:space="preserve">, which is essential for statistical testing and could potentially have adverse and unpredictable effects on the calculation of multiscale sample entropy </w:t>
      </w:r>
      <w:hyperlink r:id="rId321">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Kaffashi</w:t>
        </w:r>
        <w:proofErr w:type="spellEnd"/>
        <w:r w:rsidRPr="008F4E90">
          <w:rPr>
            <w:rFonts w:asciiTheme="majorBidi" w:eastAsia="Times New Roman" w:hAnsiTheme="majorBidi" w:cstheme="majorBidi"/>
            <w:sz w:val="24"/>
            <w:szCs w:val="24"/>
          </w:rPr>
          <w:t xml:space="preserve"> et al., 2008)</w:t>
        </w:r>
      </w:hyperlink>
      <w:r w:rsidRPr="008F4E90">
        <w:rPr>
          <w:rFonts w:asciiTheme="majorBidi" w:eastAsia="Times New Roman" w:hAnsiTheme="majorBidi" w:cstheme="majorBidi"/>
          <w:sz w:val="24"/>
          <w:szCs w:val="24"/>
        </w:rPr>
        <w:t xml:space="preserve">. In the context of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arguments state that band-pass filtering can introduce spurious correlations. Thus, it is crucial to correct temporal filtering to account for this effect </w:t>
      </w:r>
      <w:hyperlink r:id="rId322">
        <w:r w:rsidRPr="008F4E90">
          <w:rPr>
            <w:rFonts w:asciiTheme="majorBidi" w:eastAsia="Times New Roman" w:hAnsiTheme="majorBidi" w:cstheme="majorBidi"/>
            <w:sz w:val="24"/>
            <w:szCs w:val="24"/>
          </w:rPr>
          <w:t>(Davey et al., 2013)</w:t>
        </w:r>
      </w:hyperlink>
      <w:r w:rsidRPr="008F4E90">
        <w:rPr>
          <w:rFonts w:asciiTheme="majorBidi" w:eastAsia="Times New Roman" w:hAnsiTheme="majorBidi" w:cstheme="majorBidi"/>
          <w:sz w:val="24"/>
          <w:szCs w:val="24"/>
        </w:rPr>
        <w:t xml:space="preserve">. As a result, unlike most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studies that employ a low-pass filter, our approach involves the implementation of a high-pass filter to eliminate low-frequency drifts originating from common physiological noise </w:t>
      </w:r>
      <w:hyperlink r:id="rId323">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Boubela</w:t>
        </w:r>
        <w:proofErr w:type="spellEnd"/>
        <w:r w:rsidRPr="008F4E90">
          <w:rPr>
            <w:rFonts w:asciiTheme="majorBidi" w:eastAsia="Times New Roman" w:hAnsiTheme="majorBidi" w:cstheme="majorBidi"/>
            <w:sz w:val="24"/>
            <w:szCs w:val="24"/>
          </w:rPr>
          <w:t xml:space="preserve"> et al., 2013)</w:t>
        </w:r>
      </w:hyperlink>
      <w:r w:rsidRPr="008F4E90">
        <w:rPr>
          <w:rFonts w:asciiTheme="majorBidi" w:eastAsia="Times New Roman" w:hAnsiTheme="majorBidi" w:cstheme="majorBidi"/>
          <w:sz w:val="24"/>
          <w:szCs w:val="24"/>
        </w:rPr>
        <w:t>.</w:t>
      </w:r>
    </w:p>
    <w:p w14:paraId="68FEC73C" w14:textId="77777777" w:rsidR="00EB25CA" w:rsidRPr="008F4E90" w:rsidRDefault="00EB25CA" w:rsidP="00EB25CA">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Age-related Complexity in ASC and neurotypical controls</w:t>
      </w:r>
    </w:p>
    <w:p w14:paraId="112E299B"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Numerous variables associated with brain activity are recognised to affect entropy detection. A notable fMRI study demonstrated that global entropy exhibited an inverted U-shaped trajectory, peaking </w:t>
      </w:r>
      <w:r w:rsidRPr="008F4E90">
        <w:rPr>
          <w:rFonts w:asciiTheme="majorBidi" w:eastAsia="Times New Roman" w:hAnsiTheme="majorBidi" w:cstheme="majorBidi"/>
          <w:sz w:val="24"/>
          <w:szCs w:val="24"/>
        </w:rPr>
        <w:lastRenderedPageBreak/>
        <w:t xml:space="preserve">around the age of 40 </w:t>
      </w:r>
      <w:hyperlink r:id="rId324">
        <w:r w:rsidRPr="008F4E90">
          <w:rPr>
            <w:rFonts w:asciiTheme="majorBidi" w:eastAsia="Times New Roman" w:hAnsiTheme="majorBidi" w:cstheme="majorBidi"/>
            <w:sz w:val="24"/>
            <w:szCs w:val="24"/>
          </w:rPr>
          <w:t>(Niu et al., 2022)</w:t>
        </w:r>
      </w:hyperlink>
      <w:r w:rsidRPr="008F4E90">
        <w:rPr>
          <w:rFonts w:asciiTheme="majorBidi" w:eastAsia="Times New Roman" w:hAnsiTheme="majorBidi" w:cstheme="majorBidi"/>
          <w:sz w:val="24"/>
          <w:szCs w:val="24"/>
        </w:rPr>
        <w:t xml:space="preserve">. Consistent with findings from EEG studies on brain entropy, brain complexity tends to increase with age among healthy young adults </w:t>
      </w:r>
      <w:hyperlink r:id="rId325">
        <w:r w:rsidRPr="008F4E90">
          <w:rPr>
            <w:rFonts w:asciiTheme="majorBidi" w:eastAsia="Times New Roman" w:hAnsiTheme="majorBidi" w:cstheme="majorBidi"/>
            <w:sz w:val="24"/>
            <w:szCs w:val="24"/>
          </w:rPr>
          <w:t>(Wang, 2021)</w:t>
        </w:r>
      </w:hyperlink>
      <w:r w:rsidRPr="008F4E90">
        <w:rPr>
          <w:rFonts w:asciiTheme="majorBidi" w:eastAsia="Times New Roman" w:hAnsiTheme="majorBidi" w:cstheme="majorBidi"/>
          <w:sz w:val="24"/>
          <w:szCs w:val="24"/>
        </w:rPr>
        <w:t xml:space="preserve">, with a particular emphasis on a progressive increase from childhood to adulthood </w:t>
      </w:r>
      <w:hyperlink r:id="rId326">
        <w:r w:rsidRPr="008F4E90">
          <w:rPr>
            <w:rFonts w:asciiTheme="majorBidi" w:eastAsia="Times New Roman" w:hAnsiTheme="majorBidi" w:cstheme="majorBidi"/>
            <w:sz w:val="24"/>
            <w:szCs w:val="24"/>
          </w:rPr>
          <w:t>(McIntosh et al., 2008)</w:t>
        </w:r>
      </w:hyperlink>
      <w:r w:rsidRPr="008F4E90">
        <w:rPr>
          <w:rFonts w:asciiTheme="majorBidi" w:eastAsia="Times New Roman" w:hAnsiTheme="majorBidi" w:cstheme="majorBidi"/>
          <w:sz w:val="24"/>
          <w:szCs w:val="24"/>
        </w:rPr>
        <w:t xml:space="preserve">. The increased complexity with age could be attributed to the idea that higher entropy levels are associated with improved cognitive performance </w:t>
      </w:r>
      <w:hyperlink r:id="rId327">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xml:space="preserve"> et al., 2011)</w:t>
        </w:r>
      </w:hyperlink>
      <w:r w:rsidRPr="008F4E90">
        <w:rPr>
          <w:rFonts w:asciiTheme="majorBidi" w:eastAsia="Times New Roman" w:hAnsiTheme="majorBidi" w:cstheme="majorBidi"/>
          <w:sz w:val="24"/>
          <w:szCs w:val="24"/>
        </w:rPr>
        <w:t xml:space="preserve"> and intellectual capacity </w:t>
      </w:r>
      <w:hyperlink r:id="rId328">
        <w:r w:rsidRPr="008F4E90">
          <w:rPr>
            <w:rFonts w:asciiTheme="majorBidi" w:eastAsia="Times New Roman" w:hAnsiTheme="majorBidi" w:cstheme="majorBidi"/>
            <w:sz w:val="24"/>
            <w:szCs w:val="24"/>
          </w:rPr>
          <w:t>(Saxe et al., 2018)</w:t>
        </w:r>
      </w:hyperlink>
      <w:r w:rsidRPr="008F4E90">
        <w:rPr>
          <w:rFonts w:asciiTheme="majorBidi" w:eastAsia="Times New Roman" w:hAnsiTheme="majorBidi" w:cstheme="majorBidi"/>
          <w:sz w:val="24"/>
          <w:szCs w:val="24"/>
        </w:rPr>
        <w:t xml:space="preserve"> associated with brain development. However, this age-related increase in complexity reverses when considering the older population. Younger individuals tend to exhibit greater brain activity complexity than older individuals, as demonstrated by </w:t>
      </w:r>
      <w:hyperlink r:id="rId329">
        <w:r w:rsidRPr="008F4E90">
          <w:rPr>
            <w:rFonts w:asciiTheme="majorBidi" w:eastAsia="Times New Roman" w:hAnsiTheme="majorBidi" w:cstheme="majorBidi"/>
            <w:sz w:val="24"/>
            <w:szCs w:val="24"/>
          </w:rPr>
          <w:t>(Smith et al., 2014</w:t>
        </w:r>
      </w:hyperlink>
      <w:hyperlink r:id="rId330">
        <w:r w:rsidRPr="008F4E90">
          <w:rPr>
            <w:rFonts w:asciiTheme="majorBidi" w:eastAsia="Times New Roman" w:hAnsiTheme="majorBidi" w:cstheme="majorBidi"/>
            <w:sz w:val="24"/>
            <w:szCs w:val="24"/>
          </w:rPr>
          <w:t xml:space="preserve">; </w:t>
        </w:r>
      </w:hyperlink>
      <w:hyperlink r:id="rId331">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2014;</w:t>
        </w:r>
      </w:hyperlink>
      <w:hyperlink r:id="rId332">
        <w:r w:rsidRPr="008F4E90">
          <w:rPr>
            <w:rFonts w:asciiTheme="majorBidi" w:eastAsia="Times New Roman" w:hAnsiTheme="majorBidi" w:cstheme="majorBidi"/>
            <w:sz w:val="24"/>
            <w:szCs w:val="24"/>
          </w:rPr>
          <w:t xml:space="preserve"> </w:t>
        </w:r>
      </w:hyperlink>
      <w:hyperlink r:id="rId333">
        <w:r w:rsidRPr="008F4E90">
          <w:rPr>
            <w:rFonts w:asciiTheme="majorBidi" w:eastAsia="Times New Roman" w:hAnsiTheme="majorBidi" w:cstheme="majorBidi"/>
            <w:sz w:val="24"/>
            <w:szCs w:val="24"/>
          </w:rPr>
          <w:t xml:space="preserve"> Yang et al. 2013</w:t>
        </w:r>
      </w:hyperlink>
      <w:hyperlink r:id="rId334">
        <w:r w:rsidRPr="008F4E90">
          <w:rPr>
            <w:rFonts w:asciiTheme="majorBidi" w:eastAsia="Times New Roman" w:hAnsiTheme="majorBidi" w:cstheme="majorBidi"/>
            <w:sz w:val="24"/>
            <w:szCs w:val="24"/>
          </w:rPr>
          <w:t xml:space="preserve">; </w:t>
        </w:r>
      </w:hyperlink>
      <w:hyperlink r:id="rId335">
        <w:r w:rsidRPr="008F4E90">
          <w:rPr>
            <w:rFonts w:asciiTheme="majorBidi" w:eastAsia="Times New Roman" w:hAnsiTheme="majorBidi" w:cstheme="majorBidi"/>
            <w:sz w:val="24"/>
            <w:szCs w:val="24"/>
          </w:rPr>
          <w:t>Yao et al., 2013)</w:t>
        </w:r>
      </w:hyperlink>
      <w:r w:rsidRPr="008F4E90">
        <w:rPr>
          <w:rFonts w:asciiTheme="majorBidi" w:eastAsia="Times New Roman" w:hAnsiTheme="majorBidi" w:cstheme="majorBidi"/>
          <w:sz w:val="24"/>
          <w:szCs w:val="24"/>
        </w:rPr>
        <w:t xml:space="preserve">. This finding aligns with the "loss of complexity" theory, wherein the ageing brain experiences a decline in integrating intricate networks </w:t>
      </w:r>
      <w:hyperlink r:id="rId336">
        <w:r w:rsidRPr="008F4E90">
          <w:rPr>
            <w:rFonts w:asciiTheme="majorBidi" w:eastAsia="Times New Roman" w:hAnsiTheme="majorBidi" w:cstheme="majorBidi"/>
            <w:sz w:val="24"/>
            <w:szCs w:val="24"/>
          </w:rPr>
          <w:t>(Lipsitz, 2004)</w:t>
        </w:r>
      </w:hyperlink>
      <w:r w:rsidRPr="008F4E90">
        <w:rPr>
          <w:rFonts w:asciiTheme="majorBidi" w:eastAsia="Times New Roman" w:hAnsiTheme="majorBidi" w:cstheme="majorBidi"/>
          <w:sz w:val="24"/>
          <w:szCs w:val="24"/>
        </w:rPr>
        <w:t xml:space="preserve">. Lipsitz and Goldberger proposed that the average human ageing process is associated with a reduced complexity observed across various fractal-like anatomical structures and physiological processes </w:t>
      </w:r>
      <w:hyperlink r:id="rId337">
        <w:r w:rsidRPr="008F4E90">
          <w:rPr>
            <w:rFonts w:asciiTheme="majorBidi" w:eastAsia="Times New Roman" w:hAnsiTheme="majorBidi" w:cstheme="majorBidi"/>
            <w:sz w:val="24"/>
            <w:szCs w:val="24"/>
          </w:rPr>
          <w:t>(Lipsitz, 1992)</w:t>
        </w:r>
      </w:hyperlink>
      <w:r w:rsidRPr="008F4E90">
        <w:rPr>
          <w:rFonts w:asciiTheme="majorBidi" w:eastAsia="Times New Roman" w:hAnsiTheme="majorBidi" w:cstheme="majorBidi"/>
          <w:sz w:val="24"/>
          <w:szCs w:val="24"/>
        </w:rPr>
        <w:t>.</w:t>
      </w:r>
    </w:p>
    <w:p w14:paraId="32FEECDC"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Furthermore, the age-related rise in brain complexity among healthy young adults is particularly prominent in specific regions, including the default mode network (DMN) and executive control network (ECN), as highlighted by </w:t>
      </w:r>
      <w:hyperlink r:id="rId338">
        <w:r w:rsidRPr="008F4E90">
          <w:rPr>
            <w:rFonts w:asciiTheme="majorBidi" w:eastAsia="Times New Roman" w:hAnsiTheme="majorBidi" w:cstheme="majorBidi"/>
            <w:sz w:val="24"/>
            <w:szCs w:val="24"/>
          </w:rPr>
          <w:t>(Wang, 2021)</w:t>
        </w:r>
      </w:hyperlink>
      <w:r w:rsidRPr="008F4E90">
        <w:rPr>
          <w:rFonts w:asciiTheme="majorBidi" w:eastAsia="Times New Roman" w:hAnsiTheme="majorBidi" w:cstheme="majorBidi"/>
          <w:sz w:val="24"/>
          <w:szCs w:val="24"/>
        </w:rPr>
        <w:t xml:space="preserve">. Additionally, in a recent study utilising data from a population of healthy elderly individuals, a negative correlation between brain entropy and spontaneous brain activity within the DMN has been observed </w:t>
      </w:r>
      <w:hyperlink r:id="rId339">
        <w:r w:rsidRPr="008F4E90">
          <w:rPr>
            <w:rFonts w:asciiTheme="majorBidi" w:eastAsia="Times New Roman" w:hAnsiTheme="majorBidi" w:cstheme="majorBidi"/>
            <w:sz w:val="24"/>
            <w:szCs w:val="24"/>
          </w:rPr>
          <w:t>(Yang et al., 2013)</w:t>
        </w:r>
      </w:hyperlink>
      <w:r w:rsidRPr="008F4E90">
        <w:rPr>
          <w:rFonts w:asciiTheme="majorBidi" w:eastAsia="Times New Roman" w:hAnsiTheme="majorBidi" w:cstheme="majorBidi"/>
          <w:sz w:val="24"/>
          <w:szCs w:val="24"/>
        </w:rPr>
        <w:t xml:space="preserve">. The region-specific rise in brain complexity with age might be due to the postulated heightened variability in cortical dynamics resulting from improved functional integration </w:t>
      </w:r>
      <w:hyperlink r:id="rId340">
        <w:r w:rsidRPr="008F4E90">
          <w:rPr>
            <w:rFonts w:asciiTheme="majorBidi" w:eastAsia="Times New Roman" w:hAnsiTheme="majorBidi" w:cstheme="majorBidi"/>
            <w:sz w:val="24"/>
            <w:szCs w:val="24"/>
          </w:rPr>
          <w:t>(Ballard et al., 2023)</w:t>
        </w:r>
      </w:hyperlink>
      <w:r w:rsidRPr="008F4E90">
        <w:rPr>
          <w:rFonts w:asciiTheme="majorBidi" w:eastAsia="Times New Roman" w:hAnsiTheme="majorBidi" w:cstheme="majorBidi"/>
          <w:sz w:val="24"/>
          <w:szCs w:val="24"/>
        </w:rPr>
        <w:t xml:space="preserve">. During the maturing process, the most significant proportion of integrated nodes was identified within the DMN </w:t>
      </w:r>
      <w:hyperlink r:id="rId341">
        <w:r w:rsidRPr="008F4E90">
          <w:rPr>
            <w:rFonts w:asciiTheme="majorBidi" w:eastAsia="Times New Roman" w:hAnsiTheme="majorBidi" w:cstheme="majorBidi"/>
            <w:sz w:val="24"/>
            <w:szCs w:val="24"/>
          </w:rPr>
          <w:t>(Niu et al., 2022)</w:t>
        </w:r>
      </w:hyperlink>
      <w:r w:rsidRPr="008F4E90">
        <w:rPr>
          <w:rFonts w:asciiTheme="majorBidi" w:eastAsia="Times New Roman" w:hAnsiTheme="majorBidi" w:cstheme="majorBidi"/>
          <w:sz w:val="24"/>
          <w:szCs w:val="24"/>
        </w:rPr>
        <w:t>, potentially explaining this age-related observation.</w:t>
      </w:r>
    </w:p>
    <w:p w14:paraId="78D18DAF"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DMN is the simultaneous activation of specific cortical regions within a distributed network while the brain is at rest </w:t>
      </w:r>
      <w:hyperlink r:id="rId342">
        <w:r w:rsidRPr="008F4E90">
          <w:rPr>
            <w:rFonts w:asciiTheme="majorBidi" w:eastAsia="Times New Roman" w:hAnsiTheme="majorBidi" w:cstheme="majorBidi"/>
            <w:sz w:val="24"/>
            <w:szCs w:val="24"/>
          </w:rPr>
          <w:t>(Raichle &amp; Snyder, 2007)</w:t>
        </w:r>
      </w:hyperlink>
      <w:r w:rsidRPr="008F4E90">
        <w:rPr>
          <w:rFonts w:asciiTheme="majorBidi" w:eastAsia="Times New Roman" w:hAnsiTheme="majorBidi" w:cstheme="majorBidi"/>
          <w:sz w:val="24"/>
          <w:szCs w:val="24"/>
        </w:rPr>
        <w:t xml:space="preserve">. Additionally, it is recognised as a task-negative network, as it becomes suppressed during goal-directed cognitive tasks </w:t>
      </w:r>
      <w:hyperlink r:id="rId343">
        <w:r w:rsidRPr="008F4E90">
          <w:rPr>
            <w:rFonts w:asciiTheme="majorBidi" w:eastAsia="Times New Roman" w:hAnsiTheme="majorBidi" w:cstheme="majorBidi"/>
            <w:sz w:val="24"/>
            <w:szCs w:val="24"/>
          </w:rPr>
          <w:t>(Raichle et al., 2001)</w:t>
        </w:r>
      </w:hyperlink>
      <w:r w:rsidRPr="008F4E90">
        <w:rPr>
          <w:rFonts w:asciiTheme="majorBidi" w:eastAsia="Times New Roman" w:hAnsiTheme="majorBidi" w:cstheme="majorBidi"/>
          <w:sz w:val="24"/>
          <w:szCs w:val="24"/>
        </w:rPr>
        <w:t xml:space="preserve"> and in passively controlled conditions </w:t>
      </w:r>
      <w:hyperlink r:id="rId344">
        <w:r w:rsidRPr="008F4E90">
          <w:rPr>
            <w:rFonts w:asciiTheme="majorBidi" w:eastAsia="Times New Roman" w:hAnsiTheme="majorBidi" w:cstheme="majorBidi"/>
            <w:sz w:val="24"/>
            <w:szCs w:val="24"/>
          </w:rPr>
          <w:t xml:space="preserve">(Shulman et al., 1997; </w:t>
        </w:r>
        <w:proofErr w:type="spellStart"/>
        <w:r w:rsidRPr="008F4E90">
          <w:rPr>
            <w:rFonts w:asciiTheme="majorBidi" w:eastAsia="Times New Roman" w:hAnsiTheme="majorBidi" w:cstheme="majorBidi"/>
            <w:sz w:val="24"/>
            <w:szCs w:val="24"/>
          </w:rPr>
          <w:t>Mazoyer</w:t>
        </w:r>
        <w:proofErr w:type="spellEnd"/>
        <w:r w:rsidRPr="008F4E90">
          <w:rPr>
            <w:rFonts w:asciiTheme="majorBidi" w:eastAsia="Times New Roman" w:hAnsiTheme="majorBidi" w:cstheme="majorBidi"/>
            <w:sz w:val="24"/>
            <w:szCs w:val="24"/>
          </w:rPr>
          <w:t xml:space="preserve"> et al., 2001)</w:t>
        </w:r>
      </w:hyperlink>
      <w:r w:rsidRPr="008F4E90">
        <w:rPr>
          <w:rFonts w:asciiTheme="majorBidi" w:eastAsia="Times New Roman" w:hAnsiTheme="majorBidi" w:cstheme="majorBidi"/>
          <w:sz w:val="24"/>
          <w:szCs w:val="24"/>
        </w:rPr>
        <w:t xml:space="preserve">. Nevertheless, the precise role of DMN </w:t>
      </w:r>
      <w:r w:rsidRPr="008F4E90">
        <w:rPr>
          <w:rFonts w:asciiTheme="majorBidi" w:eastAsia="Times New Roman" w:hAnsiTheme="majorBidi" w:cstheme="majorBidi"/>
          <w:sz w:val="24"/>
          <w:szCs w:val="24"/>
        </w:rPr>
        <w:lastRenderedPageBreak/>
        <w:t xml:space="preserve">activity in the decline of cognitive function is still not fully understood </w:t>
      </w:r>
      <w:hyperlink r:id="rId345">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Mevel</w:t>
        </w:r>
        <w:proofErr w:type="spellEnd"/>
        <w:r w:rsidRPr="008F4E90">
          <w:rPr>
            <w:rFonts w:asciiTheme="majorBidi" w:eastAsia="Times New Roman" w:hAnsiTheme="majorBidi" w:cstheme="majorBidi"/>
            <w:sz w:val="24"/>
            <w:szCs w:val="24"/>
          </w:rPr>
          <w:t xml:space="preserve"> et al., 2011)</w:t>
        </w:r>
      </w:hyperlink>
      <w:r w:rsidRPr="008F4E90">
        <w:rPr>
          <w:rFonts w:asciiTheme="majorBidi" w:eastAsia="Times New Roman" w:hAnsiTheme="majorBidi" w:cstheme="majorBidi"/>
          <w:sz w:val="24"/>
          <w:szCs w:val="24"/>
        </w:rPr>
        <w:t xml:space="preserve">. While BOLD activity in the DMN attenuated during cognitively demanding tasks </w:t>
      </w:r>
      <w:hyperlink r:id="rId346">
        <w:r w:rsidRPr="008F4E90">
          <w:rPr>
            <w:rFonts w:asciiTheme="majorBidi" w:eastAsia="Times New Roman" w:hAnsiTheme="majorBidi" w:cstheme="majorBidi"/>
            <w:sz w:val="24"/>
            <w:szCs w:val="24"/>
          </w:rPr>
          <w:t>(Raichle &amp; Snyder, 2007)</w:t>
        </w:r>
      </w:hyperlink>
      <w:r w:rsidRPr="008F4E90">
        <w:rPr>
          <w:rFonts w:asciiTheme="majorBidi" w:eastAsia="Times New Roman" w:hAnsiTheme="majorBidi" w:cstheme="majorBidi"/>
          <w:sz w:val="24"/>
          <w:szCs w:val="24"/>
        </w:rPr>
        <w:t xml:space="preserve">, previous studies based on task-based approaches have indicated a close association between DMN activity and essential cognitive functions </w:t>
      </w:r>
      <w:hyperlink r:id="rId347">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Mevel</w:t>
        </w:r>
        <w:proofErr w:type="spellEnd"/>
        <w:r w:rsidRPr="008F4E90">
          <w:rPr>
            <w:rFonts w:asciiTheme="majorBidi" w:eastAsia="Times New Roman" w:hAnsiTheme="majorBidi" w:cstheme="majorBidi"/>
            <w:sz w:val="24"/>
            <w:szCs w:val="24"/>
          </w:rPr>
          <w:t xml:space="preserve"> et al., 2011)</w:t>
        </w:r>
      </w:hyperlink>
      <w:r w:rsidRPr="008F4E90">
        <w:rPr>
          <w:rFonts w:asciiTheme="majorBidi" w:eastAsia="Times New Roman" w:hAnsiTheme="majorBidi" w:cstheme="majorBidi"/>
          <w:sz w:val="24"/>
          <w:szCs w:val="24"/>
        </w:rPr>
        <w:t xml:space="preserve">. However, activities involving internally constructed representations </w:t>
      </w:r>
      <w:hyperlink r:id="rId348">
        <w:r w:rsidRPr="008F4E90">
          <w:rPr>
            <w:rFonts w:asciiTheme="majorBidi" w:eastAsia="Times New Roman" w:hAnsiTheme="majorBidi" w:cstheme="majorBidi"/>
            <w:sz w:val="24"/>
            <w:szCs w:val="24"/>
          </w:rPr>
          <w:t>(Spreng &amp; Grady, 2010)</w:t>
        </w:r>
      </w:hyperlink>
      <w:r w:rsidRPr="008F4E90">
        <w:rPr>
          <w:rFonts w:asciiTheme="majorBidi" w:eastAsia="Times New Roman" w:hAnsiTheme="majorBidi" w:cstheme="majorBidi"/>
          <w:sz w:val="24"/>
          <w:szCs w:val="24"/>
        </w:rPr>
        <w:t xml:space="preserve">, such as remembering, envisioning the future, theory-of-mind reasoning and making social inferences, have elicited increased activation in regions of the DMN beyond that during passively controlled conditions. The core ASC symptoms, social-cognitive functions, rely on a closely interconnected network of brain structures within the DMN. For instance, activity in the posterior cingulate cortex has been observed during tasks involving autobiographical episodic memory and self-referential processes </w:t>
      </w:r>
      <w:hyperlink r:id="rId349">
        <w:r w:rsidRPr="008F4E90">
          <w:rPr>
            <w:rFonts w:asciiTheme="majorBidi" w:eastAsia="Times New Roman" w:hAnsiTheme="majorBidi" w:cstheme="majorBidi"/>
            <w:sz w:val="24"/>
            <w:szCs w:val="24"/>
          </w:rPr>
          <w:t>(</w:t>
        </w:r>
      </w:hyperlink>
      <w:hyperlink r:id="rId350">
        <w:r w:rsidRPr="008F4E90">
          <w:rPr>
            <w:rFonts w:asciiTheme="majorBidi" w:eastAsia="Times New Roman" w:hAnsiTheme="majorBidi" w:cstheme="majorBidi"/>
            <w:sz w:val="24"/>
            <w:szCs w:val="24"/>
          </w:rPr>
          <w:t>Buckner &amp; Carroll, 2007</w:t>
        </w:r>
      </w:hyperlink>
      <w:hyperlink r:id="rId351">
        <w:r w:rsidRPr="008F4E90">
          <w:rPr>
            <w:rFonts w:asciiTheme="majorBidi" w:eastAsia="Times New Roman" w:hAnsiTheme="majorBidi" w:cstheme="majorBidi"/>
            <w:sz w:val="24"/>
            <w:szCs w:val="24"/>
          </w:rPr>
          <w:t xml:space="preserve">; </w:t>
        </w:r>
      </w:hyperlink>
      <w:hyperlink r:id="rId352">
        <w:r w:rsidRPr="008F4E90">
          <w:rPr>
            <w:rFonts w:asciiTheme="majorBidi" w:eastAsia="Times New Roman" w:hAnsiTheme="majorBidi" w:cstheme="majorBidi"/>
            <w:sz w:val="24"/>
            <w:szCs w:val="24"/>
          </w:rPr>
          <w:t>Maddock et al., 2001</w:t>
        </w:r>
      </w:hyperlink>
      <w:hyperlink r:id="rId353">
        <w:r w:rsidRPr="008F4E90">
          <w:rPr>
            <w:rFonts w:asciiTheme="majorBidi" w:eastAsia="Times New Roman" w:hAnsiTheme="majorBidi" w:cstheme="majorBidi"/>
            <w:sz w:val="24"/>
            <w:szCs w:val="24"/>
          </w:rPr>
          <w:t xml:space="preserve">; </w:t>
        </w:r>
      </w:hyperlink>
      <w:hyperlink r:id="rId354">
        <w:r w:rsidRPr="008F4E90">
          <w:rPr>
            <w:rFonts w:asciiTheme="majorBidi" w:eastAsia="Times New Roman" w:hAnsiTheme="majorBidi" w:cstheme="majorBidi"/>
            <w:sz w:val="24"/>
            <w:szCs w:val="24"/>
          </w:rPr>
          <w:t>Sheline et al., 2009</w:t>
        </w:r>
      </w:hyperlink>
      <w:hyperlink r:id="rId355">
        <w:r w:rsidRPr="008F4E90">
          <w:rPr>
            <w:rFonts w:asciiTheme="majorBidi" w:eastAsia="Times New Roman" w:hAnsiTheme="majorBidi" w:cstheme="majorBidi"/>
            <w:sz w:val="24"/>
            <w:szCs w:val="24"/>
          </w:rPr>
          <w:t>)</w:t>
        </w:r>
      </w:hyperlink>
      <w:r w:rsidRPr="008F4E90">
        <w:rPr>
          <w:rFonts w:asciiTheme="majorBidi" w:eastAsia="Times New Roman" w:hAnsiTheme="majorBidi" w:cstheme="majorBidi"/>
          <w:sz w:val="24"/>
          <w:szCs w:val="24"/>
        </w:rPr>
        <w:t xml:space="preserve">, the medial frontal cortex is linked to social cognitive processes </w:t>
      </w:r>
      <w:hyperlink r:id="rId356">
        <w:r w:rsidRPr="008F4E90">
          <w:rPr>
            <w:rFonts w:asciiTheme="majorBidi" w:eastAsia="Times New Roman" w:hAnsiTheme="majorBidi" w:cstheme="majorBidi"/>
            <w:sz w:val="24"/>
            <w:szCs w:val="24"/>
          </w:rPr>
          <w:t>(Amodio &amp; Frith, 2006)</w:t>
        </w:r>
      </w:hyperlink>
      <w:r w:rsidRPr="008F4E90">
        <w:rPr>
          <w:rFonts w:asciiTheme="majorBidi" w:eastAsia="Times New Roman" w:hAnsiTheme="majorBidi" w:cstheme="majorBidi"/>
          <w:sz w:val="24"/>
          <w:szCs w:val="24"/>
        </w:rPr>
        <w:t xml:space="preserve">, and the medial temporal lobe primarily contributes to episodic memory </w:t>
      </w:r>
      <w:hyperlink r:id="rId357">
        <w:r w:rsidRPr="008F4E90">
          <w:rPr>
            <w:rFonts w:asciiTheme="majorBidi" w:eastAsia="Times New Roman" w:hAnsiTheme="majorBidi" w:cstheme="majorBidi"/>
            <w:sz w:val="24"/>
            <w:szCs w:val="24"/>
          </w:rPr>
          <w:t>(Milner, 2005)</w:t>
        </w:r>
      </w:hyperlink>
      <w:r w:rsidRPr="008F4E90">
        <w:rPr>
          <w:rFonts w:asciiTheme="majorBidi" w:eastAsia="Times New Roman" w:hAnsiTheme="majorBidi" w:cstheme="majorBidi"/>
          <w:sz w:val="24"/>
          <w:szCs w:val="24"/>
        </w:rPr>
        <w:t>.</w:t>
      </w:r>
    </w:p>
    <w:p w14:paraId="1A3563A5" w14:textId="77777777" w:rsidR="00EB25CA" w:rsidRPr="008F4E90" w:rsidRDefault="00EB25CA" w:rsidP="004D3F34">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Moreover, the socio-cognitive processes within individuals with ASC are also subject to age-related changes linked to the diverse developmental trajectories observed in different functional circuits </w:t>
      </w:r>
      <w:hyperlink r:id="rId358">
        <w:r w:rsidRPr="008F4E90">
          <w:rPr>
            <w:rFonts w:asciiTheme="majorBidi" w:eastAsia="Times New Roman" w:hAnsiTheme="majorBidi" w:cstheme="majorBidi"/>
            <w:sz w:val="24"/>
            <w:szCs w:val="24"/>
          </w:rPr>
          <w:t>(Padmanabhan et al., 2013</w:t>
        </w:r>
      </w:hyperlink>
      <w:hyperlink r:id="rId359">
        <w:r w:rsidRPr="008F4E90">
          <w:rPr>
            <w:rFonts w:asciiTheme="majorBidi" w:eastAsia="Times New Roman" w:hAnsiTheme="majorBidi" w:cstheme="majorBidi"/>
            <w:sz w:val="24"/>
            <w:szCs w:val="24"/>
          </w:rPr>
          <w:t xml:space="preserve">; </w:t>
        </w:r>
      </w:hyperlink>
      <w:hyperlink r:id="rId360">
        <w:r w:rsidRPr="008F4E90">
          <w:rPr>
            <w:rFonts w:asciiTheme="majorBidi" w:eastAsia="Times New Roman" w:hAnsiTheme="majorBidi" w:cstheme="majorBidi"/>
            <w:sz w:val="24"/>
            <w:szCs w:val="24"/>
          </w:rPr>
          <w:t>Wiggins et al., 2011)</w:t>
        </w:r>
      </w:hyperlink>
      <w:r w:rsidRPr="008F4E90">
        <w:rPr>
          <w:rFonts w:asciiTheme="majorBidi" w:eastAsia="Times New Roman" w:hAnsiTheme="majorBidi" w:cstheme="majorBidi"/>
          <w:sz w:val="24"/>
          <w:szCs w:val="24"/>
        </w:rPr>
        <w:t xml:space="preserve">. Specifically, the observed age-related modifications in the intrinsic functional connectivity of the posterior superior temporal sulcus suggest that ASC does not adhere to a single developmental pattern </w:t>
      </w:r>
      <w:hyperlink r:id="rId361">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Alaerts</w:t>
        </w:r>
        <w:proofErr w:type="spellEnd"/>
        <w:r w:rsidRPr="008F4E90">
          <w:rPr>
            <w:rFonts w:asciiTheme="majorBidi" w:eastAsia="Times New Roman" w:hAnsiTheme="majorBidi" w:cstheme="majorBidi"/>
            <w:sz w:val="24"/>
            <w:szCs w:val="24"/>
          </w:rPr>
          <w:t xml:space="preserve"> et al., 2015)</w:t>
        </w:r>
      </w:hyperlink>
      <w:r w:rsidRPr="008F4E90">
        <w:rPr>
          <w:rFonts w:asciiTheme="majorBidi" w:eastAsia="Times New Roman" w:hAnsiTheme="majorBidi" w:cstheme="majorBidi"/>
          <w:sz w:val="24"/>
          <w:szCs w:val="24"/>
        </w:rPr>
        <w:t>. This paper aims to establish a whole brain entropy map using a large dataset from ABIDE I to investigate the group differences of SEN between ASC and neurotypical controls.</w:t>
      </w:r>
    </w:p>
    <w:p w14:paraId="0D3C682B" w14:textId="77777777" w:rsidR="00EB25CA" w:rsidRPr="008F4E90" w:rsidRDefault="00EB25CA" w:rsidP="00EB25CA">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Complexity related to eye conditions in ASC and </w:t>
      </w:r>
      <w:r w:rsidR="0023297B" w:rsidRPr="008F4E90">
        <w:rPr>
          <w:rFonts w:asciiTheme="majorBidi" w:eastAsia="Times New Roman" w:hAnsiTheme="majorBidi" w:cstheme="majorBidi"/>
          <w:b/>
          <w:sz w:val="24"/>
          <w:szCs w:val="24"/>
        </w:rPr>
        <w:t>N</w:t>
      </w:r>
      <w:r w:rsidRPr="008F4E90">
        <w:rPr>
          <w:rFonts w:asciiTheme="majorBidi" w:eastAsia="Times New Roman" w:hAnsiTheme="majorBidi" w:cstheme="majorBidi"/>
          <w:b/>
          <w:sz w:val="24"/>
          <w:szCs w:val="24"/>
        </w:rPr>
        <w:t xml:space="preserve">eurotypical </w:t>
      </w:r>
      <w:r w:rsidR="0023297B" w:rsidRPr="008F4E90">
        <w:rPr>
          <w:rFonts w:asciiTheme="majorBidi" w:eastAsia="Times New Roman" w:hAnsiTheme="majorBidi" w:cstheme="majorBidi"/>
          <w:b/>
          <w:sz w:val="24"/>
          <w:szCs w:val="24"/>
        </w:rPr>
        <w:t>C</w:t>
      </w:r>
      <w:r w:rsidRPr="008F4E90">
        <w:rPr>
          <w:rFonts w:asciiTheme="majorBidi" w:eastAsia="Times New Roman" w:hAnsiTheme="majorBidi" w:cstheme="majorBidi"/>
          <w:b/>
          <w:sz w:val="24"/>
          <w:szCs w:val="24"/>
        </w:rPr>
        <w:t>ontrols</w:t>
      </w:r>
    </w:p>
    <w:p w14:paraId="6174E813"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Another relevant confounding factor in clinical studies that should be acknowledged is the state of the eyes, whether they are open or closed. The transition from a state of eyes closed to eyes open during rest leads to alterations in the intricate patterns of interaction between brain networks. </w:t>
      </w:r>
    </w:p>
    <w:p w14:paraId="5CF8126B"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Specifically, there is an increased connectivity between most brain networks and stronger spontaneous BOLD oscillations when the eyes are closed compared to when they are open </w:t>
      </w:r>
      <w:hyperlink r:id="rId362">
        <w:r w:rsidRPr="008F4E90">
          <w:rPr>
            <w:rFonts w:asciiTheme="majorBidi" w:eastAsia="Times New Roman" w:hAnsiTheme="majorBidi" w:cstheme="majorBidi"/>
            <w:sz w:val="24"/>
            <w:szCs w:val="24"/>
          </w:rPr>
          <w:t xml:space="preserve">(Han et al., </w:t>
        </w:r>
        <w:r w:rsidRPr="008F4E90">
          <w:rPr>
            <w:rFonts w:asciiTheme="majorBidi" w:eastAsia="Times New Roman" w:hAnsiTheme="majorBidi" w:cstheme="majorBidi"/>
            <w:sz w:val="24"/>
            <w:szCs w:val="24"/>
          </w:rPr>
          <w:lastRenderedPageBreak/>
          <w:t>2023; McAvoy et al., 2008)</w:t>
        </w:r>
      </w:hyperlink>
      <w:r w:rsidRPr="008F4E90">
        <w:rPr>
          <w:rFonts w:asciiTheme="majorBidi" w:eastAsia="Times New Roman" w:hAnsiTheme="majorBidi" w:cstheme="majorBidi"/>
          <w:sz w:val="24"/>
          <w:szCs w:val="24"/>
        </w:rPr>
        <w:t xml:space="preserve">. Graph theory analyses further revealed that during the eyes-closed state, there is a reduction in cliquishness and local efficiency of networks. In contrast, global efficiency is heightened in comparison to the eyes-open state, thereby suggesting an enhanced level of integration during eyes-closed, while the eyes-open state may exhibit greater modularity or specialisation within the networks </w:t>
      </w:r>
      <w:hyperlink r:id="rId363">
        <w:r w:rsidRPr="008F4E90">
          <w:rPr>
            <w:rFonts w:asciiTheme="majorBidi" w:eastAsia="Times New Roman" w:hAnsiTheme="majorBidi" w:cstheme="majorBidi"/>
            <w:sz w:val="24"/>
            <w:szCs w:val="24"/>
          </w:rPr>
          <w:t>(Xu et al., 2014</w:t>
        </w:r>
      </w:hyperlink>
      <w:hyperlink r:id="rId364">
        <w:r w:rsidRPr="008F4E90">
          <w:rPr>
            <w:rFonts w:asciiTheme="majorBidi" w:eastAsia="Times New Roman" w:hAnsiTheme="majorBidi" w:cstheme="majorBidi"/>
            <w:sz w:val="24"/>
            <w:szCs w:val="24"/>
          </w:rPr>
          <w:t xml:space="preserve">; </w:t>
        </w:r>
      </w:hyperlink>
      <w:hyperlink r:id="rId365">
        <w:r w:rsidRPr="008F4E90">
          <w:rPr>
            <w:rFonts w:asciiTheme="majorBidi" w:eastAsia="Times New Roman" w:hAnsiTheme="majorBidi" w:cstheme="majorBidi"/>
            <w:sz w:val="24"/>
            <w:szCs w:val="24"/>
          </w:rPr>
          <w:t>Yan et al., 2009)</w:t>
        </w:r>
      </w:hyperlink>
      <w:r w:rsidRPr="008F4E90">
        <w:rPr>
          <w:rFonts w:asciiTheme="majorBidi" w:eastAsia="Times New Roman" w:hAnsiTheme="majorBidi" w:cstheme="majorBidi"/>
          <w:sz w:val="24"/>
          <w:szCs w:val="24"/>
        </w:rPr>
        <w:t>.</w:t>
      </w:r>
    </w:p>
    <w:p w14:paraId="07B69164" w14:textId="307AB4CC" w:rsidR="004D3F34" w:rsidRDefault="00EB25CA" w:rsidP="00A3423D">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functional networks of the human brain demonstrate distinct topological properties when the eyes are open compared to when they are closed, </w:t>
      </w:r>
      <w:proofErr w:type="spellStart"/>
      <w:r w:rsidRPr="008F4E90">
        <w:rPr>
          <w:rFonts w:asciiTheme="majorBidi" w:eastAsia="Times New Roman" w:hAnsiTheme="majorBidi" w:cstheme="majorBidi"/>
          <w:sz w:val="24"/>
          <w:szCs w:val="24"/>
        </w:rPr>
        <w:t>categorisable</w:t>
      </w:r>
      <w:proofErr w:type="spellEnd"/>
      <w:r w:rsidRPr="008F4E90">
        <w:rPr>
          <w:rFonts w:asciiTheme="majorBidi" w:eastAsia="Times New Roman" w:hAnsiTheme="majorBidi" w:cstheme="majorBidi"/>
          <w:sz w:val="24"/>
          <w:szCs w:val="24"/>
        </w:rPr>
        <w:t xml:space="preserve"> as "exteroceptive" and "interoceptive" networks reflecting different modes of information processing </w:t>
      </w:r>
      <w:hyperlink r:id="rId366">
        <w:r w:rsidRPr="008F4E90">
          <w:rPr>
            <w:rFonts w:asciiTheme="majorBidi" w:eastAsia="Times New Roman" w:hAnsiTheme="majorBidi" w:cstheme="majorBidi"/>
            <w:sz w:val="24"/>
            <w:szCs w:val="24"/>
          </w:rPr>
          <w:t>(Marx et al., 2003</w:t>
        </w:r>
      </w:hyperlink>
      <w:hyperlink r:id="rId367">
        <w:r w:rsidRPr="008F4E90">
          <w:rPr>
            <w:rFonts w:asciiTheme="majorBidi" w:eastAsia="Times New Roman" w:hAnsiTheme="majorBidi" w:cstheme="majorBidi"/>
            <w:sz w:val="24"/>
            <w:szCs w:val="24"/>
          </w:rPr>
          <w:t xml:space="preserve">; </w:t>
        </w:r>
      </w:hyperlink>
      <w:hyperlink r:id="rId368">
        <w:r w:rsidRPr="008F4E90">
          <w:rPr>
            <w:rFonts w:asciiTheme="majorBidi" w:eastAsia="Times New Roman" w:hAnsiTheme="majorBidi" w:cstheme="majorBidi"/>
            <w:sz w:val="24"/>
            <w:szCs w:val="24"/>
          </w:rPr>
          <w:t>Xu et al., 2014)</w:t>
        </w:r>
      </w:hyperlink>
      <w:r w:rsidRPr="008F4E90">
        <w:rPr>
          <w:rFonts w:asciiTheme="majorBidi" w:eastAsia="Times New Roman" w:hAnsiTheme="majorBidi" w:cstheme="majorBidi"/>
          <w:sz w:val="24"/>
          <w:szCs w:val="24"/>
        </w:rPr>
        <w:t xml:space="preserve">. These two networks consist of widespread topological brain regions. Specifically, the exteroceptive network encompasses attentional and oculomotor systems, such as the superior parietal gyrus and frontal eye fields, which exhibit activation during the eyes-open state. On the other hand, the interoceptive network involves sensory systems, including visual, auditory, and somatosensory regions, which demonstrate activation during the eyes-closed state </w:t>
      </w:r>
      <w:hyperlink r:id="rId369">
        <w:r w:rsidRPr="008F4E90">
          <w:rPr>
            <w:rFonts w:asciiTheme="majorBidi" w:eastAsia="Times New Roman" w:hAnsiTheme="majorBidi" w:cstheme="majorBidi"/>
            <w:sz w:val="24"/>
            <w:szCs w:val="24"/>
          </w:rPr>
          <w:t>(Hüfner et al., 2008</w:t>
        </w:r>
      </w:hyperlink>
      <w:hyperlink r:id="rId370">
        <w:r w:rsidRPr="008F4E90">
          <w:rPr>
            <w:rFonts w:asciiTheme="majorBidi" w:eastAsia="Times New Roman" w:hAnsiTheme="majorBidi" w:cstheme="majorBidi"/>
            <w:sz w:val="24"/>
            <w:szCs w:val="24"/>
          </w:rPr>
          <w:t xml:space="preserve">; </w:t>
        </w:r>
      </w:hyperlink>
      <w:hyperlink r:id="rId371">
        <w:r w:rsidRPr="008F4E90">
          <w:rPr>
            <w:rFonts w:asciiTheme="majorBidi" w:eastAsia="Times New Roman" w:hAnsiTheme="majorBidi" w:cstheme="majorBidi"/>
            <w:sz w:val="24"/>
            <w:szCs w:val="24"/>
          </w:rPr>
          <w:t>Marx et al., 2003)</w:t>
        </w:r>
      </w:hyperlink>
      <w:r w:rsidRPr="008F4E90">
        <w:rPr>
          <w:rFonts w:asciiTheme="majorBidi" w:eastAsia="Times New Roman" w:hAnsiTheme="majorBidi" w:cstheme="majorBidi"/>
          <w:sz w:val="24"/>
          <w:szCs w:val="24"/>
        </w:rPr>
        <w:t xml:space="preserve">. Furthermore, as observed during the transition from eyes open to eyes-closed, there is an increased connectivity between the salience network and the DMN. At the same time, there is a decrease in connectivity between the salience network and the Visual Network </w:t>
      </w:r>
      <w:hyperlink r:id="rId372">
        <w:r w:rsidRPr="008F4E90">
          <w:rPr>
            <w:rFonts w:asciiTheme="majorBidi" w:eastAsia="Times New Roman" w:hAnsiTheme="majorBidi" w:cstheme="majorBidi"/>
            <w:sz w:val="24"/>
            <w:szCs w:val="24"/>
          </w:rPr>
          <w:t>(Han et al., 2023)</w:t>
        </w:r>
      </w:hyperlink>
      <w:r w:rsidRPr="008F4E90">
        <w:rPr>
          <w:rFonts w:asciiTheme="majorBidi" w:eastAsia="Times New Roman" w:hAnsiTheme="majorBidi" w:cstheme="majorBidi"/>
          <w:sz w:val="24"/>
          <w:szCs w:val="24"/>
        </w:rPr>
        <w:t xml:space="preserve">. Moreover, it is worth mentioning that the primary visual cortices exhibit low correlations with other regions, particularly during the eyes-closed condition, as noted in a study by </w:t>
      </w:r>
      <w:hyperlink r:id="rId373">
        <w:r w:rsidRPr="008F4E90">
          <w:rPr>
            <w:rFonts w:asciiTheme="majorBidi" w:eastAsia="Times New Roman" w:hAnsiTheme="majorBidi" w:cstheme="majorBidi"/>
            <w:sz w:val="24"/>
            <w:szCs w:val="24"/>
          </w:rPr>
          <w:t>(McAvoy et al., 2008)</w:t>
        </w:r>
      </w:hyperlink>
      <w:r w:rsidRPr="008F4E90">
        <w:rPr>
          <w:rFonts w:asciiTheme="majorBidi" w:eastAsia="Times New Roman" w:hAnsiTheme="majorBidi" w:cstheme="majorBidi"/>
          <w:sz w:val="24"/>
          <w:szCs w:val="24"/>
        </w:rPr>
        <w:t xml:space="preserve">. This reduction in correlations aligns with a decrease in visual activity, as reported by </w:t>
      </w:r>
      <w:hyperlink r:id="rId374">
        <w:r w:rsidRPr="008F4E90">
          <w:rPr>
            <w:rFonts w:asciiTheme="majorBidi" w:eastAsia="Times New Roman" w:hAnsiTheme="majorBidi" w:cstheme="majorBidi"/>
            <w:sz w:val="24"/>
            <w:szCs w:val="24"/>
          </w:rPr>
          <w:t>(Yang et al., 2007)</w:t>
        </w:r>
      </w:hyperlink>
      <w:r w:rsidRPr="008F4E90">
        <w:rPr>
          <w:rFonts w:asciiTheme="majorBidi" w:eastAsia="Times New Roman" w:hAnsiTheme="majorBidi" w:cstheme="majorBidi"/>
          <w:sz w:val="24"/>
          <w:szCs w:val="24"/>
        </w:rPr>
        <w:t xml:space="preserve">.In addition to the suppression of visual information processing during the eyes-closed condition, the eyes-open state involves increased attentional load </w:t>
      </w:r>
      <w:hyperlink r:id="rId375">
        <w:r w:rsidRPr="008F4E90">
          <w:rPr>
            <w:rFonts w:asciiTheme="majorBidi" w:eastAsia="Times New Roman" w:hAnsiTheme="majorBidi" w:cstheme="majorBidi"/>
            <w:sz w:val="24"/>
            <w:szCs w:val="24"/>
          </w:rPr>
          <w:t>(Hüfner et al., 2009)</w:t>
        </w:r>
      </w:hyperlink>
      <w:r w:rsidRPr="008F4E90">
        <w:rPr>
          <w:rFonts w:asciiTheme="majorBidi" w:eastAsia="Times New Roman" w:hAnsiTheme="majorBidi" w:cstheme="majorBidi"/>
          <w:sz w:val="24"/>
          <w:szCs w:val="24"/>
        </w:rPr>
        <w:t xml:space="preserve"> and multisensory activity </w:t>
      </w:r>
      <w:hyperlink r:id="rId376">
        <w:r w:rsidRPr="008F4E90">
          <w:rPr>
            <w:rFonts w:asciiTheme="majorBidi" w:eastAsia="Times New Roman" w:hAnsiTheme="majorBidi" w:cstheme="majorBidi"/>
            <w:sz w:val="24"/>
            <w:szCs w:val="24"/>
          </w:rPr>
          <w:t>(Koba et al., 2021</w:t>
        </w:r>
      </w:hyperlink>
      <w:hyperlink r:id="rId377">
        <w:r w:rsidRPr="008F4E90">
          <w:rPr>
            <w:rFonts w:asciiTheme="majorBidi" w:eastAsia="Times New Roman" w:hAnsiTheme="majorBidi" w:cstheme="majorBidi"/>
            <w:sz w:val="24"/>
            <w:szCs w:val="24"/>
          </w:rPr>
          <w:t xml:space="preserve">; </w:t>
        </w:r>
      </w:hyperlink>
      <w:hyperlink r:id="rId378">
        <w:r w:rsidRPr="008F4E90">
          <w:rPr>
            <w:rFonts w:asciiTheme="majorBidi" w:eastAsia="Times New Roman" w:hAnsiTheme="majorBidi" w:cstheme="majorBidi"/>
            <w:sz w:val="24"/>
            <w:szCs w:val="24"/>
          </w:rPr>
          <w:t>Marx et al., 2004; Qian et al., 2019)</w:t>
        </w:r>
      </w:hyperlink>
      <w:r w:rsidRPr="008F4E90">
        <w:rPr>
          <w:rFonts w:asciiTheme="majorBidi" w:eastAsia="Times New Roman" w:hAnsiTheme="majorBidi" w:cstheme="majorBidi"/>
          <w:sz w:val="24"/>
          <w:szCs w:val="24"/>
        </w:rPr>
        <w:t xml:space="preserve">. However, there is decreased intra-network FC in the DMN at eyes-closed conditions </w:t>
      </w:r>
      <w:hyperlink r:id="rId379">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Agcaoglu</w:t>
        </w:r>
        <w:proofErr w:type="spellEnd"/>
        <w:r w:rsidRPr="008F4E90">
          <w:rPr>
            <w:rFonts w:asciiTheme="majorBidi" w:eastAsia="Times New Roman" w:hAnsiTheme="majorBidi" w:cstheme="majorBidi"/>
            <w:sz w:val="24"/>
            <w:szCs w:val="24"/>
          </w:rPr>
          <w:t xml:space="preserve"> et al., 2019</w:t>
        </w:r>
      </w:hyperlink>
      <w:hyperlink r:id="rId380">
        <w:r w:rsidRPr="008F4E90">
          <w:rPr>
            <w:rFonts w:asciiTheme="majorBidi" w:eastAsia="Times New Roman" w:hAnsiTheme="majorBidi" w:cstheme="majorBidi"/>
            <w:sz w:val="24"/>
            <w:szCs w:val="24"/>
          </w:rPr>
          <w:t xml:space="preserve">; </w:t>
        </w:r>
      </w:hyperlink>
      <w:hyperlink r:id="rId381">
        <w:r w:rsidRPr="008F4E90">
          <w:rPr>
            <w:rFonts w:asciiTheme="majorBidi" w:eastAsia="Times New Roman" w:hAnsiTheme="majorBidi" w:cstheme="majorBidi"/>
            <w:sz w:val="24"/>
            <w:szCs w:val="24"/>
          </w:rPr>
          <w:t>Koba et al., 2021)</w:t>
        </w:r>
      </w:hyperlink>
      <w:r w:rsidRPr="008F4E90">
        <w:rPr>
          <w:rFonts w:asciiTheme="majorBidi" w:eastAsia="Times New Roman" w:hAnsiTheme="majorBidi" w:cstheme="majorBidi"/>
          <w:sz w:val="24"/>
          <w:szCs w:val="24"/>
        </w:rPr>
        <w:t>.</w:t>
      </w:r>
    </w:p>
    <w:p w14:paraId="270216B4" w14:textId="77777777" w:rsidR="00A3423D" w:rsidRPr="00A3423D" w:rsidRDefault="00A3423D" w:rsidP="00A3423D">
      <w:pPr>
        <w:spacing w:line="480" w:lineRule="auto"/>
        <w:ind w:firstLine="720"/>
        <w:rPr>
          <w:rFonts w:asciiTheme="majorBidi" w:eastAsia="Times New Roman" w:hAnsiTheme="majorBidi" w:cstheme="majorBidi"/>
          <w:b/>
          <w:bCs/>
          <w:sz w:val="24"/>
          <w:szCs w:val="24"/>
        </w:rPr>
      </w:pPr>
      <w:r w:rsidRPr="00A3423D">
        <w:rPr>
          <w:rFonts w:asciiTheme="majorBidi" w:eastAsia="Times New Roman" w:hAnsiTheme="majorBidi" w:cstheme="majorBidi"/>
          <w:b/>
          <w:bCs/>
          <w:sz w:val="24"/>
          <w:szCs w:val="24"/>
        </w:rPr>
        <w:t>Links between MSE and Functional Connectivity in ASC</w:t>
      </w:r>
    </w:p>
    <w:p w14:paraId="162DD102" w14:textId="77777777" w:rsidR="00A3423D" w:rsidRPr="00A3423D" w:rsidRDefault="00A3423D" w:rsidP="00A3423D">
      <w:pPr>
        <w:spacing w:line="480" w:lineRule="auto"/>
        <w:ind w:firstLine="720"/>
        <w:rPr>
          <w:rFonts w:asciiTheme="majorBidi" w:eastAsia="Times New Roman" w:hAnsiTheme="majorBidi" w:cstheme="majorBidi"/>
          <w:sz w:val="24"/>
          <w:szCs w:val="24"/>
        </w:rPr>
      </w:pPr>
      <w:r w:rsidRPr="00A3423D">
        <w:rPr>
          <w:rFonts w:asciiTheme="majorBidi" w:eastAsia="Times New Roman" w:hAnsiTheme="majorBidi" w:cstheme="majorBidi"/>
          <w:sz w:val="24"/>
          <w:szCs w:val="24"/>
        </w:rPr>
        <w:lastRenderedPageBreak/>
        <w:t>The intricacy of the dynamic fluctuations in neural activity is associated with both the probability of single neurons firing and the likelihood of synchronisation among various brain regions. Signals that are more predictable, indicating lower neural complexity, facilitate phase relationships between different brain regions, thereby increasing the chances of synchrony and information processing across distributed brain regions (McDonnell and Ward 2011; Ghanbari et al. 2015).</w:t>
      </w:r>
    </w:p>
    <w:p w14:paraId="76B7F67E" w14:textId="77777777" w:rsidR="00A3423D" w:rsidRPr="00A3423D" w:rsidRDefault="00A3423D" w:rsidP="00A3423D">
      <w:pPr>
        <w:spacing w:line="480" w:lineRule="auto"/>
        <w:ind w:firstLine="720"/>
        <w:rPr>
          <w:rFonts w:asciiTheme="majorBidi" w:eastAsia="Times New Roman" w:hAnsiTheme="majorBidi" w:cstheme="majorBidi"/>
          <w:sz w:val="24"/>
          <w:szCs w:val="24"/>
        </w:rPr>
      </w:pPr>
      <w:r w:rsidRPr="00A3423D">
        <w:rPr>
          <w:rFonts w:asciiTheme="majorBidi" w:eastAsia="Times New Roman" w:hAnsiTheme="majorBidi" w:cstheme="majorBidi"/>
          <w:sz w:val="24"/>
          <w:szCs w:val="24"/>
        </w:rPr>
        <w:t>Multiscale sample entropy (MSE) captures high frequency temporal complexity (i.e., fine scales) and low-frequency temporal complexity (i.e., coarse scales) (Costa et al. 2002). It has been suggested that coarse time scales reflect long-range interactions across distributed neural populations, while fine time scales signify interconnectivity among local neural populations (McIntosh et al. 2014). ASC has been consistently associated with atypical brain connectivity patterns (Doyle-Thomas et al. 2015; O’Reilly et al. 2017; Müller and Fishman 2018) and atypical MSE pattern. Some studies propose the hypothesis that the diminished complexity of electrical brain activity observed in individuals with ASC may be linked to a potential reduction in long-range temporal correlations in brain activity (Takahashi et al. 2009). Additionally, a study reveals a trend indicating decreased complexity in the EEG signals of infants at high risk of ASC during the early stages of brain development. This suggests that the variations in EEG signal complexity at these early stages may reflect the rapid changes in local neural connectivity (</w:t>
      </w:r>
      <w:proofErr w:type="spellStart"/>
      <w:r w:rsidRPr="00A3423D">
        <w:rPr>
          <w:rFonts w:asciiTheme="majorBidi" w:eastAsia="Times New Roman" w:hAnsiTheme="majorBidi" w:cstheme="majorBidi"/>
          <w:sz w:val="24"/>
          <w:szCs w:val="24"/>
        </w:rPr>
        <w:t>Bosl</w:t>
      </w:r>
      <w:proofErr w:type="spellEnd"/>
      <w:r w:rsidRPr="00A3423D">
        <w:rPr>
          <w:rFonts w:asciiTheme="majorBidi" w:eastAsia="Times New Roman" w:hAnsiTheme="majorBidi" w:cstheme="majorBidi"/>
          <w:sz w:val="24"/>
          <w:szCs w:val="24"/>
        </w:rPr>
        <w:t xml:space="preserve"> et al. 2011). However, the underlying neurophysiological mechanisms governing the complexity of electrophysiological and fMRI signals in ASC, as well as their relationships with functional connectivity (FC), remain uncertain. </w:t>
      </w:r>
    </w:p>
    <w:p w14:paraId="0A782588" w14:textId="77777777" w:rsidR="00A3423D" w:rsidRPr="00A3423D" w:rsidRDefault="00A3423D" w:rsidP="00A3423D">
      <w:pPr>
        <w:spacing w:line="480" w:lineRule="auto"/>
        <w:ind w:firstLine="720"/>
        <w:rPr>
          <w:rFonts w:asciiTheme="majorBidi" w:eastAsia="Times New Roman" w:hAnsiTheme="majorBidi" w:cstheme="majorBidi"/>
          <w:sz w:val="24"/>
          <w:szCs w:val="24"/>
        </w:rPr>
      </w:pPr>
    </w:p>
    <w:p w14:paraId="3E44794B" w14:textId="77777777" w:rsidR="00A3423D" w:rsidRPr="00A3423D" w:rsidRDefault="00A3423D" w:rsidP="00A3423D">
      <w:pPr>
        <w:spacing w:line="480" w:lineRule="auto"/>
        <w:ind w:firstLine="720"/>
        <w:rPr>
          <w:rFonts w:asciiTheme="majorBidi" w:eastAsia="Times New Roman" w:hAnsiTheme="majorBidi" w:cstheme="majorBidi"/>
          <w:b/>
          <w:bCs/>
          <w:sz w:val="24"/>
          <w:szCs w:val="24"/>
        </w:rPr>
      </w:pPr>
      <w:r w:rsidRPr="00A3423D">
        <w:rPr>
          <w:rFonts w:asciiTheme="majorBidi" w:eastAsia="Times New Roman" w:hAnsiTheme="majorBidi" w:cstheme="majorBidi"/>
          <w:b/>
          <w:bCs/>
          <w:sz w:val="24"/>
          <w:szCs w:val="24"/>
        </w:rPr>
        <w:t>Links between MSE and E/I in ASC</w:t>
      </w:r>
    </w:p>
    <w:p w14:paraId="268B7FC0" w14:textId="63EE1680" w:rsidR="00A3423D" w:rsidRDefault="00A3423D" w:rsidP="00A3423D">
      <w:pPr>
        <w:spacing w:line="480" w:lineRule="auto"/>
        <w:ind w:firstLine="720"/>
        <w:rPr>
          <w:rFonts w:asciiTheme="majorBidi" w:eastAsia="Times New Roman" w:hAnsiTheme="majorBidi" w:cstheme="majorBidi"/>
          <w:sz w:val="24"/>
          <w:szCs w:val="24"/>
        </w:rPr>
      </w:pPr>
      <w:r w:rsidRPr="00A3423D">
        <w:rPr>
          <w:rFonts w:asciiTheme="majorBidi" w:eastAsia="Times New Roman" w:hAnsiTheme="majorBidi" w:cstheme="majorBidi"/>
          <w:sz w:val="24"/>
          <w:szCs w:val="24"/>
        </w:rPr>
        <w:t xml:space="preserve">Local signal fluctuations have been suggested to be responsive to the synchronised firing of groups of neurons, that is, when neuronal clusters are highly excitable, it tends to produce more irregular and complex activity, while greater inhibition leads to more regular and predictable patterns (Haider and McCormick 2009). In healthy neural circuits, there is a delicate balance between excitatory and inhibitory </w:t>
      </w:r>
      <w:r w:rsidRPr="00A3423D">
        <w:rPr>
          <w:rFonts w:asciiTheme="majorBidi" w:eastAsia="Times New Roman" w:hAnsiTheme="majorBidi" w:cstheme="majorBidi"/>
          <w:sz w:val="24"/>
          <w:szCs w:val="24"/>
        </w:rPr>
        <w:lastRenderedPageBreak/>
        <w:t>inputs, contributing to the complex and dynamic patterns of neural activity (Dehghani-</w:t>
      </w:r>
      <w:proofErr w:type="spellStart"/>
      <w:r w:rsidRPr="00A3423D">
        <w:rPr>
          <w:rFonts w:asciiTheme="majorBidi" w:eastAsia="Times New Roman" w:hAnsiTheme="majorBidi" w:cstheme="majorBidi"/>
          <w:sz w:val="24"/>
          <w:szCs w:val="24"/>
        </w:rPr>
        <w:t>Habibabadi</w:t>
      </w:r>
      <w:proofErr w:type="spellEnd"/>
      <w:r w:rsidRPr="00A3423D">
        <w:rPr>
          <w:rFonts w:asciiTheme="majorBidi" w:eastAsia="Times New Roman" w:hAnsiTheme="majorBidi" w:cstheme="majorBidi"/>
          <w:sz w:val="24"/>
          <w:szCs w:val="24"/>
        </w:rPr>
        <w:t xml:space="preserve"> et al. 2023).  In cases where there is an imbalance in E/I ratios, such as in neurological disorders like ASC or epilepsy, it has been proposed that this imbalance may influence the temporal structure of neural signals. For example, an altered E/I balance could potentially affect the temporal structure of neural oscillations, leading to changes in the nonlinear temporal dependence reflected in the MSE. Specifically, there is an assumption that the regulation of neural activity by GABA may contribute to the reduced complexity of neural activity (Ghanbari et al. 2015), specifically leading to a reduction in complexity at the coarse time scale associated with an elevated E/I ratio (Park et al. 2023). Additionally, specifically leading to a reduction in the complexity of brain activity in a brain region of ASC might potentially be triggered by the excessive synaptic input from other brain regions. These incoming interconnections could have been reinforced through interactions with the brain region exhibiting an imbalanced E/I ratio (Park et al. 2023).</w:t>
      </w:r>
    </w:p>
    <w:p w14:paraId="36F390EA" w14:textId="77777777" w:rsidR="00A3423D" w:rsidRPr="00A3423D" w:rsidRDefault="00A3423D" w:rsidP="00A3423D">
      <w:pPr>
        <w:pStyle w:val="NormalWeb"/>
        <w:spacing w:before="240" w:beforeAutospacing="0" w:after="240" w:afterAutospacing="0" w:line="480" w:lineRule="auto"/>
        <w:rPr>
          <w:b/>
          <w:bCs/>
        </w:rPr>
      </w:pPr>
      <w:r w:rsidRPr="00A3423D">
        <w:rPr>
          <w:b/>
          <w:bCs/>
          <w:color w:val="000000"/>
          <w:sz w:val="28"/>
          <w:szCs w:val="28"/>
        </w:rPr>
        <w:t>Data Sources and Pre-processing</w:t>
      </w:r>
    </w:p>
    <w:p w14:paraId="390B2831" w14:textId="77777777" w:rsidR="00A3423D" w:rsidRDefault="00A3423D" w:rsidP="00A3423D">
      <w:pPr>
        <w:pStyle w:val="NormalWeb"/>
        <w:spacing w:before="240" w:beforeAutospacing="0" w:after="240" w:afterAutospacing="0" w:line="480" w:lineRule="auto"/>
        <w:ind w:firstLine="700"/>
      </w:pPr>
      <w:r>
        <w:rPr>
          <w:color w:val="000000"/>
          <w:sz w:val="28"/>
          <w:szCs w:val="28"/>
        </w:rPr>
        <w:t xml:space="preserve">All data used in this research was obtained from secondary datasets. In Chapter 2, the dataset retrieved from the NDA had undergone pre-processing steps, including high-pass filtering at 0.1 Hz, low-pass filtering at 100 Hz, and notch filtering at 60 Hz. Furthermore, any channels recorded from electrodes with impedances exceeding 200 </w:t>
      </w:r>
      <w:proofErr w:type="spellStart"/>
      <w:r>
        <w:rPr>
          <w:color w:val="000000"/>
          <w:sz w:val="28"/>
          <w:szCs w:val="28"/>
        </w:rPr>
        <w:t>kOhm</w:t>
      </w:r>
      <w:proofErr w:type="spellEnd"/>
      <w:r>
        <w:rPr>
          <w:color w:val="000000"/>
          <w:sz w:val="28"/>
          <w:szCs w:val="28"/>
        </w:rPr>
        <w:t xml:space="preserve"> were already removed, and the data had been partitioned into 2.048-second epochs by the initial data collection team.</w:t>
      </w:r>
    </w:p>
    <w:p w14:paraId="7C11A8B4" w14:textId="77777777" w:rsidR="00A3423D" w:rsidRDefault="00A3423D" w:rsidP="00A3423D">
      <w:pPr>
        <w:pStyle w:val="NormalWeb"/>
        <w:spacing w:before="240" w:beforeAutospacing="0" w:after="240" w:afterAutospacing="0" w:line="480" w:lineRule="auto"/>
        <w:ind w:firstLine="700"/>
      </w:pPr>
      <w:r>
        <w:rPr>
          <w:color w:val="000000"/>
          <w:sz w:val="28"/>
          <w:szCs w:val="28"/>
        </w:rPr>
        <w:t xml:space="preserve">Specifically, I wish to acknowledge the valuable contribution of </w:t>
      </w:r>
      <w:proofErr w:type="spellStart"/>
      <w:r>
        <w:rPr>
          <w:color w:val="000000"/>
          <w:sz w:val="28"/>
          <w:szCs w:val="28"/>
        </w:rPr>
        <w:t>Dr.</w:t>
      </w:r>
      <w:proofErr w:type="spellEnd"/>
      <w:r>
        <w:rPr>
          <w:color w:val="000000"/>
          <w:sz w:val="28"/>
          <w:szCs w:val="28"/>
        </w:rPr>
        <w:t xml:space="preserve"> Adam Dede, a postdoctoral research associate, who played a significant role in pre-processing the EEG data utilised in this study. </w:t>
      </w:r>
      <w:proofErr w:type="spellStart"/>
      <w:r>
        <w:rPr>
          <w:color w:val="000000"/>
          <w:sz w:val="28"/>
          <w:szCs w:val="28"/>
        </w:rPr>
        <w:t>Dr.</w:t>
      </w:r>
      <w:proofErr w:type="spellEnd"/>
      <w:r>
        <w:rPr>
          <w:color w:val="000000"/>
          <w:sz w:val="28"/>
          <w:szCs w:val="28"/>
        </w:rPr>
        <w:t xml:space="preserve"> Adam Dede's pre-processing procedures adhered to standard protocols, encompassing artefact removal, and interpolation. Comprehensive details </w:t>
      </w:r>
      <w:r>
        <w:rPr>
          <w:color w:val="000000"/>
          <w:sz w:val="28"/>
          <w:szCs w:val="28"/>
        </w:rPr>
        <w:lastRenderedPageBreak/>
        <w:t xml:space="preserve">regarding </w:t>
      </w:r>
      <w:proofErr w:type="spellStart"/>
      <w:r>
        <w:rPr>
          <w:color w:val="000000"/>
          <w:sz w:val="28"/>
          <w:szCs w:val="28"/>
        </w:rPr>
        <w:t>Dr.</w:t>
      </w:r>
      <w:proofErr w:type="spellEnd"/>
      <w:r>
        <w:rPr>
          <w:color w:val="000000"/>
          <w:sz w:val="28"/>
          <w:szCs w:val="28"/>
        </w:rPr>
        <w:t xml:space="preserve"> Adam Dede's pre-processing methodologies can be accessed at</w:t>
      </w:r>
      <w:hyperlink r:id="rId382" w:history="1">
        <w:r>
          <w:rPr>
            <w:rStyle w:val="Hyperlink"/>
            <w:color w:val="000000"/>
            <w:sz w:val="28"/>
            <w:szCs w:val="28"/>
          </w:rPr>
          <w:t xml:space="preserve"> https://github.com/adede1988/SheffieldAutismBiomarkers</w:t>
        </w:r>
      </w:hyperlink>
      <w:r>
        <w:rPr>
          <w:color w:val="000000"/>
          <w:sz w:val="28"/>
          <w:szCs w:val="28"/>
        </w:rPr>
        <w:t>. However, I independently wrote the code and implemented all the subsequent analyses.</w:t>
      </w:r>
    </w:p>
    <w:p w14:paraId="4C81F77A" w14:textId="77777777" w:rsidR="00A3423D" w:rsidRDefault="00A3423D" w:rsidP="00A3423D">
      <w:pPr>
        <w:pStyle w:val="NormalWeb"/>
        <w:spacing w:before="240" w:beforeAutospacing="0" w:after="240" w:afterAutospacing="0" w:line="480" w:lineRule="auto"/>
        <w:ind w:firstLine="700"/>
      </w:pPr>
      <w:r>
        <w:rPr>
          <w:color w:val="000000"/>
          <w:sz w:val="28"/>
          <w:szCs w:val="28"/>
        </w:rPr>
        <w:t>The fMRI data were obtained from publicly accessible secondary datasets. Specifically, the fMRI data from the Autism Brain Imaging Data Exchange (ABIDE) dataset was utilised. Pre-processing of the fMRI data involved standard steps such as motion correction, spatial normalisation, and signal intensity normalisation. Specific tools and software used in the fMRI pre-processing, such as the Statistical Parametric Mapping (SPM) toolbox and the Data Processing Assistant for Resting-State fMRI (DPARSF), were referenced in the corresponding sections of this thesis. However, I independently wrote the code and implemented all the subsequent analyses.</w:t>
      </w:r>
    </w:p>
    <w:p w14:paraId="645B2DFA" w14:textId="26EA3A3F" w:rsidR="00A3423D" w:rsidRPr="00A3423D" w:rsidRDefault="00A3423D" w:rsidP="00A3423D">
      <w:pPr>
        <w:pStyle w:val="NormalWeb"/>
        <w:spacing w:before="240" w:beforeAutospacing="0" w:after="240" w:afterAutospacing="0" w:line="480" w:lineRule="auto"/>
        <w:ind w:firstLine="700"/>
        <w:rPr>
          <w:b/>
          <w:bCs/>
          <w:sz w:val="22"/>
          <w:szCs w:val="22"/>
        </w:rPr>
      </w:pPr>
      <w:r w:rsidRPr="00A3423D">
        <w:rPr>
          <w:b/>
          <w:bCs/>
          <w:i/>
          <w:iCs/>
          <w:color w:val="000000"/>
        </w:rPr>
        <w:t>EEG Data Pre-processing</w:t>
      </w:r>
      <w:r w:rsidRPr="00A3423D">
        <w:rPr>
          <w:b/>
          <w:bCs/>
          <w:color w:val="000000"/>
        </w:rPr>
        <w:t xml:space="preserve"> </w:t>
      </w:r>
      <w:r w:rsidRPr="00A3423D">
        <w:rPr>
          <w:b/>
          <w:bCs/>
          <w:i/>
          <w:iCs/>
          <w:color w:val="000000"/>
        </w:rPr>
        <w:t>in Study 1</w:t>
      </w:r>
      <w:r>
        <w:rPr>
          <w:b/>
          <w:bCs/>
          <w:sz w:val="22"/>
          <w:szCs w:val="22"/>
        </w:rPr>
        <w:t xml:space="preserve">. </w:t>
      </w:r>
      <w:r w:rsidRPr="00A3423D">
        <w:rPr>
          <w:color w:val="000000"/>
        </w:rPr>
        <w:t>The data used for analysis were already filtered and pre-cleaned by the original collection team. Specifically, the data were high passed at .1 Hz, low passed at 100Hz, and notch filtered at 60 Hz to remove line noise. Additionally, channels with high impedances were removed, and the data were divided into 2.048-second epochs. </w:t>
      </w:r>
    </w:p>
    <w:p w14:paraId="18FFB833" w14:textId="77777777" w:rsidR="00A3423D" w:rsidRPr="00A3423D" w:rsidRDefault="00A3423D" w:rsidP="00A3423D">
      <w:pPr>
        <w:pStyle w:val="NormalWeb"/>
        <w:spacing w:before="240" w:beforeAutospacing="0" w:after="240" w:afterAutospacing="0" w:line="480" w:lineRule="auto"/>
        <w:ind w:firstLine="700"/>
        <w:rPr>
          <w:sz w:val="22"/>
          <w:szCs w:val="22"/>
        </w:rPr>
      </w:pPr>
      <w:r w:rsidRPr="00A3423D">
        <w:rPr>
          <w:color w:val="000000"/>
        </w:rPr>
        <w:t xml:space="preserve">Furthermore, this pre-cleaned dataset was pre-processed following the pre-processing steps provided by </w:t>
      </w:r>
      <w:proofErr w:type="spellStart"/>
      <w:r w:rsidRPr="00A3423D">
        <w:rPr>
          <w:color w:val="000000"/>
        </w:rPr>
        <w:t>Dr.Adam</w:t>
      </w:r>
      <w:proofErr w:type="spellEnd"/>
      <w:r w:rsidRPr="00A3423D">
        <w:rPr>
          <w:color w:val="000000"/>
        </w:rPr>
        <w:t xml:space="preserve"> Dede. Specifically, for each channel and epoch, the voltage difference within an 80 </w:t>
      </w:r>
      <w:proofErr w:type="spellStart"/>
      <w:r w:rsidRPr="00A3423D">
        <w:rPr>
          <w:color w:val="000000"/>
        </w:rPr>
        <w:t>ms</w:t>
      </w:r>
      <w:proofErr w:type="spellEnd"/>
      <w:r w:rsidRPr="00A3423D">
        <w:rPr>
          <w:color w:val="000000"/>
        </w:rPr>
        <w:t xml:space="preserve"> moving window, measuring the gap between the highest and lowest values was calculated. Epochs in which were detected at least one 100 </w:t>
      </w:r>
      <w:r w:rsidRPr="00A3423D">
        <w:rPr>
          <w:rFonts w:ascii="Cambria Math" w:hAnsi="Cambria Math" w:cs="Cambria Math"/>
          <w:color w:val="000000"/>
        </w:rPr>
        <w:t>𝜇</w:t>
      </w:r>
      <w:r w:rsidRPr="00A3423D">
        <w:rPr>
          <w:color w:val="000000"/>
        </w:rPr>
        <w:t xml:space="preserve">V deflection were identified as potentially containing noise and were marked. A channel was considered if it exceeded the 100 </w:t>
      </w:r>
      <w:r w:rsidRPr="00A3423D">
        <w:rPr>
          <w:rFonts w:ascii="Cambria Math" w:hAnsi="Cambria Math" w:cs="Cambria Math"/>
          <w:color w:val="000000"/>
        </w:rPr>
        <w:t>𝜇</w:t>
      </w:r>
      <w:r w:rsidRPr="00A3423D">
        <w:rPr>
          <w:color w:val="000000"/>
        </w:rPr>
        <w:t xml:space="preserve">V threshold in half of the trials, leading to the removal of these channels. Furthermore, if 25% of the remaining channels exhibited threshold crossings in a trial, that trial was consequently excluded. The specific details regarding the number of </w:t>
      </w:r>
      <w:r w:rsidRPr="00A3423D">
        <w:rPr>
          <w:color w:val="000000"/>
        </w:rPr>
        <w:lastRenderedPageBreak/>
        <w:t xml:space="preserve">removed trials and channels can be found in Table 1. All data were referenced to an average reference and then interpolated onto a standardised 32-channel montage. Lastly, a Laplacian transformation was applied to estimate the current source density of the data, and this Laplacian-transformed data were employed for calculating </w:t>
      </w:r>
      <w:proofErr w:type="spellStart"/>
      <w:r w:rsidRPr="00A3423D">
        <w:rPr>
          <w:color w:val="000000"/>
        </w:rPr>
        <w:t>intersite</w:t>
      </w:r>
      <w:proofErr w:type="spellEnd"/>
      <w:r w:rsidRPr="00A3423D">
        <w:rPr>
          <w:color w:val="000000"/>
        </w:rPr>
        <w:t xml:space="preserve"> phase clustering. For more detailed information about the data import and cleaning steps, refer to the functions: </w:t>
      </w:r>
      <w:proofErr w:type="spellStart"/>
      <w:r w:rsidRPr="00A3423D">
        <w:rPr>
          <w:i/>
          <w:iCs/>
          <w:color w:val="000000"/>
        </w:rPr>
        <w:t>readEEGdat.m</w:t>
      </w:r>
      <w:proofErr w:type="spellEnd"/>
      <w:r w:rsidRPr="00A3423D">
        <w:rPr>
          <w:color w:val="000000"/>
        </w:rPr>
        <w:t xml:space="preserve">, </w:t>
      </w:r>
      <w:proofErr w:type="spellStart"/>
      <w:r w:rsidRPr="00A3423D">
        <w:rPr>
          <w:i/>
          <w:iCs/>
          <w:color w:val="000000"/>
        </w:rPr>
        <w:t>removeNoiseChansVolt.m</w:t>
      </w:r>
      <w:proofErr w:type="spellEnd"/>
      <w:r w:rsidRPr="00A3423D">
        <w:rPr>
          <w:color w:val="000000"/>
        </w:rPr>
        <w:t xml:space="preserve">, </w:t>
      </w:r>
      <w:proofErr w:type="spellStart"/>
      <w:r w:rsidRPr="00A3423D">
        <w:rPr>
          <w:i/>
          <w:iCs/>
          <w:color w:val="000000"/>
        </w:rPr>
        <w:t>convertCoordinates.m</w:t>
      </w:r>
      <w:proofErr w:type="spellEnd"/>
      <w:r w:rsidRPr="00A3423D">
        <w:rPr>
          <w:color w:val="000000"/>
        </w:rPr>
        <w:t xml:space="preserve">, </w:t>
      </w:r>
      <w:proofErr w:type="spellStart"/>
      <w:r w:rsidRPr="00A3423D">
        <w:rPr>
          <w:i/>
          <w:iCs/>
          <w:color w:val="000000"/>
        </w:rPr>
        <w:t>interpolate_perrinX.m</w:t>
      </w:r>
      <w:proofErr w:type="spellEnd"/>
      <w:r w:rsidRPr="00A3423D">
        <w:rPr>
          <w:color w:val="000000"/>
        </w:rPr>
        <w:t>, and</w:t>
      </w:r>
      <w:r w:rsidRPr="00A3423D">
        <w:rPr>
          <w:i/>
          <w:iCs/>
          <w:color w:val="000000"/>
        </w:rPr>
        <w:t xml:space="preserve"> </w:t>
      </w:r>
      <w:proofErr w:type="spellStart"/>
      <w:r w:rsidRPr="00A3423D">
        <w:rPr>
          <w:i/>
          <w:iCs/>
          <w:color w:val="000000"/>
        </w:rPr>
        <w:t>laplacian_perrinX.m</w:t>
      </w:r>
      <w:proofErr w:type="spellEnd"/>
      <w:r w:rsidRPr="00A3423D">
        <w:rPr>
          <w:i/>
          <w:iCs/>
          <w:color w:val="000000"/>
        </w:rPr>
        <w:t xml:space="preserve"> </w:t>
      </w:r>
      <w:r w:rsidRPr="00A3423D">
        <w:rPr>
          <w:color w:val="000000"/>
        </w:rPr>
        <w:t>from https://github.com/adede1988/SheffieldAutismBiomarkers.</w:t>
      </w:r>
    </w:p>
    <w:p w14:paraId="5B0F5D3F" w14:textId="60CA83F7" w:rsidR="00A3423D" w:rsidRPr="00A3423D" w:rsidRDefault="00A3423D" w:rsidP="00A3423D">
      <w:pPr>
        <w:pStyle w:val="NormalWeb"/>
        <w:spacing w:before="240" w:beforeAutospacing="0" w:after="240" w:afterAutospacing="0" w:line="480" w:lineRule="auto"/>
        <w:ind w:firstLine="700"/>
        <w:rPr>
          <w:b/>
          <w:bCs/>
          <w:sz w:val="22"/>
          <w:szCs w:val="22"/>
        </w:rPr>
      </w:pPr>
      <w:r w:rsidRPr="00A3423D">
        <w:rPr>
          <w:b/>
          <w:bCs/>
          <w:i/>
          <w:iCs/>
          <w:color w:val="000000"/>
        </w:rPr>
        <w:t>Data Pre-processing in Study 2 and 3 (</w:t>
      </w:r>
      <w:proofErr w:type="spellStart"/>
      <w:r w:rsidRPr="00A3423D">
        <w:rPr>
          <w:b/>
          <w:bCs/>
          <w:i/>
          <w:iCs/>
          <w:color w:val="000000"/>
        </w:rPr>
        <w:t>rs</w:t>
      </w:r>
      <w:proofErr w:type="spellEnd"/>
      <w:r w:rsidRPr="00A3423D">
        <w:rPr>
          <w:b/>
          <w:bCs/>
          <w:i/>
          <w:iCs/>
          <w:color w:val="000000"/>
        </w:rPr>
        <w:t>-fMRI study)</w:t>
      </w:r>
      <w:r>
        <w:rPr>
          <w:b/>
          <w:bCs/>
          <w:sz w:val="22"/>
          <w:szCs w:val="22"/>
        </w:rPr>
        <w:t xml:space="preserve">. </w:t>
      </w:r>
      <w:r w:rsidRPr="00A3423D">
        <w:rPr>
          <w:color w:val="000000"/>
        </w:rPr>
        <w:t>To ensure reproducibility and replicability, the pre-processed resting-state fMRI data was used from ABIDE I with publicly available access via the Pre-processed Connectomes Project (http://preprocessed-connectomes-project.org/). The pre-processing pipeline applied in this study was generated using the Data Processing Assistant for Resting-State fMRI (DPARSF) (Chao-Gan &amp; Yu-Feng, 2010). All fMRI data were acquired and released with approval from each contributor’s ethics committee. </w:t>
      </w:r>
    </w:p>
    <w:p w14:paraId="01F44E6C" w14:textId="77777777" w:rsidR="00EB25CA" w:rsidRPr="008F4E90" w:rsidRDefault="00EB25CA" w:rsidP="00EB25CA">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Aims and Contents of Thesis</w:t>
      </w:r>
    </w:p>
    <w:p w14:paraId="14713557"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This thesis aims to contribute to understanding the multiscale sample entropy profile of the resting state EEG and fMRI signal. Specifically, the study aims to investigate the neurophysiological characteristics of individuals with autistic spectrum condition (ASC) compared to neurotypical controls (CON). The investigation also considers potential confounding factors such as eye conditions (i.e., eyes-open and eyes-closed condition) and age, which may influence the observed differences. This study will utilise multimodal techniques to obtain temporal-based measurements of multiscale sample entropy in simultaneous EEG and fMRI signals. The EEG measurements provide high temporal resolution, while the fMRI measurements offer high spatial resolution. The analyses used two large existing datasets, with 300 participants in the EEG project from the National Institute of Mental Health (NIMH) and 500 participants </w:t>
      </w:r>
      <w:r w:rsidRPr="008F4E90">
        <w:rPr>
          <w:rFonts w:asciiTheme="majorBidi" w:eastAsia="Times New Roman" w:hAnsiTheme="majorBidi" w:cstheme="majorBidi"/>
          <w:sz w:val="24"/>
          <w:szCs w:val="24"/>
        </w:rPr>
        <w:lastRenderedPageBreak/>
        <w:t>in the fMRI project from Autism Brain Imaging Data Exchange (ABIDE) I. It is important to note that this study refers to secondary data analysis.</w:t>
      </w:r>
    </w:p>
    <w:p w14:paraId="5618159C"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Chapter 2 directly compared multiscale sample entropy and relative power spectrum at both eyes-open and eyes-closed conditions for both ASC and CON groups. The findings indicated that 1) diagnosis group differences between ASC and CON are generally small and 2) diagnosis group differences seem more prominent during the eyes closed condition, so this is a fruitful direction for future research to consider brain state more carefully. Chapters 3 and 4 of the thesis focuses on identifying brain regions that contribute to classifying individuals with ASC and neurotypical controls CON using a larger database. The analysis conducted the dataset separately from eyes-open and eyes-closed conditions because the data collected from different subjects. This examination reveals that the primary group differences lie within the default mode network (DMN).</w:t>
      </w:r>
    </w:p>
    <w:p w14:paraId="7501EBB1"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Furthermore, the study evaluates the classification performance using a machine learning classifier, demonstrating modest accuracy. The research sheds light on the calculation of multiscale sample entropy, contrasting with the prevalent utilisation of single-scale sample entropy in most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-fMRI studies. This emphasises the significance of applying multiscale sample entropy to achieve a more precise measurement of brain complexity.</w:t>
      </w:r>
    </w:p>
    <w:p w14:paraId="65BBE653"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In Chapter 5, the study further examined the effect of age on multiscale sample entropy in both the ASC and CON groups, suggesting that brain complexity exhibits a positive relationship with age in both groups. However, the magnitude of this positive correlation is notably stronger in the CON group than the ASC group. It is important to note that the age range of the datasets used in this study encompasses childhood to early adulthood.</w:t>
      </w:r>
    </w:p>
    <w:p w14:paraId="747FF642" w14:textId="77777777" w:rsidR="00EB25CA" w:rsidRPr="008F4E90" w:rsidRDefault="00EB25CA" w:rsidP="00EB25CA">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Additionally, the study examines the clinical traits associated with ASC and their relationship with multiscale sample entropy. The findings propose a negative correlation between the clinical traits of ASC and altered brain complexity. This implies that variations in brain complexity can reflect the underlying neurophysiological mechanisms of ASC.</w:t>
      </w:r>
    </w:p>
    <w:p w14:paraId="6C1748B2" w14:textId="77777777" w:rsidR="00EB25CA" w:rsidRPr="008F4E90" w:rsidRDefault="00EB25CA" w:rsidP="00EB25CA">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In summary, this thesis aims to enhance our comprehension of the variations in multiscale sample entropy observed in individuals with ASC, exploring the influence of age and the clinical characteristics associated with altered brain complexity. The study employed multimodal neuroimaging techniques and analysed data from large existing databases to achieve this. The primary goal of this thesis is to offer valuable insights into the neurophysiological aspects of ASC by exploring the nonlinear temporal characteristics of neuroimaging signals. The study also investigates the association between altered brain complexity and clinical features, contributing to a broader understanding of ASC.</w:t>
      </w:r>
    </w:p>
    <w:p w14:paraId="544CC548" w14:textId="77777777" w:rsidR="00EB25CA" w:rsidRPr="008F4E90" w:rsidRDefault="00EB25CA" w:rsidP="00EB25CA">
      <w:pPr>
        <w:spacing w:line="480" w:lineRule="auto"/>
        <w:rPr>
          <w:rFonts w:asciiTheme="majorBidi" w:eastAsia="Times New Roman" w:hAnsiTheme="majorBidi" w:cstheme="majorBidi"/>
          <w:sz w:val="24"/>
          <w:szCs w:val="24"/>
        </w:rPr>
      </w:pPr>
    </w:p>
    <w:p w14:paraId="1EF74BAD" w14:textId="77777777" w:rsidR="00A3423D" w:rsidRDefault="00A3423D" w:rsidP="00676D2F">
      <w:pPr>
        <w:pStyle w:val="NormalWeb"/>
        <w:spacing w:before="0" w:beforeAutospacing="0" w:after="0" w:afterAutospacing="0" w:line="480" w:lineRule="auto"/>
        <w:jc w:val="center"/>
        <w:rPr>
          <w:rFonts w:asciiTheme="majorBidi" w:hAnsiTheme="majorBidi" w:cstheme="majorBidi"/>
          <w:b/>
          <w:bCs/>
        </w:rPr>
      </w:pPr>
      <w:bookmarkStart w:id="8" w:name="_Hlk145602894"/>
    </w:p>
    <w:p w14:paraId="0D58AE95" w14:textId="77777777" w:rsidR="00A3423D" w:rsidRDefault="00A3423D" w:rsidP="00676D2F">
      <w:pPr>
        <w:pStyle w:val="NormalWeb"/>
        <w:spacing w:before="0" w:beforeAutospacing="0" w:after="0" w:afterAutospacing="0" w:line="480" w:lineRule="auto"/>
        <w:jc w:val="center"/>
        <w:rPr>
          <w:rFonts w:asciiTheme="majorBidi" w:hAnsiTheme="majorBidi" w:cstheme="majorBidi"/>
          <w:b/>
          <w:bCs/>
        </w:rPr>
      </w:pPr>
    </w:p>
    <w:p w14:paraId="04B1B508" w14:textId="77777777" w:rsidR="00A3423D" w:rsidRDefault="00A3423D" w:rsidP="00A3423D">
      <w:pPr>
        <w:pStyle w:val="NormalWeb"/>
        <w:spacing w:before="0" w:beforeAutospacing="0" w:after="0" w:afterAutospacing="0" w:line="480" w:lineRule="auto"/>
        <w:rPr>
          <w:rFonts w:asciiTheme="majorBidi" w:hAnsiTheme="majorBidi" w:cstheme="majorBidi"/>
          <w:b/>
          <w:bCs/>
        </w:rPr>
      </w:pPr>
    </w:p>
    <w:p w14:paraId="6BCE4001" w14:textId="305D41CA" w:rsidR="00676D2F" w:rsidRPr="008F4E90" w:rsidRDefault="00676D2F" w:rsidP="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t>Chapter 2</w:t>
      </w:r>
    </w:p>
    <w:p w14:paraId="627A582D" w14:textId="77777777" w:rsidR="00676D2F" w:rsidRPr="008F4E90" w:rsidRDefault="00676D2F" w:rsidP="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t>Investigating Spontaneous EEG Biomarkers and the Influence of Eye Conditions in ASC</w:t>
      </w:r>
    </w:p>
    <w:bookmarkEnd w:id="8"/>
    <w:p w14:paraId="0A95B342" w14:textId="77777777" w:rsidR="00676D2F" w:rsidRPr="008F4E90" w:rsidRDefault="00676D2F" w:rsidP="00676D2F">
      <w:pPr>
        <w:rPr>
          <w:rFonts w:asciiTheme="majorBidi" w:hAnsiTheme="majorBidi" w:cstheme="majorBidi"/>
        </w:rPr>
      </w:pPr>
    </w:p>
    <w:p w14:paraId="2C0A9696" w14:textId="77777777" w:rsidR="00676D2F" w:rsidRPr="008F4E90" w:rsidRDefault="00676D2F" w:rsidP="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t>Introduction</w:t>
      </w:r>
    </w:p>
    <w:p w14:paraId="2D3FC765"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Heterogeneity in Autism Spectrum Condition and the Potential of Spontaneous EEG as a Biomarker. </w:t>
      </w:r>
      <w:r w:rsidRPr="008F4E90">
        <w:rPr>
          <w:rFonts w:asciiTheme="majorBidi" w:hAnsiTheme="majorBidi" w:cstheme="majorBidi"/>
        </w:rPr>
        <w:t xml:space="preserve">Autism Spectrum Condition (ASC) is heterogeneous, encompassing various clinical features and developmental trajectories influenced by various causes and concurrent genetic and environmental factors </w:t>
      </w:r>
      <w:hyperlink r:id="rId383" w:history="1">
        <w:r w:rsidRPr="008F4E90">
          <w:rPr>
            <w:rStyle w:val="Hyperlink"/>
            <w:rFonts w:asciiTheme="majorBidi" w:hAnsiTheme="majorBidi" w:cstheme="majorBidi"/>
            <w:color w:val="auto"/>
            <w:u w:val="none"/>
          </w:rPr>
          <w:t>(Abrahams &amp; Geschwind, 2008; Masi et al., 2017)</w:t>
        </w:r>
      </w:hyperlink>
      <w:r w:rsidRPr="008F4E90">
        <w:rPr>
          <w:rFonts w:asciiTheme="majorBidi" w:hAnsiTheme="majorBidi" w:cstheme="majorBidi"/>
        </w:rPr>
        <w:t xml:space="preserve">. This heterogeneity is also evident in the varied phenotypic expressions and symptoms presented, including atypical behaviours like difficulties in social communication and interaction and repetitive patterns in behaviour, interests, or activities </w:t>
      </w:r>
      <w:hyperlink r:id="rId384"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Grzadzinski</w:t>
        </w:r>
        <w:proofErr w:type="spellEnd"/>
        <w:r w:rsidRPr="008F4E90">
          <w:rPr>
            <w:rStyle w:val="Hyperlink"/>
            <w:rFonts w:asciiTheme="majorBidi" w:hAnsiTheme="majorBidi" w:cstheme="majorBidi"/>
            <w:color w:val="auto"/>
            <w:u w:val="none"/>
          </w:rPr>
          <w:t xml:space="preserve"> et al., 2013)</w:t>
        </w:r>
      </w:hyperlink>
      <w:r w:rsidRPr="008F4E90">
        <w:rPr>
          <w:rFonts w:asciiTheme="majorBidi" w:hAnsiTheme="majorBidi" w:cstheme="majorBidi"/>
        </w:rPr>
        <w:t xml:space="preserve">. Numerous research studies have shown promising findings, revealing atypical neurobiological processes linked to ASC </w:t>
      </w:r>
      <w:hyperlink r:id="rId385"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Jeste</w:t>
        </w:r>
        <w:proofErr w:type="spellEnd"/>
        <w:r w:rsidRPr="008F4E90">
          <w:rPr>
            <w:rStyle w:val="Hyperlink"/>
            <w:rFonts w:asciiTheme="majorBidi" w:hAnsiTheme="majorBidi" w:cstheme="majorBidi"/>
            <w:color w:val="auto"/>
            <w:u w:val="none"/>
          </w:rPr>
          <w:t xml:space="preserve"> et al., 2015)</w:t>
        </w:r>
      </w:hyperlink>
      <w:r w:rsidRPr="008F4E90">
        <w:rPr>
          <w:rFonts w:asciiTheme="majorBidi" w:hAnsiTheme="majorBidi" w:cstheme="majorBidi"/>
        </w:rPr>
        <w:t xml:space="preserve">. From a theoretical and practical standpoint, spontaneous EEG is an excellent potential ideal biomarker for characterising neurodevelopmental conditions </w:t>
      </w:r>
      <w:hyperlink r:id="rId386" w:history="1">
        <w:r w:rsidRPr="008F4E90">
          <w:rPr>
            <w:rStyle w:val="Hyperlink"/>
            <w:rFonts w:asciiTheme="majorBidi" w:hAnsiTheme="majorBidi" w:cstheme="majorBidi"/>
            <w:color w:val="auto"/>
            <w:u w:val="none"/>
          </w:rPr>
          <w:t>(Leiser et al., 2011)</w:t>
        </w:r>
      </w:hyperlink>
      <w:r w:rsidRPr="008F4E90">
        <w:rPr>
          <w:rFonts w:asciiTheme="majorBidi" w:hAnsiTheme="majorBidi" w:cstheme="majorBidi"/>
        </w:rPr>
        <w:t>. </w:t>
      </w:r>
    </w:p>
    <w:p w14:paraId="02D12B70"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lastRenderedPageBreak/>
        <w:t xml:space="preserve">Spontaneous EEG, also called resting-state EEG, is recorded without specific tasks or stimuli to capture the baseline neural activity. These spontaneous fluctuations have revealed the presence of large-scale intrinsic networks consisting of brain regions with similar functionality and synchronised activity </w:t>
      </w:r>
      <w:hyperlink r:id="rId387" w:history="1">
        <w:r w:rsidRPr="008F4E90">
          <w:rPr>
            <w:rStyle w:val="Hyperlink"/>
            <w:rFonts w:asciiTheme="majorBidi" w:hAnsiTheme="majorBidi" w:cstheme="majorBidi"/>
            <w:color w:val="auto"/>
            <w:u w:val="none"/>
          </w:rPr>
          <w:t>(Liu et al., 2010)</w:t>
        </w:r>
      </w:hyperlink>
      <w:r w:rsidRPr="008F4E90">
        <w:rPr>
          <w:rFonts w:asciiTheme="majorBidi" w:hAnsiTheme="majorBidi" w:cstheme="majorBidi"/>
        </w:rPr>
        <w:t xml:space="preserve">. Therefore, spontaneous EEG can also provide valuable insights into the neurophysiological characteristics underlying neurodevelopmental conditions like ASC </w:t>
      </w:r>
      <w:hyperlink r:id="rId388"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Jeste</w:t>
        </w:r>
        <w:proofErr w:type="spellEnd"/>
        <w:r w:rsidRPr="008F4E90">
          <w:rPr>
            <w:rStyle w:val="Hyperlink"/>
            <w:rFonts w:asciiTheme="majorBidi" w:hAnsiTheme="majorBidi" w:cstheme="majorBidi"/>
            <w:color w:val="auto"/>
            <w:u w:val="none"/>
          </w:rPr>
          <w:t xml:space="preserve"> et al., 2015)</w:t>
        </w:r>
      </w:hyperlink>
      <w:r w:rsidRPr="008F4E90">
        <w:rPr>
          <w:rFonts w:asciiTheme="majorBidi" w:hAnsiTheme="majorBidi" w:cstheme="majorBidi"/>
        </w:rPr>
        <w:t xml:space="preserve">, as it can reflect altered brain activities </w:t>
      </w:r>
      <w:hyperlink r:id="rId389" w:history="1">
        <w:r w:rsidRPr="008F4E90">
          <w:rPr>
            <w:rStyle w:val="Hyperlink"/>
            <w:rFonts w:asciiTheme="majorBidi" w:hAnsiTheme="majorBidi" w:cstheme="majorBidi"/>
            <w:color w:val="auto"/>
            <w:u w:val="none"/>
          </w:rPr>
          <w:t>(Li et al., 2022; Itahashi et al., 2015)</w:t>
        </w:r>
      </w:hyperlink>
      <w:r w:rsidRPr="008F4E90">
        <w:rPr>
          <w:rFonts w:asciiTheme="majorBidi" w:hAnsiTheme="majorBidi" w:cstheme="majorBidi"/>
        </w:rPr>
        <w:t xml:space="preserve">. An increasing body of research has been dedicated to exploring brain signal complexity as a potential biomarker for ASC. Multiscale entropy (MSE) has been introduced as a method for analysing physiological signals that are typically non-stationary, and it has demonstrated potential in capturing the complexity of various biological processes. MSE measures the degree of signal similarity across a time series and assesses the predictability of the signal over progressively longer temporal scales, assigning low values to fully periodic or random fluctuations. Biological signals often exhibit non-linear activity with structures or patterns spanning frequencies and temporal scales </w:t>
      </w:r>
      <w:hyperlink r:id="rId390" w:history="1">
        <w:r w:rsidRPr="008F4E90">
          <w:rPr>
            <w:rStyle w:val="Hyperlink"/>
            <w:rFonts w:asciiTheme="majorBidi" w:hAnsiTheme="majorBidi" w:cstheme="majorBidi"/>
            <w:color w:val="auto"/>
            <w:u w:val="none"/>
          </w:rPr>
          <w:t>(Costa et al., 2002; Costa et al., 2005)</w:t>
        </w:r>
      </w:hyperlink>
      <w:r w:rsidRPr="008F4E90">
        <w:rPr>
          <w:rFonts w:asciiTheme="majorBidi" w:hAnsiTheme="majorBidi" w:cstheme="majorBidi"/>
        </w:rPr>
        <w:t xml:space="preserve">. Several studies have identified the presence of atypical sample entropy in electrobiological signals for ASC </w:t>
      </w:r>
      <w:hyperlink r:id="rId391"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Bosl</w:t>
        </w:r>
        <w:proofErr w:type="spellEnd"/>
        <w:r w:rsidRPr="008F4E90">
          <w:rPr>
            <w:rStyle w:val="Hyperlink"/>
            <w:rFonts w:asciiTheme="majorBidi" w:hAnsiTheme="majorBidi" w:cstheme="majorBidi"/>
            <w:color w:val="auto"/>
            <w:u w:val="none"/>
          </w:rPr>
          <w:t xml:space="preserve"> et al., 2011</w:t>
        </w:r>
      </w:hyperlink>
      <w:hyperlink r:id="rId392" w:history="1">
        <w:r w:rsidRPr="008F4E90">
          <w:rPr>
            <w:rStyle w:val="Hyperlink"/>
            <w:rFonts w:asciiTheme="majorBidi" w:hAnsiTheme="majorBidi" w:cstheme="majorBidi"/>
            <w:color w:val="auto"/>
            <w:u w:val="none"/>
          </w:rPr>
          <w:t xml:space="preserve">; </w:t>
        </w:r>
      </w:hyperlink>
      <w:hyperlink r:id="rId393" w:history="1">
        <w:r w:rsidRPr="008F4E90">
          <w:rPr>
            <w:rStyle w:val="Hyperlink"/>
            <w:rFonts w:asciiTheme="majorBidi" w:hAnsiTheme="majorBidi" w:cstheme="majorBidi"/>
            <w:color w:val="auto"/>
            <w:u w:val="none"/>
          </w:rPr>
          <w:t xml:space="preserve">Catarino et al., 2011; </w:t>
        </w:r>
        <w:proofErr w:type="spellStart"/>
        <w:r w:rsidRPr="008F4E90">
          <w:rPr>
            <w:rStyle w:val="Hyperlink"/>
            <w:rFonts w:asciiTheme="majorBidi" w:hAnsiTheme="majorBidi" w:cstheme="majorBidi"/>
            <w:color w:val="auto"/>
            <w:u w:val="none"/>
          </w:rPr>
          <w:t>Hadoush</w:t>
        </w:r>
        <w:proofErr w:type="spellEnd"/>
        <w:r w:rsidRPr="008F4E90">
          <w:rPr>
            <w:rStyle w:val="Hyperlink"/>
            <w:rFonts w:asciiTheme="majorBidi" w:hAnsiTheme="majorBidi" w:cstheme="majorBidi"/>
            <w:color w:val="auto"/>
            <w:u w:val="none"/>
          </w:rPr>
          <w:t xml:space="preserve"> et al., 2019)</w:t>
        </w:r>
      </w:hyperlink>
      <w:r w:rsidRPr="008F4E90">
        <w:rPr>
          <w:rFonts w:asciiTheme="majorBidi" w:hAnsiTheme="majorBidi" w:cstheme="majorBidi"/>
        </w:rPr>
        <w:t xml:space="preserve">. Furthermore, this atypical sample entropy has been linked to characteristics associated with ASC symptom severity and clinical traits </w:t>
      </w:r>
      <w:hyperlink r:id="rId394" w:history="1">
        <w:r w:rsidRPr="008F4E90">
          <w:rPr>
            <w:rStyle w:val="Hyperlink"/>
            <w:rFonts w:asciiTheme="majorBidi" w:hAnsiTheme="majorBidi" w:cstheme="majorBidi"/>
            <w:color w:val="auto"/>
            <w:u w:val="none"/>
          </w:rPr>
          <w:t>(Liu et al., 2017)</w:t>
        </w:r>
      </w:hyperlink>
      <w:r w:rsidRPr="008F4E90">
        <w:rPr>
          <w:rFonts w:asciiTheme="majorBidi" w:hAnsiTheme="majorBidi" w:cstheme="majorBidi"/>
        </w:rPr>
        <w:t>. </w:t>
      </w:r>
    </w:p>
    <w:p w14:paraId="2D7C0E94"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The Impact of Eye Condition Variability on EEG Analysis in Autism Spectrum Condition Research.</w:t>
      </w:r>
      <w:r w:rsidRPr="008F4E90">
        <w:rPr>
          <w:rFonts w:asciiTheme="majorBidi" w:hAnsiTheme="majorBidi" w:cstheme="majorBidi"/>
          <w:i/>
          <w:iCs/>
        </w:rPr>
        <w:t xml:space="preserve"> </w:t>
      </w:r>
      <w:r w:rsidRPr="008F4E90">
        <w:rPr>
          <w:rFonts w:asciiTheme="majorBidi" w:hAnsiTheme="majorBidi" w:cstheme="majorBidi"/>
        </w:rPr>
        <w:t xml:space="preserve">However, in addition to reflecting the intrinsic neuronal activity </w:t>
      </w:r>
      <w:hyperlink r:id="rId395" w:history="1">
        <w:r w:rsidRPr="008F4E90">
          <w:rPr>
            <w:rStyle w:val="Hyperlink"/>
            <w:rFonts w:asciiTheme="majorBidi" w:hAnsiTheme="majorBidi" w:cstheme="majorBidi"/>
            <w:color w:val="auto"/>
            <w:u w:val="none"/>
          </w:rPr>
          <w:t>(Raichle, 2015)</w:t>
        </w:r>
      </w:hyperlink>
      <w:r w:rsidRPr="008F4E90">
        <w:rPr>
          <w:rFonts w:asciiTheme="majorBidi" w:hAnsiTheme="majorBidi" w:cstheme="majorBidi"/>
        </w:rPr>
        <w:t xml:space="preserve">, spontaneous EEG also incorporates variations induced by the interaction between neurons and the shifts in functional states of the brain, which have implications for the processing of sensory information </w:t>
      </w:r>
      <w:hyperlink r:id="rId396" w:history="1">
        <w:r w:rsidRPr="008F4E90">
          <w:rPr>
            <w:rStyle w:val="Hyperlink"/>
            <w:rFonts w:asciiTheme="majorBidi" w:hAnsiTheme="majorBidi" w:cstheme="majorBidi"/>
            <w:color w:val="auto"/>
            <w:u w:val="none"/>
          </w:rPr>
          <w:t>(</w:t>
        </w:r>
      </w:hyperlink>
      <w:hyperlink r:id="rId397" w:history="1">
        <w:r w:rsidRPr="008F4E90">
          <w:rPr>
            <w:rStyle w:val="Hyperlink"/>
            <w:rFonts w:asciiTheme="majorBidi" w:hAnsiTheme="majorBidi" w:cstheme="majorBidi"/>
            <w:color w:val="auto"/>
            <w:u w:val="none"/>
          </w:rPr>
          <w:t>Laumann &amp; Snyder, 2021</w:t>
        </w:r>
      </w:hyperlink>
      <w:hyperlink r:id="rId398" w:history="1">
        <w:r w:rsidRPr="008F4E90">
          <w:rPr>
            <w:rStyle w:val="Hyperlink"/>
            <w:rFonts w:asciiTheme="majorBidi" w:hAnsiTheme="majorBidi" w:cstheme="majorBidi"/>
            <w:color w:val="auto"/>
            <w:u w:val="none"/>
          </w:rPr>
          <w:t xml:space="preserve">; </w:t>
        </w:r>
      </w:hyperlink>
      <w:hyperlink r:id="rId399" w:history="1">
        <w:r w:rsidRPr="008F4E90">
          <w:rPr>
            <w:rStyle w:val="Hyperlink"/>
            <w:rFonts w:asciiTheme="majorBidi" w:hAnsiTheme="majorBidi" w:cstheme="majorBidi"/>
            <w:color w:val="auto"/>
            <w:u w:val="none"/>
          </w:rPr>
          <w:t>Liu et al., 2020</w:t>
        </w:r>
      </w:hyperlink>
      <w:hyperlink r:id="rId400" w:history="1">
        <w:r w:rsidRPr="008F4E90">
          <w:rPr>
            <w:rStyle w:val="Hyperlink"/>
            <w:rFonts w:asciiTheme="majorBidi" w:hAnsiTheme="majorBidi" w:cstheme="majorBidi"/>
            <w:color w:val="auto"/>
            <w:u w:val="none"/>
          </w:rPr>
          <w:t>)</w:t>
        </w:r>
      </w:hyperlink>
      <w:r w:rsidRPr="008F4E90">
        <w:rPr>
          <w:rFonts w:asciiTheme="majorBidi" w:hAnsiTheme="majorBidi" w:cstheme="majorBidi"/>
        </w:rPr>
        <w:t xml:space="preserve">. Changes in brain states, such as variations in eye condition (e.g., eyes-open versus eyes-closed), can potentially introduce confounding factors when analysing spontaneous EEG. This is because spontaneous EEG can accurately capture the impact of external sensory or visual stimuli and detect differences between resting states under different eye conditions </w:t>
      </w:r>
      <w:hyperlink r:id="rId401"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Boytsova</w:t>
        </w:r>
        <w:proofErr w:type="spellEnd"/>
        <w:r w:rsidRPr="008F4E90">
          <w:rPr>
            <w:rStyle w:val="Hyperlink"/>
            <w:rFonts w:asciiTheme="majorBidi" w:hAnsiTheme="majorBidi" w:cstheme="majorBidi"/>
            <w:color w:val="auto"/>
            <w:u w:val="none"/>
          </w:rPr>
          <w:t xml:space="preserve"> &amp; Danko, 2010</w:t>
        </w:r>
      </w:hyperlink>
      <w:hyperlink r:id="rId402" w:history="1">
        <w:r w:rsidRPr="008F4E90">
          <w:rPr>
            <w:rStyle w:val="Hyperlink"/>
            <w:rFonts w:asciiTheme="majorBidi" w:hAnsiTheme="majorBidi" w:cstheme="majorBidi"/>
            <w:color w:val="auto"/>
            <w:u w:val="none"/>
          </w:rPr>
          <w:t xml:space="preserve">; </w:t>
        </w:r>
      </w:hyperlink>
      <w:hyperlink r:id="rId403" w:history="1">
        <w:r w:rsidRPr="008F4E90">
          <w:rPr>
            <w:rStyle w:val="Hyperlink"/>
            <w:rFonts w:asciiTheme="majorBidi" w:hAnsiTheme="majorBidi" w:cstheme="majorBidi"/>
            <w:color w:val="auto"/>
            <w:u w:val="none"/>
          </w:rPr>
          <w:t>Wei et al., 2018)</w:t>
        </w:r>
      </w:hyperlink>
      <w:r w:rsidRPr="008F4E90">
        <w:rPr>
          <w:rFonts w:asciiTheme="majorBidi" w:hAnsiTheme="majorBidi" w:cstheme="majorBidi"/>
        </w:rPr>
        <w:t xml:space="preserve">. Studies have suggested that eye conditions can affect the brain signal when </w:t>
      </w:r>
      <w:r w:rsidRPr="008F4E90">
        <w:rPr>
          <w:rFonts w:asciiTheme="majorBidi" w:hAnsiTheme="majorBidi" w:cstheme="majorBidi"/>
        </w:rPr>
        <w:lastRenderedPageBreak/>
        <w:t xml:space="preserve">healthy individuals are seated and in a relaxed state with their eyes closed; the increased brain activity in the low-frequency delta and theta ranges, along with the prominent alpha range, is predominantly observed throughout a widespread region </w:t>
      </w:r>
      <w:hyperlink r:id="rId404" w:history="1">
        <w:r w:rsidRPr="008F4E90">
          <w:rPr>
            <w:rStyle w:val="Hyperlink"/>
            <w:rFonts w:asciiTheme="majorBidi" w:hAnsiTheme="majorBidi" w:cstheme="majorBidi"/>
            <w:color w:val="auto"/>
            <w:u w:val="none"/>
          </w:rPr>
          <w:t>(Geller et al., 2014)</w:t>
        </w:r>
      </w:hyperlink>
      <w:r w:rsidRPr="008F4E90">
        <w:rPr>
          <w:rFonts w:asciiTheme="majorBidi" w:hAnsiTheme="majorBidi" w:cstheme="majorBidi"/>
        </w:rPr>
        <w:t xml:space="preserve">; and their brain complexity is decreased </w:t>
      </w:r>
      <w:hyperlink r:id="rId405" w:history="1">
        <w:r w:rsidRPr="008F4E90">
          <w:rPr>
            <w:rStyle w:val="Hyperlink"/>
            <w:rFonts w:asciiTheme="majorBidi" w:hAnsiTheme="majorBidi" w:cstheme="majorBidi"/>
            <w:color w:val="auto"/>
            <w:u w:val="none"/>
          </w:rPr>
          <w:t>(Vecchio et al., 2021)</w:t>
        </w:r>
      </w:hyperlink>
      <w:r w:rsidRPr="008F4E90">
        <w:rPr>
          <w:rFonts w:asciiTheme="majorBidi" w:hAnsiTheme="majorBidi" w:cstheme="majorBidi"/>
        </w:rPr>
        <w:t xml:space="preserve">. In a study conducted by </w:t>
      </w:r>
      <w:hyperlink r:id="rId406" w:history="1">
        <w:r w:rsidRPr="008F4E90">
          <w:rPr>
            <w:rStyle w:val="Hyperlink"/>
            <w:rFonts w:asciiTheme="majorBidi" w:hAnsiTheme="majorBidi" w:cstheme="majorBidi"/>
            <w:color w:val="auto"/>
            <w:u w:val="none"/>
          </w:rPr>
          <w:t>La Rocca et al. 2014</w:t>
        </w:r>
      </w:hyperlink>
      <w:r w:rsidRPr="008F4E90">
        <w:rPr>
          <w:rFonts w:asciiTheme="majorBidi" w:hAnsiTheme="majorBidi" w:cstheme="majorBidi"/>
        </w:rPr>
        <w:t>, connectivity metrics of the frontal and parietal lobes were employed to classify individuals into eyes-open and eyes-closed states with high accuracy.</w:t>
      </w:r>
    </w:p>
    <w:p w14:paraId="0B4801AA"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Moreover, </w:t>
      </w:r>
      <w:hyperlink r:id="rId407" w:history="1">
        <w:r w:rsidRPr="008F4E90">
          <w:rPr>
            <w:rStyle w:val="Hyperlink"/>
            <w:rFonts w:asciiTheme="majorBidi" w:hAnsiTheme="majorBidi" w:cstheme="majorBidi"/>
            <w:color w:val="auto"/>
            <w:u w:val="none"/>
          </w:rPr>
          <w:t>Saghafi et al. 2017</w:t>
        </w:r>
      </w:hyperlink>
      <w:r w:rsidRPr="008F4E90">
        <w:rPr>
          <w:rFonts w:asciiTheme="majorBidi" w:hAnsiTheme="majorBidi" w:cstheme="majorBidi"/>
        </w:rPr>
        <w:t xml:space="preserve"> discovered that unexpected shifts in eye states can be effectively detected within seconds using brain signals. In the case of ASC, several studies have indicated that individuals with ASC exhibit divergent EEG patterns compared to neurotypical controls when examining the differences between eyes-open and eyes-closed conditions. A comprehensive review investigated the resting-state EEG power spectrum across various psychiatric conditions, suggesting that individuals with ASC display reduced delta and beta power compared to neurotypical controls during the eyes-closed condition and decreased alpha power during the eyes-open condition and the eyes-closed condition resting-state may be a more reliable approach for identifying abnormal alpha oscillations in individuals with neurodevelopmental disorder </w:t>
      </w:r>
      <w:hyperlink r:id="rId408" w:history="1">
        <w:r w:rsidRPr="008F4E90">
          <w:rPr>
            <w:rStyle w:val="Hyperlink"/>
            <w:rFonts w:asciiTheme="majorBidi" w:hAnsiTheme="majorBidi" w:cstheme="majorBidi"/>
            <w:color w:val="auto"/>
            <w:u w:val="none"/>
          </w:rPr>
          <w:t>(Newson &amp; Thiagarajan, 2018)</w:t>
        </w:r>
      </w:hyperlink>
      <w:r w:rsidRPr="008F4E90">
        <w:rPr>
          <w:rFonts w:asciiTheme="majorBidi" w:hAnsiTheme="majorBidi" w:cstheme="majorBidi"/>
        </w:rPr>
        <w:t xml:space="preserve">. Furthermore, a specific study has shown that children with ASC exhibit a notable reduction in absolute alpha power, regardless of the eye condition </w:t>
      </w:r>
      <w:hyperlink r:id="rId409"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Bellato</w:t>
        </w:r>
        <w:proofErr w:type="spellEnd"/>
        <w:r w:rsidRPr="008F4E90">
          <w:rPr>
            <w:rStyle w:val="Hyperlink"/>
            <w:rFonts w:asciiTheme="majorBidi" w:hAnsiTheme="majorBidi" w:cstheme="majorBidi"/>
            <w:color w:val="auto"/>
            <w:u w:val="none"/>
          </w:rPr>
          <w:t xml:space="preserve"> et al., 2020)</w:t>
        </w:r>
      </w:hyperlink>
      <w:r w:rsidRPr="008F4E90">
        <w:rPr>
          <w:rFonts w:asciiTheme="majorBidi" w:hAnsiTheme="majorBidi" w:cstheme="majorBidi"/>
        </w:rPr>
        <w:t>. Due to conflicting research findings on the precise power differences between eye conditions in ASC compared to control groups and the potential diagnostic value of eyes-closed condition resting-state, a clear understanding of these distinctions should have been established.</w:t>
      </w:r>
    </w:p>
    <w:p w14:paraId="64747C38"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While the contrasting results regarding eye condition between individuals with ASC and controls are intriguing, the practical aspect of data collection concerning subjects' eye states is frequently neglected in various studies, leading to a lack of consistency in the criteria applied. While specific biomarkers for ASC have been identified, their current utility in clinical settings is limited. This is due to their variability across development, uncertain correlation with behaviour, and significant variability among individuals with ASC </w:t>
      </w:r>
      <w:hyperlink r:id="rId410" w:history="1">
        <w:r w:rsidRPr="008F4E90">
          <w:rPr>
            <w:rStyle w:val="Hyperlink"/>
            <w:rFonts w:asciiTheme="majorBidi" w:hAnsiTheme="majorBidi" w:cstheme="majorBidi"/>
            <w:color w:val="auto"/>
            <w:u w:val="none"/>
          </w:rPr>
          <w:t>(Vettori et al., 2019)</w:t>
        </w:r>
      </w:hyperlink>
      <w:r w:rsidRPr="008F4E90">
        <w:rPr>
          <w:rFonts w:asciiTheme="majorBidi" w:hAnsiTheme="majorBidi" w:cstheme="majorBidi"/>
        </w:rPr>
        <w:t xml:space="preserve">, which is influenced by the heterogeneity of the </w:t>
      </w:r>
      <w:r w:rsidRPr="008F4E90">
        <w:rPr>
          <w:rFonts w:asciiTheme="majorBidi" w:hAnsiTheme="majorBidi" w:cstheme="majorBidi"/>
        </w:rPr>
        <w:lastRenderedPageBreak/>
        <w:t xml:space="preserve">condition. Moreover, certain confounding factors, such as eye condition, further confuse the investigations. Researchers have also emphasised the significance of giving due consideration to eye states as a pivotal factor in the creation of dependable and clinically significant new biomarkers for autism, as proposed by </w:t>
      </w:r>
      <w:hyperlink r:id="rId411" w:history="1">
        <w:r w:rsidRPr="008F4E90">
          <w:rPr>
            <w:rStyle w:val="Hyperlink"/>
            <w:rFonts w:asciiTheme="majorBidi" w:hAnsiTheme="majorBidi" w:cstheme="majorBidi"/>
            <w:color w:val="auto"/>
            <w:u w:val="none"/>
          </w:rPr>
          <w:t>(Newson &amp; Thiagarajan., 2018)</w:t>
        </w:r>
      </w:hyperlink>
      <w:r w:rsidRPr="008F4E90">
        <w:rPr>
          <w:rFonts w:asciiTheme="majorBidi" w:hAnsiTheme="majorBidi" w:cstheme="majorBidi"/>
        </w:rPr>
        <w:t>. This indicates the need for more methodologically robust approaches that account for the diversity of eye-related factors when studying autism and its potential biomarkers.</w:t>
      </w:r>
    </w:p>
    <w:p w14:paraId="63CE69A7"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In this research, the analysis involved a specific group of participants with data collected for both eyes-open and closed conditions, comprising 126 individuals with ASC and 174 neurotypical controls aged between 8 and 18 years. The study aimed to investigate the relative power spectrum and multiscale sample entropy across these conditions to classify individuals with ASC and neurotypical controls. By comparing brain activity between these two conditions, the researchers sought to explore how changes in brain state might interact with ASC diagnosis.</w:t>
      </w:r>
    </w:p>
    <w:p w14:paraId="00B8086F" w14:textId="77777777" w:rsidR="00676D2F" w:rsidRPr="008F4E90" w:rsidRDefault="00676D2F" w:rsidP="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t>Method</w:t>
      </w:r>
    </w:p>
    <w:p w14:paraId="2F2838DB"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Participants and Data</w:t>
      </w:r>
    </w:p>
    <w:p w14:paraId="3519FBAF" w14:textId="4D7C78F9"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No new data were collected for this project. To directly compare EEG measurements between eyes-open and closed conditions, the dataset from the project </w:t>
      </w:r>
      <w:r w:rsidRPr="008F4E90">
        <w:rPr>
          <w:rFonts w:asciiTheme="majorBidi" w:hAnsiTheme="majorBidi" w:cstheme="majorBidi"/>
          <w:i/>
          <w:iCs/>
        </w:rPr>
        <w:t>Multimodal Developmental Neurogenetics of Females with ASD</w:t>
      </w:r>
      <w:r w:rsidRPr="008F4E90">
        <w:rPr>
          <w:rFonts w:asciiTheme="majorBidi" w:hAnsiTheme="majorBidi" w:cstheme="majorBidi"/>
        </w:rPr>
        <w:t xml:space="preserve"> was selected for whom both eyes-open and eyes-closed data were available (Table 1). </w:t>
      </w:r>
      <w:r w:rsidR="008B3F72" w:rsidRPr="00407511">
        <w:rPr>
          <w:rFonts w:asciiTheme="majorBidi" w:hAnsiTheme="majorBidi" w:cstheme="majorBidi"/>
        </w:rPr>
        <w:t>It is crucial to note that the distinction between eyes-open and eyes-closed conditions is regarded as a within-participant factor. It implies that each participant contributed data for both conditions, facilitating a direct comparison within the same individuals. This experimental design enhances the validity, as any observed differences can be more confidently attributed to the experimental manipulation rather than individual variability.</w:t>
      </w:r>
      <w:r w:rsidR="008B3F72" w:rsidRPr="008B3F72">
        <w:rPr>
          <w:rFonts w:asciiTheme="majorBidi" w:hAnsiTheme="majorBidi" w:cstheme="majorBidi"/>
        </w:rPr>
        <w:t xml:space="preserve"> </w:t>
      </w:r>
      <w:r w:rsidRPr="008F4E90">
        <w:rPr>
          <w:rFonts w:asciiTheme="majorBidi" w:hAnsiTheme="majorBidi" w:cstheme="majorBidi"/>
        </w:rPr>
        <w:t xml:space="preserve">All raw data was obtained from the National Institute of Mental Health (NIMH) data archive (NDA) with the identifier 10.15154/1528590 </w:t>
      </w:r>
      <w:hyperlink r:id="rId412" w:history="1">
        <w:r w:rsidRPr="008F4E90">
          <w:rPr>
            <w:rStyle w:val="Hyperlink"/>
            <w:rFonts w:asciiTheme="majorBidi" w:hAnsiTheme="majorBidi" w:cstheme="majorBidi"/>
            <w:color w:val="auto"/>
            <w:u w:val="none"/>
          </w:rPr>
          <w:t>(Xiao &amp; Dede, 2023)</w:t>
        </w:r>
      </w:hyperlink>
      <w:r w:rsidRPr="008F4E90">
        <w:rPr>
          <w:rFonts w:asciiTheme="majorBidi" w:hAnsiTheme="majorBidi" w:cstheme="majorBidi"/>
        </w:rPr>
        <w:t xml:space="preserve">. All autistic participants were assessed using the ADOS module appropriate to their age and language ability. In contrast, neurotypical participants were evaluated using either the ADOS or the professional judgement of </w:t>
      </w:r>
      <w:r w:rsidRPr="008F4E90">
        <w:rPr>
          <w:rFonts w:asciiTheme="majorBidi" w:hAnsiTheme="majorBidi" w:cstheme="majorBidi"/>
        </w:rPr>
        <w:lastRenderedPageBreak/>
        <w:t>qualified clinicians from the data collection team. In cases where a participant received multiple ADOS modules, we only considered the score from the module designed for lower language ability. For participants whose EEG had been collected multiple times, only their first EEG dataset was considered. Based on their ADOS scores and the standardised cut-offs provided by the ADOS, all participants were categorised into one of two groups: Autism Spectrum Condition (ASC) or control (CON). After applying the inclusion and exclusion criteria mentioned above across the datasets, the total number of participants was 300 (126 ASC participants). The age distribution of each diagnosis group is displayed in Figure 1.</w:t>
      </w:r>
    </w:p>
    <w:p w14:paraId="40D92A8D"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Table 1. </w:t>
      </w:r>
    </w:p>
    <w:p w14:paraId="6642275E"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i/>
          <w:iCs/>
        </w:rPr>
        <w:t>Phenotypic information of the dataset and relevant EEG parameters</w:t>
      </w:r>
    </w:p>
    <w:tbl>
      <w:tblPr>
        <w:tblW w:w="10196" w:type="dxa"/>
        <w:tblCellMar>
          <w:top w:w="15" w:type="dxa"/>
          <w:left w:w="15" w:type="dxa"/>
          <w:bottom w:w="15" w:type="dxa"/>
          <w:right w:w="15" w:type="dxa"/>
        </w:tblCellMar>
        <w:tblLook w:val="04A0" w:firstRow="1" w:lastRow="0" w:firstColumn="1" w:lastColumn="0" w:noHBand="0" w:noVBand="1"/>
      </w:tblPr>
      <w:tblGrid>
        <w:gridCol w:w="814"/>
        <w:gridCol w:w="998"/>
        <w:gridCol w:w="1247"/>
        <w:gridCol w:w="1663"/>
        <w:gridCol w:w="1164"/>
        <w:gridCol w:w="1040"/>
        <w:gridCol w:w="1286"/>
        <w:gridCol w:w="1117"/>
        <w:gridCol w:w="867"/>
      </w:tblGrid>
      <w:tr w:rsidR="008F4E90" w:rsidRPr="008F4E90" w14:paraId="5E7E0F8C" w14:textId="77777777" w:rsidTr="00AD5393">
        <w:tc>
          <w:tcPr>
            <w:tcW w:w="0" w:type="auto"/>
            <w:tcBorders>
              <w:top w:val="single" w:sz="8" w:space="0" w:color="000000"/>
              <w:left w:val="single" w:sz="8" w:space="0" w:color="FCFDFD"/>
              <w:bottom w:val="single" w:sz="8" w:space="0" w:color="000000"/>
              <w:right w:val="single" w:sz="8" w:space="0" w:color="FFFFFF"/>
            </w:tcBorders>
            <w:tcMar>
              <w:top w:w="100" w:type="dxa"/>
              <w:left w:w="100" w:type="dxa"/>
              <w:bottom w:w="100" w:type="dxa"/>
              <w:right w:w="100" w:type="dxa"/>
            </w:tcMar>
            <w:hideMark/>
          </w:tcPr>
          <w:p w14:paraId="12ED35E4"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Group</w:t>
            </w:r>
          </w:p>
        </w:tc>
        <w:tc>
          <w:tcPr>
            <w:tcW w:w="99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1391F28"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IQ</w:t>
            </w:r>
          </w:p>
        </w:tc>
        <w:tc>
          <w:tcPr>
            <w:tcW w:w="1247"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76D0543"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IQ.</w:t>
            </w:r>
          </w:p>
          <w:p w14:paraId="2C6FE356"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metrics</w:t>
            </w:r>
          </w:p>
        </w:tc>
        <w:tc>
          <w:tcPr>
            <w:tcW w:w="1663"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B7127CB"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Age </w:t>
            </w:r>
          </w:p>
          <w:p w14:paraId="1F107083"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in Year</w:t>
            </w:r>
          </w:p>
        </w:tc>
        <w:tc>
          <w:tcPr>
            <w:tcW w:w="1164"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4B91C4B"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proofErr w:type="spellStart"/>
            <w:r w:rsidRPr="008F4E90">
              <w:rPr>
                <w:rFonts w:asciiTheme="majorBidi" w:hAnsiTheme="majorBidi" w:cstheme="majorBidi"/>
              </w:rPr>
              <w:t>N.total</w:t>
            </w:r>
            <w:proofErr w:type="spellEnd"/>
            <w:r w:rsidRPr="008F4E90">
              <w:rPr>
                <w:rFonts w:asciiTheme="majorBidi" w:hAnsiTheme="majorBidi" w:cstheme="majorBidi"/>
              </w:rPr>
              <w:t xml:space="preserve"> (female)</w:t>
            </w:r>
          </w:p>
        </w:tc>
        <w:tc>
          <w:tcPr>
            <w:tcW w:w="104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C7F46C1"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Orig.</w:t>
            </w:r>
          </w:p>
          <w:p w14:paraId="19CA4E54"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channels</w:t>
            </w:r>
          </w:p>
        </w:tc>
        <w:tc>
          <w:tcPr>
            <w:tcW w:w="1286"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012BBBCB"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Final.</w:t>
            </w:r>
          </w:p>
          <w:p w14:paraId="05D014F8"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channels</w:t>
            </w:r>
          </w:p>
        </w:tc>
        <w:tc>
          <w:tcPr>
            <w:tcW w:w="1117"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1AC126BE"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Orig.</w:t>
            </w:r>
          </w:p>
          <w:p w14:paraId="7EF81248"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epochs</w:t>
            </w:r>
          </w:p>
        </w:tc>
        <w:tc>
          <w:tcPr>
            <w:tcW w:w="867" w:type="dxa"/>
            <w:tcBorders>
              <w:top w:val="single" w:sz="8" w:space="0" w:color="000000"/>
              <w:left w:val="single" w:sz="8" w:space="0" w:color="FFFFFF"/>
              <w:bottom w:val="single" w:sz="8" w:space="0" w:color="000000"/>
              <w:right w:val="single" w:sz="8" w:space="0" w:color="FCFDFD"/>
            </w:tcBorders>
            <w:tcMar>
              <w:top w:w="100" w:type="dxa"/>
              <w:left w:w="100" w:type="dxa"/>
              <w:bottom w:w="100" w:type="dxa"/>
              <w:right w:w="100" w:type="dxa"/>
            </w:tcMar>
            <w:hideMark/>
          </w:tcPr>
          <w:p w14:paraId="0DE24B1C"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Final.</w:t>
            </w:r>
          </w:p>
          <w:p w14:paraId="3D681F1A"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epochs</w:t>
            </w:r>
          </w:p>
        </w:tc>
      </w:tr>
      <w:tr w:rsidR="008F4E90" w:rsidRPr="008F4E90" w14:paraId="5A6AD005" w14:textId="77777777" w:rsidTr="00AD5393">
        <w:tc>
          <w:tcPr>
            <w:tcW w:w="0" w:type="auto"/>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2527454D"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ASC</w:t>
            </w:r>
          </w:p>
        </w:tc>
        <w:tc>
          <w:tcPr>
            <w:tcW w:w="998"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6E9A73D6" w14:textId="77777777" w:rsidR="00676D2F" w:rsidRPr="008F4E90" w:rsidRDefault="00676D2F" w:rsidP="00AD5393">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107(21)</w:t>
            </w:r>
          </w:p>
        </w:tc>
        <w:tc>
          <w:tcPr>
            <w:tcW w:w="1247"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365AC2EB" w14:textId="77777777" w:rsidR="00676D2F" w:rsidRPr="008F4E90" w:rsidRDefault="00676D2F" w:rsidP="00AD5393">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DAS GCA</w:t>
            </w:r>
          </w:p>
        </w:tc>
        <w:tc>
          <w:tcPr>
            <w:tcW w:w="1663"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52F473AF" w14:textId="77777777" w:rsidR="00676D2F" w:rsidRPr="008F4E90" w:rsidRDefault="00676D2F" w:rsidP="00AD5393">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12.75(2.75)</w:t>
            </w:r>
          </w:p>
        </w:tc>
        <w:tc>
          <w:tcPr>
            <w:tcW w:w="1164"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0706D0E7"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126(53)</w:t>
            </w:r>
          </w:p>
        </w:tc>
        <w:tc>
          <w:tcPr>
            <w:tcW w:w="1040"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2B88D69B"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125(0)</w:t>
            </w:r>
          </w:p>
        </w:tc>
        <w:tc>
          <w:tcPr>
            <w:tcW w:w="1286"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3B9DC3FD"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125(1)</w:t>
            </w:r>
          </w:p>
        </w:tc>
        <w:tc>
          <w:tcPr>
            <w:tcW w:w="1117"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2E7485EC"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65(28)</w:t>
            </w:r>
          </w:p>
        </w:tc>
        <w:tc>
          <w:tcPr>
            <w:tcW w:w="867" w:type="dxa"/>
            <w:tcBorders>
              <w:top w:val="single" w:sz="8" w:space="0" w:color="000000"/>
              <w:left w:val="single" w:sz="8" w:space="0" w:color="FCFDFD"/>
              <w:bottom w:val="single" w:sz="8" w:space="0" w:color="FCFDFD"/>
              <w:right w:val="single" w:sz="8" w:space="0" w:color="FCFDFD"/>
            </w:tcBorders>
            <w:tcMar>
              <w:top w:w="100" w:type="dxa"/>
              <w:left w:w="100" w:type="dxa"/>
              <w:bottom w:w="100" w:type="dxa"/>
              <w:right w:w="100" w:type="dxa"/>
            </w:tcMar>
            <w:hideMark/>
          </w:tcPr>
          <w:p w14:paraId="47426D60"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59(28)</w:t>
            </w:r>
          </w:p>
        </w:tc>
      </w:tr>
      <w:tr w:rsidR="008F4E90" w:rsidRPr="008F4E90" w14:paraId="6DBB3B6D" w14:textId="77777777" w:rsidTr="00AD5393">
        <w:tc>
          <w:tcPr>
            <w:tcW w:w="0" w:type="auto"/>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4EBB28FB"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CON</w:t>
            </w:r>
          </w:p>
        </w:tc>
        <w:tc>
          <w:tcPr>
            <w:tcW w:w="998"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7D2004DD" w14:textId="77777777" w:rsidR="00676D2F" w:rsidRPr="008F4E90" w:rsidRDefault="00676D2F" w:rsidP="00AD5393">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113(15)</w:t>
            </w:r>
          </w:p>
        </w:tc>
        <w:tc>
          <w:tcPr>
            <w:tcW w:w="1247"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506790C3" w14:textId="77777777" w:rsidR="00676D2F" w:rsidRPr="008F4E90" w:rsidRDefault="00676D2F" w:rsidP="00AD5393">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DAS</w:t>
            </w:r>
            <w:r w:rsidR="00AD5393" w:rsidRPr="008F4E90">
              <w:rPr>
                <w:rFonts w:asciiTheme="majorBidi" w:hAnsiTheme="majorBidi" w:cstheme="majorBidi"/>
              </w:rPr>
              <w:t xml:space="preserve"> </w:t>
            </w:r>
            <w:r w:rsidRPr="008F4E90">
              <w:rPr>
                <w:rFonts w:asciiTheme="majorBidi" w:hAnsiTheme="majorBidi" w:cstheme="majorBidi"/>
              </w:rPr>
              <w:t>GCA</w:t>
            </w:r>
          </w:p>
        </w:tc>
        <w:tc>
          <w:tcPr>
            <w:tcW w:w="1663"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30297A0F" w14:textId="77777777" w:rsidR="00676D2F" w:rsidRPr="008F4E90" w:rsidRDefault="00676D2F" w:rsidP="00AD5393">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13(2.92)</w:t>
            </w:r>
          </w:p>
        </w:tc>
        <w:tc>
          <w:tcPr>
            <w:tcW w:w="1164"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423C5689"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174(89)</w:t>
            </w:r>
          </w:p>
        </w:tc>
        <w:tc>
          <w:tcPr>
            <w:tcW w:w="1040"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1FD08B61"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125(0)</w:t>
            </w:r>
          </w:p>
        </w:tc>
        <w:tc>
          <w:tcPr>
            <w:tcW w:w="1286"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1E7FD844"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125(1)</w:t>
            </w:r>
          </w:p>
        </w:tc>
        <w:tc>
          <w:tcPr>
            <w:tcW w:w="1117"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29985BE1"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69(26)</w:t>
            </w:r>
          </w:p>
        </w:tc>
        <w:tc>
          <w:tcPr>
            <w:tcW w:w="867" w:type="dxa"/>
            <w:tcBorders>
              <w:top w:val="single" w:sz="8" w:space="0" w:color="FCFDFD"/>
              <w:left w:val="single" w:sz="8" w:space="0" w:color="FCFDFD"/>
              <w:bottom w:val="single" w:sz="8" w:space="0" w:color="000000"/>
              <w:right w:val="single" w:sz="8" w:space="0" w:color="FCFDFD"/>
            </w:tcBorders>
            <w:tcMar>
              <w:top w:w="100" w:type="dxa"/>
              <w:left w:w="100" w:type="dxa"/>
              <w:bottom w:w="100" w:type="dxa"/>
              <w:right w:w="100" w:type="dxa"/>
            </w:tcMar>
            <w:hideMark/>
          </w:tcPr>
          <w:p w14:paraId="5509A2E6" w14:textId="77777777" w:rsidR="00676D2F" w:rsidRPr="008F4E90" w:rsidRDefault="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rPr>
              <w:t>69(26)</w:t>
            </w:r>
          </w:p>
        </w:tc>
      </w:tr>
    </w:tbl>
    <w:p w14:paraId="42E3B7B0"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i/>
          <w:iCs/>
        </w:rPr>
        <w:t>Note</w:t>
      </w:r>
      <w:r w:rsidRPr="008F4E90">
        <w:rPr>
          <w:rFonts w:asciiTheme="majorBidi" w:hAnsiTheme="majorBidi" w:cstheme="majorBidi"/>
        </w:rPr>
        <w:t>. DAS GCA = Differential Ability Scales General Conceptual Ability</w:t>
      </w:r>
    </w:p>
    <w:p w14:paraId="350AB4C7"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t>Numeric values indicate mean and (standard deviation)</w:t>
      </w:r>
    </w:p>
    <w:p w14:paraId="76C607F6"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Figure 1 </w:t>
      </w:r>
    </w:p>
    <w:p w14:paraId="262C681F"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i/>
          <w:iCs/>
        </w:rPr>
        <w:t>Distribution of Age for individuals with ASC and neurotypical controls</w:t>
      </w:r>
    </w:p>
    <w:p w14:paraId="10A33B91"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noProof/>
          <w:bdr w:val="none" w:sz="0" w:space="0" w:color="auto" w:frame="1"/>
        </w:rPr>
        <w:lastRenderedPageBreak/>
        <w:drawing>
          <wp:inline distT="0" distB="0" distL="0" distR="0" wp14:anchorId="6F9D4A3B" wp14:editId="0035BDD6">
            <wp:extent cx="5733415" cy="42951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733415" cy="4295140"/>
                    </a:xfrm>
                    <a:prstGeom prst="rect">
                      <a:avLst/>
                    </a:prstGeom>
                    <a:noFill/>
                    <a:ln>
                      <a:noFill/>
                    </a:ln>
                  </pic:spPr>
                </pic:pic>
              </a:graphicData>
            </a:graphic>
          </wp:inline>
        </w:drawing>
      </w:r>
    </w:p>
    <w:p w14:paraId="6130D608"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i/>
          <w:iCs/>
        </w:rPr>
        <w:t xml:space="preserve">Note. </w:t>
      </w:r>
      <w:r w:rsidRPr="008F4E90">
        <w:rPr>
          <w:rFonts w:asciiTheme="majorBidi" w:hAnsiTheme="majorBidi" w:cstheme="majorBidi"/>
        </w:rPr>
        <w:t>The age range, represented from left to right, includes the minimum, mean, and maximum values. The x-axis corresponds to age, while the y-axis represents the count of individuals.</w:t>
      </w:r>
    </w:p>
    <w:p w14:paraId="298FDF21"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 xml:space="preserve">EEG Data </w:t>
      </w:r>
      <w:r w:rsidR="0034404A" w:rsidRPr="008F4E90">
        <w:rPr>
          <w:rFonts w:asciiTheme="majorBidi" w:hAnsiTheme="majorBidi" w:cstheme="majorBidi"/>
          <w:b/>
          <w:bCs/>
        </w:rPr>
        <w:t>Pre-processing</w:t>
      </w:r>
      <w:r w:rsidRPr="008F4E90">
        <w:rPr>
          <w:rFonts w:asciiTheme="majorBidi" w:hAnsiTheme="majorBidi" w:cstheme="majorBidi"/>
          <w:b/>
          <w:bCs/>
        </w:rPr>
        <w:t> </w:t>
      </w:r>
    </w:p>
    <w:p w14:paraId="0F6FAFE3" w14:textId="77777777" w:rsidR="002941F7" w:rsidRDefault="00676D2F" w:rsidP="002941F7">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The data used for analysis were already filtered and </w:t>
      </w:r>
      <w:r w:rsidR="002941F7">
        <w:rPr>
          <w:rFonts w:asciiTheme="majorBidi" w:hAnsiTheme="majorBidi" w:cstheme="majorBidi"/>
        </w:rPr>
        <w:t xml:space="preserve">pre-cleaned by the </w:t>
      </w:r>
      <w:r w:rsidR="002941F7" w:rsidRPr="008F4E90">
        <w:rPr>
          <w:rFonts w:asciiTheme="majorBidi" w:hAnsiTheme="majorBidi" w:cstheme="majorBidi"/>
        </w:rPr>
        <w:t>original collection team</w:t>
      </w:r>
      <w:r w:rsidRPr="008F4E90">
        <w:rPr>
          <w:rFonts w:asciiTheme="majorBidi" w:hAnsiTheme="majorBidi" w:cstheme="majorBidi"/>
        </w:rPr>
        <w:t xml:space="preserve">. Specifically, the data were high passed at .1 Hz, low passed at 100Hz, and notch filtered at 60 Hz to remove line noise. Additionally, channels with high impedances were removed, and the data were divided into 2.048-second epochs. </w:t>
      </w:r>
    </w:p>
    <w:p w14:paraId="4ABB4219" w14:textId="77777777" w:rsidR="004D3F34" w:rsidRPr="008F4E90" w:rsidRDefault="002941F7" w:rsidP="004D3F34">
      <w:pPr>
        <w:pStyle w:val="NormalWeb"/>
        <w:spacing w:before="0" w:beforeAutospacing="0" w:after="0" w:afterAutospacing="0" w:line="480" w:lineRule="auto"/>
        <w:ind w:firstLine="720"/>
        <w:rPr>
          <w:rFonts w:asciiTheme="majorBidi" w:hAnsiTheme="majorBidi" w:cstheme="majorBidi"/>
        </w:rPr>
      </w:pPr>
      <w:r>
        <w:rPr>
          <w:rFonts w:asciiTheme="majorBidi" w:hAnsiTheme="majorBidi" w:cstheme="majorBidi"/>
        </w:rPr>
        <w:t xml:space="preserve">Furthermore, this pre-cleaned dataset was pre-processed followed the pre-processing steps provided by </w:t>
      </w:r>
      <w:proofErr w:type="spellStart"/>
      <w:r>
        <w:rPr>
          <w:rFonts w:asciiTheme="majorBidi" w:hAnsiTheme="majorBidi" w:cstheme="majorBidi"/>
        </w:rPr>
        <w:t>Dr.Adam</w:t>
      </w:r>
      <w:proofErr w:type="spellEnd"/>
      <w:r>
        <w:rPr>
          <w:rFonts w:asciiTheme="majorBidi" w:hAnsiTheme="majorBidi" w:cstheme="majorBidi"/>
        </w:rPr>
        <w:t xml:space="preserve"> Dede. Specifically, f</w:t>
      </w:r>
      <w:r w:rsidRPr="002941F7">
        <w:rPr>
          <w:rFonts w:asciiTheme="majorBidi" w:hAnsiTheme="majorBidi" w:cstheme="majorBidi"/>
        </w:rPr>
        <w:t xml:space="preserve">or each channel and epoch, the voltage difference within an 80 </w:t>
      </w:r>
      <w:proofErr w:type="spellStart"/>
      <w:r w:rsidRPr="002941F7">
        <w:rPr>
          <w:rFonts w:asciiTheme="majorBidi" w:hAnsiTheme="majorBidi" w:cstheme="majorBidi"/>
        </w:rPr>
        <w:t>ms</w:t>
      </w:r>
      <w:proofErr w:type="spellEnd"/>
      <w:r w:rsidRPr="002941F7">
        <w:rPr>
          <w:rFonts w:asciiTheme="majorBidi" w:hAnsiTheme="majorBidi" w:cstheme="majorBidi"/>
        </w:rPr>
        <w:t xml:space="preserve"> moving window, measuring the gap between the highest and lowest values</w:t>
      </w:r>
      <w:r>
        <w:rPr>
          <w:rFonts w:asciiTheme="majorBidi" w:hAnsiTheme="majorBidi" w:cstheme="majorBidi"/>
        </w:rPr>
        <w:t xml:space="preserve"> was calculated. </w:t>
      </w:r>
      <w:r w:rsidRPr="002941F7">
        <w:rPr>
          <w:rFonts w:asciiTheme="majorBidi" w:hAnsiTheme="majorBidi" w:cstheme="majorBidi"/>
        </w:rPr>
        <w:t xml:space="preserve">Epochs in which </w:t>
      </w:r>
      <w:r>
        <w:rPr>
          <w:rFonts w:asciiTheme="majorBidi" w:hAnsiTheme="majorBidi" w:cstheme="majorBidi"/>
        </w:rPr>
        <w:t xml:space="preserve">were </w:t>
      </w:r>
      <w:r w:rsidRPr="002941F7">
        <w:rPr>
          <w:rFonts w:asciiTheme="majorBidi" w:hAnsiTheme="majorBidi" w:cstheme="majorBidi"/>
        </w:rPr>
        <w:t xml:space="preserve">detected at least one 100 </w:t>
      </w:r>
      <w:r w:rsidRPr="002941F7">
        <w:rPr>
          <w:rFonts w:ascii="Cambria Math" w:hAnsi="Cambria Math" w:cs="Cambria Math"/>
        </w:rPr>
        <w:t>𝜇</w:t>
      </w:r>
      <w:r w:rsidRPr="002941F7">
        <w:rPr>
          <w:rFonts w:asciiTheme="majorBidi" w:hAnsiTheme="majorBidi" w:cstheme="majorBidi"/>
        </w:rPr>
        <w:t xml:space="preserve">V deflection were identified as potentially containing noise and were marked. A channel was considered if it exceeded the 100 </w:t>
      </w:r>
      <w:r w:rsidRPr="002941F7">
        <w:rPr>
          <w:rFonts w:ascii="Cambria Math" w:hAnsi="Cambria Math" w:cs="Cambria Math"/>
        </w:rPr>
        <w:t>𝜇</w:t>
      </w:r>
      <w:r w:rsidRPr="002941F7">
        <w:rPr>
          <w:rFonts w:asciiTheme="majorBidi" w:hAnsiTheme="majorBidi" w:cstheme="majorBidi"/>
        </w:rPr>
        <w:t xml:space="preserve">V threshold in half of the trials, leading </w:t>
      </w:r>
      <w:r w:rsidRPr="002941F7">
        <w:rPr>
          <w:rFonts w:asciiTheme="majorBidi" w:hAnsiTheme="majorBidi" w:cstheme="majorBidi"/>
        </w:rPr>
        <w:lastRenderedPageBreak/>
        <w:t xml:space="preserve">to the removal of these channels. Furthermore, if 25% of the remaining channels exhibited threshold crossings in a trial, that trial was consequently excluded. The specific details regarding the number of removed trials and channels can be found in Table 1. </w:t>
      </w:r>
      <w:r w:rsidR="009347E5">
        <w:rPr>
          <w:rFonts w:asciiTheme="majorBidi" w:hAnsiTheme="majorBidi" w:cstheme="majorBidi"/>
        </w:rPr>
        <w:t>All</w:t>
      </w:r>
      <w:r w:rsidRPr="002941F7">
        <w:rPr>
          <w:rFonts w:asciiTheme="majorBidi" w:hAnsiTheme="majorBidi" w:cstheme="majorBidi"/>
        </w:rPr>
        <w:t xml:space="preserve"> data were referenced to an average reference and then interpolated onto a standardized 32-channel montage. Lastly, a Laplacian transformation </w:t>
      </w:r>
      <w:r w:rsidR="009347E5">
        <w:rPr>
          <w:rFonts w:asciiTheme="majorBidi" w:hAnsiTheme="majorBidi" w:cstheme="majorBidi"/>
        </w:rPr>
        <w:t xml:space="preserve">was applied </w:t>
      </w:r>
      <w:r w:rsidRPr="002941F7">
        <w:rPr>
          <w:rFonts w:asciiTheme="majorBidi" w:hAnsiTheme="majorBidi" w:cstheme="majorBidi"/>
        </w:rPr>
        <w:t xml:space="preserve">to estimate the current source density of the data, and this Laplacian-transformed data were employed for calculating </w:t>
      </w:r>
      <w:proofErr w:type="spellStart"/>
      <w:r w:rsidRPr="002941F7">
        <w:rPr>
          <w:rFonts w:asciiTheme="majorBidi" w:hAnsiTheme="majorBidi" w:cstheme="majorBidi"/>
        </w:rPr>
        <w:t>intersite</w:t>
      </w:r>
      <w:proofErr w:type="spellEnd"/>
      <w:r w:rsidRPr="002941F7">
        <w:rPr>
          <w:rFonts w:asciiTheme="majorBidi" w:hAnsiTheme="majorBidi" w:cstheme="majorBidi"/>
        </w:rPr>
        <w:t xml:space="preserve"> phase clustering.</w:t>
      </w:r>
      <w:r w:rsidR="009347E5">
        <w:rPr>
          <w:rFonts w:asciiTheme="majorBidi" w:hAnsiTheme="majorBidi" w:cstheme="majorBidi"/>
        </w:rPr>
        <w:t xml:space="preserve"> </w:t>
      </w:r>
      <w:r w:rsidR="00676D2F" w:rsidRPr="008F4E90">
        <w:rPr>
          <w:rFonts w:asciiTheme="majorBidi" w:hAnsiTheme="majorBidi" w:cstheme="majorBidi"/>
        </w:rPr>
        <w:t xml:space="preserve">For more detailed information about the data import and cleaning steps, refer to the functions: </w:t>
      </w:r>
      <w:proofErr w:type="spellStart"/>
      <w:r w:rsidR="00676D2F" w:rsidRPr="008F4E90">
        <w:rPr>
          <w:rFonts w:asciiTheme="majorBidi" w:hAnsiTheme="majorBidi" w:cstheme="majorBidi"/>
          <w:i/>
          <w:iCs/>
        </w:rPr>
        <w:t>readEEGdat.m</w:t>
      </w:r>
      <w:proofErr w:type="spellEnd"/>
      <w:r w:rsidR="00676D2F" w:rsidRPr="008F4E90">
        <w:rPr>
          <w:rFonts w:asciiTheme="majorBidi" w:hAnsiTheme="majorBidi" w:cstheme="majorBidi"/>
        </w:rPr>
        <w:t xml:space="preserve">, </w:t>
      </w:r>
      <w:proofErr w:type="spellStart"/>
      <w:r w:rsidR="00676D2F" w:rsidRPr="008F4E90">
        <w:rPr>
          <w:rFonts w:asciiTheme="majorBidi" w:hAnsiTheme="majorBidi" w:cstheme="majorBidi"/>
          <w:i/>
          <w:iCs/>
        </w:rPr>
        <w:t>removeNoiseChansVolt.m</w:t>
      </w:r>
      <w:proofErr w:type="spellEnd"/>
      <w:r w:rsidR="00676D2F" w:rsidRPr="008F4E90">
        <w:rPr>
          <w:rFonts w:asciiTheme="majorBidi" w:hAnsiTheme="majorBidi" w:cstheme="majorBidi"/>
        </w:rPr>
        <w:t xml:space="preserve">, </w:t>
      </w:r>
      <w:proofErr w:type="spellStart"/>
      <w:r w:rsidR="00676D2F" w:rsidRPr="008F4E90">
        <w:rPr>
          <w:rFonts w:asciiTheme="majorBidi" w:hAnsiTheme="majorBidi" w:cstheme="majorBidi"/>
          <w:i/>
          <w:iCs/>
        </w:rPr>
        <w:t>convertCoordinates.m</w:t>
      </w:r>
      <w:proofErr w:type="spellEnd"/>
      <w:r w:rsidR="00676D2F" w:rsidRPr="008F4E90">
        <w:rPr>
          <w:rFonts w:asciiTheme="majorBidi" w:hAnsiTheme="majorBidi" w:cstheme="majorBidi"/>
        </w:rPr>
        <w:t xml:space="preserve">, </w:t>
      </w:r>
      <w:proofErr w:type="spellStart"/>
      <w:r w:rsidR="00676D2F" w:rsidRPr="008F4E90">
        <w:rPr>
          <w:rFonts w:asciiTheme="majorBidi" w:hAnsiTheme="majorBidi" w:cstheme="majorBidi"/>
          <w:i/>
          <w:iCs/>
        </w:rPr>
        <w:t>interpolate_perrinX.m</w:t>
      </w:r>
      <w:proofErr w:type="spellEnd"/>
      <w:r w:rsidR="00676D2F" w:rsidRPr="008F4E90">
        <w:rPr>
          <w:rFonts w:asciiTheme="majorBidi" w:hAnsiTheme="majorBidi" w:cstheme="majorBidi"/>
        </w:rPr>
        <w:t xml:space="preserve">, and </w:t>
      </w:r>
      <w:proofErr w:type="spellStart"/>
      <w:r w:rsidR="00676D2F" w:rsidRPr="008F4E90">
        <w:rPr>
          <w:rFonts w:asciiTheme="majorBidi" w:hAnsiTheme="majorBidi" w:cstheme="majorBidi"/>
          <w:i/>
          <w:iCs/>
        </w:rPr>
        <w:t>laplacian_perrinX.m</w:t>
      </w:r>
      <w:proofErr w:type="spellEnd"/>
      <w:r w:rsidR="00676D2F" w:rsidRPr="008F4E90">
        <w:rPr>
          <w:rFonts w:asciiTheme="majorBidi" w:hAnsiTheme="majorBidi" w:cstheme="majorBidi"/>
        </w:rPr>
        <w:t xml:space="preserve"> from </w:t>
      </w:r>
      <w:hyperlink r:id="rId414" w:history="1">
        <w:r w:rsidR="00676D2F" w:rsidRPr="008F4E90">
          <w:rPr>
            <w:rStyle w:val="Hyperlink"/>
            <w:rFonts w:asciiTheme="majorBidi" w:hAnsiTheme="majorBidi" w:cstheme="majorBidi"/>
            <w:color w:val="auto"/>
            <w:u w:val="none"/>
          </w:rPr>
          <w:t>https://github.com/adede1988/SheffieldAutismBiomarkers</w:t>
        </w:r>
      </w:hyperlink>
      <w:r w:rsidR="004D3F34">
        <w:rPr>
          <w:rFonts w:asciiTheme="majorBidi" w:hAnsiTheme="majorBidi" w:cstheme="majorBidi"/>
        </w:rPr>
        <w:t>.</w:t>
      </w:r>
    </w:p>
    <w:p w14:paraId="0CE3A07D"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Relative Power Spectra Extraction</w:t>
      </w:r>
    </w:p>
    <w:p w14:paraId="13908200" w14:textId="77777777" w:rsidR="00676D2F"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Power spectra were calculated independently in each epoch. EEG spectral power was assessed in relative form to mitigate the impact of overall power fluctuations and enhance comparability across different diagnosis groups and eye conditions. This approach offers the advantages of reducing the influence of overall power variations and facilitating comparisons between groups. By utilising relative power in EEG analysis, researchers gain the benefits of improved interpretability, enhanced comparability, and a focus on relative changes within specific frequency bands. To avoid edge artefacts, each epoch was mirrored forwards and backwards, and narrowband filtering using a Gaussian filter in the frequency domain wavelet convolution was utilised for 100 logarithmically spaced frequencies ranging from 2 to 80 Hz, as outlined by </w:t>
      </w:r>
      <w:hyperlink r:id="rId415" w:history="1">
        <w:r w:rsidRPr="008F4E90">
          <w:rPr>
            <w:rStyle w:val="Hyperlink"/>
            <w:rFonts w:asciiTheme="majorBidi" w:hAnsiTheme="majorBidi" w:cstheme="majorBidi"/>
            <w:color w:val="auto"/>
            <w:u w:val="none"/>
          </w:rPr>
          <w:t>(Cohen., 2014)</w:t>
        </w:r>
      </w:hyperlink>
      <w:r w:rsidRPr="008F4E90">
        <w:rPr>
          <w:rFonts w:asciiTheme="majorBidi" w:hAnsiTheme="majorBidi" w:cstheme="majorBidi"/>
        </w:rPr>
        <w:t>. The mean was calculated across the epoch after converting the filtered complex time series into a power time series and discarding the mirrored copies. The relative power spectra were obtained by dividing the raw power by the sum of power across the entire frequency range.</w:t>
      </w:r>
    </w:p>
    <w:p w14:paraId="29D80262" w14:textId="77777777" w:rsidR="004D3F34" w:rsidRPr="008F4E90" w:rsidRDefault="004D3F34" w:rsidP="00676D2F">
      <w:pPr>
        <w:pStyle w:val="NormalWeb"/>
        <w:spacing w:before="0" w:beforeAutospacing="0" w:after="0" w:afterAutospacing="0" w:line="480" w:lineRule="auto"/>
        <w:ind w:firstLine="720"/>
        <w:rPr>
          <w:rFonts w:asciiTheme="majorBidi" w:hAnsiTheme="majorBidi" w:cstheme="majorBidi"/>
        </w:rPr>
      </w:pPr>
    </w:p>
    <w:p w14:paraId="5EE02EE9"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Multiscale Sample Entropy (MSE) Extraction</w:t>
      </w:r>
    </w:p>
    <w:p w14:paraId="59747B28"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lastRenderedPageBreak/>
        <w:t xml:space="preserve">MSE analysis involved two procedures for each epoch and electrode. Firstly, the original signal was </w:t>
      </w:r>
      <w:proofErr w:type="spellStart"/>
      <w:r w:rsidRPr="008F4E90">
        <w:rPr>
          <w:rFonts w:asciiTheme="majorBidi" w:hAnsiTheme="majorBidi" w:cstheme="majorBidi"/>
        </w:rPr>
        <w:t>downsampled</w:t>
      </w:r>
      <w:proofErr w:type="spellEnd"/>
      <w:r w:rsidRPr="008F4E90">
        <w:rPr>
          <w:rFonts w:asciiTheme="majorBidi" w:hAnsiTheme="majorBidi" w:cstheme="majorBidi"/>
        </w:rPr>
        <w:t xml:space="preserve"> to create a coarse-grained time series at different scales. The </w:t>
      </w:r>
      <w:proofErr w:type="spellStart"/>
      <w:r w:rsidRPr="008F4E90">
        <w:rPr>
          <w:rFonts w:asciiTheme="majorBidi" w:hAnsiTheme="majorBidi" w:cstheme="majorBidi"/>
        </w:rPr>
        <w:t>downsampling</w:t>
      </w:r>
      <w:proofErr w:type="spellEnd"/>
      <w:r w:rsidRPr="008F4E90">
        <w:rPr>
          <w:rFonts w:asciiTheme="majorBidi" w:hAnsiTheme="majorBidi" w:cstheme="majorBidi"/>
        </w:rPr>
        <w:t xml:space="preserve"> factor was determined by averaging consecutive data points. Secondly, the sample entropy was computed for each coarse-grained time series. Sample entropy measures the regularity or complexity of the time series. The calculation involved comparing sequences of data points and counting the occurrences that met a similarity threshold. The similarity factor was set based on the standard deviation of the time series. The sample entropy was computed for each coarse-grained time series to assess the complexity at different scales.</w:t>
      </w:r>
    </w:p>
    <w:p w14:paraId="64A5978E"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Statistical Analysis </w:t>
      </w:r>
    </w:p>
    <w:p w14:paraId="05C80169" w14:textId="77777777" w:rsidR="008B3F72" w:rsidRDefault="00676D2F" w:rsidP="008B3F72">
      <w:pPr>
        <w:pStyle w:val="NormalWeb"/>
        <w:spacing w:line="480" w:lineRule="auto"/>
        <w:ind w:firstLine="720"/>
        <w:rPr>
          <w:rFonts w:asciiTheme="majorBidi" w:hAnsiTheme="majorBidi" w:cstheme="majorBidi"/>
        </w:rPr>
      </w:pPr>
      <w:r w:rsidRPr="008F4E90">
        <w:rPr>
          <w:rFonts w:asciiTheme="majorBidi" w:hAnsiTheme="majorBidi" w:cstheme="majorBidi"/>
        </w:rPr>
        <w:t xml:space="preserve">To test the channel-wise MSE and relative power spectrum differences between diagnosis groups and eye conditions, a series of two samples and independent samples, two-tailed t-tests were conducted with threshold-free cluster enhancement (TFCE) </w:t>
      </w:r>
      <w:hyperlink r:id="rId416" w:history="1">
        <w:r w:rsidRPr="008F4E90">
          <w:rPr>
            <w:rStyle w:val="Hyperlink"/>
            <w:rFonts w:asciiTheme="majorBidi" w:hAnsiTheme="majorBidi" w:cstheme="majorBidi"/>
            <w:color w:val="auto"/>
            <w:u w:val="none"/>
          </w:rPr>
          <w:t>(Mensen &amp; Khatami, 2013; Smith &amp; Nichols, 2009)</w:t>
        </w:r>
      </w:hyperlink>
      <w:r w:rsidRPr="008F4E90">
        <w:rPr>
          <w:rFonts w:asciiTheme="majorBidi" w:hAnsiTheme="majorBidi" w:cstheme="majorBidi"/>
        </w:rPr>
        <w:t xml:space="preserve">. This method builds on other cluster-based approaches (e.g., cluster mass and cluster height; </w:t>
      </w:r>
      <w:hyperlink r:id="rId417" w:history="1">
        <w:r w:rsidRPr="008F4E90">
          <w:rPr>
            <w:rStyle w:val="Hyperlink"/>
            <w:rFonts w:asciiTheme="majorBidi" w:hAnsiTheme="majorBidi" w:cstheme="majorBidi"/>
            <w:color w:val="auto"/>
            <w:u w:val="none"/>
          </w:rPr>
          <w:t>(Friston et al., 1996; Maris &amp; Oostenveld, 2007)</w:t>
        </w:r>
      </w:hyperlink>
      <w:r w:rsidRPr="008F4E90">
        <w:rPr>
          <w:rFonts w:asciiTheme="majorBidi" w:hAnsiTheme="majorBidi" w:cstheme="majorBidi"/>
        </w:rPr>
        <w:t xml:space="preserve">) but is sensitive to both strong-narrow and weak-broad effects, taking into account the temporal and spatial dependencies in EEG data. This alleviates the issue of setting arbitrary cut-offs when defining cluster thresholds and inference, a common problem in other cluster-based methods. TFCE has been shown as a helpful method in combination with permutation tests to maintain family-wise alpha at 0.05 effectively and control Type I error rates for multiple comparisons across all EEG electrodes. The main objective of TFCE is to enhance weaker signals that belong to large clusters to a level comparable to strong signals in smaller clusters by utilising both the intensity of the data point and information from neighbouring channels. The computational process involves setting multiple thresholds on the initial statistics, then calculating the number of points above each specific threshold along with their neighbours and multiplying this value by the current threshold height. The final TFCE value is the summation of each score at the many thresholds. Using this analysis requires setting two parameters: Signal intensity (height: H) and spatial distribution (extent: E). </w:t>
      </w:r>
    </w:p>
    <w:p w14:paraId="6BC15320" w14:textId="77777777" w:rsidR="008B3F72" w:rsidRDefault="008B3F72" w:rsidP="008B3F72">
      <w:pPr>
        <w:pStyle w:val="NormalWeb"/>
        <w:spacing w:line="480" w:lineRule="auto"/>
        <w:ind w:firstLine="720"/>
        <w:rPr>
          <w:rFonts w:asciiTheme="majorBidi" w:hAnsiTheme="majorBidi" w:cstheme="majorBidi"/>
          <w:b/>
          <w:bCs/>
          <w:i/>
          <w:iCs/>
        </w:rPr>
      </w:pPr>
      <w:r w:rsidRPr="008B3F72">
        <w:rPr>
          <w:rFonts w:asciiTheme="majorBidi" w:hAnsiTheme="majorBidi" w:cstheme="majorBidi"/>
          <w:b/>
          <w:bCs/>
          <w:i/>
          <w:iCs/>
        </w:rPr>
        <w:lastRenderedPageBreak/>
        <w:t>Optimising Stability and Significance: TFCE Parameter Considerations</w:t>
      </w:r>
      <w:r>
        <w:rPr>
          <w:rFonts w:asciiTheme="majorBidi" w:hAnsiTheme="majorBidi" w:cstheme="majorBidi"/>
          <w:b/>
          <w:bCs/>
          <w:i/>
          <w:iCs/>
        </w:rPr>
        <w:t xml:space="preserve">. </w:t>
      </w:r>
      <w:r w:rsidRPr="008B3F72">
        <w:rPr>
          <w:rFonts w:asciiTheme="majorBidi" w:hAnsiTheme="majorBidi" w:cstheme="majorBidi"/>
        </w:rPr>
        <w:t xml:space="preserve">The advantage of TFCE over traditional hard-thresholding-based cluster formation aims for greater stability, minimising significant output changes with small input variations. The goal is to eliminate dependence on the arbitrary selection of the cluster-forming threshold in traditional methods, where setting the threshold lacks a principled approach (Smith and Nichols 2009). However, in TFCE there is still a need to choose parameters E and H. The E parameter controls how large clusters must be to be considered significant. A higher E is more conservative, demanding larger clusters for significance, while a lower E increases sensitivity, allowing smaller clusters to be deemed significant. On the other hand, the H parameter regulates the intensity required within a cluster for significance. A higher H is more conservative, requiring higher intensity values, while a lower H increases sensitivity, permitting clusters with lower intensity values to be considered significant. The optimal choice of E and H depends on the desired balance between minimising false positives and detecting true activations. </w:t>
      </w:r>
    </w:p>
    <w:p w14:paraId="40A97DC3" w14:textId="490F51C8" w:rsidR="008B3F72" w:rsidRPr="008B3F72" w:rsidRDefault="008B3F72" w:rsidP="008B3F72">
      <w:pPr>
        <w:pStyle w:val="NormalWeb"/>
        <w:spacing w:line="480" w:lineRule="auto"/>
        <w:ind w:firstLine="720"/>
        <w:rPr>
          <w:rFonts w:asciiTheme="majorBidi" w:hAnsiTheme="majorBidi" w:cstheme="majorBidi"/>
          <w:b/>
          <w:bCs/>
          <w:i/>
          <w:iCs/>
        </w:rPr>
      </w:pPr>
      <w:r w:rsidRPr="008B3F72">
        <w:rPr>
          <w:rFonts w:asciiTheme="majorBidi" w:hAnsiTheme="majorBidi" w:cstheme="majorBidi"/>
          <w:b/>
          <w:bCs/>
          <w:i/>
          <w:iCs/>
        </w:rPr>
        <w:t>The potential combination of E and H parameters</w:t>
      </w:r>
      <w:r>
        <w:rPr>
          <w:rFonts w:asciiTheme="majorBidi" w:hAnsiTheme="majorBidi" w:cstheme="majorBidi"/>
          <w:b/>
          <w:bCs/>
          <w:i/>
          <w:iCs/>
        </w:rPr>
        <w:t xml:space="preserve">. </w:t>
      </w:r>
      <w:r w:rsidRPr="008B3F72">
        <w:rPr>
          <w:rFonts w:asciiTheme="majorBidi" w:hAnsiTheme="majorBidi" w:cstheme="majorBidi"/>
        </w:rPr>
        <w:t>In an empirical study, the researchers explored the effects of different E and H parameters, spanning the range of 0.1, 0.5, 1, 2, and 3. Subsequently, they selected specific values, E=0.5 and H=2, for further analysis. This choice revealed significant group differences, as highlighted in the preceding summary, showcasing the sensitivity and interpretability achieved with these specific parameter settings. Additionally, by applying Random Field Theory (RFT), the researchers estimated uncorrected P-values for a TFCE statistic with H = 2 and E = 2/3, closely mirroring empirically determined values of H = 2 and E = 0.5.</w:t>
      </w:r>
    </w:p>
    <w:p w14:paraId="6C8B8148" w14:textId="04A41322" w:rsidR="00FE078B" w:rsidRDefault="008B3F72" w:rsidP="008B3F72">
      <w:pPr>
        <w:pStyle w:val="NormalWeb"/>
        <w:spacing w:line="480" w:lineRule="auto"/>
        <w:ind w:firstLine="720"/>
        <w:rPr>
          <w:rFonts w:asciiTheme="majorBidi" w:hAnsiTheme="majorBidi" w:cstheme="majorBidi"/>
        </w:rPr>
      </w:pPr>
      <w:r w:rsidRPr="008B3F72">
        <w:rPr>
          <w:rFonts w:asciiTheme="majorBidi" w:hAnsiTheme="majorBidi" w:cstheme="majorBidi"/>
        </w:rPr>
        <w:t xml:space="preserve">To calculate the FWERs of different optimal combinations of E and H for the TFCE, I performed permutation tests (1,000 permutations in this study). For this permutation test, I first selected 174 neurotypical control subjects from eyes-open condition to maximise sample homogeneity. Then, 40 subjects were randomly picked from the set of 174 subjects and randomly assigned to two equal groups (20 per group). Because assignment was fully random, no significant results should have emerged when </w:t>
      </w:r>
      <w:r w:rsidRPr="008B3F72">
        <w:rPr>
          <w:rFonts w:asciiTheme="majorBidi" w:hAnsiTheme="majorBidi" w:cstheme="majorBidi"/>
        </w:rPr>
        <w:lastRenderedPageBreak/>
        <w:t xml:space="preserve">these two groups’ </w:t>
      </w:r>
      <w:proofErr w:type="spellStart"/>
      <w:r w:rsidRPr="008B3F72">
        <w:rPr>
          <w:rFonts w:asciiTheme="majorBidi" w:hAnsiTheme="majorBidi" w:cstheme="majorBidi"/>
        </w:rPr>
        <w:t>rs</w:t>
      </w:r>
      <w:proofErr w:type="spellEnd"/>
      <w:r w:rsidRPr="008B3F72">
        <w:rPr>
          <w:rFonts w:asciiTheme="majorBidi" w:hAnsiTheme="majorBidi" w:cstheme="majorBidi"/>
        </w:rPr>
        <w:t xml:space="preserve">-EEG metrics were compared. The identification of a significant difference following multiple comparison correction signifies the occurrence of a family-wise error. Consequently, FWER was computed as the proportion of such false positives among all comparisons within the permutation tests.  Here, I chose the combination of E/H as 0.66 / 2; 0.5 / 2; 0.66 / 3; all FWER values are under the nominal 5% level. </w:t>
      </w:r>
      <w:r>
        <w:rPr>
          <w:rFonts w:asciiTheme="majorBidi" w:hAnsiTheme="majorBidi" w:cstheme="majorBidi"/>
        </w:rPr>
        <w:t xml:space="preserve">Additionally, based </w:t>
      </w:r>
      <w:r w:rsidR="00676D2F" w:rsidRPr="008F4E90">
        <w:rPr>
          <w:rFonts w:asciiTheme="majorBidi" w:hAnsiTheme="majorBidi" w:cstheme="majorBidi"/>
        </w:rPr>
        <w:t xml:space="preserve">on the results from </w:t>
      </w:r>
      <w:hyperlink r:id="rId418" w:history="1">
        <w:r w:rsidR="00676D2F" w:rsidRPr="008F4E90">
          <w:rPr>
            <w:rStyle w:val="Hyperlink"/>
            <w:rFonts w:asciiTheme="majorBidi" w:hAnsiTheme="majorBidi" w:cstheme="majorBidi"/>
            <w:color w:val="auto"/>
            <w:u w:val="none"/>
          </w:rPr>
          <w:t>(Mensen Khatami, 2013)</w:t>
        </w:r>
      </w:hyperlink>
      <w:r w:rsidR="00676D2F" w:rsidRPr="008F4E90">
        <w:rPr>
          <w:rFonts w:asciiTheme="majorBidi" w:hAnsiTheme="majorBidi" w:cstheme="majorBidi"/>
        </w:rPr>
        <w:t xml:space="preserve">, </w:t>
      </w:r>
      <w:r>
        <w:rPr>
          <w:rFonts w:asciiTheme="majorBidi" w:hAnsiTheme="majorBidi" w:cstheme="majorBidi"/>
        </w:rPr>
        <w:t>I finally</w:t>
      </w:r>
      <w:r w:rsidR="00676D2F" w:rsidRPr="008F4E90">
        <w:rPr>
          <w:rFonts w:asciiTheme="majorBidi" w:hAnsiTheme="majorBidi" w:cstheme="majorBidi"/>
        </w:rPr>
        <w:t xml:space="preserve"> set E = .66 and H = 2 for TFCE. This also involved conducting 5,000 random permutations between or within participants to construct an empirical distribution that closely resembles the null hypothesis of no discernible variations in either group or eye conditions. This was done separately at each time scale (MSE) and frequency band (relative power). These analyses used the </w:t>
      </w:r>
      <w:proofErr w:type="spellStart"/>
      <w:r w:rsidR="00676D2F" w:rsidRPr="008F4E90">
        <w:rPr>
          <w:rFonts w:asciiTheme="majorBidi" w:hAnsiTheme="majorBidi" w:cstheme="majorBidi"/>
        </w:rPr>
        <w:t>ept_TFCE</w:t>
      </w:r>
      <w:proofErr w:type="spellEnd"/>
      <w:r w:rsidR="00676D2F" w:rsidRPr="008F4E90">
        <w:rPr>
          <w:rFonts w:asciiTheme="majorBidi" w:hAnsiTheme="majorBidi" w:cstheme="majorBidi"/>
        </w:rPr>
        <w:t xml:space="preserve"> function from the TFCE toolbox (</w:t>
      </w:r>
      <w:hyperlink r:id="rId419" w:history="1">
        <w:r w:rsidR="00676D2F" w:rsidRPr="008F4E90">
          <w:rPr>
            <w:rStyle w:val="Hyperlink"/>
            <w:rFonts w:asciiTheme="majorBidi" w:hAnsiTheme="majorBidi" w:cstheme="majorBidi"/>
            <w:color w:val="auto"/>
            <w:u w:val="none"/>
          </w:rPr>
          <w:t>https://github.com/Mensen/ept_TFCE-matlab</w:t>
        </w:r>
      </w:hyperlink>
      <w:r w:rsidR="00676D2F" w:rsidRPr="008F4E90">
        <w:rPr>
          <w:rFonts w:asciiTheme="majorBidi" w:hAnsiTheme="majorBidi" w:cstheme="majorBidi"/>
        </w:rPr>
        <w:t>). </w:t>
      </w:r>
      <w:r w:rsidR="00D4775A" w:rsidRPr="00D4775A">
        <w:rPr>
          <w:rFonts w:asciiTheme="majorBidi" w:hAnsiTheme="majorBidi" w:cstheme="majorBidi"/>
        </w:rPr>
        <w:t>The complete procedure is carried out within the context of the following GitHub repository: https://github.com/wenyixiao0058/eegstudy.git, specifically focusing on the "</w:t>
      </w:r>
      <w:proofErr w:type="spellStart"/>
      <w:r w:rsidR="00D4775A" w:rsidRPr="00D4775A">
        <w:rPr>
          <w:rFonts w:asciiTheme="majorBidi" w:hAnsiTheme="majorBidi" w:cstheme="majorBidi"/>
        </w:rPr>
        <w:t>tfce_scripts.m</w:t>
      </w:r>
      <w:proofErr w:type="spellEnd"/>
      <w:r w:rsidR="00D4775A" w:rsidRPr="00D4775A">
        <w:rPr>
          <w:rFonts w:asciiTheme="majorBidi" w:hAnsiTheme="majorBidi" w:cstheme="majorBidi"/>
        </w:rPr>
        <w:t>" file.</w:t>
      </w:r>
    </w:p>
    <w:p w14:paraId="770751D8" w14:textId="21B65FF2" w:rsidR="00676D2F" w:rsidRPr="008F4E90" w:rsidRDefault="00676D2F" w:rsidP="00FE078B">
      <w:pPr>
        <w:pStyle w:val="NormalWeb"/>
        <w:spacing w:line="480" w:lineRule="auto"/>
        <w:ind w:firstLine="720"/>
        <w:jc w:val="center"/>
        <w:rPr>
          <w:rFonts w:asciiTheme="majorBidi" w:hAnsiTheme="majorBidi" w:cstheme="majorBidi"/>
        </w:rPr>
      </w:pPr>
      <w:r w:rsidRPr="008F4E90">
        <w:rPr>
          <w:rFonts w:asciiTheme="majorBidi" w:hAnsiTheme="majorBidi" w:cstheme="majorBidi"/>
          <w:b/>
          <w:bCs/>
        </w:rPr>
        <w:t>Results</w:t>
      </w:r>
    </w:p>
    <w:p w14:paraId="6EDBC440"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Descriptive plots for MSE and Relative PSD </w:t>
      </w:r>
    </w:p>
    <w:p w14:paraId="4E5EC3A5" w14:textId="1455C649" w:rsidR="00FE078B" w:rsidRDefault="00FE078B" w:rsidP="008B3F72">
      <w:pPr>
        <w:pStyle w:val="NormalWeb"/>
        <w:spacing w:before="0" w:beforeAutospacing="0" w:after="0" w:afterAutospacing="0" w:line="480" w:lineRule="auto"/>
        <w:ind w:firstLine="720"/>
        <w:rPr>
          <w:rFonts w:asciiTheme="majorBidi" w:hAnsiTheme="majorBidi" w:cstheme="majorBidi"/>
        </w:rPr>
      </w:pPr>
      <w:r>
        <w:rPr>
          <w:rFonts w:asciiTheme="majorBidi" w:hAnsiTheme="majorBidi" w:cstheme="majorBidi"/>
        </w:rPr>
        <w:t>Graphical</w:t>
      </w:r>
      <w:r w:rsidR="00676D2F" w:rsidRPr="008F4E90">
        <w:rPr>
          <w:rFonts w:asciiTheme="majorBidi" w:hAnsiTheme="majorBidi" w:cstheme="majorBidi"/>
        </w:rPr>
        <w:t xml:space="preserve"> representations of Individual Sample Entropy and Relative Power Spectrum across three distinct brain regions for both the ASC and CON diagnosis groups and under different eye conditions (eyes open and closed)</w:t>
      </w:r>
      <w:r>
        <w:rPr>
          <w:rFonts w:asciiTheme="majorBidi" w:hAnsiTheme="majorBidi" w:cstheme="majorBidi"/>
        </w:rPr>
        <w:t xml:space="preserve"> are illustrated in Figure 2</w:t>
      </w:r>
      <w:r w:rsidR="00676D2F" w:rsidRPr="008F4E90">
        <w:rPr>
          <w:rFonts w:asciiTheme="majorBidi" w:hAnsiTheme="majorBidi" w:cstheme="majorBidi"/>
        </w:rPr>
        <w:t xml:space="preserve">. Green dots represent data from the individuals with ASC, while orange dots represent data from the CON group. The left </w:t>
      </w:r>
      <w:r w:rsidR="0034404A" w:rsidRPr="008F4E90">
        <w:rPr>
          <w:rFonts w:asciiTheme="majorBidi" w:hAnsiTheme="majorBidi" w:cstheme="majorBidi"/>
        </w:rPr>
        <w:t>panel (</w:t>
      </w:r>
      <w:r w:rsidR="00676D2F" w:rsidRPr="008F4E90">
        <w:rPr>
          <w:rFonts w:asciiTheme="majorBidi" w:hAnsiTheme="majorBidi" w:cstheme="majorBidi"/>
        </w:rPr>
        <w:t xml:space="preserve">Panel A) is for multiscale sample entropy, while the </w:t>
      </w:r>
      <w:r w:rsidR="004D3F34" w:rsidRPr="008F4E90">
        <w:rPr>
          <w:rFonts w:asciiTheme="majorBidi" w:hAnsiTheme="majorBidi" w:cstheme="majorBidi"/>
        </w:rPr>
        <w:t>right (</w:t>
      </w:r>
      <w:r w:rsidR="00676D2F" w:rsidRPr="008F4E90">
        <w:rPr>
          <w:rFonts w:asciiTheme="majorBidi" w:hAnsiTheme="majorBidi" w:cstheme="majorBidi"/>
        </w:rPr>
        <w:t>Panel B) is for relative power spectra. Within each set of plots, the upper plot shows data for the eyes-open condition, while the lower plot shows data for the eyes-closed condition. Figures A(a)</w:t>
      </w:r>
      <w:r>
        <w:rPr>
          <w:rFonts w:asciiTheme="majorBidi" w:hAnsiTheme="majorBidi" w:cstheme="majorBidi"/>
        </w:rPr>
        <w:t xml:space="preserve"> </w:t>
      </w:r>
      <w:r w:rsidR="00676D2F" w:rsidRPr="008F4E90">
        <w:rPr>
          <w:rFonts w:asciiTheme="majorBidi" w:hAnsiTheme="majorBidi" w:cstheme="majorBidi"/>
        </w:rPr>
        <w:t xml:space="preserve">and B(a) are for the central region, which includes all electrodes averaged across the central region, while Figures A(b) and B(c), as well as A(c) and B(c) are for the frontal and parietal-occipital regions, respectively. The y-axis represents the raw sample entropy or relative frequency across the time scales or frequency. </w:t>
      </w:r>
      <w:r w:rsidR="008B3F72">
        <w:rPr>
          <w:rFonts w:asciiTheme="majorBidi" w:hAnsiTheme="majorBidi" w:cstheme="majorBidi"/>
        </w:rPr>
        <w:t>While</w:t>
      </w:r>
      <w:r>
        <w:rPr>
          <w:rFonts w:asciiTheme="majorBidi" w:hAnsiTheme="majorBidi" w:cstheme="majorBidi"/>
        </w:rPr>
        <w:t xml:space="preserve"> the </w:t>
      </w:r>
      <w:r w:rsidRPr="008F4E90">
        <w:rPr>
          <w:rFonts w:asciiTheme="majorBidi" w:hAnsiTheme="majorBidi" w:cstheme="majorBidi"/>
        </w:rPr>
        <w:t>x</w:t>
      </w:r>
      <w:r w:rsidR="00676D2F" w:rsidRPr="008F4E90">
        <w:rPr>
          <w:rFonts w:asciiTheme="majorBidi" w:hAnsiTheme="majorBidi" w:cstheme="majorBidi"/>
        </w:rPr>
        <w:t xml:space="preserve">-axis shows the time scale factor divided into </w:t>
      </w:r>
      <w:r w:rsidR="00676D2F" w:rsidRPr="008F4E90">
        <w:rPr>
          <w:rFonts w:asciiTheme="majorBidi" w:hAnsiTheme="majorBidi" w:cstheme="majorBidi"/>
        </w:rPr>
        <w:lastRenderedPageBreak/>
        <w:t xml:space="preserve">fine, mid, and coarse or frequency bands (delta, theta, alpha, beta and gamma), which are displayed in different shadowed areas. In Panel A, each plot includes an additional </w:t>
      </w:r>
      <w:r>
        <w:rPr>
          <w:rFonts w:asciiTheme="majorBidi" w:hAnsiTheme="majorBidi" w:cstheme="majorBidi"/>
        </w:rPr>
        <w:t>coloured</w:t>
      </w:r>
      <w:r w:rsidR="00676D2F" w:rsidRPr="008F4E90">
        <w:rPr>
          <w:rFonts w:asciiTheme="majorBidi" w:hAnsiTheme="majorBidi" w:cstheme="majorBidi"/>
        </w:rPr>
        <w:t xml:space="preserve"> line representing the averaged entropy values curve across subjects in both groups. </w:t>
      </w:r>
    </w:p>
    <w:p w14:paraId="5A4AF857" w14:textId="77777777" w:rsidR="00676D2F" w:rsidRPr="008F4E90" w:rsidRDefault="00676D2F" w:rsidP="00AB1E6F">
      <w:pPr>
        <w:spacing w:after="240"/>
        <w:rPr>
          <w:rFonts w:asciiTheme="majorBidi" w:hAnsiTheme="majorBidi" w:cstheme="majorBidi"/>
        </w:rPr>
      </w:pPr>
      <w:r w:rsidRPr="008F4E90">
        <w:rPr>
          <w:rFonts w:asciiTheme="majorBidi" w:hAnsiTheme="majorBidi" w:cstheme="majorBidi"/>
          <w:b/>
          <w:bCs/>
        </w:rPr>
        <w:t>Figure 2 </w:t>
      </w:r>
    </w:p>
    <w:p w14:paraId="09260BC8"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i/>
          <w:iCs/>
        </w:rPr>
        <w:t>Descriptive visualisation of Multiscale sample entropy and Relative Power Spectra</w:t>
      </w:r>
    </w:p>
    <w:p w14:paraId="139EB9E5" w14:textId="77777777" w:rsidR="0034404A" w:rsidRPr="008F4E90" w:rsidRDefault="00676D2F" w:rsidP="0034404A">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noProof/>
          <w:bdr w:val="none" w:sz="0" w:space="0" w:color="auto" w:frame="1"/>
        </w:rPr>
        <w:lastRenderedPageBreak/>
        <w:drawing>
          <wp:inline distT="0" distB="0" distL="0" distR="0" wp14:anchorId="28C06CB9" wp14:editId="7917AE9A">
            <wp:extent cx="5991225" cy="774920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0">
                      <a:extLst>
                        <a:ext uri="{28A0092B-C50C-407E-A947-70E740481C1C}">
                          <a14:useLocalDpi xmlns:a14="http://schemas.microsoft.com/office/drawing/2010/main" val="0"/>
                        </a:ext>
                      </a:extLst>
                    </a:blip>
                    <a:srcRect l="3880" t="4947" b="5204"/>
                    <a:stretch/>
                  </pic:blipFill>
                  <pic:spPr bwMode="auto">
                    <a:xfrm>
                      <a:off x="0" y="0"/>
                      <a:ext cx="5999973" cy="7760522"/>
                    </a:xfrm>
                    <a:prstGeom prst="rect">
                      <a:avLst/>
                    </a:prstGeom>
                    <a:noFill/>
                    <a:ln>
                      <a:noFill/>
                    </a:ln>
                    <a:extLst>
                      <a:ext uri="{53640926-AAD7-44D8-BBD7-CCE9431645EC}">
                        <a14:shadowObscured xmlns:a14="http://schemas.microsoft.com/office/drawing/2010/main"/>
                      </a:ext>
                    </a:extLst>
                  </pic:spPr>
                </pic:pic>
              </a:graphicData>
            </a:graphic>
          </wp:inline>
        </w:drawing>
      </w:r>
    </w:p>
    <w:p w14:paraId="4B4E4F8C"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i/>
          <w:iCs/>
        </w:rPr>
        <w:t xml:space="preserve">Note. </w:t>
      </w:r>
      <w:r w:rsidRPr="008F4E90">
        <w:rPr>
          <w:rFonts w:asciiTheme="majorBidi" w:hAnsiTheme="majorBidi" w:cstheme="majorBidi"/>
        </w:rPr>
        <w:t>δ = delta; θ = theta; α = alpha; β = beta; γ1 = low gamma; γ2 = high gamma.</w:t>
      </w:r>
    </w:p>
    <w:p w14:paraId="164E8108"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Multiscale Sample Entropy Result</w:t>
      </w:r>
    </w:p>
    <w:p w14:paraId="5CB8DB35"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lastRenderedPageBreak/>
        <w:t>Channel-wise differences were presented in the direction and magnitude of diagnosis group distinctions under both eyes-open and closed conditions, as well as the contrasts between eyes-open and closed conditions.</w:t>
      </w:r>
      <w:r w:rsidRPr="008F4E90">
        <w:rPr>
          <w:rFonts w:asciiTheme="majorBidi" w:hAnsiTheme="majorBidi" w:cstheme="majorBidi"/>
          <w:b/>
          <w:bCs/>
        </w:rPr>
        <w:t xml:space="preserve"> </w:t>
      </w:r>
      <w:r w:rsidRPr="008F4E90">
        <w:rPr>
          <w:rFonts w:asciiTheme="majorBidi" w:hAnsiTheme="majorBidi" w:cstheme="majorBidi"/>
        </w:rPr>
        <w:t xml:space="preserve">The averaged multiscale sample entropy was visualised for different across the time scales (fine, </w:t>
      </w:r>
      <w:r w:rsidR="00D76351" w:rsidRPr="008F4E90">
        <w:rPr>
          <w:rFonts w:asciiTheme="majorBidi" w:hAnsiTheme="majorBidi" w:cstheme="majorBidi"/>
        </w:rPr>
        <w:t>mid,</w:t>
      </w:r>
      <w:r w:rsidRPr="008F4E90">
        <w:rPr>
          <w:rFonts w:asciiTheme="majorBidi" w:hAnsiTheme="majorBidi" w:cstheme="majorBidi"/>
        </w:rPr>
        <w:t xml:space="preserve"> and coarse) and averaged across all electrodes and participants (regardless of diagnostic group) brain regions (frontal, central and parietal-occipital), resulting in a significantly greater brain complexity during the eyes-open condition compared to eyes-closed condition regardless of the diagnosis groups (Figure </w:t>
      </w:r>
      <w:r w:rsidR="00D76351">
        <w:rPr>
          <w:rFonts w:asciiTheme="majorBidi" w:hAnsiTheme="majorBidi" w:cstheme="majorBidi"/>
        </w:rPr>
        <w:t>3</w:t>
      </w:r>
      <w:r w:rsidRPr="008F4E90">
        <w:rPr>
          <w:rFonts w:asciiTheme="majorBidi" w:hAnsiTheme="majorBidi" w:cstheme="majorBidi"/>
        </w:rPr>
        <w:t xml:space="preserve">, A). These findings were further supported by the channel-wise comparisons shown in Figure </w:t>
      </w:r>
      <w:r w:rsidR="00D76351">
        <w:rPr>
          <w:rFonts w:asciiTheme="majorBidi" w:hAnsiTheme="majorBidi" w:cstheme="majorBidi"/>
        </w:rPr>
        <w:t>3,</w:t>
      </w:r>
      <w:r w:rsidRPr="008F4E90">
        <w:rPr>
          <w:rFonts w:asciiTheme="majorBidi" w:hAnsiTheme="majorBidi" w:cstheme="majorBidi"/>
        </w:rPr>
        <w:t xml:space="preserve"> C(</w:t>
      </w:r>
      <w:proofErr w:type="spellStart"/>
      <w:r w:rsidRPr="008F4E90">
        <w:rPr>
          <w:rFonts w:asciiTheme="majorBidi" w:hAnsiTheme="majorBidi" w:cstheme="majorBidi"/>
        </w:rPr>
        <w:t>i</w:t>
      </w:r>
      <w:proofErr w:type="spellEnd"/>
      <w:r w:rsidRPr="008F4E90">
        <w:rPr>
          <w:rFonts w:asciiTheme="majorBidi" w:hAnsiTheme="majorBidi" w:cstheme="majorBidi"/>
        </w:rPr>
        <w:t>) and C(ii). </w:t>
      </w:r>
    </w:p>
    <w:p w14:paraId="3ABE6F26"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To examine group differences, the averaged MSE across time scales and brain regions were visualised separately for the eyes-open (left side Figure </w:t>
      </w:r>
      <w:r w:rsidR="00D76351">
        <w:rPr>
          <w:rFonts w:asciiTheme="majorBidi" w:hAnsiTheme="majorBidi" w:cstheme="majorBidi"/>
        </w:rPr>
        <w:t>3</w:t>
      </w:r>
      <w:r w:rsidRPr="008F4E90">
        <w:rPr>
          <w:rFonts w:asciiTheme="majorBidi" w:hAnsiTheme="majorBidi" w:cstheme="majorBidi"/>
        </w:rPr>
        <w:t xml:space="preserve">B panel) and closed (right side Figure </w:t>
      </w:r>
      <w:r w:rsidR="00D76351">
        <w:rPr>
          <w:rFonts w:asciiTheme="majorBidi" w:hAnsiTheme="majorBidi" w:cstheme="majorBidi"/>
        </w:rPr>
        <w:t>3</w:t>
      </w:r>
      <w:r w:rsidRPr="008F4E90">
        <w:rPr>
          <w:rFonts w:asciiTheme="majorBidi" w:hAnsiTheme="majorBidi" w:cstheme="majorBidi"/>
        </w:rPr>
        <w:t xml:space="preserve">B Panel) condition, as depicted in Figure </w:t>
      </w:r>
      <w:r w:rsidR="00D76351">
        <w:rPr>
          <w:rFonts w:asciiTheme="majorBidi" w:hAnsiTheme="majorBidi" w:cstheme="majorBidi"/>
        </w:rPr>
        <w:t>3</w:t>
      </w:r>
      <w:r w:rsidRPr="008F4E90">
        <w:rPr>
          <w:rFonts w:asciiTheme="majorBidi" w:hAnsiTheme="majorBidi" w:cstheme="majorBidi"/>
        </w:rPr>
        <w:t>, B(</w:t>
      </w:r>
      <w:proofErr w:type="spellStart"/>
      <w:r w:rsidRPr="008F4E90">
        <w:rPr>
          <w:rFonts w:asciiTheme="majorBidi" w:hAnsiTheme="majorBidi" w:cstheme="majorBidi"/>
        </w:rPr>
        <w:t>i</w:t>
      </w:r>
      <w:proofErr w:type="spellEnd"/>
      <w:r w:rsidRPr="008F4E90">
        <w:rPr>
          <w:rFonts w:asciiTheme="majorBidi" w:hAnsiTheme="majorBidi" w:cstheme="majorBidi"/>
        </w:rPr>
        <w:t xml:space="preserve">). The TFCE-based method revealed a significant group difference during only the eyes-closed condition after correction. Specifically, individuals with ASC exhibited reduced sample entropy compared to neurotypical counterparts, particularly at the coarse scale across the entire brain (Figure </w:t>
      </w:r>
      <w:r w:rsidR="00D76351">
        <w:rPr>
          <w:rFonts w:asciiTheme="majorBidi" w:hAnsiTheme="majorBidi" w:cstheme="majorBidi"/>
        </w:rPr>
        <w:t>3</w:t>
      </w:r>
      <w:r w:rsidRPr="008F4E90">
        <w:rPr>
          <w:rFonts w:asciiTheme="majorBidi" w:hAnsiTheme="majorBidi" w:cstheme="majorBidi"/>
        </w:rPr>
        <w:t>, D(</w:t>
      </w:r>
      <w:proofErr w:type="spellStart"/>
      <w:r w:rsidRPr="008F4E90">
        <w:rPr>
          <w:rFonts w:asciiTheme="majorBidi" w:hAnsiTheme="majorBidi" w:cstheme="majorBidi"/>
        </w:rPr>
        <w:t>i</w:t>
      </w:r>
      <w:proofErr w:type="spellEnd"/>
      <w:r w:rsidRPr="008F4E90">
        <w:rPr>
          <w:rFonts w:asciiTheme="majorBidi" w:hAnsiTheme="majorBidi" w:cstheme="majorBidi"/>
        </w:rPr>
        <w:t xml:space="preserve">) and D(ii)). The TFCE-based method only revealed a significant group difference at the eyes-closed condition after correction. Specifically, individuals with ASC exhibited reduced sample entropy compared to neurotypical counterparts, particularly at the coarse scale across the entire brain (Figure </w:t>
      </w:r>
      <w:r w:rsidR="00D76351">
        <w:rPr>
          <w:rFonts w:asciiTheme="majorBidi" w:hAnsiTheme="majorBidi" w:cstheme="majorBidi"/>
        </w:rPr>
        <w:t>3</w:t>
      </w:r>
      <w:r w:rsidRPr="008F4E90">
        <w:rPr>
          <w:rFonts w:asciiTheme="majorBidi" w:hAnsiTheme="majorBidi" w:cstheme="majorBidi"/>
        </w:rPr>
        <w:t>, D(</w:t>
      </w:r>
      <w:proofErr w:type="spellStart"/>
      <w:r w:rsidRPr="008F4E90">
        <w:rPr>
          <w:rFonts w:asciiTheme="majorBidi" w:hAnsiTheme="majorBidi" w:cstheme="majorBidi"/>
        </w:rPr>
        <w:t>i</w:t>
      </w:r>
      <w:proofErr w:type="spellEnd"/>
      <w:r w:rsidRPr="008F4E90">
        <w:rPr>
          <w:rFonts w:asciiTheme="majorBidi" w:hAnsiTheme="majorBidi" w:cstheme="majorBidi"/>
        </w:rPr>
        <w:t>) and D(ii)).</w:t>
      </w:r>
    </w:p>
    <w:p w14:paraId="36BAD80D" w14:textId="77777777" w:rsidR="00676D2F" w:rsidRPr="008F4E90" w:rsidRDefault="00676D2F" w:rsidP="0034404A">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To investigate group differences between eyes-open and eyes-closed conditions, the averaged MSE was calculated and visualised as the difference score (eyes-open minus eyes-closed) across brain regions at each time scale factor, as illustrated in Figure </w:t>
      </w:r>
      <w:r w:rsidR="00D76351">
        <w:rPr>
          <w:rFonts w:asciiTheme="majorBidi" w:hAnsiTheme="majorBidi" w:cstheme="majorBidi"/>
        </w:rPr>
        <w:t>3</w:t>
      </w:r>
      <w:r w:rsidRPr="008F4E90">
        <w:rPr>
          <w:rFonts w:asciiTheme="majorBidi" w:hAnsiTheme="majorBidi" w:cstheme="majorBidi"/>
        </w:rPr>
        <w:t xml:space="preserve">, B(ii). Overall, the entropy during the eyes-open condition was considerably higher than during the eyes-closed condition, as evidenced by all difference scores above the zero baseline (where eyes-open equals eyes-closed). This discrepancy was particularly prominent in the frontal region, with individuals diagnosed with ASC, exhibiting a more significant disparity than the control group. After applying correction techniques, these findings were further corroborated by the channel-wise comparisons in Figure </w:t>
      </w:r>
      <w:r w:rsidR="00D76351">
        <w:rPr>
          <w:rFonts w:asciiTheme="majorBidi" w:hAnsiTheme="majorBidi" w:cstheme="majorBidi"/>
        </w:rPr>
        <w:t>3</w:t>
      </w:r>
      <w:r w:rsidRPr="008F4E90">
        <w:rPr>
          <w:rFonts w:asciiTheme="majorBidi" w:hAnsiTheme="majorBidi" w:cstheme="majorBidi"/>
        </w:rPr>
        <w:t>, D(iii). </w:t>
      </w:r>
    </w:p>
    <w:p w14:paraId="38FF3CFF"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32D3C70C"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0187EAFC"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564E6DEF"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19DC3FFF"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318FD43B"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75CDB6EB"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6FEF4D41"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4A73A86E"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52115A81"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7EC9D8D5"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209058A5"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5CA56FC1"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51BD39B2"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635B41CC"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3EF80AAC"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4CBE40F9"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39CF7E27"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68277502"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4CC0BB92"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18E8B4D2"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326D9B88"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31F46F92" w14:textId="77777777" w:rsidR="00FC5791" w:rsidRPr="008F4E90" w:rsidRDefault="00FC5791" w:rsidP="0034404A">
      <w:pPr>
        <w:pStyle w:val="NormalWeb"/>
        <w:spacing w:before="0" w:beforeAutospacing="0" w:after="0" w:afterAutospacing="0" w:line="480" w:lineRule="auto"/>
        <w:ind w:firstLine="720"/>
        <w:rPr>
          <w:rFonts w:asciiTheme="majorBidi" w:hAnsiTheme="majorBidi" w:cstheme="majorBidi"/>
        </w:rPr>
      </w:pPr>
    </w:p>
    <w:p w14:paraId="0969129A" w14:textId="77777777" w:rsidR="00FC5791" w:rsidRPr="008F4E90" w:rsidRDefault="00FC5791" w:rsidP="00FC5791">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Figure 3</w:t>
      </w:r>
    </w:p>
    <w:p w14:paraId="1EFB5A44" w14:textId="77777777" w:rsidR="00676D2F" w:rsidRPr="008F4E90" w:rsidRDefault="00BA3C6A" w:rsidP="00BA3C6A">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noProof/>
          <w:bdr w:val="none" w:sz="0" w:space="0" w:color="auto" w:frame="1"/>
        </w:rPr>
        <w:lastRenderedPageBreak/>
        <w:drawing>
          <wp:anchor distT="0" distB="0" distL="114300" distR="114300" simplePos="0" relativeHeight="251661312" behindDoc="1" locked="0" layoutInCell="1" allowOverlap="1" wp14:anchorId="1C92376B" wp14:editId="3064C5E2">
            <wp:simplePos x="0" y="0"/>
            <wp:positionH relativeFrom="margin">
              <wp:posOffset>288290</wp:posOffset>
            </wp:positionH>
            <wp:positionV relativeFrom="paragraph">
              <wp:posOffset>367030</wp:posOffset>
            </wp:positionV>
            <wp:extent cx="5972175" cy="8093710"/>
            <wp:effectExtent l="0" t="0" r="9525" b="2540"/>
            <wp:wrapTight wrapText="bothSides">
              <wp:wrapPolygon edited="0">
                <wp:start x="0" y="0"/>
                <wp:lineTo x="0" y="21556"/>
                <wp:lineTo x="21566" y="21556"/>
                <wp:lineTo x="2156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1">
                      <a:extLst>
                        <a:ext uri="{28A0092B-C50C-407E-A947-70E740481C1C}">
                          <a14:useLocalDpi xmlns:a14="http://schemas.microsoft.com/office/drawing/2010/main" val="0"/>
                        </a:ext>
                      </a:extLst>
                    </a:blip>
                    <a:srcRect l="7642" t="4118" r="5305" b="5757"/>
                    <a:stretch/>
                  </pic:blipFill>
                  <pic:spPr bwMode="auto">
                    <a:xfrm>
                      <a:off x="0" y="0"/>
                      <a:ext cx="5972175" cy="809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791" w:rsidRPr="008F4E90">
        <w:rPr>
          <w:rFonts w:asciiTheme="majorBidi" w:hAnsiTheme="majorBidi" w:cstheme="majorBidi"/>
          <w:i/>
          <w:iCs/>
        </w:rPr>
        <w:t>Comparative Analysis of MSE in ASC and CON Groups</w:t>
      </w:r>
    </w:p>
    <w:p w14:paraId="2BC29EA6"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lastRenderedPageBreak/>
        <w:t>This figure shows boxplots in three panels, each presenting different comparisons between eye condition (eyes open and closed) and diagnosis groups (ASC and control). The figures in Panel A show a boxplot depicting the entropy differences across eyes-open and eyes-closed condition and diagnosis groups. Blue boxes represent the eyes-open condition, while yellow represents the eyes-closed condition. Overall, the multiscale sample entropy at the eyes-open condition is greater than those at the eyes-closed condition across brain regions and diagnosis groups at each time scale.</w:t>
      </w:r>
    </w:p>
    <w:p w14:paraId="644D05C4"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Panel B consists of boxplots comparing the ASC (green) and control (orange) groups (Green represents the ASC group, while orange represents the neurotypical group). Figure </w:t>
      </w:r>
      <w:r w:rsidR="004A1E04" w:rsidRPr="008F4E90">
        <w:rPr>
          <w:rFonts w:asciiTheme="majorBidi" w:hAnsiTheme="majorBidi" w:cstheme="majorBidi"/>
        </w:rPr>
        <w:t>B (</w:t>
      </w:r>
      <w:r w:rsidRPr="008F4E90">
        <w:rPr>
          <w:rFonts w:asciiTheme="majorBidi" w:hAnsiTheme="majorBidi" w:cstheme="majorBidi"/>
        </w:rPr>
        <w:t xml:space="preserve">1) displays the entropy differences between ASC and neurotypical groups across eye conditions (eyes-open and closed condition) and time scales (fine, </w:t>
      </w:r>
      <w:r w:rsidR="004A1E04" w:rsidRPr="008F4E90">
        <w:rPr>
          <w:rFonts w:asciiTheme="majorBidi" w:hAnsiTheme="majorBidi" w:cstheme="majorBidi"/>
        </w:rPr>
        <w:t>mid,</w:t>
      </w:r>
      <w:r w:rsidRPr="008F4E90">
        <w:rPr>
          <w:rFonts w:asciiTheme="majorBidi" w:hAnsiTheme="majorBidi" w:cstheme="majorBidi"/>
        </w:rPr>
        <w:t xml:space="preserve"> and coarse).</w:t>
      </w:r>
    </w:p>
    <w:p w14:paraId="79E32AA2"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t xml:space="preserve">The y-axis shows sample entropy, and the x-axis shows fine, mid, and coarse time scales. Figure </w:t>
      </w:r>
      <w:r w:rsidR="004A1E04" w:rsidRPr="008F4E90">
        <w:rPr>
          <w:rFonts w:asciiTheme="majorBidi" w:hAnsiTheme="majorBidi" w:cstheme="majorBidi"/>
        </w:rPr>
        <w:t>B (</w:t>
      </w:r>
      <w:r w:rsidRPr="008F4E90">
        <w:rPr>
          <w:rFonts w:asciiTheme="majorBidi" w:hAnsiTheme="majorBidi" w:cstheme="majorBidi"/>
        </w:rPr>
        <w:t xml:space="preserve">2) shows the contrasts in entropy between eyes-open and closed conditions and the difference between diagnosis groups in central, </w:t>
      </w:r>
      <w:r w:rsidR="004A1E04" w:rsidRPr="008F4E90">
        <w:rPr>
          <w:rFonts w:asciiTheme="majorBidi" w:hAnsiTheme="majorBidi" w:cstheme="majorBidi"/>
        </w:rPr>
        <w:t>frontal,</w:t>
      </w:r>
      <w:r w:rsidRPr="008F4E90">
        <w:rPr>
          <w:rFonts w:asciiTheme="majorBidi" w:hAnsiTheme="majorBidi" w:cstheme="majorBidi"/>
        </w:rPr>
        <w:t xml:space="preserve"> and parietal-occipital regions from left to right. The additional horizontal dashed black line at zero means that the entropy values for eyes-open and eyes-closed conditions are equal.</w:t>
      </w:r>
    </w:p>
    <w:p w14:paraId="1AE7816A"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Panel C-D shows the TFCE value of pairwise eye condition, and group contrasts for each electrode and time scale factor. As can be seen from the contrast in Figure C, there is a consistent increase in brain signal complexity at the eyes-open condition compared to the eyes-closed condition in both ASC and neurotypical control groups (depicted in </w:t>
      </w:r>
      <w:r w:rsidR="004A1E04" w:rsidRPr="008F4E90">
        <w:rPr>
          <w:rFonts w:asciiTheme="majorBidi" w:hAnsiTheme="majorBidi" w:cstheme="majorBidi"/>
        </w:rPr>
        <w:t>C (</w:t>
      </w:r>
      <w:r w:rsidRPr="008F4E90">
        <w:rPr>
          <w:rFonts w:asciiTheme="majorBidi" w:hAnsiTheme="majorBidi" w:cstheme="majorBidi"/>
        </w:rPr>
        <w:t>1) and C</w:t>
      </w:r>
      <w:r w:rsidR="004A1E04">
        <w:rPr>
          <w:rFonts w:asciiTheme="majorBidi" w:hAnsiTheme="majorBidi" w:cstheme="majorBidi"/>
        </w:rPr>
        <w:t xml:space="preserve"> </w:t>
      </w:r>
      <w:r w:rsidRPr="008F4E90">
        <w:rPr>
          <w:rFonts w:asciiTheme="majorBidi" w:hAnsiTheme="majorBidi" w:cstheme="majorBidi"/>
        </w:rPr>
        <w:t>(2), respectively). There is no significant diagnostic group difference in the eyes-open condition. However, the group difference is primarily located in the frontal region at the coarse scale during the eyes-closed condition and the contrast between the two eye conditions (eyes-open minus eyes-closed condition).</w:t>
      </w:r>
    </w:p>
    <w:p w14:paraId="3E5C7D06"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Relative Power Spectrum Result</w:t>
      </w:r>
    </w:p>
    <w:p w14:paraId="7D352DE3"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Considering power spectra extracted from all channels and both groups, there was an increase in relative alpha power and a decrease in relative delta power during the eyes-closed condition compared to </w:t>
      </w:r>
      <w:r w:rsidRPr="008F4E90">
        <w:rPr>
          <w:rFonts w:asciiTheme="majorBidi" w:hAnsiTheme="majorBidi" w:cstheme="majorBidi"/>
        </w:rPr>
        <w:lastRenderedPageBreak/>
        <w:t xml:space="preserve">the eyes-open condition regardless of the diagnosis </w:t>
      </w:r>
      <w:r w:rsidR="004A1E04" w:rsidRPr="008F4E90">
        <w:rPr>
          <w:rFonts w:asciiTheme="majorBidi" w:hAnsiTheme="majorBidi" w:cstheme="majorBidi"/>
        </w:rPr>
        <w:t>groups (</w:t>
      </w:r>
      <w:r w:rsidRPr="008F4E90">
        <w:rPr>
          <w:rFonts w:asciiTheme="majorBidi" w:hAnsiTheme="majorBidi" w:cstheme="majorBidi"/>
        </w:rPr>
        <w:t xml:space="preserve">Figure </w:t>
      </w:r>
      <w:r w:rsidR="00D76351">
        <w:rPr>
          <w:rFonts w:asciiTheme="majorBidi" w:hAnsiTheme="majorBidi" w:cstheme="majorBidi"/>
        </w:rPr>
        <w:t>4</w:t>
      </w:r>
      <w:r w:rsidRPr="008F4E90">
        <w:rPr>
          <w:rFonts w:asciiTheme="majorBidi" w:hAnsiTheme="majorBidi" w:cstheme="majorBidi"/>
        </w:rPr>
        <w:t xml:space="preserve">, A). These findings were further supported by the channel-wise comparisons at the single channel level (Figure </w:t>
      </w:r>
      <w:r w:rsidR="00D76351">
        <w:rPr>
          <w:rFonts w:asciiTheme="majorBidi" w:hAnsiTheme="majorBidi" w:cstheme="majorBidi"/>
        </w:rPr>
        <w:t>4</w:t>
      </w:r>
      <w:r w:rsidRPr="008F4E90">
        <w:rPr>
          <w:rFonts w:asciiTheme="majorBidi" w:hAnsiTheme="majorBidi" w:cstheme="majorBidi"/>
        </w:rPr>
        <w:t xml:space="preserve">C) shown in Figure </w:t>
      </w:r>
      <w:r w:rsidR="00D76351">
        <w:rPr>
          <w:rFonts w:asciiTheme="majorBidi" w:hAnsiTheme="majorBidi" w:cstheme="majorBidi"/>
        </w:rPr>
        <w:t>4</w:t>
      </w:r>
      <w:r w:rsidRPr="008F4E90">
        <w:rPr>
          <w:rFonts w:asciiTheme="majorBidi" w:hAnsiTheme="majorBidi" w:cstheme="majorBidi"/>
        </w:rPr>
        <w:t>, C(</w:t>
      </w:r>
      <w:proofErr w:type="spellStart"/>
      <w:r w:rsidRPr="008F4E90">
        <w:rPr>
          <w:rFonts w:asciiTheme="majorBidi" w:hAnsiTheme="majorBidi" w:cstheme="majorBidi"/>
        </w:rPr>
        <w:t>i</w:t>
      </w:r>
      <w:proofErr w:type="spellEnd"/>
      <w:r w:rsidRPr="008F4E90">
        <w:rPr>
          <w:rFonts w:asciiTheme="majorBidi" w:hAnsiTheme="majorBidi" w:cstheme="majorBidi"/>
        </w:rPr>
        <w:t>) and C(ii) after correction. </w:t>
      </w:r>
    </w:p>
    <w:p w14:paraId="7C2E4E14"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t xml:space="preserve">To examine group differences, the averaged relative power across frequency bands and brain regions was visualised separately for the eyes-open (left side Figure </w:t>
      </w:r>
      <w:r w:rsidR="00D76351">
        <w:rPr>
          <w:rFonts w:asciiTheme="majorBidi" w:hAnsiTheme="majorBidi" w:cstheme="majorBidi"/>
        </w:rPr>
        <w:t>4</w:t>
      </w:r>
      <w:r w:rsidRPr="008F4E90">
        <w:rPr>
          <w:rFonts w:asciiTheme="majorBidi" w:hAnsiTheme="majorBidi" w:cstheme="majorBidi"/>
        </w:rPr>
        <w:t xml:space="preserve"> Panel) and closed (right side Figure </w:t>
      </w:r>
      <w:r w:rsidR="00D76351">
        <w:rPr>
          <w:rFonts w:asciiTheme="majorBidi" w:hAnsiTheme="majorBidi" w:cstheme="majorBidi"/>
        </w:rPr>
        <w:t>4</w:t>
      </w:r>
      <w:r w:rsidRPr="008F4E90">
        <w:rPr>
          <w:rFonts w:asciiTheme="majorBidi" w:hAnsiTheme="majorBidi" w:cstheme="majorBidi"/>
        </w:rPr>
        <w:t xml:space="preserve"> Panel) condition, as depicted in Figure </w:t>
      </w:r>
      <w:r w:rsidR="00D76351">
        <w:rPr>
          <w:rFonts w:asciiTheme="majorBidi" w:hAnsiTheme="majorBidi" w:cstheme="majorBidi"/>
        </w:rPr>
        <w:t>4</w:t>
      </w:r>
      <w:r w:rsidRPr="008F4E90">
        <w:rPr>
          <w:rFonts w:asciiTheme="majorBidi" w:hAnsiTheme="majorBidi" w:cstheme="majorBidi"/>
        </w:rPr>
        <w:t>, B(</w:t>
      </w:r>
      <w:proofErr w:type="spellStart"/>
      <w:r w:rsidRPr="008F4E90">
        <w:rPr>
          <w:rFonts w:asciiTheme="majorBidi" w:hAnsiTheme="majorBidi" w:cstheme="majorBidi"/>
        </w:rPr>
        <w:t>i</w:t>
      </w:r>
      <w:proofErr w:type="spellEnd"/>
      <w:r w:rsidRPr="008F4E90">
        <w:rPr>
          <w:rFonts w:asciiTheme="majorBidi" w:hAnsiTheme="majorBidi" w:cstheme="majorBidi"/>
        </w:rPr>
        <w:t>). There were differences between groups in the eyes-open, eyes-closed, and contrast between eyes-open and closed conditions.</w:t>
      </w:r>
    </w:p>
    <w:p w14:paraId="177655C5"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The TFCE-based method detected a significant group difference in the eyes-open and eyes-closed conditions after correction. Specifically, individuals with ASC exhibited reduced relative alpha power compared to neurotypical individuals in both the eyes-open and eyes-closed condition. Additionally, enhanced </w:t>
      </w:r>
      <w:r w:rsidR="004A1E04" w:rsidRPr="008F4E90">
        <w:rPr>
          <w:rFonts w:asciiTheme="majorBidi" w:hAnsiTheme="majorBidi" w:cstheme="majorBidi"/>
        </w:rPr>
        <w:t>relative ASC</w:t>
      </w:r>
      <w:r w:rsidRPr="008F4E90">
        <w:rPr>
          <w:rFonts w:asciiTheme="majorBidi" w:hAnsiTheme="majorBidi" w:cstheme="majorBidi"/>
        </w:rPr>
        <w:t xml:space="preserve"> individuals exhibited higher delta power than the neurotypical individuals during the eyes-closed condition (Figure </w:t>
      </w:r>
      <w:r w:rsidR="00D76351">
        <w:rPr>
          <w:rFonts w:asciiTheme="majorBidi" w:hAnsiTheme="majorBidi" w:cstheme="majorBidi"/>
        </w:rPr>
        <w:t>4</w:t>
      </w:r>
      <w:r w:rsidRPr="008F4E90">
        <w:rPr>
          <w:rFonts w:asciiTheme="majorBidi" w:hAnsiTheme="majorBidi" w:cstheme="majorBidi"/>
        </w:rPr>
        <w:t xml:space="preserve"> D(ii)). It was predominantly observed during the eyes-closed condition across the entire brain. In contrast, a slight disparity was only observed in the central region during the eyes-open condition after correction (Figure </w:t>
      </w:r>
      <w:r w:rsidR="00D76351">
        <w:rPr>
          <w:rFonts w:asciiTheme="majorBidi" w:hAnsiTheme="majorBidi" w:cstheme="majorBidi"/>
        </w:rPr>
        <w:t>4</w:t>
      </w:r>
      <w:r w:rsidRPr="008F4E90">
        <w:rPr>
          <w:rFonts w:asciiTheme="majorBidi" w:hAnsiTheme="majorBidi" w:cstheme="majorBidi"/>
        </w:rPr>
        <w:t>, D(</w:t>
      </w:r>
      <w:proofErr w:type="spellStart"/>
      <w:r w:rsidRPr="008F4E90">
        <w:rPr>
          <w:rFonts w:asciiTheme="majorBidi" w:hAnsiTheme="majorBidi" w:cstheme="majorBidi"/>
        </w:rPr>
        <w:t>i</w:t>
      </w:r>
      <w:proofErr w:type="spellEnd"/>
      <w:r w:rsidRPr="008F4E90">
        <w:rPr>
          <w:rFonts w:asciiTheme="majorBidi" w:hAnsiTheme="majorBidi" w:cstheme="majorBidi"/>
        </w:rPr>
        <w:t>) and D(ii)).</w:t>
      </w:r>
    </w:p>
    <w:p w14:paraId="31C52DD3"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To investigate group differences between eyes-open and eyes-closed conditions, the averaged relative power spectrum was calculated and visualised as the difference score (eyes-open minus eyes-closed) across brain regions at each frequency band, as illustrated in Figure </w:t>
      </w:r>
      <w:r w:rsidR="00D76351">
        <w:rPr>
          <w:rFonts w:asciiTheme="majorBidi" w:hAnsiTheme="majorBidi" w:cstheme="majorBidi"/>
        </w:rPr>
        <w:t>4</w:t>
      </w:r>
      <w:r w:rsidRPr="008F4E90">
        <w:rPr>
          <w:rFonts w:asciiTheme="majorBidi" w:hAnsiTheme="majorBidi" w:cstheme="majorBidi"/>
        </w:rPr>
        <w:t xml:space="preserve">, B(ii). Overall, the relative delta power during the eyes-open condition was considerably higher than during the eyes-closed condition. Conversely, the relative alpha power in the eyes-open condition was considerably lower than during the eyes-closed condition, as evidenced by all difference scores above the zero baseline (where eyes-open equals eyes-closed). This discrepancy was particularly prominent in the parietal region, with individuals diagnosed with ASC exhibiting a smaller disparity than the control group. These findings were further corroborated by the channel-wise comparisons in Figure </w:t>
      </w:r>
      <w:r w:rsidR="00D76351">
        <w:rPr>
          <w:rFonts w:asciiTheme="majorBidi" w:hAnsiTheme="majorBidi" w:cstheme="majorBidi"/>
        </w:rPr>
        <w:t>4</w:t>
      </w:r>
      <w:r w:rsidRPr="008F4E90">
        <w:rPr>
          <w:rFonts w:asciiTheme="majorBidi" w:hAnsiTheme="majorBidi" w:cstheme="majorBidi"/>
        </w:rPr>
        <w:t>, D(iii) after applying TFCE correction. </w:t>
      </w:r>
    </w:p>
    <w:p w14:paraId="747BC786" w14:textId="77777777" w:rsidR="00BA3C6A" w:rsidRPr="008F4E90" w:rsidRDefault="00BA3C6A" w:rsidP="00676D2F">
      <w:pPr>
        <w:pStyle w:val="NormalWeb"/>
        <w:spacing w:before="0" w:beforeAutospacing="0" w:after="0" w:afterAutospacing="0" w:line="480" w:lineRule="auto"/>
        <w:ind w:firstLine="720"/>
        <w:rPr>
          <w:rFonts w:asciiTheme="majorBidi" w:hAnsiTheme="majorBidi" w:cstheme="majorBidi"/>
        </w:rPr>
      </w:pPr>
    </w:p>
    <w:p w14:paraId="4BA251A5" w14:textId="77777777" w:rsidR="00BA3C6A" w:rsidRPr="008F4E90" w:rsidRDefault="00BA3C6A" w:rsidP="00BA3C6A">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lastRenderedPageBreak/>
        <w:t>Figure 4 </w:t>
      </w:r>
    </w:p>
    <w:p w14:paraId="2D230B6C" w14:textId="77777777" w:rsidR="00BA3C6A" w:rsidRPr="008F4E90" w:rsidRDefault="00A159A8" w:rsidP="00BA3C6A">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noProof/>
          <w:bdr w:val="none" w:sz="0" w:space="0" w:color="auto" w:frame="1"/>
        </w:rPr>
        <w:drawing>
          <wp:anchor distT="0" distB="0" distL="114300" distR="114300" simplePos="0" relativeHeight="251662336" behindDoc="1" locked="0" layoutInCell="1" allowOverlap="1" wp14:anchorId="250849EB" wp14:editId="4A08758B">
            <wp:simplePos x="0" y="0"/>
            <wp:positionH relativeFrom="column">
              <wp:posOffset>357505</wp:posOffset>
            </wp:positionH>
            <wp:positionV relativeFrom="paragraph">
              <wp:posOffset>238125</wp:posOffset>
            </wp:positionV>
            <wp:extent cx="5921375" cy="8220075"/>
            <wp:effectExtent l="0" t="0" r="3175" b="9525"/>
            <wp:wrapTight wrapText="bothSides">
              <wp:wrapPolygon edited="0">
                <wp:start x="0" y="0"/>
                <wp:lineTo x="0" y="21575"/>
                <wp:lineTo x="21542" y="21575"/>
                <wp:lineTo x="215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2">
                      <a:extLst>
                        <a:ext uri="{28A0092B-C50C-407E-A947-70E740481C1C}">
                          <a14:useLocalDpi xmlns:a14="http://schemas.microsoft.com/office/drawing/2010/main" val="0"/>
                        </a:ext>
                      </a:extLst>
                    </a:blip>
                    <a:srcRect l="5647" t="6001" r="5305" b="6449"/>
                    <a:stretch/>
                  </pic:blipFill>
                  <pic:spPr bwMode="auto">
                    <a:xfrm>
                      <a:off x="0" y="0"/>
                      <a:ext cx="5921375" cy="822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C6A" w:rsidRPr="008F4E90">
        <w:rPr>
          <w:rFonts w:asciiTheme="majorBidi" w:hAnsiTheme="majorBidi" w:cstheme="majorBidi"/>
          <w:i/>
          <w:iCs/>
        </w:rPr>
        <w:t>Comparative Analysis of Relative Power Spectrum in ASC and CON Groups</w:t>
      </w:r>
    </w:p>
    <w:p w14:paraId="3479F7F7" w14:textId="77777777" w:rsidR="00676D2F" w:rsidRPr="008F4E90" w:rsidRDefault="00676D2F" w:rsidP="00BA3C6A">
      <w:pPr>
        <w:spacing w:after="240"/>
        <w:rPr>
          <w:rFonts w:asciiTheme="majorBidi" w:hAnsiTheme="majorBidi" w:cstheme="majorBidi"/>
        </w:rPr>
      </w:pPr>
    </w:p>
    <w:p w14:paraId="462A8E61"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p>
    <w:p w14:paraId="69A4FC4C"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796FE060"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53FFAAE0"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124B31B6"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69BEE0E4"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5AC6797F"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0B2FE1D8"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46F7D3BD"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2C82E350"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34572BE3"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0F3B634F"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745D77E2"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40CCFD0E"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1314E7EB"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2411D014"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5A686176"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716FCFAB"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697ED139"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412D6C85"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06A90AFA"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1E16D870" w14:textId="77777777" w:rsidR="00BA3C6A" w:rsidRPr="008F4E90" w:rsidRDefault="00BA3C6A" w:rsidP="00676D2F">
      <w:pPr>
        <w:pStyle w:val="NormalWeb"/>
        <w:spacing w:before="0" w:beforeAutospacing="0" w:after="0" w:afterAutospacing="0" w:line="480" w:lineRule="auto"/>
        <w:rPr>
          <w:rFonts w:asciiTheme="majorBidi" w:hAnsiTheme="majorBidi" w:cstheme="majorBidi"/>
          <w:i/>
          <w:iCs/>
        </w:rPr>
      </w:pPr>
    </w:p>
    <w:p w14:paraId="6D79FC54"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i/>
          <w:iCs/>
        </w:rPr>
        <w:lastRenderedPageBreak/>
        <w:t xml:space="preserve">Note. </w:t>
      </w:r>
      <w:r w:rsidRPr="008F4E90">
        <w:rPr>
          <w:rFonts w:asciiTheme="majorBidi" w:hAnsiTheme="majorBidi" w:cstheme="majorBidi"/>
        </w:rPr>
        <w:t>Similarly, Panel A shows a boxplot that depicts the entropy differences across eyes-open and eyes-closed condition and diagnosis groups. </w:t>
      </w:r>
    </w:p>
    <w:p w14:paraId="7BD212D4"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Generally, relative power increases in the alpha band and decreases in the delta band at the eyes-closed condition across diagnosis groups throughout the brain. Boxplots in Panel B compare the ASC and control groups across eye conditions and contrasts between them. ASC individuals exhibited increased delta power and decreased alpha power compared to the control group, particularly during the eyes-closed condition. However, the contrasts between brain states among ASC individuals are smaller than those in controls.</w:t>
      </w:r>
    </w:p>
    <w:p w14:paraId="45295A02" w14:textId="77777777" w:rsidR="00676D2F"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The statistical TFCE method produced consistent results, as in Panel C-D, where the TFCE statistics represent pairwise contrasts between eye conditions and groups for each electrode and time scale factor. As can be seen from the contrast in Plot C, there is a consistent increase in alpha power and decrease in delta power at the eyes-closed condition compared to the eyes-open condition in both ASC and neurotypical control groups (depicted in </w:t>
      </w:r>
      <w:r w:rsidR="004A1E04" w:rsidRPr="008F4E90">
        <w:rPr>
          <w:rFonts w:asciiTheme="majorBidi" w:hAnsiTheme="majorBidi" w:cstheme="majorBidi"/>
        </w:rPr>
        <w:t>C (</w:t>
      </w:r>
      <w:r w:rsidRPr="008F4E90">
        <w:rPr>
          <w:rFonts w:asciiTheme="majorBidi" w:hAnsiTheme="majorBidi" w:cstheme="majorBidi"/>
        </w:rPr>
        <w:t>1) and C</w:t>
      </w:r>
      <w:r w:rsidR="004A1E04">
        <w:rPr>
          <w:rFonts w:asciiTheme="majorBidi" w:hAnsiTheme="majorBidi" w:cstheme="majorBidi"/>
        </w:rPr>
        <w:t xml:space="preserve"> </w:t>
      </w:r>
      <w:r w:rsidRPr="008F4E90">
        <w:rPr>
          <w:rFonts w:asciiTheme="majorBidi" w:hAnsiTheme="majorBidi" w:cstheme="majorBidi"/>
        </w:rPr>
        <w:t xml:space="preserve">(2), respectively). Diagnostic group differences in delta power were significant only during the eyes-closed condition but not during the eyes-open condition. Moreover, distinct changes in power across groups in the delta and alpha bands were primarily observed during the eyes-closed condition across the entire brain. As seen in Figures </w:t>
      </w:r>
      <w:r w:rsidR="004A1E04" w:rsidRPr="008F4E90">
        <w:rPr>
          <w:rFonts w:asciiTheme="majorBidi" w:hAnsiTheme="majorBidi" w:cstheme="majorBidi"/>
        </w:rPr>
        <w:t>C (</w:t>
      </w:r>
      <w:r w:rsidRPr="008F4E90">
        <w:rPr>
          <w:rFonts w:asciiTheme="majorBidi" w:hAnsiTheme="majorBidi" w:cstheme="majorBidi"/>
        </w:rPr>
        <w:t xml:space="preserve">1)-(2) and </w:t>
      </w:r>
      <w:r w:rsidR="004A1E04" w:rsidRPr="008F4E90">
        <w:rPr>
          <w:rFonts w:asciiTheme="majorBidi" w:hAnsiTheme="majorBidi" w:cstheme="majorBidi"/>
        </w:rPr>
        <w:t>D (</w:t>
      </w:r>
      <w:r w:rsidRPr="008F4E90">
        <w:rPr>
          <w:rFonts w:asciiTheme="majorBidi" w:hAnsiTheme="majorBidi" w:cstheme="majorBidi"/>
        </w:rPr>
        <w:t>3), individuals with ASC exhibit a smaller difference between the eyes-open and closed condition compared to the control group.</w:t>
      </w:r>
    </w:p>
    <w:p w14:paraId="7CDEE449" w14:textId="77777777" w:rsidR="00CE3E5A" w:rsidRDefault="00CE3E5A" w:rsidP="00676D2F">
      <w:pPr>
        <w:pStyle w:val="NormalWeb"/>
        <w:spacing w:before="0" w:beforeAutospacing="0" w:after="0" w:afterAutospacing="0" w:line="480" w:lineRule="auto"/>
        <w:ind w:firstLine="720"/>
        <w:rPr>
          <w:rFonts w:asciiTheme="majorBidi" w:hAnsiTheme="majorBidi" w:cstheme="majorBidi"/>
        </w:rPr>
      </w:pPr>
    </w:p>
    <w:p w14:paraId="7C7DBF3B" w14:textId="77777777" w:rsidR="00CE3E5A" w:rsidRDefault="008B3F72" w:rsidP="00CE3E5A">
      <w:pPr>
        <w:pStyle w:val="NormalWeb"/>
        <w:spacing w:before="0" w:beforeAutospacing="0" w:after="0" w:afterAutospacing="0" w:line="480" w:lineRule="auto"/>
        <w:ind w:firstLine="720"/>
        <w:rPr>
          <w:rFonts w:asciiTheme="majorBidi" w:hAnsiTheme="majorBidi" w:cstheme="majorBidi"/>
          <w:b/>
          <w:bCs/>
        </w:rPr>
      </w:pPr>
      <w:r>
        <w:rPr>
          <w:rFonts w:asciiTheme="majorBidi" w:hAnsiTheme="majorBidi" w:cstheme="majorBidi"/>
          <w:b/>
          <w:bCs/>
        </w:rPr>
        <w:t>R</w:t>
      </w:r>
      <w:r w:rsidRPr="008B3F72">
        <w:rPr>
          <w:rFonts w:asciiTheme="majorBidi" w:hAnsiTheme="majorBidi" w:cstheme="majorBidi"/>
          <w:b/>
          <w:bCs/>
        </w:rPr>
        <w:t>elation between mean MSE and relative delta and alpha power</w:t>
      </w:r>
      <w:r>
        <w:rPr>
          <w:rFonts w:asciiTheme="majorBidi" w:hAnsiTheme="majorBidi" w:cstheme="majorBidi"/>
          <w:b/>
          <w:bCs/>
        </w:rPr>
        <w:t xml:space="preserve"> in diagnosis groups and eye conditions</w:t>
      </w:r>
    </w:p>
    <w:p w14:paraId="5C27130D" w14:textId="0730F6EE" w:rsidR="00CE3E5A" w:rsidRPr="00CE3E5A" w:rsidRDefault="00CE3E5A" w:rsidP="001A5CBB">
      <w:pPr>
        <w:pStyle w:val="NormalWeb"/>
        <w:spacing w:before="0" w:beforeAutospacing="0" w:after="0" w:afterAutospacing="0" w:line="480" w:lineRule="auto"/>
        <w:ind w:firstLine="720"/>
        <w:rPr>
          <w:rFonts w:asciiTheme="majorBidi" w:hAnsiTheme="majorBidi" w:cstheme="majorBidi"/>
          <w:b/>
          <w:bCs/>
        </w:rPr>
      </w:pPr>
      <w:r w:rsidRPr="00CE3E5A">
        <w:rPr>
          <w:color w:val="000000"/>
        </w:rPr>
        <w:t xml:space="preserve">Pearson's correlation analysis involved assessing the relationships between averaged Multiscale Sample Entropy (MSE) matrices </w:t>
      </w:r>
      <w:r w:rsidRPr="00CE3E5A">
        <w:rPr>
          <w:color w:val="000000"/>
          <w:shd w:val="clear" w:color="auto" w:fill="FFFFFF"/>
        </w:rPr>
        <w:t xml:space="preserve">at fine, mid and coarse time scale factors </w:t>
      </w:r>
      <w:r w:rsidRPr="00CE3E5A">
        <w:rPr>
          <w:color w:val="000000"/>
        </w:rPr>
        <w:t>and averaged Relative Delta and Alpha Power (</w:t>
      </w:r>
      <w:proofErr w:type="spellStart"/>
      <w:r w:rsidRPr="00CE3E5A">
        <w:rPr>
          <w:color w:val="000000"/>
        </w:rPr>
        <w:t>RelPow</w:t>
      </w:r>
      <w:proofErr w:type="spellEnd"/>
      <w:r w:rsidRPr="00CE3E5A">
        <w:rPr>
          <w:color w:val="000000"/>
        </w:rPr>
        <w:t xml:space="preserve">) matrices across the subjects. The analysis was conducted at each diagnosis </w:t>
      </w:r>
      <w:r w:rsidRPr="00CE3E5A">
        <w:rPr>
          <w:color w:val="000000"/>
        </w:rPr>
        <w:lastRenderedPageBreak/>
        <w:t>group (i.e., ASC and CON), eye conditions (i.e., eyes-open and eyes-closed condition) and brain regions (i.e., global, frontal, central and parietal-occipital regions) respectively.</w:t>
      </w:r>
    </w:p>
    <w:p w14:paraId="7C839741" w14:textId="7763FE8A" w:rsidR="00CE3E5A" w:rsidRPr="00CE3E5A" w:rsidRDefault="00CE3E5A" w:rsidP="001A5CBB">
      <w:pPr>
        <w:pStyle w:val="NormalWeb"/>
        <w:spacing w:before="0" w:beforeAutospacing="0" w:after="0" w:afterAutospacing="0" w:line="480" w:lineRule="auto"/>
        <w:rPr>
          <w:sz w:val="22"/>
          <w:szCs w:val="22"/>
          <w:lang w:val="en-US"/>
        </w:rPr>
      </w:pPr>
      <w:r>
        <w:rPr>
          <w:rFonts w:asciiTheme="majorBidi" w:hAnsiTheme="majorBidi" w:cstheme="majorBidi"/>
        </w:rPr>
        <w:br/>
      </w:r>
      <w:r w:rsidRPr="00CE3E5A">
        <w:rPr>
          <w:b/>
          <w:bCs/>
          <w:color w:val="000000"/>
          <w:lang w:val="en-US"/>
        </w:rPr>
        <w:t xml:space="preserve">Figure </w:t>
      </w:r>
      <w:r w:rsidR="00407511">
        <w:rPr>
          <w:b/>
          <w:bCs/>
          <w:color w:val="000000"/>
          <w:lang w:val="en-US"/>
        </w:rPr>
        <w:t>5</w:t>
      </w:r>
    </w:p>
    <w:p w14:paraId="5F4E9CC9" w14:textId="4E73D283" w:rsidR="00CE3E5A" w:rsidRPr="00CE3E5A" w:rsidRDefault="00CE3E5A" w:rsidP="001A5CBB">
      <w:pPr>
        <w:spacing w:line="480" w:lineRule="auto"/>
        <w:rPr>
          <w:rFonts w:ascii="Times New Roman" w:eastAsia="Times New Roman" w:hAnsi="Times New Roman" w:cs="Times New Roman"/>
          <w:lang w:val="en-US"/>
        </w:rPr>
      </w:pPr>
      <w:r w:rsidRPr="00CE3E5A">
        <w:rPr>
          <w:rFonts w:ascii="Times New Roman" w:eastAsia="Times New Roman" w:hAnsi="Times New Roman" w:cs="Times New Roman"/>
          <w:i/>
          <w:iCs/>
          <w:color w:val="000000"/>
          <w:sz w:val="24"/>
          <w:szCs w:val="24"/>
          <w:lang w:val="en-US"/>
        </w:rPr>
        <w:t>Correlation between MSE at fine, mid and coarse scales and Relative Delta and Alpha Power across subjects at ASC group at the eyes-closed condition</w:t>
      </w:r>
    </w:p>
    <w:p w14:paraId="65E1B4BE" w14:textId="0B67308E" w:rsidR="00CE3E5A" w:rsidRPr="00CE3E5A" w:rsidRDefault="00CE3E5A" w:rsidP="00CE3E5A">
      <w:pPr>
        <w:spacing w:line="240" w:lineRule="auto"/>
        <w:ind w:left="-850"/>
        <w:rPr>
          <w:rFonts w:ascii="Times New Roman" w:eastAsia="Times New Roman" w:hAnsi="Times New Roman" w:cs="Times New Roman"/>
          <w:sz w:val="24"/>
          <w:szCs w:val="24"/>
          <w:lang w:val="en-US"/>
        </w:rPr>
      </w:pPr>
    </w:p>
    <w:p w14:paraId="1EDFC22E" w14:textId="4C5FB877" w:rsidR="00CE3E5A" w:rsidRPr="00CE3E5A" w:rsidRDefault="001A5CBB" w:rsidP="001A5CBB">
      <w:pPr>
        <w:spacing w:line="480" w:lineRule="auto"/>
        <w:rPr>
          <w:rFonts w:ascii="Times New Roman" w:eastAsia="Times New Roman" w:hAnsi="Times New Roman" w:cs="Times New Roman"/>
          <w:color w:val="000000"/>
          <w:sz w:val="24"/>
          <w:szCs w:val="24"/>
          <w:lang w:val="en-US"/>
        </w:rPr>
      </w:pPr>
      <w:r w:rsidRPr="00CE3E5A">
        <w:rPr>
          <w:rFonts w:ascii="Times New Roman" w:eastAsia="Times New Roman" w:hAnsi="Times New Roman" w:cs="Times New Roman"/>
          <w:noProof/>
          <w:color w:val="000000"/>
          <w:sz w:val="28"/>
          <w:szCs w:val="28"/>
          <w:bdr w:val="none" w:sz="0" w:space="0" w:color="auto" w:frame="1"/>
          <w:lang w:val="en-US"/>
        </w:rPr>
        <w:drawing>
          <wp:anchor distT="0" distB="0" distL="114300" distR="114300" simplePos="0" relativeHeight="251684864" behindDoc="0" locked="0" layoutInCell="1" allowOverlap="1" wp14:anchorId="6327AD1C" wp14:editId="580736FB">
            <wp:simplePos x="0" y="0"/>
            <wp:positionH relativeFrom="page">
              <wp:posOffset>583140</wp:posOffset>
            </wp:positionH>
            <wp:positionV relativeFrom="paragraph">
              <wp:posOffset>58584</wp:posOffset>
            </wp:positionV>
            <wp:extent cx="6481445" cy="4564380"/>
            <wp:effectExtent l="0" t="0" r="0" b="7620"/>
            <wp:wrapTopAndBottom/>
            <wp:docPr id="1460932442" name="Picture 8" descr="A collection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32442" name="Picture 8" descr="A collection of different colored lines&#10;&#10;Description automatically generated with medium confidence"/>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481445" cy="4564380"/>
                    </a:xfrm>
                    <a:prstGeom prst="rect">
                      <a:avLst/>
                    </a:prstGeom>
                    <a:noFill/>
                    <a:ln>
                      <a:noFill/>
                    </a:ln>
                  </pic:spPr>
                </pic:pic>
              </a:graphicData>
            </a:graphic>
          </wp:anchor>
        </w:drawing>
      </w:r>
      <w:r w:rsidR="00CE3E5A" w:rsidRPr="00CE3E5A">
        <w:rPr>
          <w:rFonts w:ascii="Times New Roman" w:eastAsia="Times New Roman" w:hAnsi="Times New Roman" w:cs="Times New Roman"/>
          <w:i/>
          <w:iCs/>
          <w:color w:val="000000"/>
          <w:sz w:val="24"/>
          <w:szCs w:val="24"/>
          <w:lang w:val="en-US"/>
        </w:rPr>
        <w:t>Note</w:t>
      </w:r>
      <w:r w:rsidR="00CE3E5A" w:rsidRPr="00CE3E5A">
        <w:rPr>
          <w:rFonts w:ascii="Times New Roman" w:eastAsia="Times New Roman" w:hAnsi="Times New Roman" w:cs="Times New Roman"/>
          <w:color w:val="000000"/>
          <w:sz w:val="24"/>
          <w:szCs w:val="24"/>
          <w:lang w:val="en-US"/>
        </w:rPr>
        <w:t>. Scatterplots of Pearson’s correlation of Relative Delta and Alpha Power and MSE at fine (left), mid (middle) and coarse (right) time scale factors for each brain regions (global, frontal, central and parietal-occipital regions) at ASC group at the eyes-closed condition.</w:t>
      </w:r>
    </w:p>
    <w:p w14:paraId="58C42D01" w14:textId="77777777" w:rsidR="00CE3E5A" w:rsidRPr="00CE3E5A" w:rsidRDefault="00CE3E5A" w:rsidP="00CE3E5A">
      <w:pPr>
        <w:spacing w:line="240" w:lineRule="auto"/>
        <w:rPr>
          <w:rFonts w:ascii="Times New Roman" w:eastAsia="Times New Roman" w:hAnsi="Times New Roman" w:cs="Times New Roman"/>
          <w:color w:val="000000"/>
          <w:sz w:val="24"/>
          <w:szCs w:val="24"/>
          <w:lang w:val="en-US"/>
        </w:rPr>
      </w:pPr>
    </w:p>
    <w:p w14:paraId="09291A6F" w14:textId="77777777" w:rsidR="00CE3E5A" w:rsidRDefault="00CE3E5A" w:rsidP="00CE3E5A">
      <w:pPr>
        <w:spacing w:line="240" w:lineRule="auto"/>
        <w:rPr>
          <w:rFonts w:ascii="Times New Roman" w:eastAsia="Times New Roman" w:hAnsi="Times New Roman" w:cs="Times New Roman"/>
          <w:lang w:val="en-US"/>
        </w:rPr>
      </w:pPr>
    </w:p>
    <w:p w14:paraId="6F3B0D64" w14:textId="77777777" w:rsidR="00CE3E5A" w:rsidRDefault="00CE3E5A" w:rsidP="00CE3E5A">
      <w:pPr>
        <w:spacing w:line="240" w:lineRule="auto"/>
        <w:rPr>
          <w:rFonts w:ascii="Times New Roman" w:eastAsia="Times New Roman" w:hAnsi="Times New Roman" w:cs="Times New Roman"/>
          <w:lang w:val="en-US"/>
        </w:rPr>
      </w:pPr>
    </w:p>
    <w:p w14:paraId="3959FA3B" w14:textId="77777777" w:rsidR="00CE3E5A" w:rsidRDefault="00CE3E5A" w:rsidP="00CE3E5A">
      <w:pPr>
        <w:spacing w:line="240" w:lineRule="auto"/>
        <w:rPr>
          <w:rFonts w:ascii="Times New Roman" w:eastAsia="Times New Roman" w:hAnsi="Times New Roman" w:cs="Times New Roman"/>
          <w:lang w:val="en-US"/>
        </w:rPr>
      </w:pPr>
    </w:p>
    <w:p w14:paraId="059CC4A7" w14:textId="77777777" w:rsidR="00CE3E5A" w:rsidRDefault="00CE3E5A" w:rsidP="00CE3E5A">
      <w:pPr>
        <w:spacing w:line="240" w:lineRule="auto"/>
        <w:rPr>
          <w:rFonts w:ascii="Times New Roman" w:eastAsia="Times New Roman" w:hAnsi="Times New Roman" w:cs="Times New Roman"/>
          <w:lang w:val="en-US"/>
        </w:rPr>
      </w:pPr>
    </w:p>
    <w:p w14:paraId="6FA61035" w14:textId="77777777" w:rsidR="00CE3E5A" w:rsidRPr="00CE3E5A" w:rsidRDefault="00CE3E5A" w:rsidP="00CE3E5A">
      <w:pPr>
        <w:spacing w:line="240" w:lineRule="auto"/>
        <w:rPr>
          <w:rFonts w:ascii="Times New Roman" w:eastAsia="Times New Roman" w:hAnsi="Times New Roman" w:cs="Times New Roman"/>
          <w:lang w:val="en-US"/>
        </w:rPr>
      </w:pPr>
    </w:p>
    <w:p w14:paraId="08E7BEE3" w14:textId="05389B57" w:rsidR="00CE3E5A" w:rsidRPr="00CE3E5A" w:rsidRDefault="00CE3E5A" w:rsidP="001A5CBB">
      <w:pPr>
        <w:spacing w:line="480" w:lineRule="auto"/>
        <w:rPr>
          <w:rFonts w:ascii="Times New Roman" w:eastAsia="Times New Roman" w:hAnsi="Times New Roman" w:cs="Times New Roman"/>
          <w:lang w:val="en-US"/>
        </w:rPr>
      </w:pPr>
      <w:r w:rsidRPr="00CE3E5A">
        <w:rPr>
          <w:rFonts w:ascii="Times New Roman" w:eastAsia="Times New Roman" w:hAnsi="Times New Roman" w:cs="Times New Roman"/>
          <w:b/>
          <w:bCs/>
          <w:color w:val="000000"/>
          <w:sz w:val="24"/>
          <w:szCs w:val="24"/>
          <w:lang w:val="en-US"/>
        </w:rPr>
        <w:t xml:space="preserve">Figure </w:t>
      </w:r>
      <w:r w:rsidR="00407511">
        <w:rPr>
          <w:rFonts w:ascii="Times New Roman" w:eastAsia="Times New Roman" w:hAnsi="Times New Roman" w:cs="Times New Roman"/>
          <w:b/>
          <w:bCs/>
          <w:color w:val="000000"/>
          <w:sz w:val="24"/>
          <w:szCs w:val="24"/>
          <w:lang w:val="en-US"/>
        </w:rPr>
        <w:t>6</w:t>
      </w:r>
    </w:p>
    <w:p w14:paraId="3D92C489" w14:textId="77777777" w:rsidR="00CE3E5A" w:rsidRPr="00CE3E5A" w:rsidRDefault="00CE3E5A" w:rsidP="001A5CBB">
      <w:pPr>
        <w:spacing w:line="480" w:lineRule="auto"/>
        <w:rPr>
          <w:rFonts w:ascii="Times New Roman" w:eastAsia="Times New Roman" w:hAnsi="Times New Roman" w:cs="Times New Roman"/>
          <w:lang w:val="en-US"/>
        </w:rPr>
      </w:pPr>
      <w:r w:rsidRPr="00CE3E5A">
        <w:rPr>
          <w:rFonts w:ascii="Times New Roman" w:eastAsia="Times New Roman" w:hAnsi="Times New Roman" w:cs="Times New Roman"/>
          <w:i/>
          <w:iCs/>
          <w:color w:val="000000"/>
          <w:sz w:val="24"/>
          <w:szCs w:val="24"/>
          <w:lang w:val="en-US"/>
        </w:rPr>
        <w:t>Correlation between MSE at fine, mid and coarse scales and Relative Delta and Alpha Power across subjects at ASC group at the eyes-open condition</w:t>
      </w:r>
    </w:p>
    <w:p w14:paraId="428A8CD8" w14:textId="409F73A8" w:rsidR="00CE3E5A" w:rsidRPr="00CE3E5A" w:rsidRDefault="00CE3E5A" w:rsidP="00CE3E5A">
      <w:pPr>
        <w:spacing w:line="240" w:lineRule="auto"/>
        <w:ind w:left="-992"/>
        <w:rPr>
          <w:rFonts w:ascii="Times New Roman" w:eastAsia="Times New Roman" w:hAnsi="Times New Roman" w:cs="Times New Roman"/>
          <w:sz w:val="24"/>
          <w:szCs w:val="24"/>
          <w:lang w:val="en-US"/>
        </w:rPr>
      </w:pPr>
      <w:r w:rsidRPr="00CE3E5A">
        <w:rPr>
          <w:rFonts w:ascii="Times New Roman" w:eastAsia="Times New Roman" w:hAnsi="Times New Roman" w:cs="Times New Roman"/>
          <w:noProof/>
          <w:color w:val="000000"/>
          <w:sz w:val="28"/>
          <w:szCs w:val="28"/>
          <w:bdr w:val="none" w:sz="0" w:space="0" w:color="auto" w:frame="1"/>
          <w:lang w:val="en-US"/>
        </w:rPr>
        <w:drawing>
          <wp:anchor distT="0" distB="0" distL="114300" distR="114300" simplePos="0" relativeHeight="251685888" behindDoc="0" locked="0" layoutInCell="1" allowOverlap="1" wp14:anchorId="0428FAAB" wp14:editId="3DBEB3DF">
            <wp:simplePos x="0" y="0"/>
            <wp:positionH relativeFrom="column">
              <wp:posOffset>-220626</wp:posOffset>
            </wp:positionH>
            <wp:positionV relativeFrom="paragraph">
              <wp:posOffset>0</wp:posOffset>
            </wp:positionV>
            <wp:extent cx="6481445" cy="4572000"/>
            <wp:effectExtent l="0" t="0" r="0" b="0"/>
            <wp:wrapTopAndBottom/>
            <wp:docPr id="1517188227"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8227" name="Picture 7" descr="A group of graphs showing different types of data&#10;&#10;Description automatically generated with medium confidence"/>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481445" cy="4572000"/>
                    </a:xfrm>
                    <a:prstGeom prst="rect">
                      <a:avLst/>
                    </a:prstGeom>
                    <a:noFill/>
                    <a:ln>
                      <a:noFill/>
                    </a:ln>
                  </pic:spPr>
                </pic:pic>
              </a:graphicData>
            </a:graphic>
          </wp:anchor>
        </w:drawing>
      </w:r>
    </w:p>
    <w:p w14:paraId="584A0279" w14:textId="4D4CFF54" w:rsidR="00CE3E5A" w:rsidRDefault="00CE3E5A" w:rsidP="001A5CBB">
      <w:pPr>
        <w:spacing w:line="480" w:lineRule="auto"/>
        <w:rPr>
          <w:rFonts w:ascii="Times New Roman" w:eastAsia="Times New Roman" w:hAnsi="Times New Roman" w:cs="Times New Roman"/>
          <w:color w:val="000000"/>
          <w:sz w:val="28"/>
          <w:szCs w:val="28"/>
          <w:lang w:val="en-US"/>
        </w:rPr>
      </w:pPr>
      <w:r w:rsidRPr="00CE3E5A">
        <w:rPr>
          <w:rFonts w:ascii="Times New Roman" w:eastAsia="Times New Roman" w:hAnsi="Times New Roman" w:cs="Times New Roman"/>
          <w:i/>
          <w:iCs/>
          <w:color w:val="000000"/>
          <w:sz w:val="28"/>
          <w:szCs w:val="28"/>
          <w:lang w:val="en-US"/>
        </w:rPr>
        <w:t>Note</w:t>
      </w:r>
      <w:r w:rsidRPr="00CE3E5A">
        <w:rPr>
          <w:rFonts w:ascii="Times New Roman" w:eastAsia="Times New Roman" w:hAnsi="Times New Roman" w:cs="Times New Roman"/>
          <w:color w:val="000000"/>
          <w:sz w:val="28"/>
          <w:szCs w:val="28"/>
          <w:lang w:val="en-US"/>
        </w:rPr>
        <w:t xml:space="preserve">. Scatter plots same as the Figure </w:t>
      </w:r>
      <w:r w:rsidR="00407511">
        <w:rPr>
          <w:rFonts w:ascii="Times New Roman" w:eastAsia="Times New Roman" w:hAnsi="Times New Roman" w:cs="Times New Roman"/>
          <w:color w:val="000000"/>
          <w:sz w:val="28"/>
          <w:szCs w:val="28"/>
          <w:lang w:val="en-US"/>
        </w:rPr>
        <w:t>5</w:t>
      </w:r>
      <w:r w:rsidRPr="00CE3E5A">
        <w:rPr>
          <w:rFonts w:ascii="Times New Roman" w:eastAsia="Times New Roman" w:hAnsi="Times New Roman" w:cs="Times New Roman"/>
          <w:color w:val="000000"/>
          <w:sz w:val="28"/>
          <w:szCs w:val="28"/>
          <w:lang w:val="en-US"/>
        </w:rPr>
        <w:t xml:space="preserve"> at the ASC group at the eyes-open condition.</w:t>
      </w:r>
    </w:p>
    <w:p w14:paraId="419B4CB3"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3BD0CB4F"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302D059D"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28DD2DFB"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68BB3838"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5547CFE2"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5459F34A"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7492170F"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3E4E43B1"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7E256D4B"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06FB7BE7" w14:textId="77777777" w:rsidR="00CE3E5A" w:rsidRPr="00CE3E5A" w:rsidRDefault="00CE3E5A" w:rsidP="00CE3E5A">
      <w:pPr>
        <w:spacing w:line="240" w:lineRule="auto"/>
        <w:rPr>
          <w:rFonts w:ascii="Times New Roman" w:eastAsia="Times New Roman" w:hAnsi="Times New Roman" w:cs="Times New Roman"/>
          <w:sz w:val="24"/>
          <w:szCs w:val="24"/>
          <w:lang w:val="en-US"/>
        </w:rPr>
      </w:pPr>
    </w:p>
    <w:p w14:paraId="2A4DCB27" w14:textId="77777777" w:rsidR="00CE3E5A" w:rsidRPr="00CE3E5A" w:rsidRDefault="00CE3E5A" w:rsidP="00CE3E5A">
      <w:pPr>
        <w:spacing w:line="240" w:lineRule="auto"/>
        <w:rPr>
          <w:rFonts w:ascii="Times New Roman" w:eastAsia="Times New Roman" w:hAnsi="Times New Roman" w:cs="Times New Roman"/>
          <w:sz w:val="24"/>
          <w:szCs w:val="24"/>
          <w:lang w:val="en-US"/>
        </w:rPr>
      </w:pPr>
    </w:p>
    <w:p w14:paraId="05775FED" w14:textId="048FBD28" w:rsidR="00CE3E5A" w:rsidRPr="00CE3E5A" w:rsidRDefault="00CE3E5A" w:rsidP="001A5CBB">
      <w:pPr>
        <w:spacing w:line="480" w:lineRule="auto"/>
        <w:rPr>
          <w:rFonts w:ascii="Times New Roman" w:eastAsia="Times New Roman" w:hAnsi="Times New Roman" w:cs="Times New Roman"/>
          <w:lang w:val="en-US"/>
        </w:rPr>
      </w:pPr>
      <w:r w:rsidRPr="00CE3E5A">
        <w:rPr>
          <w:rFonts w:ascii="Times New Roman" w:eastAsia="Times New Roman" w:hAnsi="Times New Roman" w:cs="Times New Roman"/>
          <w:b/>
          <w:bCs/>
          <w:color w:val="000000"/>
          <w:sz w:val="24"/>
          <w:szCs w:val="24"/>
          <w:lang w:val="en-US"/>
        </w:rPr>
        <w:lastRenderedPageBreak/>
        <w:t xml:space="preserve">Figure </w:t>
      </w:r>
      <w:r w:rsidR="00407511">
        <w:rPr>
          <w:rFonts w:ascii="Times New Roman" w:eastAsia="Times New Roman" w:hAnsi="Times New Roman" w:cs="Times New Roman"/>
          <w:b/>
          <w:bCs/>
          <w:color w:val="000000"/>
          <w:sz w:val="24"/>
          <w:szCs w:val="24"/>
          <w:lang w:val="en-US"/>
        </w:rPr>
        <w:t>7</w:t>
      </w:r>
    </w:p>
    <w:p w14:paraId="4FA7C8E2" w14:textId="143C3401" w:rsidR="00CE3E5A" w:rsidRPr="00CE3E5A" w:rsidRDefault="00CE3E5A" w:rsidP="001A5CBB">
      <w:pPr>
        <w:spacing w:line="480" w:lineRule="auto"/>
        <w:rPr>
          <w:rFonts w:ascii="Times New Roman" w:eastAsia="Times New Roman" w:hAnsi="Times New Roman" w:cs="Times New Roman"/>
          <w:lang w:val="en-US"/>
        </w:rPr>
      </w:pPr>
      <w:r w:rsidRPr="00CE3E5A">
        <w:rPr>
          <w:rFonts w:ascii="Times New Roman" w:eastAsia="Times New Roman" w:hAnsi="Times New Roman" w:cs="Times New Roman"/>
          <w:i/>
          <w:iCs/>
          <w:noProof/>
          <w:color w:val="000000"/>
          <w:sz w:val="28"/>
          <w:szCs w:val="28"/>
          <w:bdr w:val="none" w:sz="0" w:space="0" w:color="auto" w:frame="1"/>
          <w:lang w:val="en-US"/>
        </w:rPr>
        <w:drawing>
          <wp:anchor distT="0" distB="0" distL="114300" distR="114300" simplePos="0" relativeHeight="251686912" behindDoc="0" locked="0" layoutInCell="1" allowOverlap="1" wp14:anchorId="33253063" wp14:editId="2E318B6E">
            <wp:simplePos x="0" y="0"/>
            <wp:positionH relativeFrom="column">
              <wp:posOffset>-102445</wp:posOffset>
            </wp:positionH>
            <wp:positionV relativeFrom="paragraph">
              <wp:posOffset>625187</wp:posOffset>
            </wp:positionV>
            <wp:extent cx="6481445" cy="4568190"/>
            <wp:effectExtent l="0" t="0" r="0" b="3810"/>
            <wp:wrapTopAndBottom/>
            <wp:docPr id="364200728" name="Picture 6" descr="A diagram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00728" name="Picture 6" descr="A diagram of different colored lines&#10;&#10;Description automatically generated with medium confidence"/>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481445" cy="4568190"/>
                    </a:xfrm>
                    <a:prstGeom prst="rect">
                      <a:avLst/>
                    </a:prstGeom>
                    <a:noFill/>
                    <a:ln>
                      <a:noFill/>
                    </a:ln>
                  </pic:spPr>
                </pic:pic>
              </a:graphicData>
            </a:graphic>
          </wp:anchor>
        </w:drawing>
      </w:r>
      <w:r w:rsidRPr="00CE3E5A">
        <w:rPr>
          <w:rFonts w:ascii="Times New Roman" w:eastAsia="Times New Roman" w:hAnsi="Times New Roman" w:cs="Times New Roman"/>
          <w:i/>
          <w:iCs/>
          <w:color w:val="000000"/>
          <w:sz w:val="24"/>
          <w:szCs w:val="24"/>
          <w:lang w:val="en-US"/>
        </w:rPr>
        <w:t>Correlation between MSE at fine, mid and coarse scales and Relative Delta and Alpha Power across subjects at CON group at the eyes-closed condition</w:t>
      </w:r>
    </w:p>
    <w:p w14:paraId="72D2725F" w14:textId="53483593" w:rsidR="00CE3E5A" w:rsidRPr="00CE3E5A" w:rsidRDefault="00CE3E5A" w:rsidP="00CE3E5A">
      <w:pPr>
        <w:spacing w:line="240" w:lineRule="auto"/>
        <w:ind w:left="-992"/>
        <w:rPr>
          <w:rFonts w:ascii="Times New Roman" w:eastAsia="Times New Roman" w:hAnsi="Times New Roman" w:cs="Times New Roman"/>
          <w:sz w:val="24"/>
          <w:szCs w:val="24"/>
          <w:lang w:val="en-US"/>
        </w:rPr>
      </w:pPr>
    </w:p>
    <w:p w14:paraId="0E7A9269" w14:textId="6EA24225" w:rsidR="00CE3E5A" w:rsidRDefault="00CE3E5A" w:rsidP="001A5CBB">
      <w:pPr>
        <w:spacing w:line="480" w:lineRule="auto"/>
        <w:rPr>
          <w:rFonts w:ascii="Times New Roman" w:eastAsia="Times New Roman" w:hAnsi="Times New Roman" w:cs="Times New Roman"/>
          <w:color w:val="000000"/>
          <w:sz w:val="28"/>
          <w:szCs w:val="28"/>
          <w:lang w:val="en-US"/>
        </w:rPr>
      </w:pPr>
      <w:r w:rsidRPr="00CE3E5A">
        <w:rPr>
          <w:rFonts w:ascii="Times New Roman" w:eastAsia="Times New Roman" w:hAnsi="Times New Roman" w:cs="Times New Roman"/>
          <w:i/>
          <w:iCs/>
          <w:color w:val="000000"/>
          <w:sz w:val="28"/>
          <w:szCs w:val="28"/>
          <w:lang w:val="en-US"/>
        </w:rPr>
        <w:t>Note</w:t>
      </w:r>
      <w:r w:rsidRPr="00CE3E5A">
        <w:rPr>
          <w:rFonts w:ascii="Times New Roman" w:eastAsia="Times New Roman" w:hAnsi="Times New Roman" w:cs="Times New Roman"/>
          <w:color w:val="000000"/>
          <w:sz w:val="28"/>
          <w:szCs w:val="28"/>
          <w:lang w:val="en-US"/>
        </w:rPr>
        <w:t xml:space="preserve">. Scatter plots same as the Figure </w:t>
      </w:r>
      <w:r w:rsidR="00407511">
        <w:rPr>
          <w:rFonts w:ascii="Times New Roman" w:eastAsia="Times New Roman" w:hAnsi="Times New Roman" w:cs="Times New Roman"/>
          <w:color w:val="000000"/>
          <w:sz w:val="28"/>
          <w:szCs w:val="28"/>
          <w:lang w:val="en-US"/>
        </w:rPr>
        <w:t>5</w:t>
      </w:r>
      <w:r w:rsidRPr="00CE3E5A">
        <w:rPr>
          <w:rFonts w:ascii="Times New Roman" w:eastAsia="Times New Roman" w:hAnsi="Times New Roman" w:cs="Times New Roman"/>
          <w:color w:val="000000"/>
          <w:sz w:val="28"/>
          <w:szCs w:val="28"/>
          <w:lang w:val="en-US"/>
        </w:rPr>
        <w:t xml:space="preserve"> at the CON group at the eyes-closed condition.</w:t>
      </w:r>
    </w:p>
    <w:p w14:paraId="77C53DA3"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30DA97D8"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14370ECD"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62F032DE"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2A3C56E1"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3F85FF93"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2FA092BA"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61549AAC"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7BD22261"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4462CE2C"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2B5E47CC"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0AF3C958" w14:textId="77777777" w:rsidR="00CE3E5A" w:rsidRDefault="00CE3E5A" w:rsidP="00CE3E5A">
      <w:pPr>
        <w:spacing w:line="240" w:lineRule="auto"/>
        <w:rPr>
          <w:rFonts w:ascii="Times New Roman" w:eastAsia="Times New Roman" w:hAnsi="Times New Roman" w:cs="Times New Roman"/>
          <w:color w:val="000000"/>
          <w:sz w:val="28"/>
          <w:szCs w:val="28"/>
          <w:lang w:val="en-US"/>
        </w:rPr>
      </w:pPr>
    </w:p>
    <w:p w14:paraId="0F4F8F34" w14:textId="77777777" w:rsidR="00CE3E5A" w:rsidRPr="00CE3E5A" w:rsidRDefault="00CE3E5A" w:rsidP="00CE3E5A">
      <w:pPr>
        <w:spacing w:line="240" w:lineRule="auto"/>
        <w:rPr>
          <w:rFonts w:ascii="Times New Roman" w:eastAsia="Times New Roman" w:hAnsi="Times New Roman" w:cs="Times New Roman"/>
          <w:sz w:val="24"/>
          <w:szCs w:val="24"/>
          <w:lang w:val="en-US"/>
        </w:rPr>
      </w:pPr>
    </w:p>
    <w:p w14:paraId="7A35752F" w14:textId="1595D448" w:rsidR="00CE3E5A" w:rsidRPr="00CE3E5A" w:rsidRDefault="00CE3E5A" w:rsidP="004B7486">
      <w:pPr>
        <w:spacing w:line="480" w:lineRule="auto"/>
        <w:rPr>
          <w:rFonts w:ascii="Times New Roman" w:eastAsia="Times New Roman" w:hAnsi="Times New Roman" w:cs="Times New Roman"/>
          <w:lang w:val="en-US"/>
        </w:rPr>
      </w:pPr>
      <w:r w:rsidRPr="00CE3E5A">
        <w:rPr>
          <w:rFonts w:ascii="Times New Roman" w:eastAsia="Times New Roman" w:hAnsi="Times New Roman" w:cs="Times New Roman"/>
          <w:b/>
          <w:bCs/>
          <w:color w:val="000000"/>
          <w:sz w:val="24"/>
          <w:szCs w:val="24"/>
          <w:lang w:val="en-US"/>
        </w:rPr>
        <w:lastRenderedPageBreak/>
        <w:t xml:space="preserve">Figure </w:t>
      </w:r>
      <w:r w:rsidR="00407511">
        <w:rPr>
          <w:rFonts w:ascii="Times New Roman" w:eastAsia="Times New Roman" w:hAnsi="Times New Roman" w:cs="Times New Roman"/>
          <w:b/>
          <w:bCs/>
          <w:color w:val="000000"/>
          <w:sz w:val="24"/>
          <w:szCs w:val="24"/>
          <w:lang w:val="en-US"/>
        </w:rPr>
        <w:t>8</w:t>
      </w:r>
    </w:p>
    <w:p w14:paraId="6FDD8E39" w14:textId="16EDC930" w:rsidR="00CE3E5A" w:rsidRPr="00CE3E5A" w:rsidRDefault="00CE3E5A" w:rsidP="004B7486">
      <w:pPr>
        <w:spacing w:line="480" w:lineRule="auto"/>
        <w:rPr>
          <w:rFonts w:ascii="Times New Roman" w:eastAsia="Times New Roman" w:hAnsi="Times New Roman" w:cs="Times New Roman"/>
          <w:lang w:val="en-US"/>
        </w:rPr>
      </w:pPr>
      <w:r w:rsidRPr="00CE3E5A">
        <w:rPr>
          <w:rFonts w:ascii="Times New Roman" w:eastAsia="Times New Roman" w:hAnsi="Times New Roman" w:cs="Times New Roman"/>
          <w:i/>
          <w:iCs/>
          <w:color w:val="000000"/>
          <w:sz w:val="24"/>
          <w:szCs w:val="24"/>
          <w:lang w:val="en-US"/>
        </w:rPr>
        <w:t>Correlation between MSE at fine, mid and coarse scales and Relative Delta and Alpha Power across subjects at CON group at the eyes-open condition</w:t>
      </w:r>
    </w:p>
    <w:p w14:paraId="21A60E2E" w14:textId="28ABBF3F" w:rsidR="00CE3E5A" w:rsidRPr="00CE3E5A" w:rsidRDefault="00CE3E5A" w:rsidP="00CE3E5A">
      <w:pPr>
        <w:spacing w:line="240" w:lineRule="auto"/>
        <w:rPr>
          <w:rFonts w:ascii="Times New Roman" w:eastAsia="Times New Roman" w:hAnsi="Times New Roman" w:cs="Times New Roman"/>
          <w:sz w:val="24"/>
          <w:szCs w:val="24"/>
          <w:lang w:val="en-US"/>
        </w:rPr>
      </w:pPr>
      <w:r w:rsidRPr="00CE3E5A">
        <w:rPr>
          <w:rFonts w:ascii="Times New Roman" w:eastAsia="Times New Roman" w:hAnsi="Times New Roman" w:cs="Times New Roman"/>
          <w:i/>
          <w:iCs/>
          <w:noProof/>
          <w:color w:val="000000"/>
          <w:sz w:val="28"/>
          <w:szCs w:val="28"/>
          <w:bdr w:val="none" w:sz="0" w:space="0" w:color="auto" w:frame="1"/>
          <w:lang w:val="en-US"/>
        </w:rPr>
        <w:drawing>
          <wp:anchor distT="0" distB="0" distL="114300" distR="114300" simplePos="0" relativeHeight="251687936" behindDoc="0" locked="0" layoutInCell="1" allowOverlap="1" wp14:anchorId="34BE1DA2" wp14:editId="0ED8CCB2">
            <wp:simplePos x="0" y="0"/>
            <wp:positionH relativeFrom="margin">
              <wp:align>left</wp:align>
            </wp:positionH>
            <wp:positionV relativeFrom="paragraph">
              <wp:posOffset>190184</wp:posOffset>
            </wp:positionV>
            <wp:extent cx="6481445" cy="4575810"/>
            <wp:effectExtent l="0" t="0" r="0" b="0"/>
            <wp:wrapTopAndBottom/>
            <wp:docPr id="715323832" name="Picture 5" descr="A group of graphs showing different types of sam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23832" name="Picture 5" descr="A group of graphs showing different types of samples&#10;&#10;Description automatically generated"/>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6481445" cy="4575810"/>
                    </a:xfrm>
                    <a:prstGeom prst="rect">
                      <a:avLst/>
                    </a:prstGeom>
                    <a:noFill/>
                    <a:ln>
                      <a:noFill/>
                    </a:ln>
                  </pic:spPr>
                </pic:pic>
              </a:graphicData>
            </a:graphic>
          </wp:anchor>
        </w:drawing>
      </w:r>
    </w:p>
    <w:p w14:paraId="7A7ABCB8" w14:textId="29FEA279" w:rsidR="00CE3E5A" w:rsidRPr="00CE3E5A" w:rsidRDefault="00CE3E5A" w:rsidP="00CE3E5A">
      <w:pPr>
        <w:spacing w:line="240" w:lineRule="auto"/>
        <w:ind w:left="-992"/>
        <w:rPr>
          <w:rFonts w:ascii="Times New Roman" w:eastAsia="Times New Roman" w:hAnsi="Times New Roman" w:cs="Times New Roman"/>
          <w:sz w:val="24"/>
          <w:szCs w:val="24"/>
          <w:lang w:val="en-US"/>
        </w:rPr>
      </w:pPr>
    </w:p>
    <w:p w14:paraId="51A6E005" w14:textId="2F1A6AB8" w:rsidR="00CE3E5A" w:rsidRDefault="00CE3E5A" w:rsidP="004B7486">
      <w:pPr>
        <w:spacing w:line="480" w:lineRule="auto"/>
        <w:rPr>
          <w:rFonts w:ascii="Times New Roman" w:eastAsia="Times New Roman" w:hAnsi="Times New Roman" w:cs="Times New Roman"/>
          <w:color w:val="000000"/>
          <w:sz w:val="28"/>
          <w:szCs w:val="28"/>
          <w:lang w:val="en-US"/>
        </w:rPr>
      </w:pPr>
      <w:r w:rsidRPr="00CE3E5A">
        <w:rPr>
          <w:rFonts w:ascii="Times New Roman" w:eastAsia="Times New Roman" w:hAnsi="Times New Roman" w:cs="Times New Roman"/>
          <w:i/>
          <w:iCs/>
          <w:color w:val="000000"/>
          <w:sz w:val="28"/>
          <w:szCs w:val="28"/>
          <w:lang w:val="en-US"/>
        </w:rPr>
        <w:t>Note</w:t>
      </w:r>
      <w:r w:rsidRPr="00CE3E5A">
        <w:rPr>
          <w:rFonts w:ascii="Times New Roman" w:eastAsia="Times New Roman" w:hAnsi="Times New Roman" w:cs="Times New Roman"/>
          <w:color w:val="000000"/>
          <w:sz w:val="28"/>
          <w:szCs w:val="28"/>
          <w:lang w:val="en-US"/>
        </w:rPr>
        <w:t xml:space="preserve">. Scatter plots same as the Figure </w:t>
      </w:r>
      <w:r w:rsidR="00407511">
        <w:rPr>
          <w:rFonts w:ascii="Times New Roman" w:eastAsia="Times New Roman" w:hAnsi="Times New Roman" w:cs="Times New Roman"/>
          <w:color w:val="000000"/>
          <w:sz w:val="28"/>
          <w:szCs w:val="28"/>
          <w:lang w:val="en-US"/>
        </w:rPr>
        <w:t>5</w:t>
      </w:r>
      <w:r w:rsidRPr="00CE3E5A">
        <w:rPr>
          <w:rFonts w:ascii="Times New Roman" w:eastAsia="Times New Roman" w:hAnsi="Times New Roman" w:cs="Times New Roman"/>
          <w:color w:val="000000"/>
          <w:sz w:val="28"/>
          <w:szCs w:val="28"/>
          <w:lang w:val="en-US"/>
        </w:rPr>
        <w:t xml:space="preserve"> at the CON group at the eyes-open condition.</w:t>
      </w:r>
    </w:p>
    <w:p w14:paraId="46F97B8D" w14:textId="77777777" w:rsidR="00CE3E5A" w:rsidRDefault="00CE3E5A" w:rsidP="004B7486">
      <w:pPr>
        <w:spacing w:line="480" w:lineRule="auto"/>
        <w:rPr>
          <w:rFonts w:ascii="Times New Roman" w:eastAsia="Times New Roman" w:hAnsi="Times New Roman" w:cs="Times New Roman"/>
          <w:color w:val="000000"/>
          <w:sz w:val="28"/>
          <w:szCs w:val="28"/>
          <w:lang w:val="en-US"/>
        </w:rPr>
      </w:pPr>
    </w:p>
    <w:p w14:paraId="674965BE" w14:textId="77777777" w:rsidR="001A5CBB" w:rsidRDefault="00CE3E5A" w:rsidP="004B7486">
      <w:pPr>
        <w:spacing w:line="480" w:lineRule="auto"/>
        <w:rPr>
          <w:rFonts w:ascii="Times New Roman" w:eastAsia="Times New Roman" w:hAnsi="Times New Roman" w:cs="Times New Roman"/>
          <w:b/>
          <w:bCs/>
          <w:sz w:val="24"/>
          <w:szCs w:val="24"/>
          <w:lang w:val="en-US"/>
        </w:rPr>
      </w:pPr>
      <w:r w:rsidRPr="00CE3E5A">
        <w:rPr>
          <w:rFonts w:ascii="Times New Roman" w:eastAsia="Times New Roman" w:hAnsi="Times New Roman" w:cs="Times New Roman"/>
          <w:b/>
          <w:bCs/>
          <w:sz w:val="24"/>
          <w:szCs w:val="24"/>
          <w:lang w:val="en-US"/>
        </w:rPr>
        <w:t>Linking Relative Delta and Alpha Power to MSE</w:t>
      </w:r>
      <w:r w:rsidR="001A5CBB">
        <w:rPr>
          <w:rFonts w:ascii="Times New Roman" w:eastAsia="Times New Roman" w:hAnsi="Times New Roman" w:cs="Times New Roman"/>
          <w:b/>
          <w:bCs/>
          <w:sz w:val="24"/>
          <w:szCs w:val="24"/>
          <w:lang w:val="en-US"/>
        </w:rPr>
        <w:t xml:space="preserve"> </w:t>
      </w:r>
    </w:p>
    <w:p w14:paraId="4408C7D9" w14:textId="77777777" w:rsidR="001A5CBB" w:rsidRDefault="001A5CBB" w:rsidP="004B7486">
      <w:pPr>
        <w:spacing w:line="480" w:lineRule="auto"/>
        <w:rPr>
          <w:rFonts w:ascii="Times New Roman" w:eastAsia="Times New Roman" w:hAnsi="Times New Roman" w:cs="Times New Roman"/>
          <w:b/>
          <w:bCs/>
          <w:sz w:val="24"/>
          <w:szCs w:val="24"/>
          <w:lang w:val="en-US"/>
        </w:rPr>
      </w:pPr>
    </w:p>
    <w:p w14:paraId="49B2ED8A" w14:textId="05D1286E" w:rsidR="00CE3E5A" w:rsidRPr="00CE3E5A" w:rsidRDefault="00CE3E5A" w:rsidP="004B7486">
      <w:pPr>
        <w:spacing w:line="480" w:lineRule="auto"/>
        <w:rPr>
          <w:rFonts w:ascii="Times New Roman" w:eastAsia="Times New Roman" w:hAnsi="Times New Roman" w:cs="Times New Roman"/>
          <w:b/>
          <w:bCs/>
          <w:sz w:val="24"/>
          <w:szCs w:val="24"/>
          <w:lang w:val="en-US"/>
        </w:rPr>
      </w:pPr>
      <w:r w:rsidRPr="00CE3E5A">
        <w:rPr>
          <w:rFonts w:ascii="Times New Roman" w:eastAsia="Times New Roman" w:hAnsi="Times New Roman" w:cs="Times New Roman"/>
          <w:sz w:val="24"/>
          <w:szCs w:val="24"/>
          <w:lang w:val="en-US"/>
        </w:rPr>
        <w:t xml:space="preserve">Furthermore, a series of robust regression analyses explored associations between Multiscale Entropy (MSE) in each time scale and Relative Power in delta and alpha frequency bands across brain regions. The study investigated the association in individuals with ASC and a control group under both eyes-closed and eyes-open conditions respectively, with corresponding statistical details available in Table 1. </w:t>
      </w:r>
      <w:r w:rsidRPr="00CE3E5A">
        <w:rPr>
          <w:rFonts w:ascii="Times New Roman" w:eastAsia="Times New Roman" w:hAnsi="Times New Roman" w:cs="Times New Roman"/>
          <w:sz w:val="24"/>
          <w:szCs w:val="24"/>
          <w:lang w:val="en-US"/>
        </w:rPr>
        <w:lastRenderedPageBreak/>
        <w:t xml:space="preserve">Specifically, the coefficient </w:t>
      </w:r>
      <w:r w:rsidRPr="00CE3E5A">
        <w:rPr>
          <w:rFonts w:ascii="Times New Roman" w:eastAsia="Times New Roman" w:hAnsi="Times New Roman" w:cs="Times New Roman"/>
          <w:i/>
          <w:iCs/>
          <w:sz w:val="24"/>
          <w:szCs w:val="24"/>
          <w:lang w:val="en-US"/>
        </w:rPr>
        <w:t>β</w:t>
      </w:r>
      <w:r w:rsidRPr="00CE3E5A">
        <w:rPr>
          <w:rFonts w:ascii="Times New Roman" w:eastAsia="Times New Roman" w:hAnsi="Times New Roman" w:cs="Times New Roman"/>
          <w:sz w:val="24"/>
          <w:szCs w:val="24"/>
          <w:lang w:val="en-US"/>
        </w:rPr>
        <w:t xml:space="preserve"> signifies the alteration in the dependent variable (i.e., Multiscale Entropy) for a one-unit change in the independent variable (i.e., Relative Power in delta or alpha frequency bands), holding other variables constant. The R-squared (R²) serves as a statistical metric representing the proportion of the variance in the dependent variable (i.e., Multiscale Entropy) elucidated by the independent variable(s) (i.e., Relative Power in delta or alpha frequency bands) within the model.</w:t>
      </w:r>
    </w:p>
    <w:p w14:paraId="704FA5D7" w14:textId="77777777" w:rsidR="00CE3E5A" w:rsidRPr="00CE3E5A" w:rsidRDefault="00CE3E5A" w:rsidP="004B7486">
      <w:pPr>
        <w:spacing w:line="480" w:lineRule="auto"/>
        <w:rPr>
          <w:rFonts w:ascii="Times New Roman" w:eastAsia="Times New Roman" w:hAnsi="Times New Roman" w:cs="Times New Roman"/>
          <w:sz w:val="24"/>
          <w:szCs w:val="24"/>
          <w:lang w:val="en-US"/>
        </w:rPr>
      </w:pPr>
    </w:p>
    <w:p w14:paraId="65100CF5" w14:textId="7F2BFED1" w:rsidR="004B7486" w:rsidRPr="004B7486" w:rsidRDefault="00CE3E5A" w:rsidP="004B7486">
      <w:pPr>
        <w:spacing w:line="480" w:lineRule="auto"/>
        <w:rPr>
          <w:rFonts w:ascii="Times New Roman" w:eastAsia="Times New Roman" w:hAnsi="Times New Roman" w:cs="Times New Roman"/>
          <w:b/>
          <w:bCs/>
          <w:sz w:val="24"/>
          <w:szCs w:val="24"/>
          <w:lang w:val="en-US"/>
        </w:rPr>
      </w:pPr>
      <w:r w:rsidRPr="00CE3E5A">
        <w:rPr>
          <w:rFonts w:ascii="Times New Roman" w:eastAsia="Times New Roman" w:hAnsi="Times New Roman" w:cs="Times New Roman"/>
          <w:b/>
          <w:bCs/>
          <w:sz w:val="24"/>
          <w:szCs w:val="24"/>
          <w:lang w:val="en-US"/>
        </w:rPr>
        <w:t>Table 1</w:t>
      </w:r>
    </w:p>
    <w:p w14:paraId="3A9A19B9" w14:textId="33CDF490" w:rsidR="00CE3E5A" w:rsidRDefault="00CE3E5A" w:rsidP="004B7486">
      <w:pPr>
        <w:spacing w:line="480" w:lineRule="auto"/>
        <w:rPr>
          <w:rFonts w:ascii="Times New Roman" w:eastAsia="Times New Roman" w:hAnsi="Times New Roman" w:cs="Times New Roman"/>
          <w:i/>
          <w:iCs/>
          <w:sz w:val="24"/>
          <w:szCs w:val="24"/>
          <w:lang w:val="en-US"/>
        </w:rPr>
      </w:pPr>
      <w:r w:rsidRPr="00CE3E5A">
        <w:rPr>
          <w:rFonts w:ascii="Times New Roman" w:eastAsia="Times New Roman" w:hAnsi="Times New Roman" w:cs="Times New Roman"/>
          <w:i/>
          <w:iCs/>
          <w:sz w:val="24"/>
          <w:szCs w:val="24"/>
          <w:lang w:val="en-US"/>
        </w:rPr>
        <w:t>Statistical Significance Assessment of Coefficients (β) via Robust Regression and R-squared Values in Frontal, Central, and Parietal-Occipital Regions During Eyes-Open and Closed Conditions Across Various Scaling Factors in ASC and CON Groups</w:t>
      </w:r>
    </w:p>
    <w:tbl>
      <w:tblPr>
        <w:tblW w:w="0" w:type="auto"/>
        <w:tblCellMar>
          <w:top w:w="15" w:type="dxa"/>
          <w:left w:w="15" w:type="dxa"/>
          <w:bottom w:w="15" w:type="dxa"/>
          <w:right w:w="15" w:type="dxa"/>
        </w:tblCellMar>
        <w:tblLook w:val="04A0" w:firstRow="1" w:lastRow="0" w:firstColumn="1" w:lastColumn="0" w:noHBand="0" w:noVBand="1"/>
      </w:tblPr>
      <w:tblGrid>
        <w:gridCol w:w="814"/>
        <w:gridCol w:w="1414"/>
        <w:gridCol w:w="720"/>
        <w:gridCol w:w="1273"/>
        <w:gridCol w:w="1893"/>
        <w:gridCol w:w="1640"/>
        <w:gridCol w:w="1227"/>
      </w:tblGrid>
      <w:tr w:rsidR="004B7486" w:rsidRPr="004B7486" w14:paraId="152C42DB" w14:textId="77777777" w:rsidTr="004B7486">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1C6A31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Group</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4C6BEB1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Condition </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6327D37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Scale</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09E82F7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Frequency </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B7264D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Brain Region</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E92655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Coefficient (</w:t>
            </w:r>
            <w:r w:rsidRPr="004B7486">
              <w:rPr>
                <w:rFonts w:ascii="Times New Roman" w:eastAsia="Times New Roman" w:hAnsi="Times New Roman" w:cs="Times New Roman"/>
                <w:i/>
                <w:iCs/>
                <w:color w:val="000000"/>
                <w:sz w:val="24"/>
                <w:szCs w:val="24"/>
                <w:lang w:val="en-US"/>
              </w:rPr>
              <w:t>β</w:t>
            </w:r>
            <w:r w:rsidRPr="004B7486">
              <w:rPr>
                <w:rFonts w:ascii="Times New Roman" w:eastAsia="Times New Roman" w:hAnsi="Times New Roman" w:cs="Times New Roman"/>
                <w:color w:val="000000"/>
                <w:sz w:val="24"/>
                <w:szCs w:val="24"/>
                <w:lang w:val="en-US"/>
              </w:rPr>
              <w:t>)</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145A18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R-Squared</w:t>
            </w:r>
          </w:p>
          <w:p w14:paraId="57528E5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(R²)</w:t>
            </w:r>
          </w:p>
        </w:tc>
      </w:tr>
      <w:tr w:rsidR="004B7486" w:rsidRPr="004B7486" w14:paraId="42E935AF" w14:textId="77777777" w:rsidTr="004B7486">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5E0D807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ASC</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705EB7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Eyes-Closed</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927CBD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16C4B2A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1305A00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59DA238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-0.0173</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2093031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0.1086</w:t>
            </w:r>
          </w:p>
        </w:tc>
      </w:tr>
      <w:tr w:rsidR="004B7486" w:rsidRPr="004B7486" w14:paraId="5D4B3468" w14:textId="77777777" w:rsidTr="004B7486">
        <w:trPr>
          <w:trHeight w:val="495"/>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BD4F3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95E11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E98BA6"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E9F13A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C2D2C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1CEA9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-0.0098</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8609BF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0.0558</w:t>
            </w:r>
          </w:p>
        </w:tc>
      </w:tr>
      <w:tr w:rsidR="004B7486" w:rsidRPr="004B7486" w14:paraId="5B72F9D6"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265B0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7F5FA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4848AE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BD119C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D6D60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DE02F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-0.0181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23B21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0.0578</w:t>
            </w:r>
          </w:p>
        </w:tc>
      </w:tr>
      <w:tr w:rsidR="004B7486" w:rsidRPr="004B7486" w14:paraId="68E582C8"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4E7616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90A46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FEEFA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3CF8B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71F5C6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28AAE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-0.0272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31C87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0.3562</w:t>
            </w:r>
          </w:p>
        </w:tc>
      </w:tr>
      <w:tr w:rsidR="004B7486" w:rsidRPr="004B7486" w14:paraId="31319E43"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7D719E8"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09BEA9"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AE42A0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E2CC66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6C3328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7572B4"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-0.0188</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9BE363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0.1792</w:t>
            </w:r>
          </w:p>
        </w:tc>
      </w:tr>
      <w:tr w:rsidR="004B7486" w:rsidRPr="004B7486" w14:paraId="4112052A"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914D79"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5612B0"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17F42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AFF677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32445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75535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0.0202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0BFDB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0.1292</w:t>
            </w:r>
          </w:p>
        </w:tc>
      </w:tr>
      <w:tr w:rsidR="004B7486" w:rsidRPr="004B7486" w14:paraId="1F58DCE8"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5CFD5D"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70C235"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5D75AF9"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1C9D5A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7154CC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72FD04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0.0156</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56070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0.0641</w:t>
            </w:r>
          </w:p>
        </w:tc>
      </w:tr>
      <w:tr w:rsidR="004B7486" w:rsidRPr="004B7486" w14:paraId="21955B3E"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F1F74B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4CC7DE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407957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FE8C3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D55EF7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D0D87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-0.0343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B0D201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0.6683</w:t>
            </w:r>
          </w:p>
        </w:tc>
      </w:tr>
      <w:tr w:rsidR="004B7486" w:rsidRPr="004B7486" w14:paraId="3828B391"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9DA0C2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11EC18"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9B3526"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452EA3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F114A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AB32DF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-0.0382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F7B6B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0.4730</w:t>
            </w:r>
          </w:p>
        </w:tc>
      </w:tr>
      <w:tr w:rsidR="004B7486" w:rsidRPr="004B7486" w14:paraId="6976E8CE"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C7D808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B9172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8BB32E0"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09B9C2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C384A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C3C7F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-0.0358</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DB206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0.2485</w:t>
            </w:r>
          </w:p>
        </w:tc>
      </w:tr>
      <w:tr w:rsidR="004B7486" w:rsidRPr="004B7486" w14:paraId="1A6AA418"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1CE1B6D"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FEF05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15778AD"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BD3F5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E34CDA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C2EEC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0.0311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34EA05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0.4023</w:t>
            </w:r>
          </w:p>
        </w:tc>
      </w:tr>
      <w:tr w:rsidR="004B7486" w:rsidRPr="004B7486" w14:paraId="0B91FDDF"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825E8D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16140F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060F8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8FB3E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F5350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300296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0.0430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4148C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0.3654</w:t>
            </w:r>
          </w:p>
        </w:tc>
      </w:tr>
      <w:tr w:rsidR="004B7486" w:rsidRPr="004B7486" w14:paraId="13AA0C2A"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C505F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839AA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D1715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F684C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51970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1B800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0.0499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0C0F0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0.1910</w:t>
            </w:r>
          </w:p>
        </w:tc>
      </w:tr>
      <w:tr w:rsidR="004B7486" w:rsidRPr="004B7486" w14:paraId="7A44B794"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DA161B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2E03F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Eyes Open</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5A0E6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4E6E40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C5AD64"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99A38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-0.0125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B244A5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0.1800</w:t>
            </w:r>
          </w:p>
        </w:tc>
      </w:tr>
      <w:tr w:rsidR="004B7486" w:rsidRPr="004B7486" w14:paraId="2C77D0AD"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943B00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C437A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6991130"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935256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E86E0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DD2EB2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-0.0113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94D9E4"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0.1435</w:t>
            </w:r>
          </w:p>
        </w:tc>
      </w:tr>
      <w:tr w:rsidR="004B7486" w:rsidRPr="004B7486" w14:paraId="7AFD1918"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B8D565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35104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BD7B9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3BDC0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974AF8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C7F276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-0.0094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517BEB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0.1238</w:t>
            </w:r>
          </w:p>
        </w:tc>
      </w:tr>
      <w:tr w:rsidR="004B7486" w:rsidRPr="004B7486" w14:paraId="3DB5A85A"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B8B60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2B7A8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E07E33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A5412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1C12C2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AC82D8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-0.0193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87B84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0.4189</w:t>
            </w:r>
          </w:p>
        </w:tc>
      </w:tr>
      <w:tr w:rsidR="004B7486" w:rsidRPr="004B7486" w14:paraId="79AD9303"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D086AB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6F40A5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3E57B2"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B70D3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682269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A0EFFC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-0.0203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C77C42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0.3129</w:t>
            </w:r>
          </w:p>
        </w:tc>
      </w:tr>
      <w:tr w:rsidR="004B7486" w:rsidRPr="004B7486" w14:paraId="43848706"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2EDE1C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AFBB40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5378DB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F43D53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58240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6B1A7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-0.0169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E29BE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0.2484</w:t>
            </w:r>
          </w:p>
        </w:tc>
      </w:tr>
      <w:tr w:rsidR="004B7486" w:rsidRPr="004B7486" w14:paraId="5E37D1A9"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E3CC64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C9038A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D995B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D505DE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F30108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F71D8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0.0080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034A20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0.0890</w:t>
            </w:r>
          </w:p>
        </w:tc>
      </w:tr>
      <w:tr w:rsidR="004B7486" w:rsidRPr="004B7486" w14:paraId="1DFC8A2D"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731D4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381C2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9D678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198771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1D5BC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5805B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0.0143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1E01E7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0.1116</w:t>
            </w:r>
          </w:p>
        </w:tc>
      </w:tr>
      <w:tr w:rsidR="004B7486" w:rsidRPr="004B7486" w14:paraId="0D5F8BCA"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4DB1D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BAD837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9942C5"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A377E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E3BA7D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A1E10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0.0082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42BD2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0.0397</w:t>
            </w:r>
          </w:p>
        </w:tc>
      </w:tr>
      <w:tr w:rsidR="004B7486" w:rsidRPr="004B7486" w14:paraId="21BB0F12"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5827936"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970C245"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5D986A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50F168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E0D1F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1E32FF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-0.0265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B4FF8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0.5948</w:t>
            </w:r>
          </w:p>
        </w:tc>
      </w:tr>
      <w:tr w:rsidR="004B7486" w:rsidRPr="004B7486" w14:paraId="5EC3E172"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3DEE26"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E5DBA9"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7288A2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949F1D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4D06C0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ACCF99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-0.0304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49121A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0.4872</w:t>
            </w:r>
          </w:p>
        </w:tc>
      </w:tr>
      <w:tr w:rsidR="004B7486" w:rsidRPr="004B7486" w14:paraId="3E361349"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ACC8F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EA5F9C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06B3508"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BDE5E8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CDD4D1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0E3425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-0.0292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97525C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0.3901</w:t>
            </w:r>
          </w:p>
        </w:tc>
      </w:tr>
      <w:tr w:rsidR="004B7486" w:rsidRPr="004B7486" w14:paraId="45D6BA35"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B8EBDD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E16F27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61CDD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22E44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59B9D6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DF3680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0.0166</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DEBB04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0.3456</w:t>
            </w:r>
          </w:p>
        </w:tc>
      </w:tr>
      <w:tr w:rsidR="004B7486" w:rsidRPr="004B7486" w14:paraId="4495CCB0"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9B26D5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D19F75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321EF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5DBC91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BD865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D87AE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0.0331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F0811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0.4750</w:t>
            </w:r>
          </w:p>
        </w:tc>
      </w:tr>
      <w:tr w:rsidR="004B7486" w:rsidRPr="004B7486" w14:paraId="000E3679"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DA5AA6"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0D45C8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DEFB40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FD9BDD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F53D5E4"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4152E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0.0290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17831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0.3799</w:t>
            </w:r>
          </w:p>
        </w:tc>
      </w:tr>
      <w:tr w:rsidR="004B7486" w:rsidRPr="004B7486" w14:paraId="0F1DA156"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4C7D5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CON</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D70A9E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Eyes Closed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633C93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BBBB7F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8E8A2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655DB5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-0.0164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6CBAFA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0.0944</w:t>
            </w:r>
          </w:p>
        </w:tc>
      </w:tr>
      <w:tr w:rsidR="004B7486" w:rsidRPr="004B7486" w14:paraId="04407C0A"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C31EA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7BF8A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4FE446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9921BC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54143C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D27EC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-0.0240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D55EBB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0.2368</w:t>
            </w:r>
          </w:p>
        </w:tc>
      </w:tr>
      <w:tr w:rsidR="004B7486" w:rsidRPr="004B7486" w14:paraId="27AC79F7"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E333B8"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43FA7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DEDE67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AFB86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42186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CAF81E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-0.0110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417949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0.0671</w:t>
            </w:r>
          </w:p>
        </w:tc>
      </w:tr>
      <w:tr w:rsidR="004B7486" w:rsidRPr="004B7486" w14:paraId="57306C73"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ECFBE0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BA6026"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07557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6690E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8D172C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2D81C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0.0209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AD98E3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0.0955</w:t>
            </w:r>
          </w:p>
        </w:tc>
      </w:tr>
      <w:tr w:rsidR="004B7486" w:rsidRPr="004B7486" w14:paraId="5E8E429B"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7BD6DA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923FBB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47BFB0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A6F8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F7526B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5A4B4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0.0130            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071A7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0.0407</w:t>
            </w:r>
          </w:p>
        </w:tc>
      </w:tr>
      <w:tr w:rsidR="004B7486" w:rsidRPr="004B7486" w14:paraId="49D2A2FE" w14:textId="77777777" w:rsidTr="004B7486">
        <w:trPr>
          <w:trHeight w:val="50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29E212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6BB8A0"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96C6F0"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5AC5D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64D57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55D586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-0.0333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15F13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0.5149</w:t>
            </w:r>
          </w:p>
        </w:tc>
      </w:tr>
      <w:tr w:rsidR="004B7486" w:rsidRPr="004B7486" w14:paraId="38246EA6"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0C3BAF9"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E8ADF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6779F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8BF7F6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588728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E9DAD0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-0.0295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030004"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0.3099</w:t>
            </w:r>
          </w:p>
        </w:tc>
      </w:tr>
      <w:tr w:rsidR="004B7486" w:rsidRPr="004B7486" w14:paraId="41D4C6FF"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8B59DE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78CC8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4BA77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65730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FB913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FFB0F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-0.0319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F35E66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0.1186</w:t>
            </w:r>
          </w:p>
        </w:tc>
      </w:tr>
      <w:tr w:rsidR="004B7486" w:rsidRPr="004B7486" w14:paraId="17B90ACE"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E30CB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6B876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3703E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C9D0A8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A8FE6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134CC2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0.0389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899F8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0.3645</w:t>
            </w:r>
          </w:p>
        </w:tc>
      </w:tr>
      <w:tr w:rsidR="004B7486" w:rsidRPr="004B7486" w14:paraId="25BA6C82"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0E04CB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ECD41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390C43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3C3617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97F8D6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6009C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0.0524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863BF9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0.3688</w:t>
            </w:r>
          </w:p>
        </w:tc>
      </w:tr>
      <w:tr w:rsidR="004B7486" w:rsidRPr="004B7486" w14:paraId="4A95F8F4"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E190E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7814B1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2B2C70"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154B88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A37E5D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937EF"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0.0330            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63829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0.1188</w:t>
            </w:r>
          </w:p>
        </w:tc>
      </w:tr>
      <w:tr w:rsidR="004B7486" w:rsidRPr="004B7486" w14:paraId="4E54839D"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67C8CAB"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32D68C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Eyes-Open</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0190FB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7D3B5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599014"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F940A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-0.0110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63159F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0.1578</w:t>
            </w:r>
          </w:p>
        </w:tc>
      </w:tr>
      <w:tr w:rsidR="004B7486" w:rsidRPr="004B7486" w14:paraId="265997D6"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49EAB0"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DBD34C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E9FBEF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16EEF5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E19B8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51759B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-0.0059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DA7224"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0.0418</w:t>
            </w:r>
          </w:p>
        </w:tc>
      </w:tr>
      <w:tr w:rsidR="004B7486" w:rsidRPr="004B7486" w14:paraId="3236EE84" w14:textId="77777777" w:rsidTr="004B7486">
        <w:trPr>
          <w:trHeight w:val="54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22AE8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B8E5D5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9EB1F5"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1DF36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1053F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7233D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-0.0075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3BF51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0.0752</w:t>
            </w:r>
          </w:p>
        </w:tc>
      </w:tr>
      <w:tr w:rsidR="004B7486" w:rsidRPr="004B7486" w14:paraId="159FAA85"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069126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9F3A1B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290522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5ABCA5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A7EBD0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26A9A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-0.0169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54866E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0.3149</w:t>
            </w:r>
          </w:p>
        </w:tc>
      </w:tr>
      <w:tr w:rsidR="004B7486" w:rsidRPr="004B7486" w14:paraId="7A1DFE01"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5D6F8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08D801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F78B718"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514F66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03D94D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583407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-0.0117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74CD89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0.0958</w:t>
            </w:r>
          </w:p>
        </w:tc>
      </w:tr>
      <w:tr w:rsidR="004B7486" w:rsidRPr="004B7486" w14:paraId="19BC4C8D"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A674CE"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DBFA32"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1A37A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5D5629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336CB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DDE244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-0.0130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22D7C3"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0.1462</w:t>
            </w:r>
          </w:p>
        </w:tc>
      </w:tr>
      <w:tr w:rsidR="004B7486" w:rsidRPr="004B7486" w14:paraId="5E9EA7DA"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D188A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C752B50"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0B8D6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43D880E"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996BC9"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3C8CAA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-0.0265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13FB5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0.5254</w:t>
            </w:r>
          </w:p>
        </w:tc>
      </w:tr>
      <w:tr w:rsidR="004B7486" w:rsidRPr="004B7486" w14:paraId="4A3F56EF"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9A2F37"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11FC5D"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A0B5C2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0DAC18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3FE3F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51A295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-0.0304 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B1C78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0.2946</w:t>
            </w:r>
          </w:p>
        </w:tc>
      </w:tr>
      <w:tr w:rsidR="004B7486" w:rsidRPr="004B7486" w14:paraId="70E0C6B5"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F6FC11"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03111EF"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589DE1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51A9B6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Delta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C7D5D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5629D41"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0.0292            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37706D"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0.3436</w:t>
            </w:r>
          </w:p>
        </w:tc>
      </w:tr>
      <w:tr w:rsidR="004B7486" w:rsidRPr="004B7486" w14:paraId="4693D37C"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340809"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9252BE5"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11B5F3"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C7E093C"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A353A7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Frontal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710776B"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0.0166             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DC2005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0.3070</w:t>
            </w:r>
          </w:p>
        </w:tc>
      </w:tr>
      <w:tr w:rsidR="004B7486" w:rsidRPr="004B7486" w14:paraId="4A6B2607"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02519C9"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5AF06A"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DC5D56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9994B9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8F54136"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Central</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D3834A"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0.0331             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60A372"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0.3633</w:t>
            </w:r>
          </w:p>
        </w:tc>
      </w:tr>
      <w:tr w:rsidR="004B7486" w:rsidRPr="004B7486" w14:paraId="747D63CC" w14:textId="77777777" w:rsidTr="004B7486">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B9EBDAD"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63DF553C"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09D5D244" w14:textId="77777777" w:rsidR="004B7486" w:rsidRPr="004B7486" w:rsidRDefault="004B7486" w:rsidP="004B7486">
            <w:pPr>
              <w:spacing w:line="240" w:lineRule="auto"/>
              <w:rPr>
                <w:rFonts w:ascii="Times New Roman" w:eastAsia="Times New Roman" w:hAnsi="Times New Roman" w:cs="Times New Roman"/>
                <w:sz w:val="24"/>
                <w:szCs w:val="24"/>
                <w:lang w:val="en-US"/>
              </w:rPr>
            </w:pP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6AF02AA8"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Alpha</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1AA1527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Parietal-Occipital</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39E55435"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0.0290</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2DDC38D7" w14:textId="77777777" w:rsidR="004B7486" w:rsidRPr="004B7486" w:rsidRDefault="004B7486" w:rsidP="004B7486">
            <w:pPr>
              <w:spacing w:line="24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0.3113</w:t>
            </w:r>
          </w:p>
        </w:tc>
      </w:tr>
    </w:tbl>
    <w:p w14:paraId="63F7E0B4" w14:textId="77777777" w:rsidR="004B7486" w:rsidRDefault="004B7486" w:rsidP="004B7486">
      <w:pPr>
        <w:spacing w:line="480" w:lineRule="auto"/>
        <w:rPr>
          <w:rFonts w:ascii="Times New Roman" w:eastAsia="Times New Roman" w:hAnsi="Times New Roman" w:cs="Times New Roman"/>
          <w:i/>
          <w:iCs/>
          <w:sz w:val="24"/>
          <w:szCs w:val="24"/>
          <w:lang w:val="en-US"/>
        </w:rPr>
      </w:pPr>
    </w:p>
    <w:p w14:paraId="71AD1CF8" w14:textId="638F690C" w:rsid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i/>
          <w:iCs/>
          <w:sz w:val="24"/>
          <w:szCs w:val="24"/>
          <w:lang w:val="en-US"/>
        </w:rPr>
        <w:t>Note.</w:t>
      </w:r>
      <w:r w:rsidRPr="004B7486">
        <w:rPr>
          <w:rFonts w:ascii="Times New Roman" w:eastAsia="Times New Roman" w:hAnsi="Times New Roman" w:cs="Times New Roman"/>
          <w:sz w:val="24"/>
          <w:szCs w:val="24"/>
          <w:lang w:val="en-US"/>
        </w:rPr>
        <w:t xml:space="preserve"> Higher R-squared values indicate a better fit, implying that a larger proportion of the variance in the dependent variable (i.e., Multiscale Entropy) is accounted for by the independent variable(s) (i.e., Relative Power in delta or alpha frequency bands) in the model.</w:t>
      </w:r>
    </w:p>
    <w:p w14:paraId="3E2E9A1E" w14:textId="1CDB3B61" w:rsidR="004B7486" w:rsidRDefault="004B7486" w:rsidP="004B7486">
      <w:pPr>
        <w:spacing w:line="480" w:lineRule="auto"/>
        <w:ind w:firstLine="720"/>
        <w:rPr>
          <w:rFonts w:ascii="Times New Roman" w:eastAsia="Times New Roman" w:hAnsi="Times New Roman" w:cs="Times New Roman"/>
          <w:sz w:val="24"/>
          <w:szCs w:val="24"/>
          <w:lang w:val="en-US"/>
        </w:rPr>
      </w:pPr>
      <w:r w:rsidRPr="004B7486">
        <w:rPr>
          <w:rFonts w:ascii="Times New Roman" w:eastAsia="Times New Roman" w:hAnsi="Times New Roman" w:cs="Times New Roman"/>
          <w:sz w:val="24"/>
          <w:szCs w:val="24"/>
          <w:lang w:val="en-US"/>
        </w:rPr>
        <w:t xml:space="preserve">Overall, MSE accounted for most of the variability in Relative Delta and Alpha Power, particularly at the coarse time scale factor across all eye conditions and diagnosis groups, as indicated by the R-squared values presented in Table 1. Regarding the specific associations between MSE and Relative Delta and Alpha Power, in the ASC group during eyes-closed conditions, fine-scale delta frequency exhibited significant negative associations with frontal and central regions, while alpha frequency showed a negative association with the parietal-occipital region. At the mid and coarse scales, similar patterns of negative associations were observed for delta frequency with various brain regions, whereas alpha frequency displayed positive associations. Under eyes-open conditions, the ASC group showed consistent negative associations between delta frequency and multiple regions across all scales, while alpha frequency exhibited positive associations. The control group demonstrated different patterns, with delta frequency showing negative associations under both eyes-closed and eyes-open conditions, while alpha frequency displayed positive associations, particularly at the mid and coarse scales. These findings </w:t>
      </w:r>
      <w:r w:rsidRPr="004B7486">
        <w:rPr>
          <w:rFonts w:ascii="Times New Roman" w:eastAsia="Times New Roman" w:hAnsi="Times New Roman" w:cs="Times New Roman"/>
          <w:sz w:val="24"/>
          <w:szCs w:val="24"/>
          <w:lang w:val="en-US"/>
        </w:rPr>
        <w:lastRenderedPageBreak/>
        <w:t>highlight distinct neurophysiological patterns associated with ASC in different conditions and scales, while the diagnosis group differences are less obvious.</w:t>
      </w:r>
    </w:p>
    <w:p w14:paraId="6A95DBC9" w14:textId="03AB4B0E" w:rsidR="00A30A1E" w:rsidRDefault="00A30A1E" w:rsidP="00A30A1E">
      <w:pPr>
        <w:spacing w:line="480" w:lineRule="auto"/>
        <w:rPr>
          <w:rFonts w:ascii="Times New Roman" w:eastAsia="Times New Roman" w:hAnsi="Times New Roman" w:cs="Times New Roman"/>
          <w:b/>
          <w:bCs/>
          <w:sz w:val="24"/>
          <w:szCs w:val="24"/>
          <w:lang w:val="en-US"/>
        </w:rPr>
      </w:pPr>
      <w:r w:rsidRPr="00CE3E5A">
        <w:rPr>
          <w:rFonts w:ascii="Times New Roman" w:eastAsia="Times New Roman" w:hAnsi="Times New Roman" w:cs="Times New Roman"/>
          <w:b/>
          <w:bCs/>
          <w:sz w:val="24"/>
          <w:szCs w:val="24"/>
          <w:lang w:val="en-US"/>
        </w:rPr>
        <w:t xml:space="preserve">Linking </w:t>
      </w:r>
      <w:r>
        <w:rPr>
          <w:rFonts w:ascii="Times New Roman" w:eastAsia="Times New Roman" w:hAnsi="Times New Roman" w:cs="Times New Roman"/>
          <w:b/>
          <w:bCs/>
          <w:sz w:val="24"/>
          <w:szCs w:val="24"/>
          <w:lang w:val="en-US"/>
        </w:rPr>
        <w:t>MSE to ADOS Score</w:t>
      </w:r>
    </w:p>
    <w:p w14:paraId="6F6ADC30" w14:textId="5D482512" w:rsidR="00A30A1E" w:rsidRPr="00A30A1E" w:rsidRDefault="005102A7" w:rsidP="000947F8">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117 of 126 ASC participants have an available ADOS Score (i.e., overall score that combining </w:t>
      </w:r>
      <w:r w:rsidRPr="005102A7">
        <w:rPr>
          <w:rFonts w:ascii="Times New Roman" w:eastAsia="Times New Roman" w:hAnsi="Times New Roman" w:cs="Times New Roman"/>
          <w:sz w:val="24"/>
          <w:szCs w:val="24"/>
          <w:lang w:val="en-US"/>
        </w:rPr>
        <w:t>Social Affect and Restricted and Repetitive Behaviors domains</w:t>
      </w:r>
      <w:r>
        <w:rPr>
          <w:rFonts w:ascii="Times New Roman" w:eastAsia="Times New Roman" w:hAnsi="Times New Roman" w:cs="Times New Roman"/>
          <w:sz w:val="24"/>
          <w:szCs w:val="24"/>
          <w:lang w:val="en-US"/>
        </w:rPr>
        <w:t>).</w:t>
      </w:r>
      <w:r w:rsidRPr="005102A7">
        <w:t xml:space="preserve"> </w:t>
      </w:r>
      <w:r w:rsidRPr="005102A7">
        <w:rPr>
          <w:rFonts w:ascii="Times New Roman" w:eastAsia="Times New Roman" w:hAnsi="Times New Roman" w:cs="Times New Roman"/>
          <w:sz w:val="24"/>
          <w:szCs w:val="24"/>
          <w:lang w:val="en-US"/>
        </w:rPr>
        <w:t>The mean ADOS Score is 11.92 with a standard deviation of 3.98.</w:t>
      </w:r>
      <w:r>
        <w:rPr>
          <w:rFonts w:ascii="Times New Roman" w:eastAsia="Times New Roman" w:hAnsi="Times New Roman" w:cs="Times New Roman"/>
          <w:sz w:val="24"/>
          <w:szCs w:val="24"/>
          <w:lang w:val="en-US"/>
        </w:rPr>
        <w:t xml:space="preserve"> To illustrate the relationship between averaged MSE and ADOS score, a series of </w:t>
      </w:r>
      <w:r w:rsidR="000947F8">
        <w:rPr>
          <w:rFonts w:ascii="Times New Roman" w:eastAsia="Times New Roman" w:hAnsi="Times New Roman" w:cs="Times New Roman"/>
          <w:sz w:val="24"/>
          <w:szCs w:val="24"/>
          <w:lang w:val="en-US"/>
        </w:rPr>
        <w:t>Pearson’s</w:t>
      </w:r>
      <w:r>
        <w:rPr>
          <w:rFonts w:ascii="Times New Roman" w:eastAsia="Times New Roman" w:hAnsi="Times New Roman" w:cs="Times New Roman"/>
          <w:sz w:val="24"/>
          <w:szCs w:val="24"/>
          <w:lang w:val="en-US"/>
        </w:rPr>
        <w:t xml:space="preserve"> correlation </w:t>
      </w:r>
      <w:r w:rsidR="000947F8">
        <w:rPr>
          <w:rFonts w:ascii="Times New Roman" w:eastAsia="Times New Roman" w:hAnsi="Times New Roman" w:cs="Times New Roman"/>
          <w:sz w:val="24"/>
          <w:szCs w:val="24"/>
          <w:lang w:val="en-US"/>
        </w:rPr>
        <w:t>were conducted across each time scale factor (i.e., fine, mid and coarse), brain regions (i.e., frontal, central and parietal-occipital) and eye conditions (i.e., eyes-open and eyes-closed condition). Overall, there is no significant correlation between MSE and ADOS score at each condition.</w:t>
      </w:r>
    </w:p>
    <w:p w14:paraId="4AA98130" w14:textId="50947203" w:rsidR="000947F8" w:rsidRPr="00407511" w:rsidRDefault="000947F8" w:rsidP="00A30A1E">
      <w:pPr>
        <w:spacing w:line="480" w:lineRule="auto"/>
        <w:rPr>
          <w:rFonts w:ascii="Times New Roman" w:eastAsia="Times New Roman" w:hAnsi="Times New Roman" w:cs="Times New Roman"/>
          <w:b/>
          <w:bCs/>
          <w:sz w:val="24"/>
          <w:szCs w:val="24"/>
          <w:lang w:val="en-US"/>
        </w:rPr>
      </w:pPr>
      <w:r w:rsidRPr="00407511">
        <w:rPr>
          <w:rFonts w:ascii="Times New Roman" w:eastAsia="Times New Roman" w:hAnsi="Times New Roman" w:cs="Times New Roman"/>
          <w:b/>
          <w:bCs/>
          <w:sz w:val="24"/>
          <w:szCs w:val="24"/>
          <w:lang w:val="en-US"/>
        </w:rPr>
        <w:t>Fig</w:t>
      </w:r>
      <w:r w:rsidR="00407511">
        <w:rPr>
          <w:rFonts w:ascii="Times New Roman" w:eastAsia="Times New Roman" w:hAnsi="Times New Roman" w:cs="Times New Roman"/>
          <w:b/>
          <w:bCs/>
          <w:sz w:val="24"/>
          <w:szCs w:val="24"/>
          <w:lang w:val="en-US"/>
        </w:rPr>
        <w:t>ure</w:t>
      </w:r>
      <w:r w:rsidRPr="00407511">
        <w:rPr>
          <w:rFonts w:ascii="Times New Roman" w:eastAsia="Times New Roman" w:hAnsi="Times New Roman" w:cs="Times New Roman"/>
          <w:b/>
          <w:bCs/>
          <w:sz w:val="24"/>
          <w:szCs w:val="24"/>
          <w:lang w:val="en-US"/>
        </w:rPr>
        <w:t xml:space="preserve"> </w:t>
      </w:r>
      <w:r w:rsidR="00407511" w:rsidRPr="00407511">
        <w:rPr>
          <w:rFonts w:ascii="Times New Roman" w:eastAsia="Times New Roman" w:hAnsi="Times New Roman" w:cs="Times New Roman"/>
          <w:b/>
          <w:bCs/>
          <w:sz w:val="24"/>
          <w:szCs w:val="24"/>
          <w:lang w:val="en-US"/>
        </w:rPr>
        <w:t>9</w:t>
      </w:r>
    </w:p>
    <w:p w14:paraId="6BCDCF0D" w14:textId="66E2B371" w:rsidR="000947F8" w:rsidRPr="000947F8" w:rsidRDefault="000947F8" w:rsidP="00A30A1E">
      <w:pPr>
        <w:spacing w:line="480" w:lineRule="auto"/>
        <w:rPr>
          <w:rFonts w:ascii="Times New Roman" w:eastAsia="Times New Roman" w:hAnsi="Times New Roman" w:cs="Times New Roman"/>
          <w:i/>
          <w:iCs/>
          <w:sz w:val="24"/>
          <w:szCs w:val="24"/>
          <w:lang w:val="en-US"/>
        </w:rPr>
      </w:pPr>
      <w:r w:rsidRPr="000947F8">
        <w:rPr>
          <w:rFonts w:ascii="Times New Roman" w:eastAsia="Times New Roman" w:hAnsi="Times New Roman" w:cs="Times New Roman"/>
          <w:i/>
          <w:iCs/>
          <w:sz w:val="24"/>
          <w:szCs w:val="24"/>
          <w:lang w:val="en-US"/>
        </w:rPr>
        <w:t>Pearson’s correlation between MSE and ADOS score at eyes-closed condition.</w:t>
      </w:r>
    </w:p>
    <w:p w14:paraId="06E2002B" w14:textId="77777777" w:rsidR="000947F8" w:rsidRDefault="00A30A1E" w:rsidP="000947F8">
      <w:pPr>
        <w:spacing w:line="480" w:lineRule="auto"/>
        <w:rPr>
          <w:rFonts w:ascii="Times New Roman" w:eastAsia="Times New Roman" w:hAnsi="Times New Roman" w:cs="Times New Roman"/>
          <w:sz w:val="24"/>
          <w:szCs w:val="24"/>
          <w:lang w:val="en-US"/>
        </w:rPr>
      </w:pPr>
      <w:r>
        <w:rPr>
          <w:noProof/>
        </w:rPr>
        <w:drawing>
          <wp:inline distT="0" distB="0" distL="0" distR="0" wp14:anchorId="07414F2B" wp14:editId="15D3E4AC">
            <wp:extent cx="6481445" cy="4582795"/>
            <wp:effectExtent l="0" t="0" r="0" b="8255"/>
            <wp:docPr id="917122756" name="Picture 2" descr="A group of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2756" name="Picture 2" descr="A group of text on a white background&#10;&#10;Description automatically generated with medium confidence"/>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6481445" cy="4582795"/>
                    </a:xfrm>
                    <a:prstGeom prst="rect">
                      <a:avLst/>
                    </a:prstGeom>
                    <a:noFill/>
                    <a:ln>
                      <a:noFill/>
                    </a:ln>
                  </pic:spPr>
                </pic:pic>
              </a:graphicData>
            </a:graphic>
          </wp:inline>
        </w:drawing>
      </w:r>
      <w:r w:rsidR="000947F8" w:rsidRPr="000947F8">
        <w:rPr>
          <w:rFonts w:ascii="Times New Roman" w:eastAsia="Times New Roman" w:hAnsi="Times New Roman" w:cs="Times New Roman"/>
          <w:sz w:val="24"/>
          <w:szCs w:val="24"/>
          <w:lang w:val="en-US"/>
        </w:rPr>
        <w:t xml:space="preserve"> </w:t>
      </w:r>
    </w:p>
    <w:p w14:paraId="5BD55485" w14:textId="34BC15CF" w:rsidR="000947F8" w:rsidRPr="000947F8" w:rsidRDefault="000947F8" w:rsidP="000947F8">
      <w:pPr>
        <w:spacing w:line="480" w:lineRule="auto"/>
        <w:rPr>
          <w:rFonts w:ascii="Times New Roman" w:eastAsia="Times New Roman" w:hAnsi="Times New Roman" w:cs="Times New Roman"/>
          <w:sz w:val="24"/>
          <w:szCs w:val="24"/>
          <w:lang w:val="en-US"/>
        </w:rPr>
      </w:pPr>
      <w:r w:rsidRPr="000947F8">
        <w:rPr>
          <w:rFonts w:ascii="Times New Roman" w:eastAsia="Times New Roman" w:hAnsi="Times New Roman" w:cs="Times New Roman"/>
          <w:i/>
          <w:iCs/>
          <w:sz w:val="24"/>
          <w:szCs w:val="24"/>
          <w:lang w:val="en-US"/>
        </w:rPr>
        <w:t xml:space="preserve">Note. </w:t>
      </w:r>
      <w:r>
        <w:rPr>
          <w:rFonts w:ascii="Times New Roman" w:eastAsia="Times New Roman" w:hAnsi="Times New Roman" w:cs="Times New Roman"/>
          <w:sz w:val="24"/>
          <w:szCs w:val="24"/>
          <w:lang w:val="en-US"/>
        </w:rPr>
        <w:t xml:space="preserve"> Red line indicates the </w:t>
      </w:r>
      <w:r w:rsidR="00EC7D53">
        <w:rPr>
          <w:rFonts w:ascii="Times New Roman" w:eastAsia="Times New Roman" w:hAnsi="Times New Roman" w:cs="Times New Roman"/>
          <w:sz w:val="24"/>
          <w:szCs w:val="24"/>
          <w:lang w:val="en-US"/>
        </w:rPr>
        <w:t xml:space="preserve">correlation regression line. R^2 indicates the correlation coefficient. </w:t>
      </w:r>
    </w:p>
    <w:p w14:paraId="0CBB01D0" w14:textId="77777777" w:rsidR="000947F8" w:rsidRDefault="000947F8" w:rsidP="000947F8">
      <w:pPr>
        <w:spacing w:line="480" w:lineRule="auto"/>
        <w:rPr>
          <w:rFonts w:ascii="Times New Roman" w:eastAsia="Times New Roman" w:hAnsi="Times New Roman" w:cs="Times New Roman"/>
          <w:sz w:val="24"/>
          <w:szCs w:val="24"/>
          <w:lang w:val="en-US"/>
        </w:rPr>
      </w:pPr>
    </w:p>
    <w:p w14:paraId="5FEB40F3" w14:textId="38155709" w:rsidR="000947F8" w:rsidRPr="00407511" w:rsidRDefault="00407511" w:rsidP="000947F8">
      <w:pPr>
        <w:spacing w:line="480" w:lineRule="auto"/>
        <w:rPr>
          <w:rFonts w:ascii="Times New Roman" w:eastAsia="Times New Roman" w:hAnsi="Times New Roman" w:cs="Times New Roman"/>
          <w:b/>
          <w:bCs/>
          <w:sz w:val="24"/>
          <w:szCs w:val="24"/>
          <w:lang w:val="en-US"/>
        </w:rPr>
      </w:pPr>
      <w:r w:rsidRPr="00407511">
        <w:rPr>
          <w:rFonts w:ascii="Times New Roman" w:eastAsia="Times New Roman" w:hAnsi="Times New Roman" w:cs="Times New Roman"/>
          <w:b/>
          <w:bCs/>
          <w:sz w:val="24"/>
          <w:szCs w:val="24"/>
          <w:lang w:val="en-US"/>
        </w:rPr>
        <w:t>Figure 10</w:t>
      </w:r>
    </w:p>
    <w:p w14:paraId="5F279FB0" w14:textId="1D7BD9A5" w:rsidR="000947F8" w:rsidRPr="000947F8" w:rsidRDefault="000947F8" w:rsidP="000947F8">
      <w:pPr>
        <w:spacing w:line="480" w:lineRule="auto"/>
        <w:rPr>
          <w:rFonts w:ascii="Times New Roman" w:eastAsia="Times New Roman" w:hAnsi="Times New Roman" w:cs="Times New Roman"/>
          <w:i/>
          <w:iCs/>
          <w:sz w:val="24"/>
          <w:szCs w:val="24"/>
          <w:lang w:val="en-US"/>
        </w:rPr>
      </w:pPr>
      <w:r w:rsidRPr="000947F8">
        <w:rPr>
          <w:rFonts w:ascii="Times New Roman" w:eastAsia="Times New Roman" w:hAnsi="Times New Roman" w:cs="Times New Roman"/>
          <w:i/>
          <w:iCs/>
          <w:sz w:val="24"/>
          <w:szCs w:val="24"/>
          <w:lang w:val="en-US"/>
        </w:rPr>
        <w:t>Pearson’s correlation between MSE and ADOS score at eyes-</w:t>
      </w:r>
      <w:r>
        <w:rPr>
          <w:rFonts w:ascii="Times New Roman" w:eastAsia="Times New Roman" w:hAnsi="Times New Roman" w:cs="Times New Roman"/>
          <w:i/>
          <w:iCs/>
          <w:sz w:val="24"/>
          <w:szCs w:val="24"/>
          <w:lang w:val="en-US"/>
        </w:rPr>
        <w:t>open</w:t>
      </w:r>
      <w:r w:rsidRPr="000947F8">
        <w:rPr>
          <w:rFonts w:ascii="Times New Roman" w:eastAsia="Times New Roman" w:hAnsi="Times New Roman" w:cs="Times New Roman"/>
          <w:i/>
          <w:iCs/>
          <w:sz w:val="24"/>
          <w:szCs w:val="24"/>
          <w:lang w:val="en-US"/>
        </w:rPr>
        <w:t xml:space="preserve"> condition.</w:t>
      </w:r>
    </w:p>
    <w:p w14:paraId="35A6E7FE" w14:textId="0E2614FB" w:rsidR="00A30A1E" w:rsidRDefault="00A30A1E" w:rsidP="00A30A1E">
      <w:pPr>
        <w:spacing w:line="480" w:lineRule="auto"/>
        <w:rPr>
          <w:rFonts w:ascii="Times New Roman" w:eastAsia="Times New Roman" w:hAnsi="Times New Roman" w:cs="Times New Roman"/>
          <w:sz w:val="24"/>
          <w:szCs w:val="24"/>
          <w:lang w:val="en-US"/>
        </w:rPr>
      </w:pPr>
      <w:r>
        <w:rPr>
          <w:noProof/>
        </w:rPr>
        <w:drawing>
          <wp:inline distT="0" distB="0" distL="0" distR="0" wp14:anchorId="6F86EC2D" wp14:editId="10EB8E39">
            <wp:extent cx="6481445" cy="4582795"/>
            <wp:effectExtent l="0" t="0" r="0" b="8255"/>
            <wp:docPr id="1093829775" name="Picture 1" descr="A group of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29775" name="Picture 1" descr="A group of numbers on a white background&#10;&#10;Description automatically generated"/>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481445" cy="4582795"/>
                    </a:xfrm>
                    <a:prstGeom prst="rect">
                      <a:avLst/>
                    </a:prstGeom>
                    <a:noFill/>
                    <a:ln>
                      <a:noFill/>
                    </a:ln>
                  </pic:spPr>
                </pic:pic>
              </a:graphicData>
            </a:graphic>
          </wp:inline>
        </w:drawing>
      </w:r>
    </w:p>
    <w:p w14:paraId="5F42AE41" w14:textId="77777777" w:rsidR="00EC7D53" w:rsidRPr="000947F8" w:rsidRDefault="00EC7D53" w:rsidP="00EC7D53">
      <w:pPr>
        <w:spacing w:line="480" w:lineRule="auto"/>
        <w:rPr>
          <w:rFonts w:ascii="Times New Roman" w:eastAsia="Times New Roman" w:hAnsi="Times New Roman" w:cs="Times New Roman"/>
          <w:sz w:val="24"/>
          <w:szCs w:val="24"/>
          <w:lang w:val="en-US"/>
        </w:rPr>
      </w:pPr>
      <w:r w:rsidRPr="000947F8">
        <w:rPr>
          <w:rFonts w:ascii="Times New Roman" w:eastAsia="Times New Roman" w:hAnsi="Times New Roman" w:cs="Times New Roman"/>
          <w:i/>
          <w:iCs/>
          <w:sz w:val="24"/>
          <w:szCs w:val="24"/>
          <w:lang w:val="en-US"/>
        </w:rPr>
        <w:t xml:space="preserve">Note. </w:t>
      </w:r>
      <w:r>
        <w:rPr>
          <w:rFonts w:ascii="Times New Roman" w:eastAsia="Times New Roman" w:hAnsi="Times New Roman" w:cs="Times New Roman"/>
          <w:sz w:val="24"/>
          <w:szCs w:val="24"/>
          <w:lang w:val="en-US"/>
        </w:rPr>
        <w:t xml:space="preserve"> Red line indicates the correlation regression line. R^2 indicates the correlation coefficient. </w:t>
      </w:r>
    </w:p>
    <w:p w14:paraId="48FE4FA8" w14:textId="77777777" w:rsidR="00EC7D53" w:rsidRPr="00CE3E5A" w:rsidRDefault="00EC7D53" w:rsidP="00A30A1E">
      <w:pPr>
        <w:spacing w:line="480" w:lineRule="auto"/>
        <w:rPr>
          <w:rFonts w:ascii="Times New Roman" w:eastAsia="Times New Roman" w:hAnsi="Times New Roman" w:cs="Times New Roman"/>
          <w:sz w:val="24"/>
          <w:szCs w:val="24"/>
          <w:lang w:val="en-US"/>
        </w:rPr>
      </w:pPr>
    </w:p>
    <w:p w14:paraId="7825E4F4" w14:textId="09ECFF5B" w:rsidR="008B3F72" w:rsidRPr="00CE3E5A" w:rsidRDefault="008B3F72" w:rsidP="004B7486">
      <w:pPr>
        <w:pStyle w:val="NormalWeb"/>
        <w:spacing w:before="0" w:beforeAutospacing="0" w:after="0" w:afterAutospacing="0" w:line="480" w:lineRule="auto"/>
        <w:rPr>
          <w:rFonts w:asciiTheme="majorBidi" w:hAnsiTheme="majorBidi" w:cstheme="majorBidi"/>
          <w:lang w:val="en-US"/>
        </w:rPr>
      </w:pPr>
    </w:p>
    <w:p w14:paraId="5E6ED677" w14:textId="77777777" w:rsidR="00676D2F" w:rsidRPr="008F4E90" w:rsidRDefault="00676D2F" w:rsidP="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t>Discussion</w:t>
      </w:r>
    </w:p>
    <w:p w14:paraId="5D2687F8"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Enhanced Alpha relative power at the eyes-open condition. </w:t>
      </w:r>
      <w:r w:rsidRPr="008F4E90">
        <w:rPr>
          <w:rFonts w:asciiTheme="majorBidi" w:hAnsiTheme="majorBidi" w:cstheme="majorBidi"/>
        </w:rPr>
        <w:t xml:space="preserve">The present study aimed to investigate electrophysiological profiles of individuals with and without ASC by comparing multiple </w:t>
      </w:r>
      <w:proofErr w:type="spellStart"/>
      <w:r w:rsidRPr="008F4E90">
        <w:rPr>
          <w:rFonts w:asciiTheme="majorBidi" w:hAnsiTheme="majorBidi" w:cstheme="majorBidi"/>
        </w:rPr>
        <w:t>rs</w:t>
      </w:r>
      <w:proofErr w:type="spellEnd"/>
      <w:r w:rsidRPr="008F4E90">
        <w:rPr>
          <w:rFonts w:asciiTheme="majorBidi" w:hAnsiTheme="majorBidi" w:cstheme="majorBidi"/>
        </w:rPr>
        <w:t>-EEG metrics, primarily focusing on relative power spectrum and multiscale sample entropy during eyes-open and eyes-closed resting states. </w:t>
      </w:r>
    </w:p>
    <w:p w14:paraId="2A3B0EC9"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lastRenderedPageBreak/>
        <w:t xml:space="preserve">It has been observed that there was a higher level of alpha power at the eyes-closed compared to eyes-open condition, especially in the parietal-occipital areas in both groups. Alpha oscillations, serving as the dominant rhythm in the human electroencephalographic signal </w:t>
      </w:r>
      <w:hyperlink r:id="rId429" w:history="1">
        <w:r w:rsidRPr="008F4E90">
          <w:rPr>
            <w:rStyle w:val="Hyperlink"/>
            <w:rFonts w:asciiTheme="majorBidi" w:hAnsiTheme="majorBidi" w:cstheme="majorBidi"/>
            <w:color w:val="auto"/>
            <w:u w:val="none"/>
          </w:rPr>
          <w:t xml:space="preserve">(Angelakis et al., 2004; </w:t>
        </w:r>
        <w:proofErr w:type="spellStart"/>
        <w:r w:rsidRPr="008F4E90">
          <w:rPr>
            <w:rStyle w:val="Hyperlink"/>
            <w:rFonts w:asciiTheme="majorBidi" w:hAnsiTheme="majorBidi" w:cstheme="majorBidi"/>
            <w:color w:val="auto"/>
            <w:u w:val="none"/>
          </w:rPr>
          <w:t>Buzsáki</w:t>
        </w:r>
        <w:proofErr w:type="spellEnd"/>
        <w:r w:rsidRPr="008F4E90">
          <w:rPr>
            <w:rStyle w:val="Hyperlink"/>
            <w:rFonts w:asciiTheme="majorBidi" w:hAnsiTheme="majorBidi" w:cstheme="majorBidi"/>
            <w:color w:val="auto"/>
            <w:u w:val="none"/>
          </w:rPr>
          <w:t>, 2006)</w:t>
        </w:r>
      </w:hyperlink>
      <w:r w:rsidRPr="008F4E90">
        <w:rPr>
          <w:rFonts w:asciiTheme="majorBidi" w:hAnsiTheme="majorBidi" w:cstheme="majorBidi"/>
        </w:rPr>
        <w:t xml:space="preserve">, exhibit enhanced power during the eyes-closed condition, known as "alpha reactivity," which indicates adjustments in brain activity during different rest states. The classical view suggested the suppression of alpha-band activity is a typical event-related alpha response, given that the increased alpha power observed during the eyes-closed condition primarily manifests in the parietal-occipital regions, indicating a state of relative inactivity in the visual cortex </w:t>
      </w:r>
      <w:hyperlink r:id="rId430"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Pfurtscheller</w:t>
        </w:r>
        <w:proofErr w:type="spellEnd"/>
        <w:r w:rsidRPr="008F4E90">
          <w:rPr>
            <w:rStyle w:val="Hyperlink"/>
            <w:rFonts w:asciiTheme="majorBidi" w:hAnsiTheme="majorBidi" w:cstheme="majorBidi"/>
            <w:color w:val="auto"/>
            <w:u w:val="none"/>
          </w:rPr>
          <w:t xml:space="preserve">, 1992; </w:t>
        </w:r>
        <w:proofErr w:type="spellStart"/>
        <w:r w:rsidRPr="008F4E90">
          <w:rPr>
            <w:rStyle w:val="Hyperlink"/>
            <w:rFonts w:asciiTheme="majorBidi" w:hAnsiTheme="majorBidi" w:cstheme="majorBidi"/>
            <w:color w:val="auto"/>
            <w:u w:val="none"/>
          </w:rPr>
          <w:t>Pfurtscheller</w:t>
        </w:r>
        <w:proofErr w:type="spellEnd"/>
        <w:r w:rsidRPr="008F4E90">
          <w:rPr>
            <w:rStyle w:val="Hyperlink"/>
            <w:rFonts w:asciiTheme="majorBidi" w:hAnsiTheme="majorBidi" w:cstheme="majorBidi"/>
            <w:color w:val="auto"/>
            <w:u w:val="none"/>
          </w:rPr>
          <w:t xml:space="preserve"> et al., 1996)</w:t>
        </w:r>
      </w:hyperlink>
      <w:r w:rsidRPr="008F4E90">
        <w:rPr>
          <w:rFonts w:asciiTheme="majorBidi" w:hAnsiTheme="majorBidi" w:cstheme="majorBidi"/>
        </w:rPr>
        <w:t xml:space="preserve"> or reduced processing of external visual information </w:t>
      </w:r>
      <w:hyperlink r:id="rId431" w:history="1">
        <w:r w:rsidRPr="008F4E90">
          <w:rPr>
            <w:rStyle w:val="Hyperlink"/>
            <w:rFonts w:asciiTheme="majorBidi" w:hAnsiTheme="majorBidi" w:cstheme="majorBidi"/>
            <w:color w:val="auto"/>
            <w:u w:val="none"/>
          </w:rPr>
          <w:t>(</w:t>
        </w:r>
      </w:hyperlink>
      <w:hyperlink r:id="rId432" w:history="1">
        <w:r w:rsidRPr="008F4E90">
          <w:rPr>
            <w:rStyle w:val="Hyperlink"/>
            <w:rFonts w:asciiTheme="majorBidi" w:hAnsiTheme="majorBidi" w:cstheme="majorBidi"/>
            <w:color w:val="auto"/>
            <w:u w:val="none"/>
          </w:rPr>
          <w:t>Barry et al., 2007</w:t>
        </w:r>
      </w:hyperlink>
      <w:hyperlink r:id="rId433" w:history="1">
        <w:r w:rsidRPr="008F4E90">
          <w:rPr>
            <w:rStyle w:val="Hyperlink"/>
            <w:rFonts w:asciiTheme="majorBidi" w:hAnsiTheme="majorBidi" w:cstheme="majorBidi"/>
            <w:color w:val="auto"/>
            <w:u w:val="none"/>
          </w:rPr>
          <w:t>; Hohaia et al., 2022;Lange et al., 2013; Johnson et al., 2011)</w:t>
        </w:r>
      </w:hyperlink>
      <w:r w:rsidRPr="008F4E90">
        <w:rPr>
          <w:rFonts w:asciiTheme="majorBidi" w:hAnsiTheme="majorBidi" w:cstheme="majorBidi"/>
        </w:rPr>
        <w:t xml:space="preserve">. Furthermore, further evidence supports the idea that the absence of visual stimulation or light solely causes this type of alpha suppression. This phenomenon has been observed not only in completely darkened rooms during the eyes-open condition </w:t>
      </w:r>
      <w:hyperlink r:id="rId434" w:history="1">
        <w:r w:rsidRPr="008F4E90">
          <w:rPr>
            <w:rStyle w:val="Hyperlink"/>
            <w:rFonts w:asciiTheme="majorBidi" w:hAnsiTheme="majorBidi" w:cstheme="majorBidi"/>
            <w:color w:val="auto"/>
            <w:u w:val="none"/>
          </w:rPr>
          <w:t>(Chapman et al., 1970)</w:t>
        </w:r>
      </w:hyperlink>
      <w:r w:rsidRPr="008F4E90">
        <w:rPr>
          <w:rFonts w:asciiTheme="majorBidi" w:hAnsiTheme="majorBidi" w:cstheme="majorBidi"/>
        </w:rPr>
        <w:t xml:space="preserve"> but also in a recent study that successfully replicated and expanded the finding to include children with ASC </w:t>
      </w:r>
      <w:hyperlink r:id="rId435" w:history="1">
        <w:r w:rsidRPr="008F4E90">
          <w:rPr>
            <w:rStyle w:val="Hyperlink"/>
            <w:rFonts w:asciiTheme="majorBidi" w:hAnsiTheme="majorBidi" w:cstheme="majorBidi"/>
            <w:color w:val="auto"/>
            <w:u w:val="none"/>
          </w:rPr>
          <w:t>(Edgar et al., 2023)</w:t>
        </w:r>
      </w:hyperlink>
      <w:r w:rsidRPr="008F4E90">
        <w:rPr>
          <w:rFonts w:asciiTheme="majorBidi" w:hAnsiTheme="majorBidi" w:cstheme="majorBidi"/>
        </w:rPr>
        <w:t>.</w:t>
      </w:r>
    </w:p>
    <w:p w14:paraId="36B2F8C1"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Conversely, the relative power in the other frequency bands (i.e., delta, theta, beta, and gamma) increased during the eyes open relative to the eyes-closed condition. Specifically, only the differences in delta and alpha power were mainly concentrated in the parietal-occipital areas, which is aligned with earlier EEG studies </w:t>
      </w:r>
      <w:hyperlink r:id="rId436" w:history="1">
        <w:r w:rsidRPr="008F4E90">
          <w:rPr>
            <w:rStyle w:val="Hyperlink"/>
            <w:rFonts w:asciiTheme="majorBidi" w:hAnsiTheme="majorBidi" w:cstheme="majorBidi"/>
            <w:color w:val="auto"/>
            <w:u w:val="none"/>
          </w:rPr>
          <w:t>(Barry &amp; De Blasio, 2017; Travis et al., 1974; Kan et al., 2017; Petro et al., 2022)</w:t>
        </w:r>
      </w:hyperlink>
      <w:r w:rsidRPr="008F4E90">
        <w:rPr>
          <w:rFonts w:asciiTheme="majorBidi" w:hAnsiTheme="majorBidi" w:cstheme="majorBidi"/>
        </w:rPr>
        <w:t xml:space="preserve">, while the differences in the other frequency bands were more widespread across the brain. Delta enhancement in posterior regions has been associated with detecting motivational salient information </w:t>
      </w:r>
      <w:hyperlink r:id="rId437" w:history="1">
        <w:r w:rsidRPr="008F4E90">
          <w:rPr>
            <w:rStyle w:val="Hyperlink"/>
            <w:rFonts w:asciiTheme="majorBidi" w:hAnsiTheme="majorBidi" w:cstheme="majorBidi"/>
            <w:color w:val="auto"/>
            <w:u w:val="none"/>
          </w:rPr>
          <w:t>(Knyazev, 2007; Zhang et al., 2013)</w:t>
        </w:r>
      </w:hyperlink>
      <w:r w:rsidRPr="008F4E90">
        <w:rPr>
          <w:rFonts w:asciiTheme="majorBidi" w:hAnsiTheme="majorBidi" w:cstheme="majorBidi"/>
        </w:rPr>
        <w:t xml:space="preserve">. Likewise, the elevation in theta activity has been associated with attentional processes and visual perception, such as periodic sampling of visual attention </w:t>
      </w:r>
      <w:hyperlink r:id="rId438" w:history="1">
        <w:r w:rsidRPr="008F4E90">
          <w:rPr>
            <w:rStyle w:val="Hyperlink"/>
            <w:rFonts w:asciiTheme="majorBidi" w:hAnsiTheme="majorBidi" w:cstheme="majorBidi"/>
            <w:color w:val="auto"/>
            <w:u w:val="none"/>
          </w:rPr>
          <w:t xml:space="preserve">(Busch &amp; </w:t>
        </w:r>
        <w:proofErr w:type="spellStart"/>
        <w:r w:rsidRPr="008F4E90">
          <w:rPr>
            <w:rStyle w:val="Hyperlink"/>
            <w:rFonts w:asciiTheme="majorBidi" w:hAnsiTheme="majorBidi" w:cstheme="majorBidi"/>
            <w:color w:val="auto"/>
            <w:u w:val="none"/>
          </w:rPr>
          <w:t>VanRullen</w:t>
        </w:r>
        <w:proofErr w:type="spellEnd"/>
        <w:r w:rsidRPr="008F4E90">
          <w:rPr>
            <w:rStyle w:val="Hyperlink"/>
            <w:rFonts w:asciiTheme="majorBidi" w:hAnsiTheme="majorBidi" w:cstheme="majorBidi"/>
            <w:color w:val="auto"/>
            <w:u w:val="none"/>
          </w:rPr>
          <w:t>, 2010; Kawashima et al., 2022)</w:t>
        </w:r>
      </w:hyperlink>
      <w:r w:rsidRPr="008F4E90">
        <w:rPr>
          <w:rFonts w:asciiTheme="majorBidi" w:hAnsiTheme="majorBidi" w:cstheme="majorBidi"/>
        </w:rPr>
        <w:t xml:space="preserve">. Similarly, the increased beta and gamma power in the occipital region during the eyes-open condition, indicating heightened cortical processing, supports the notion of enhanced visual cortical activity during the eyes-open condition since beta and gamma power </w:t>
      </w:r>
      <w:r w:rsidRPr="008F4E90">
        <w:rPr>
          <w:rFonts w:asciiTheme="majorBidi" w:hAnsiTheme="majorBidi" w:cstheme="majorBidi"/>
        </w:rPr>
        <w:lastRenderedPageBreak/>
        <w:t xml:space="preserve">has also been associated with top-down prediction signals involved in the visual perception of causal events </w:t>
      </w:r>
      <w:hyperlink r:id="rId439" w:history="1">
        <w:r w:rsidRPr="008F4E90">
          <w:rPr>
            <w:rStyle w:val="Hyperlink"/>
            <w:rFonts w:asciiTheme="majorBidi" w:hAnsiTheme="majorBidi" w:cstheme="majorBidi"/>
            <w:color w:val="auto"/>
            <w:u w:val="none"/>
          </w:rPr>
          <w:t>(van Pelt et al., 2016)</w:t>
        </w:r>
      </w:hyperlink>
      <w:r w:rsidRPr="008F4E90">
        <w:rPr>
          <w:rFonts w:asciiTheme="majorBidi" w:hAnsiTheme="majorBidi" w:cstheme="majorBidi"/>
        </w:rPr>
        <w:t>.  </w:t>
      </w:r>
    </w:p>
    <w:p w14:paraId="0AFDE5C0"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Considering the findings in this study, these observed relative power changes during the eyes-open condition are likely associated with the presence of visual information and heightened vigilance </w:t>
      </w:r>
      <w:hyperlink r:id="rId440"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Boksem</w:t>
        </w:r>
        <w:proofErr w:type="spellEnd"/>
        <w:r w:rsidRPr="008F4E90">
          <w:rPr>
            <w:rStyle w:val="Hyperlink"/>
            <w:rFonts w:asciiTheme="majorBidi" w:hAnsiTheme="majorBidi" w:cstheme="majorBidi"/>
            <w:color w:val="auto"/>
            <w:u w:val="none"/>
          </w:rPr>
          <w:t xml:space="preserve"> et al., 2005)</w:t>
        </w:r>
      </w:hyperlink>
      <w:r w:rsidRPr="008F4E90">
        <w:rPr>
          <w:rFonts w:asciiTheme="majorBidi" w:hAnsiTheme="majorBidi" w:cstheme="majorBidi"/>
        </w:rPr>
        <w:t xml:space="preserve">, suggesting that the eyes-open resting state more actively engages brain processes associated with the processing of visual and sensory information </w:t>
      </w:r>
      <w:hyperlink r:id="rId441" w:history="1">
        <w:r w:rsidRPr="008F4E90">
          <w:rPr>
            <w:rStyle w:val="Hyperlink"/>
            <w:rFonts w:asciiTheme="majorBidi" w:hAnsiTheme="majorBidi" w:cstheme="majorBidi"/>
            <w:color w:val="auto"/>
            <w:u w:val="none"/>
          </w:rPr>
          <w:t>(</w:t>
        </w:r>
        <w:proofErr w:type="spellStart"/>
      </w:hyperlink>
      <w:hyperlink r:id="rId442" w:history="1">
        <w:r w:rsidRPr="008F4E90">
          <w:rPr>
            <w:rStyle w:val="Hyperlink"/>
            <w:rFonts w:asciiTheme="majorBidi" w:hAnsiTheme="majorBidi" w:cstheme="majorBidi"/>
            <w:color w:val="auto"/>
            <w:u w:val="none"/>
          </w:rPr>
          <w:t>Brodoehl</w:t>
        </w:r>
        <w:proofErr w:type="spellEnd"/>
        <w:r w:rsidRPr="008F4E90">
          <w:rPr>
            <w:rStyle w:val="Hyperlink"/>
            <w:rFonts w:asciiTheme="majorBidi" w:hAnsiTheme="majorBidi" w:cstheme="majorBidi"/>
            <w:color w:val="auto"/>
            <w:u w:val="none"/>
          </w:rPr>
          <w:t xml:space="preserve"> et al., 2015; </w:t>
        </w:r>
      </w:hyperlink>
      <w:hyperlink r:id="rId443" w:history="1">
        <w:r w:rsidRPr="008F4E90">
          <w:rPr>
            <w:rStyle w:val="Hyperlink"/>
            <w:rFonts w:asciiTheme="majorBidi" w:hAnsiTheme="majorBidi" w:cstheme="majorBidi"/>
            <w:color w:val="auto"/>
            <w:u w:val="none"/>
          </w:rPr>
          <w:t xml:space="preserve">Mathe &amp; </w:t>
        </w:r>
        <w:proofErr w:type="spellStart"/>
        <w:r w:rsidRPr="008F4E90">
          <w:rPr>
            <w:rStyle w:val="Hyperlink"/>
            <w:rFonts w:asciiTheme="majorBidi" w:hAnsiTheme="majorBidi" w:cstheme="majorBidi"/>
            <w:color w:val="auto"/>
            <w:u w:val="none"/>
          </w:rPr>
          <w:t>Sminchisescu</w:t>
        </w:r>
        <w:proofErr w:type="spellEnd"/>
        <w:r w:rsidRPr="008F4E90">
          <w:rPr>
            <w:rStyle w:val="Hyperlink"/>
            <w:rFonts w:asciiTheme="majorBidi" w:hAnsiTheme="majorBidi" w:cstheme="majorBidi"/>
            <w:color w:val="auto"/>
            <w:u w:val="none"/>
          </w:rPr>
          <w:t>, 2015</w:t>
        </w:r>
      </w:hyperlink>
      <w:hyperlink r:id="rId444" w:history="1">
        <w:r w:rsidRPr="008F4E90">
          <w:rPr>
            <w:rStyle w:val="Hyperlink"/>
            <w:rFonts w:asciiTheme="majorBidi" w:hAnsiTheme="majorBidi" w:cstheme="majorBidi"/>
            <w:color w:val="auto"/>
            <w:u w:val="none"/>
          </w:rPr>
          <w:t xml:space="preserve">; </w:t>
        </w:r>
      </w:hyperlink>
      <w:hyperlink r:id="rId445" w:history="1">
        <w:r w:rsidRPr="008F4E90">
          <w:rPr>
            <w:rStyle w:val="Hyperlink"/>
            <w:rFonts w:asciiTheme="majorBidi" w:hAnsiTheme="majorBidi" w:cstheme="majorBidi"/>
            <w:color w:val="auto"/>
            <w:u w:val="none"/>
          </w:rPr>
          <w:t xml:space="preserve">Wang &amp; Wang, 2021; </w:t>
        </w:r>
      </w:hyperlink>
      <w:hyperlink r:id="rId446" w:history="1">
        <w:r w:rsidRPr="008F4E90">
          <w:rPr>
            <w:rStyle w:val="Hyperlink"/>
            <w:rFonts w:asciiTheme="majorBidi" w:hAnsiTheme="majorBidi" w:cstheme="majorBidi"/>
            <w:color w:val="auto"/>
            <w:u w:val="none"/>
          </w:rPr>
          <w:t>Wei et al., 2018</w:t>
        </w:r>
      </w:hyperlink>
      <w:hyperlink r:id="rId447" w:history="1">
        <w:r w:rsidRPr="008F4E90">
          <w:rPr>
            <w:rStyle w:val="Hyperlink"/>
            <w:rFonts w:asciiTheme="majorBidi" w:hAnsiTheme="majorBidi" w:cstheme="majorBidi"/>
            <w:color w:val="auto"/>
            <w:u w:val="none"/>
          </w:rPr>
          <w:t xml:space="preserve">; </w:t>
        </w:r>
      </w:hyperlink>
      <w:hyperlink r:id="rId448" w:history="1">
        <w:r w:rsidRPr="008F4E90">
          <w:rPr>
            <w:rStyle w:val="Hyperlink"/>
            <w:rFonts w:asciiTheme="majorBidi" w:hAnsiTheme="majorBidi" w:cstheme="majorBidi"/>
            <w:color w:val="auto"/>
            <w:u w:val="none"/>
          </w:rPr>
          <w:t>Zhang et al., 2020</w:t>
        </w:r>
      </w:hyperlink>
      <w:hyperlink r:id="rId449" w:history="1">
        <w:r w:rsidRPr="008F4E90">
          <w:rPr>
            <w:rStyle w:val="Hyperlink"/>
            <w:rFonts w:asciiTheme="majorBidi" w:hAnsiTheme="majorBidi" w:cstheme="majorBidi"/>
            <w:color w:val="auto"/>
            <w:u w:val="none"/>
          </w:rPr>
          <w:t>)</w:t>
        </w:r>
      </w:hyperlink>
      <w:r w:rsidRPr="008F4E90">
        <w:rPr>
          <w:rFonts w:asciiTheme="majorBidi" w:hAnsiTheme="majorBidi" w:cstheme="majorBidi"/>
        </w:rPr>
        <w:t>. Based on the assumption that the magnitude of EEG oscillations reflects information processing, the smaller changes in EEG power between eyes-open and closed conditions in individuals with ASC compared to neurotypical individuals suggest that individuals with ASC exhibit reduced adaptivity in response to eye condition. </w:t>
      </w:r>
    </w:p>
    <w:p w14:paraId="49639DDD"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Elevated relative Delta to Alpha ratio among individuals with ASC. </w:t>
      </w:r>
      <w:r w:rsidRPr="008F4E90">
        <w:rPr>
          <w:rFonts w:asciiTheme="majorBidi" w:hAnsiTheme="majorBidi" w:cstheme="majorBidi"/>
        </w:rPr>
        <w:t xml:space="preserve">Additionally, our research demonstrated that individuals with ASC exhibit an elevated delta-to-alpha ratio compared to neurotypical controls (i.e., a greater proportion of delta power and a reduced proportion of alpha power). This finding is highly consistent with an analysis by </w:t>
      </w:r>
      <w:hyperlink r:id="rId450" w:history="1">
        <w:r w:rsidRPr="008F4E90">
          <w:rPr>
            <w:rStyle w:val="Hyperlink"/>
            <w:rFonts w:asciiTheme="majorBidi" w:hAnsiTheme="majorBidi" w:cstheme="majorBidi"/>
            <w:color w:val="auto"/>
            <w:u w:val="none"/>
          </w:rPr>
          <w:t>(Wang et al., 2013)</w:t>
        </w:r>
      </w:hyperlink>
      <w:r w:rsidRPr="008F4E90">
        <w:rPr>
          <w:rFonts w:asciiTheme="majorBidi" w:hAnsiTheme="majorBidi" w:cstheme="majorBidi"/>
        </w:rPr>
        <w:t xml:space="preserve"> consolidated data from 14 EEG studies on ASC. The findings suggested a potential "U-shaped" pattern of EEG power changes across various brain regions. Specifically, there was an increase in power in the low and high-frequency bands (delta, theta, beta, and gamma bands) and a decrease in power in the mid-frequency band (alpha band) in comparison to typically developing individuals </w:t>
      </w:r>
      <w:hyperlink r:id="rId451" w:history="1">
        <w:r w:rsidRPr="008F4E90">
          <w:rPr>
            <w:rStyle w:val="Hyperlink"/>
            <w:rFonts w:asciiTheme="majorBidi" w:hAnsiTheme="majorBidi" w:cstheme="majorBidi"/>
            <w:color w:val="auto"/>
            <w:u w:val="none"/>
          </w:rPr>
          <w:t>(Coben et al., 2008; Murias et al., 2007)</w:t>
        </w:r>
      </w:hyperlink>
      <w:r w:rsidRPr="008F4E90">
        <w:rPr>
          <w:rFonts w:asciiTheme="majorBidi" w:hAnsiTheme="majorBidi" w:cstheme="majorBidi"/>
        </w:rPr>
        <w:t>. </w:t>
      </w:r>
    </w:p>
    <w:p w14:paraId="0DABFA16"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Given that slower oscillations are typically associated with long-range connections </w:t>
      </w:r>
      <w:hyperlink r:id="rId452"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Amzica</w:t>
        </w:r>
        <w:proofErr w:type="spellEnd"/>
        <w:r w:rsidRPr="008F4E90">
          <w:rPr>
            <w:rStyle w:val="Hyperlink"/>
            <w:rFonts w:asciiTheme="majorBidi" w:hAnsiTheme="majorBidi" w:cstheme="majorBidi"/>
            <w:color w:val="auto"/>
            <w:u w:val="none"/>
          </w:rPr>
          <w:t xml:space="preserve"> &amp; </w:t>
        </w:r>
        <w:proofErr w:type="spellStart"/>
        <w:r w:rsidRPr="008F4E90">
          <w:rPr>
            <w:rStyle w:val="Hyperlink"/>
            <w:rFonts w:asciiTheme="majorBidi" w:hAnsiTheme="majorBidi" w:cstheme="majorBidi"/>
            <w:color w:val="auto"/>
            <w:u w:val="none"/>
          </w:rPr>
          <w:t>Steriade</w:t>
        </w:r>
        <w:proofErr w:type="spellEnd"/>
        <w:r w:rsidRPr="008F4E90">
          <w:rPr>
            <w:rStyle w:val="Hyperlink"/>
            <w:rFonts w:asciiTheme="majorBidi" w:hAnsiTheme="majorBidi" w:cstheme="majorBidi"/>
            <w:color w:val="auto"/>
            <w:u w:val="none"/>
          </w:rPr>
          <w:t>, 1995)</w:t>
        </w:r>
      </w:hyperlink>
      <w:r w:rsidRPr="008F4E90">
        <w:rPr>
          <w:rFonts w:asciiTheme="majorBidi" w:hAnsiTheme="majorBidi" w:cstheme="majorBidi"/>
        </w:rPr>
        <w:t xml:space="preserve">, suggesting a possible failure of top-down synchronisation and weaker inhibitory regulation. The elevated delta might indicate overall hyperconnectivity within the frontal region in individuals with ASC </w:t>
      </w:r>
      <w:hyperlink r:id="rId453" w:history="1">
        <w:r w:rsidRPr="008F4E90">
          <w:rPr>
            <w:rStyle w:val="Hyperlink"/>
            <w:rFonts w:asciiTheme="majorBidi" w:hAnsiTheme="majorBidi" w:cstheme="majorBidi"/>
            <w:color w:val="auto"/>
            <w:u w:val="none"/>
          </w:rPr>
          <w:t>(Orekhova et al., 2014)</w:t>
        </w:r>
      </w:hyperlink>
      <w:r w:rsidRPr="008F4E90">
        <w:rPr>
          <w:rFonts w:asciiTheme="majorBidi" w:hAnsiTheme="majorBidi" w:cstheme="majorBidi"/>
        </w:rPr>
        <w:t xml:space="preserve">. However, this increased delta has been commonly observed in children with learning disabilities </w:t>
      </w:r>
      <w:hyperlink r:id="rId454" w:history="1">
        <w:r w:rsidRPr="008F4E90">
          <w:rPr>
            <w:rStyle w:val="Hyperlink"/>
            <w:rFonts w:asciiTheme="majorBidi" w:hAnsiTheme="majorBidi" w:cstheme="majorBidi"/>
            <w:color w:val="auto"/>
            <w:u w:val="none"/>
          </w:rPr>
          <w:t>(Fonseca et al., 2006)</w:t>
        </w:r>
      </w:hyperlink>
      <w:r w:rsidRPr="008F4E90">
        <w:rPr>
          <w:rFonts w:asciiTheme="majorBidi" w:hAnsiTheme="majorBidi" w:cstheme="majorBidi"/>
        </w:rPr>
        <w:t xml:space="preserve"> and several neurodevelopmental disorders </w:t>
      </w:r>
      <w:hyperlink r:id="rId455" w:history="1">
        <w:r w:rsidRPr="008F4E90">
          <w:rPr>
            <w:rStyle w:val="Hyperlink"/>
            <w:rFonts w:asciiTheme="majorBidi" w:hAnsiTheme="majorBidi" w:cstheme="majorBidi"/>
            <w:color w:val="auto"/>
            <w:u w:val="none"/>
          </w:rPr>
          <w:t>(Clarke et al., 2002; Ostrowski et al., 2021)</w:t>
        </w:r>
      </w:hyperlink>
      <w:r w:rsidRPr="008F4E90">
        <w:rPr>
          <w:rFonts w:asciiTheme="majorBidi" w:hAnsiTheme="majorBidi" w:cstheme="majorBidi"/>
        </w:rPr>
        <w:t xml:space="preserve">. The delta frequency band also involves various functions such as sustained attention, decision-making, and motivation </w:t>
      </w:r>
      <w:hyperlink r:id="rId456" w:history="1">
        <w:r w:rsidRPr="008F4E90">
          <w:rPr>
            <w:rStyle w:val="Hyperlink"/>
            <w:rFonts w:asciiTheme="majorBidi" w:hAnsiTheme="majorBidi" w:cstheme="majorBidi"/>
            <w:color w:val="auto"/>
            <w:u w:val="none"/>
          </w:rPr>
          <w:t xml:space="preserve">(Harmony, 2013; </w:t>
        </w:r>
        <w:proofErr w:type="spellStart"/>
        <w:r w:rsidRPr="008F4E90">
          <w:rPr>
            <w:rStyle w:val="Hyperlink"/>
            <w:rFonts w:asciiTheme="majorBidi" w:hAnsiTheme="majorBidi" w:cstheme="majorBidi"/>
            <w:color w:val="auto"/>
            <w:u w:val="none"/>
          </w:rPr>
          <w:t>Nácher</w:t>
        </w:r>
        <w:proofErr w:type="spellEnd"/>
        <w:r w:rsidRPr="008F4E90">
          <w:rPr>
            <w:rStyle w:val="Hyperlink"/>
            <w:rFonts w:asciiTheme="majorBidi" w:hAnsiTheme="majorBidi" w:cstheme="majorBidi"/>
            <w:color w:val="auto"/>
            <w:u w:val="none"/>
          </w:rPr>
          <w:t xml:space="preserve"> et al., </w:t>
        </w:r>
        <w:r w:rsidRPr="008F4E90">
          <w:rPr>
            <w:rStyle w:val="Hyperlink"/>
            <w:rFonts w:asciiTheme="majorBidi" w:hAnsiTheme="majorBidi" w:cstheme="majorBidi"/>
            <w:color w:val="auto"/>
            <w:u w:val="none"/>
          </w:rPr>
          <w:lastRenderedPageBreak/>
          <w:t>2013)</w:t>
        </w:r>
      </w:hyperlink>
      <w:r w:rsidRPr="008F4E90">
        <w:rPr>
          <w:rFonts w:asciiTheme="majorBidi" w:hAnsiTheme="majorBidi" w:cstheme="majorBidi"/>
        </w:rPr>
        <w:t>. Therefore, it has been suggested that elevated resting delta relative power could be a general indicator of neurological dysfunction rather than specific to ASC. Furthermore, the significant absence of the anticipated rise in delta relative power among individuals with ASC during the eyes-open condition indicates that the state of the eyes strongly influences the heightened relative power of delta frequencies.</w:t>
      </w:r>
    </w:p>
    <w:p w14:paraId="19A5C675"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It is worth noting that, unlike the inconsistent observation of a rise in delta power, we consistently observed a decrease in alpha power in individuals with ASC compared to neurotypical controls when both their eyes were open </w:t>
      </w:r>
      <w:r w:rsidR="00A13F8C" w:rsidRPr="008F4E90">
        <w:rPr>
          <w:rFonts w:asciiTheme="majorBidi" w:hAnsiTheme="majorBidi" w:cstheme="majorBidi"/>
        </w:rPr>
        <w:t>and</w:t>
      </w:r>
      <w:r w:rsidRPr="008F4E90">
        <w:rPr>
          <w:rFonts w:asciiTheme="majorBidi" w:hAnsiTheme="majorBidi" w:cstheme="majorBidi"/>
        </w:rPr>
        <w:t xml:space="preserve"> closed. This finding is highly consistent with other resting state EEG studies conducted on individuals with ASC at various developmental stages </w:t>
      </w:r>
      <w:hyperlink r:id="rId457" w:history="1">
        <w:r w:rsidRPr="008F4E90">
          <w:rPr>
            <w:rStyle w:val="Hyperlink"/>
            <w:rFonts w:asciiTheme="majorBidi" w:hAnsiTheme="majorBidi" w:cstheme="majorBidi"/>
            <w:color w:val="auto"/>
            <w:u w:val="none"/>
          </w:rPr>
          <w:t>(Chan &amp; Leung, 2006; Coben et al., 2008; Levin et al., 2017</w:t>
        </w:r>
      </w:hyperlink>
      <w:hyperlink r:id="rId458" w:history="1">
        <w:r w:rsidRPr="008F4E90">
          <w:rPr>
            <w:rStyle w:val="Hyperlink"/>
            <w:rFonts w:asciiTheme="majorBidi" w:hAnsiTheme="majorBidi" w:cstheme="majorBidi"/>
            <w:color w:val="auto"/>
            <w:u w:val="none"/>
          </w:rPr>
          <w:t xml:space="preserve">; </w:t>
        </w:r>
      </w:hyperlink>
      <w:hyperlink r:id="rId459" w:history="1">
        <w:r w:rsidRPr="008F4E90">
          <w:rPr>
            <w:rStyle w:val="Hyperlink"/>
            <w:rFonts w:asciiTheme="majorBidi" w:hAnsiTheme="majorBidi" w:cstheme="majorBidi"/>
            <w:color w:val="auto"/>
            <w:u w:val="none"/>
          </w:rPr>
          <w:t>Murias et al., 2007</w:t>
        </w:r>
      </w:hyperlink>
      <w:hyperlink r:id="rId460" w:history="1">
        <w:r w:rsidRPr="008F4E90">
          <w:rPr>
            <w:rStyle w:val="Hyperlink"/>
            <w:rFonts w:asciiTheme="majorBidi" w:hAnsiTheme="majorBidi" w:cstheme="majorBidi"/>
            <w:color w:val="auto"/>
            <w:u w:val="none"/>
          </w:rPr>
          <w:t xml:space="preserve">; </w:t>
        </w:r>
      </w:hyperlink>
      <w:hyperlink r:id="rId461" w:history="1">
        <w:r w:rsidRPr="008F4E90">
          <w:rPr>
            <w:rStyle w:val="Hyperlink"/>
            <w:rFonts w:asciiTheme="majorBidi" w:hAnsiTheme="majorBidi" w:cstheme="majorBidi"/>
            <w:color w:val="auto"/>
            <w:u w:val="none"/>
          </w:rPr>
          <w:t xml:space="preserve">Orekhova et al., 2007; </w:t>
        </w:r>
        <w:proofErr w:type="spellStart"/>
        <w:r w:rsidRPr="008F4E90">
          <w:rPr>
            <w:rStyle w:val="Hyperlink"/>
            <w:rFonts w:asciiTheme="majorBidi" w:hAnsiTheme="majorBidi" w:cstheme="majorBidi"/>
            <w:color w:val="auto"/>
            <w:u w:val="none"/>
          </w:rPr>
          <w:t>Stroganova</w:t>
        </w:r>
        <w:proofErr w:type="spellEnd"/>
        <w:r w:rsidRPr="008F4E90">
          <w:rPr>
            <w:rStyle w:val="Hyperlink"/>
            <w:rFonts w:asciiTheme="majorBidi" w:hAnsiTheme="majorBidi" w:cstheme="majorBidi"/>
            <w:color w:val="auto"/>
            <w:u w:val="none"/>
          </w:rPr>
          <w:t xml:space="preserve"> et al., 2007)</w:t>
        </w:r>
      </w:hyperlink>
      <w:r w:rsidRPr="008F4E90">
        <w:rPr>
          <w:rFonts w:asciiTheme="majorBidi" w:hAnsiTheme="majorBidi" w:cstheme="majorBidi"/>
        </w:rPr>
        <w:t xml:space="preserve"> across various brain regions </w:t>
      </w:r>
      <w:hyperlink r:id="rId462" w:history="1">
        <w:r w:rsidRPr="008F4E90">
          <w:rPr>
            <w:rStyle w:val="Hyperlink"/>
            <w:rFonts w:asciiTheme="majorBidi" w:hAnsiTheme="majorBidi" w:cstheme="majorBidi"/>
            <w:color w:val="auto"/>
            <w:u w:val="none"/>
          </w:rPr>
          <w:t>(Chan et al., 2007; Pop-Jordanova et al., 2010)</w:t>
        </w:r>
      </w:hyperlink>
      <w:r w:rsidRPr="008F4E90">
        <w:rPr>
          <w:rFonts w:asciiTheme="majorBidi" w:hAnsiTheme="majorBidi" w:cstheme="majorBidi"/>
        </w:rPr>
        <w:t xml:space="preserve">, similar to this present study. Alpha oscillation undergoes significant amplitude modulation in response to internal or external events </w:t>
      </w:r>
      <w:hyperlink r:id="rId463"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Pfurtscheller</w:t>
        </w:r>
        <w:proofErr w:type="spellEnd"/>
        <w:r w:rsidRPr="008F4E90">
          <w:rPr>
            <w:rStyle w:val="Hyperlink"/>
            <w:rFonts w:asciiTheme="majorBidi" w:hAnsiTheme="majorBidi" w:cstheme="majorBidi"/>
            <w:color w:val="auto"/>
            <w:u w:val="none"/>
          </w:rPr>
          <w:t xml:space="preserve"> et al., 1996; </w:t>
        </w:r>
        <w:proofErr w:type="spellStart"/>
        <w:r w:rsidRPr="008F4E90">
          <w:rPr>
            <w:rStyle w:val="Hyperlink"/>
            <w:rFonts w:asciiTheme="majorBidi" w:hAnsiTheme="majorBidi" w:cstheme="majorBidi"/>
            <w:color w:val="auto"/>
            <w:u w:val="none"/>
          </w:rPr>
          <w:t>Pfurtscheller</w:t>
        </w:r>
        <w:proofErr w:type="spellEnd"/>
        <w:r w:rsidRPr="008F4E90">
          <w:rPr>
            <w:rStyle w:val="Hyperlink"/>
            <w:rFonts w:asciiTheme="majorBidi" w:hAnsiTheme="majorBidi" w:cstheme="majorBidi"/>
            <w:color w:val="auto"/>
            <w:u w:val="none"/>
          </w:rPr>
          <w:t>, 1997)</w:t>
        </w:r>
      </w:hyperlink>
      <w:r w:rsidRPr="008F4E90">
        <w:rPr>
          <w:rFonts w:asciiTheme="majorBidi" w:hAnsiTheme="majorBidi" w:cstheme="majorBidi"/>
        </w:rPr>
        <w:t xml:space="preserve">, which reflects changes in the rhythmic activity of a substantial population of neurons </w:t>
      </w:r>
      <w:hyperlink r:id="rId464" w:history="1">
        <w:r w:rsidRPr="008F4E90">
          <w:rPr>
            <w:rStyle w:val="Hyperlink"/>
            <w:rFonts w:asciiTheme="majorBidi" w:hAnsiTheme="majorBidi" w:cstheme="majorBidi"/>
            <w:color w:val="auto"/>
            <w:u w:val="none"/>
          </w:rPr>
          <w:t>(Lopes da Silva et al., 1974)</w:t>
        </w:r>
      </w:hyperlink>
      <w:r w:rsidRPr="008F4E90">
        <w:rPr>
          <w:rFonts w:asciiTheme="majorBidi" w:hAnsiTheme="majorBidi" w:cstheme="majorBidi"/>
        </w:rPr>
        <w:t xml:space="preserve">. The decrease in alpha power is usually associated with a clearly-defined developmental trajectory linked to cognitive ability and elevated sensitivity to sensory or attentional stimuli </w:t>
      </w:r>
      <w:hyperlink r:id="rId465" w:history="1">
        <w:r w:rsidRPr="008F4E90">
          <w:rPr>
            <w:rStyle w:val="Hyperlink"/>
            <w:rFonts w:asciiTheme="majorBidi" w:hAnsiTheme="majorBidi" w:cstheme="majorBidi"/>
            <w:color w:val="auto"/>
            <w:u w:val="none"/>
          </w:rPr>
          <w:t>(Clements et al., 2022</w:t>
        </w:r>
      </w:hyperlink>
      <w:hyperlink r:id="rId466" w:history="1">
        <w:r w:rsidRPr="008F4E90">
          <w:rPr>
            <w:rStyle w:val="Hyperlink"/>
            <w:rFonts w:asciiTheme="majorBidi" w:hAnsiTheme="majorBidi" w:cstheme="majorBidi"/>
            <w:color w:val="auto"/>
            <w:u w:val="none"/>
          </w:rPr>
          <w:t xml:space="preserve">; </w:t>
        </w:r>
      </w:hyperlink>
      <w:hyperlink r:id="rId467" w:history="1">
        <w:r w:rsidRPr="008F4E90">
          <w:rPr>
            <w:rStyle w:val="Hyperlink"/>
            <w:rFonts w:asciiTheme="majorBidi" w:hAnsiTheme="majorBidi" w:cstheme="majorBidi"/>
            <w:color w:val="auto"/>
            <w:u w:val="none"/>
          </w:rPr>
          <w:t>Foxe &amp; Snyder, 2011)</w:t>
        </w:r>
      </w:hyperlink>
      <w:r w:rsidRPr="008F4E90">
        <w:rPr>
          <w:rFonts w:asciiTheme="majorBidi" w:hAnsiTheme="majorBidi" w:cstheme="majorBidi"/>
        </w:rPr>
        <w:t xml:space="preserve">, as observed in clinical assessments </w:t>
      </w:r>
      <w:hyperlink r:id="rId468" w:history="1">
        <w:r w:rsidRPr="008F4E90">
          <w:rPr>
            <w:rStyle w:val="Hyperlink"/>
            <w:rFonts w:asciiTheme="majorBidi" w:hAnsiTheme="majorBidi" w:cstheme="majorBidi"/>
            <w:color w:val="auto"/>
            <w:u w:val="none"/>
          </w:rPr>
          <w:t>(Loo et al., 2009; Kamida et al., 2016; Kaushik &amp; Jena, 2022; Wang et al., 2017)</w:t>
        </w:r>
      </w:hyperlink>
      <w:r w:rsidRPr="008F4E90">
        <w:rPr>
          <w:rFonts w:asciiTheme="majorBidi" w:hAnsiTheme="majorBidi" w:cstheme="majorBidi"/>
        </w:rPr>
        <w:t xml:space="preserve">. Moreover, recent studies have suggested that reduced alpha power during resting states could be a potential biomarker for cognitive conditions in children with ASC </w:t>
      </w:r>
      <w:hyperlink r:id="rId469" w:history="1">
        <w:r w:rsidRPr="008F4E90">
          <w:rPr>
            <w:rStyle w:val="Hyperlink"/>
            <w:rFonts w:asciiTheme="majorBidi" w:hAnsiTheme="majorBidi" w:cstheme="majorBidi"/>
            <w:color w:val="auto"/>
            <w:u w:val="none"/>
          </w:rPr>
          <w:t>(Dickinson et al., 2018; Keehn et al., 2017; Shephard et al., 2018)</w:t>
        </w:r>
      </w:hyperlink>
      <w:r w:rsidRPr="008F4E90">
        <w:rPr>
          <w:rFonts w:asciiTheme="majorBidi" w:hAnsiTheme="majorBidi" w:cstheme="majorBidi"/>
        </w:rPr>
        <w:t xml:space="preserve">. The consistent finding of decreased alpha power among individuals with ASC regardless of eye condition </w:t>
      </w:r>
      <w:hyperlink r:id="rId470"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Bellato</w:t>
        </w:r>
        <w:proofErr w:type="spellEnd"/>
        <w:r w:rsidRPr="008F4E90">
          <w:rPr>
            <w:rStyle w:val="Hyperlink"/>
            <w:rFonts w:asciiTheme="majorBidi" w:hAnsiTheme="majorBidi" w:cstheme="majorBidi"/>
            <w:color w:val="auto"/>
            <w:u w:val="none"/>
          </w:rPr>
          <w:t xml:space="preserve"> et al., 2020)</w:t>
        </w:r>
      </w:hyperlink>
      <w:r w:rsidRPr="008F4E90">
        <w:rPr>
          <w:rFonts w:asciiTheme="majorBidi" w:hAnsiTheme="majorBidi" w:cstheme="majorBidi"/>
        </w:rPr>
        <w:t xml:space="preserve"> suggests that this decrease in alpha power represents an inherent neuronal alteration among individuals with ASC rather than a response to external visual stimuli. Although there may be some conflicting findings regarding increased or decreased alpha power in individuals with ASC </w:t>
      </w:r>
      <w:hyperlink r:id="rId471"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Cornew</w:t>
        </w:r>
        <w:proofErr w:type="spellEnd"/>
        <w:r w:rsidRPr="008F4E90">
          <w:rPr>
            <w:rStyle w:val="Hyperlink"/>
            <w:rFonts w:asciiTheme="majorBidi" w:hAnsiTheme="majorBidi" w:cstheme="majorBidi"/>
            <w:color w:val="auto"/>
            <w:u w:val="none"/>
          </w:rPr>
          <w:t xml:space="preserve"> et al., 2012; Mathewson et al., 2012</w:t>
        </w:r>
      </w:hyperlink>
      <w:hyperlink r:id="rId472" w:history="1">
        <w:r w:rsidRPr="008F4E90">
          <w:rPr>
            <w:rStyle w:val="Hyperlink"/>
            <w:rFonts w:asciiTheme="majorBidi" w:hAnsiTheme="majorBidi" w:cstheme="majorBidi"/>
            <w:color w:val="auto"/>
            <w:u w:val="none"/>
          </w:rPr>
          <w:t xml:space="preserve">; </w:t>
        </w:r>
      </w:hyperlink>
      <w:hyperlink r:id="rId473" w:history="1">
        <w:r w:rsidRPr="008F4E90">
          <w:rPr>
            <w:rStyle w:val="Hyperlink"/>
            <w:rFonts w:asciiTheme="majorBidi" w:hAnsiTheme="majorBidi" w:cstheme="majorBidi"/>
            <w:color w:val="auto"/>
            <w:u w:val="none"/>
          </w:rPr>
          <w:t>Shephard et al., 2018)</w:t>
        </w:r>
      </w:hyperlink>
      <w:r w:rsidRPr="008F4E90">
        <w:rPr>
          <w:rFonts w:asciiTheme="majorBidi" w:hAnsiTheme="majorBidi" w:cstheme="majorBidi"/>
        </w:rPr>
        <w:t xml:space="preserve">, that could be attributed to medication usage </w:t>
      </w:r>
      <w:hyperlink r:id="rId474" w:history="1">
        <w:r w:rsidRPr="008F4E90">
          <w:rPr>
            <w:rStyle w:val="Hyperlink"/>
            <w:rFonts w:asciiTheme="majorBidi" w:hAnsiTheme="majorBidi" w:cstheme="majorBidi"/>
            <w:color w:val="auto"/>
            <w:u w:val="none"/>
          </w:rPr>
          <w:t>(Blume, 2006)</w:t>
        </w:r>
      </w:hyperlink>
      <w:r w:rsidRPr="008F4E90">
        <w:rPr>
          <w:rFonts w:asciiTheme="majorBidi" w:hAnsiTheme="majorBidi" w:cstheme="majorBidi"/>
        </w:rPr>
        <w:t xml:space="preserve"> nor the co-occurring situation of anxiety among the participants </w:t>
      </w:r>
      <w:hyperlink r:id="rId475" w:history="1">
        <w:r w:rsidRPr="008F4E90">
          <w:rPr>
            <w:rStyle w:val="Hyperlink"/>
            <w:rFonts w:asciiTheme="majorBidi" w:hAnsiTheme="majorBidi" w:cstheme="majorBidi"/>
            <w:color w:val="auto"/>
            <w:u w:val="none"/>
          </w:rPr>
          <w:t>(Knyazev et al., 2004)</w:t>
        </w:r>
      </w:hyperlink>
      <w:r w:rsidRPr="008F4E90">
        <w:rPr>
          <w:rFonts w:asciiTheme="majorBidi" w:hAnsiTheme="majorBidi" w:cstheme="majorBidi"/>
        </w:rPr>
        <w:t xml:space="preserve"> in different studies.</w:t>
      </w:r>
    </w:p>
    <w:p w14:paraId="07BB2D48"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lastRenderedPageBreak/>
        <w:t xml:space="preserve">Enhanced Brain Complexity at Resting eyes-open condition. </w:t>
      </w:r>
      <w:r w:rsidRPr="008F4E90">
        <w:rPr>
          <w:rFonts w:asciiTheme="majorBidi" w:hAnsiTheme="majorBidi" w:cstheme="majorBidi"/>
        </w:rPr>
        <w:t xml:space="preserve">It is acknowledged that the state of the eyes influences brain activity </w:t>
      </w:r>
      <w:hyperlink r:id="rId476" w:history="1">
        <w:r w:rsidRPr="008F4E90">
          <w:rPr>
            <w:rStyle w:val="Hyperlink"/>
            <w:rFonts w:asciiTheme="majorBidi" w:hAnsiTheme="majorBidi" w:cstheme="majorBidi"/>
            <w:color w:val="auto"/>
            <w:u w:val="none"/>
          </w:rPr>
          <w:t>(Petro et al., 2022)</w:t>
        </w:r>
      </w:hyperlink>
      <w:r w:rsidRPr="008F4E90">
        <w:rPr>
          <w:rFonts w:asciiTheme="majorBidi" w:hAnsiTheme="majorBidi" w:cstheme="majorBidi"/>
        </w:rPr>
        <w:t xml:space="preserve">. The observed alterations in the distribution of relative </w:t>
      </w:r>
      <w:proofErr w:type="spellStart"/>
      <w:r w:rsidRPr="008F4E90">
        <w:rPr>
          <w:rFonts w:asciiTheme="majorBidi" w:hAnsiTheme="majorBidi" w:cstheme="majorBidi"/>
        </w:rPr>
        <w:t>rs</w:t>
      </w:r>
      <w:proofErr w:type="spellEnd"/>
      <w:r w:rsidRPr="008F4E90">
        <w:rPr>
          <w:rFonts w:asciiTheme="majorBidi" w:hAnsiTheme="majorBidi" w:cstheme="majorBidi"/>
        </w:rPr>
        <w:t xml:space="preserve">-EEG power across different regions provide evidence of intrinsic brain activity changes switched between eyes-open and eyes-closed states during rest, a well-known EEG difference </w:t>
      </w:r>
      <w:hyperlink r:id="rId477" w:history="1">
        <w:r w:rsidRPr="008F4E90">
          <w:rPr>
            <w:rStyle w:val="Hyperlink"/>
            <w:rFonts w:asciiTheme="majorBidi" w:hAnsiTheme="majorBidi" w:cstheme="majorBidi"/>
            <w:color w:val="auto"/>
            <w:u w:val="none"/>
          </w:rPr>
          <w:t>(Barry et al., 2007)</w:t>
        </w:r>
      </w:hyperlink>
      <w:r w:rsidRPr="008F4E90">
        <w:rPr>
          <w:rFonts w:asciiTheme="majorBidi" w:hAnsiTheme="majorBidi" w:cstheme="majorBidi"/>
        </w:rPr>
        <w:t>. It is noteworthy that in this study, the brain complexity is also modulated by the condition of the eyes, which is reflected by an increased MSE at the eyes-open condition.</w:t>
      </w:r>
    </w:p>
    <w:p w14:paraId="32C4CE2B"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Given that spontaneous brain activity when eyes are closed, equipped with a mean frequency of spikes lower than evoked activity, operates with reduced energy consumption </w:t>
      </w:r>
      <w:hyperlink r:id="rId478" w:history="1">
        <w:r w:rsidRPr="008F4E90">
          <w:rPr>
            <w:rStyle w:val="Hyperlink"/>
            <w:rFonts w:asciiTheme="majorBidi" w:hAnsiTheme="majorBidi" w:cstheme="majorBidi"/>
            <w:color w:val="auto"/>
            <w:u w:val="none"/>
          </w:rPr>
          <w:t>(Attwell &amp; Laughlin, 2001; Tozzi et al., 2016)</w:t>
        </w:r>
      </w:hyperlink>
      <w:r w:rsidRPr="008F4E90">
        <w:rPr>
          <w:rFonts w:asciiTheme="majorBidi" w:hAnsiTheme="majorBidi" w:cstheme="majorBidi"/>
        </w:rPr>
        <w:t xml:space="preserve">, it is not surprising that the dynamics of the eyes-open condition exhibit greater complexity when compared to those of eyes-closed condition in both ASC and neurotypical control groups. This finding aligns with the previous studies, as they have demonstrated that the complexity of the dynamics observed during the eyes-open condition surpasses that of the eyes-closed condition </w:t>
      </w:r>
      <w:hyperlink r:id="rId479" w:history="1">
        <w:r w:rsidRPr="008F4E90">
          <w:rPr>
            <w:rStyle w:val="Hyperlink"/>
            <w:rFonts w:asciiTheme="majorBidi" w:hAnsiTheme="majorBidi" w:cstheme="majorBidi"/>
            <w:color w:val="auto"/>
            <w:u w:val="none"/>
          </w:rPr>
          <w:t>(Hussain et al., 2017)</w:t>
        </w:r>
      </w:hyperlink>
      <w:r w:rsidRPr="008F4E90">
        <w:rPr>
          <w:rFonts w:asciiTheme="majorBidi" w:hAnsiTheme="majorBidi" w:cstheme="majorBidi"/>
        </w:rPr>
        <w:t xml:space="preserve">. During the resting state, the brain displays various oscillatory patterns, with the alpha rhythm being particularly prominent. As the visual processing centre, the occipital cortex exhibits a marked increase in relative alpha power during periods of closed eyes, denoting a noteworthy accumulation of alpha oscillatory activity in this particular brain region </w:t>
      </w:r>
      <w:hyperlink r:id="rId480" w:history="1">
        <w:r w:rsidRPr="008F4E90">
          <w:rPr>
            <w:rStyle w:val="Hyperlink"/>
            <w:rFonts w:asciiTheme="majorBidi" w:hAnsiTheme="majorBidi" w:cstheme="majorBidi"/>
            <w:color w:val="auto"/>
            <w:u w:val="none"/>
          </w:rPr>
          <w:t>(Petro et al., 2022)</w:t>
        </w:r>
      </w:hyperlink>
      <w:r w:rsidRPr="008F4E90">
        <w:rPr>
          <w:rFonts w:asciiTheme="majorBidi" w:hAnsiTheme="majorBidi" w:cstheme="majorBidi"/>
        </w:rPr>
        <w:t xml:space="preserve">. The heightened visual system activity observed during the eyes-open condition is likely due to visual stimulation and may be mediated by the reticular activating system. The increased visual activity may engage additional structural components, leading to enhanced coupling between functional components and more intricate dynamics. External visual stimuli, such as photic stimulation, can evoke an increased cortical response and higher complexity in the broader brain in young adults, but only at the coarse scale </w:t>
      </w:r>
      <w:hyperlink r:id="rId481" w:history="1">
        <w:r w:rsidRPr="008F4E90">
          <w:rPr>
            <w:rStyle w:val="Hyperlink"/>
            <w:rFonts w:asciiTheme="majorBidi" w:hAnsiTheme="majorBidi" w:cstheme="majorBidi"/>
            <w:color w:val="auto"/>
            <w:u w:val="none"/>
          </w:rPr>
          <w:t>(Takahashi et al., 2009)</w:t>
        </w:r>
      </w:hyperlink>
      <w:r w:rsidRPr="008F4E90">
        <w:rPr>
          <w:rFonts w:asciiTheme="majorBidi" w:hAnsiTheme="majorBidi" w:cstheme="majorBidi"/>
        </w:rPr>
        <w:t xml:space="preserve">, which is more sensitive to the nonlinear properties in signals </w:t>
      </w:r>
      <w:hyperlink r:id="rId482"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Courtiol</w:t>
        </w:r>
        <w:proofErr w:type="spellEnd"/>
        <w:r w:rsidRPr="008F4E90">
          <w:rPr>
            <w:rStyle w:val="Hyperlink"/>
            <w:rFonts w:asciiTheme="majorBidi" w:hAnsiTheme="majorBidi" w:cstheme="majorBidi"/>
            <w:color w:val="auto"/>
            <w:u w:val="none"/>
          </w:rPr>
          <w:t xml:space="preserve"> et al., 2016)</w:t>
        </w:r>
      </w:hyperlink>
      <w:r w:rsidRPr="008F4E90">
        <w:rPr>
          <w:rFonts w:asciiTheme="majorBidi" w:hAnsiTheme="majorBidi" w:cstheme="majorBidi"/>
        </w:rPr>
        <w:t>.</w:t>
      </w:r>
    </w:p>
    <w:p w14:paraId="43260523"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Individuals with ASC have a reduced Multiscale Sample Entropy, mainly at the frontal coarse time scale. </w:t>
      </w:r>
      <w:r w:rsidRPr="008F4E90">
        <w:rPr>
          <w:rFonts w:asciiTheme="majorBidi" w:hAnsiTheme="majorBidi" w:cstheme="majorBidi"/>
        </w:rPr>
        <w:t xml:space="preserve">Multiple studies have examined the neural correlates of ASC using multiscale entropy (MSE) </w:t>
      </w:r>
      <w:r w:rsidRPr="008F4E90">
        <w:rPr>
          <w:rFonts w:asciiTheme="majorBidi" w:hAnsiTheme="majorBidi" w:cstheme="majorBidi"/>
        </w:rPr>
        <w:lastRenderedPageBreak/>
        <w:t xml:space="preserve">calculation. These studies consistently demonstrate an abnormal neuronal pattern, indicating a statistically significant trend towards decreased MSE in ASC during both the eyes-closed condition </w:t>
      </w:r>
      <w:hyperlink r:id="rId483" w:history="1">
        <w:r w:rsidRPr="008F4E90">
          <w:rPr>
            <w:rStyle w:val="Hyperlink"/>
            <w:rFonts w:asciiTheme="majorBidi" w:hAnsiTheme="majorBidi" w:cstheme="majorBidi"/>
            <w:color w:val="auto"/>
            <w:u w:val="none"/>
          </w:rPr>
          <w:t>(Milne et al., 2019)</w:t>
        </w:r>
      </w:hyperlink>
      <w:r w:rsidRPr="008F4E90">
        <w:rPr>
          <w:rFonts w:asciiTheme="majorBidi" w:hAnsiTheme="majorBidi" w:cstheme="majorBidi"/>
        </w:rPr>
        <w:t xml:space="preserve"> and the eyes-open condition</w:t>
      </w:r>
      <w:hyperlink r:id="rId484" w:history="1">
        <w:r w:rsidRPr="008F4E90">
          <w:rPr>
            <w:rStyle w:val="Hyperlink"/>
            <w:rFonts w:asciiTheme="majorBidi" w:hAnsiTheme="majorBidi" w:cstheme="majorBidi"/>
            <w:color w:val="auto"/>
            <w:u w:val="none"/>
          </w:rPr>
          <w:t>(Angulo-Ruiz et al., 2023; Catarino et al., 2011)</w:t>
        </w:r>
      </w:hyperlink>
      <w:r w:rsidRPr="008F4E90">
        <w:rPr>
          <w:rFonts w:asciiTheme="majorBidi" w:hAnsiTheme="majorBidi" w:cstheme="majorBidi"/>
        </w:rPr>
        <w:t xml:space="preserve">, as well as in dimly lit rooms </w:t>
      </w:r>
      <w:hyperlink r:id="rId485"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Bosl</w:t>
        </w:r>
        <w:proofErr w:type="spellEnd"/>
        <w:r w:rsidRPr="008F4E90">
          <w:rPr>
            <w:rStyle w:val="Hyperlink"/>
            <w:rFonts w:asciiTheme="majorBidi" w:hAnsiTheme="majorBidi" w:cstheme="majorBidi"/>
            <w:color w:val="auto"/>
            <w:u w:val="none"/>
          </w:rPr>
          <w:t xml:space="preserve"> et al., 2011)</w:t>
        </w:r>
      </w:hyperlink>
      <w:r w:rsidRPr="008F4E90">
        <w:rPr>
          <w:rFonts w:asciiTheme="majorBidi" w:hAnsiTheme="majorBidi" w:cstheme="majorBidi"/>
        </w:rPr>
        <w:t xml:space="preserve">.To account for the high heterogeneity of ASC, some studies parallelly explore the MSE pattern within subgroups categorised by the severity of ASC. A study by </w:t>
      </w:r>
      <w:hyperlink r:id="rId486"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Hadoush</w:t>
        </w:r>
        <w:proofErr w:type="spellEnd"/>
        <w:r w:rsidRPr="008F4E90">
          <w:rPr>
            <w:rStyle w:val="Hyperlink"/>
            <w:rFonts w:asciiTheme="majorBidi" w:hAnsiTheme="majorBidi" w:cstheme="majorBidi"/>
            <w:color w:val="auto"/>
            <w:u w:val="none"/>
          </w:rPr>
          <w:t xml:space="preserve"> et al., 2019)</w:t>
        </w:r>
      </w:hyperlink>
      <w:r w:rsidRPr="008F4E90">
        <w:rPr>
          <w:rFonts w:asciiTheme="majorBidi" w:hAnsiTheme="majorBidi" w:cstheme="majorBidi"/>
        </w:rPr>
        <w:t xml:space="preserve"> revealed that children diagnosed with severe ASC manifest lower MSE in the parietal and right frontal regions than their counterparts with milder ASC. These findings align with the results of the current study, which found significantly lower MSE values in individuals with ASC compared to neurotypical subjects, specifically in the frontal region. The lower complexity of the ASC reflects the lower probability of occurrence of a new pattern of EEG signal. The disruption of the normal functioning of the overall system may occur due to the loss of structural components or diminished functional capability of its subsystem. The increase in uniformity of patterns, resulting from the dominance of specific patterns or the absence of new patterns, is reflected in low MSE values. Therefore, the reduction in MSE values observed in ASC subjects indicates a loss of complexity </w:t>
      </w:r>
      <w:hyperlink r:id="rId487" w:history="1">
        <w:r w:rsidRPr="008F4E90">
          <w:rPr>
            <w:rStyle w:val="Hyperlink"/>
            <w:rFonts w:asciiTheme="majorBidi" w:hAnsiTheme="majorBidi" w:cstheme="majorBidi"/>
            <w:color w:val="auto"/>
            <w:u w:val="none"/>
          </w:rPr>
          <w:t>(Lipsitz, 1992)</w:t>
        </w:r>
      </w:hyperlink>
      <w:r w:rsidRPr="008F4E90">
        <w:rPr>
          <w:rFonts w:asciiTheme="majorBidi" w:hAnsiTheme="majorBidi" w:cstheme="majorBidi"/>
        </w:rPr>
        <w:t>. This supports the hypothesis that "neurodevelopmental disorders will degrade a system complexity since they represent a less adapted system." </w:t>
      </w:r>
    </w:p>
    <w:p w14:paraId="249FEE6D" w14:textId="77777777" w:rsidR="00676D2F"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In general, smaller and more localised neuronal populations give rise to higher frequency oscillations, whereas larger populations or long-range coordination are involved in low-frequency oscillations </w:t>
      </w:r>
      <w:hyperlink r:id="rId488" w:history="1">
        <w:r w:rsidRPr="008F4E90">
          <w:rPr>
            <w:rStyle w:val="Hyperlink"/>
            <w:rFonts w:asciiTheme="majorBidi" w:hAnsiTheme="majorBidi" w:cstheme="majorBidi"/>
            <w:color w:val="auto"/>
            <w:u w:val="none"/>
          </w:rPr>
          <w:t xml:space="preserve">(Schnitzler &amp; Gross, 2005; von Stein &amp; </w:t>
        </w:r>
        <w:proofErr w:type="spellStart"/>
        <w:r w:rsidRPr="008F4E90">
          <w:rPr>
            <w:rStyle w:val="Hyperlink"/>
            <w:rFonts w:asciiTheme="majorBidi" w:hAnsiTheme="majorBidi" w:cstheme="majorBidi"/>
            <w:color w:val="auto"/>
            <w:u w:val="none"/>
          </w:rPr>
          <w:t>Sarnthein</w:t>
        </w:r>
        <w:proofErr w:type="spellEnd"/>
        <w:r w:rsidRPr="008F4E90">
          <w:rPr>
            <w:rStyle w:val="Hyperlink"/>
            <w:rFonts w:asciiTheme="majorBidi" w:hAnsiTheme="majorBidi" w:cstheme="majorBidi"/>
            <w:color w:val="auto"/>
            <w:u w:val="none"/>
          </w:rPr>
          <w:t>, 2000)</w:t>
        </w:r>
      </w:hyperlink>
      <w:r w:rsidRPr="008F4E90">
        <w:rPr>
          <w:rFonts w:asciiTheme="majorBidi" w:hAnsiTheme="majorBidi" w:cstheme="majorBidi"/>
        </w:rPr>
        <w:t xml:space="preserve">. This means complexity at fine scales (i.e., smaller scales and higher frequencies) indicates a short-range neural network. In comparison, complexity at coarse scales (i.e., bigger scales and lower frequencies) suggests long-range neural network properties </w:t>
      </w:r>
      <w:hyperlink r:id="rId489" w:history="1">
        <w:r w:rsidRPr="008F4E90">
          <w:rPr>
            <w:rStyle w:val="Hyperlink"/>
            <w:rFonts w:asciiTheme="majorBidi" w:hAnsiTheme="majorBidi" w:cstheme="majorBidi"/>
            <w:color w:val="auto"/>
            <w:u w:val="none"/>
          </w:rPr>
          <w:t>(Takahashi, 2013)</w:t>
        </w:r>
      </w:hyperlink>
      <w:r w:rsidRPr="008F4E90">
        <w:rPr>
          <w:rFonts w:asciiTheme="majorBidi" w:hAnsiTheme="majorBidi" w:cstheme="majorBidi"/>
        </w:rPr>
        <w:t>. Our observation of lower EEG complexity in ASC subjects was evident only at coarse scales. This indicates that the loss of complexity in ASC subjects may be associated with long-range neural networks, but only at the eye-closed condition without any external visual simulation.</w:t>
      </w:r>
    </w:p>
    <w:p w14:paraId="13F82D72" w14:textId="435E7E64" w:rsidR="004B7486" w:rsidRPr="004B7486" w:rsidRDefault="004B7486" w:rsidP="004B7486">
      <w:pPr>
        <w:pStyle w:val="NormalWeb"/>
        <w:spacing w:line="480" w:lineRule="auto"/>
        <w:ind w:firstLine="720"/>
        <w:rPr>
          <w:rFonts w:asciiTheme="majorBidi" w:hAnsiTheme="majorBidi" w:cstheme="majorBidi"/>
        </w:rPr>
      </w:pPr>
      <w:r w:rsidRPr="004B7486">
        <w:rPr>
          <w:rFonts w:asciiTheme="majorBidi" w:hAnsiTheme="majorBidi" w:cstheme="majorBidi"/>
          <w:b/>
          <w:bCs/>
          <w:i/>
          <w:iCs/>
        </w:rPr>
        <w:lastRenderedPageBreak/>
        <w:t>Eye condition operates as a ‘task’.</w:t>
      </w:r>
      <w:r>
        <w:rPr>
          <w:rFonts w:asciiTheme="majorBidi" w:hAnsiTheme="majorBidi" w:cstheme="majorBidi"/>
        </w:rPr>
        <w:t xml:space="preserve"> </w:t>
      </w:r>
      <w:r w:rsidRPr="004B7486">
        <w:rPr>
          <w:rFonts w:asciiTheme="majorBidi" w:hAnsiTheme="majorBidi" w:cstheme="majorBidi"/>
        </w:rPr>
        <w:t>Spontaneous brain activity exhibits distinct patterns between the eyes-open and eyes-closed conditions. Specifically, spontaneous brain activity in the resting-state eyes-open condition would be higher in the occipital regions, particularly in the attentional system regions, but lower in the sensorimotor regions compared to the resting-state eyes-closed condition (Wei et al. 2018). Relative to the eyes-closed state, the eyes-open condition imposes heightened demands on the brain due to increased external stimuli. Consequently, this gives rise to a functional state characterised by involuntary information processing and mental activity, even though the brain is still at rest (Marx et al. 2003; Wei et al. 2018). This is also referred to as the "exteroceptive" and "interoceptive" mental states hypothesis (Marx et al. 2003; Marx et al. 2004).</w:t>
      </w:r>
    </w:p>
    <w:p w14:paraId="32F41800" w14:textId="77777777" w:rsidR="004B7486" w:rsidRPr="004B7486" w:rsidRDefault="004B7486" w:rsidP="004B7486">
      <w:pPr>
        <w:pStyle w:val="NormalWeb"/>
        <w:spacing w:line="480" w:lineRule="auto"/>
        <w:ind w:firstLine="720"/>
        <w:rPr>
          <w:rFonts w:asciiTheme="majorBidi" w:hAnsiTheme="majorBidi" w:cstheme="majorBidi"/>
        </w:rPr>
      </w:pPr>
      <w:r w:rsidRPr="004B7486">
        <w:rPr>
          <w:rFonts w:asciiTheme="majorBidi" w:hAnsiTheme="majorBidi" w:cstheme="majorBidi"/>
        </w:rPr>
        <w:t>As entropy measures signal predictability, the greater irregularity observed across channels during the eyes-open condition, even when examined independently, may suggest a decrease in the synchronisation of oscillatory activity (Stam et al. 1993). The desynchronization corresponds to the electrophysiological correlation indicative of increased cortical excitability and generalised brain arousal (Daly et al. 2018). An investigation using transfer entropy on resting EEG recordings demonstrated that more information flows into the brain during the eyes-closed condition compared to the eyes-open condition, particularly from the posterior to the frontal lobe (Olejarczyk et al. 2020). This supports the hypothesis that, with eyes closed, the brain is primarily engaged in internal processes rather than responding to external stimuli, leading to an increase in cerebral synchronisation.</w:t>
      </w:r>
    </w:p>
    <w:p w14:paraId="616A08C1" w14:textId="59498A92" w:rsidR="004B7486" w:rsidRPr="008F4E90" w:rsidRDefault="004B7486" w:rsidP="004B7486">
      <w:pPr>
        <w:pStyle w:val="NormalWeb"/>
        <w:spacing w:before="0" w:beforeAutospacing="0" w:after="0" w:afterAutospacing="0" w:line="480" w:lineRule="auto"/>
        <w:ind w:firstLine="720"/>
        <w:rPr>
          <w:rFonts w:asciiTheme="majorBidi" w:hAnsiTheme="majorBidi" w:cstheme="majorBidi"/>
        </w:rPr>
      </w:pPr>
      <w:r w:rsidRPr="004B7486">
        <w:rPr>
          <w:rFonts w:asciiTheme="majorBidi" w:hAnsiTheme="majorBidi" w:cstheme="majorBidi"/>
        </w:rPr>
        <w:t>Given findings suggest that the eyes-open condition induces a higher level of brain desynchronization and information processing. The increased entropy values in the eyes-open condition reflect a state of greater unpredictability and randomness in the EEG signal, highlighting the relevance of entropy in capturing the distinctive resting state conditions.</w:t>
      </w:r>
    </w:p>
    <w:p w14:paraId="268A95DA"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Eyes-closed condition is more fruitful. </w:t>
      </w:r>
      <w:r w:rsidRPr="008F4E90">
        <w:rPr>
          <w:rFonts w:asciiTheme="majorBidi" w:hAnsiTheme="majorBidi" w:cstheme="majorBidi"/>
        </w:rPr>
        <w:t>In addition to the observed evident group differences during the eyes-closed condition in the study of ASC, a comprehensive review investigated the resting-</w:t>
      </w:r>
      <w:r w:rsidRPr="008F4E90">
        <w:rPr>
          <w:rFonts w:asciiTheme="majorBidi" w:hAnsiTheme="majorBidi" w:cstheme="majorBidi"/>
        </w:rPr>
        <w:lastRenderedPageBreak/>
        <w:t xml:space="preserve">state EEG power spectrum across various psychiatric conditions </w:t>
      </w:r>
      <w:hyperlink r:id="rId490" w:history="1">
        <w:r w:rsidRPr="008F4E90">
          <w:rPr>
            <w:rStyle w:val="Hyperlink"/>
            <w:rFonts w:asciiTheme="majorBidi" w:hAnsiTheme="majorBidi" w:cstheme="majorBidi"/>
            <w:color w:val="auto"/>
            <w:u w:val="none"/>
          </w:rPr>
          <w:t>(Newson &amp; Thiagarajan, 2018)</w:t>
        </w:r>
      </w:hyperlink>
      <w:r w:rsidRPr="008F4E90">
        <w:rPr>
          <w:rFonts w:asciiTheme="majorBidi" w:hAnsiTheme="majorBidi" w:cstheme="majorBidi"/>
        </w:rPr>
        <w:t>, also suggesting that the classification results with the highest reliability and consistency across all disorders and frequency bands were achieved when analysing relative power during the eyes-closed condition. </w:t>
      </w:r>
    </w:p>
    <w:p w14:paraId="2DA3A643" w14:textId="77777777" w:rsidR="00676D2F" w:rsidRPr="008F4E90" w:rsidRDefault="00676D2F" w:rsidP="00676D2F">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However, the reason behind the divergence observed in diagnostic group disparities, primarily during the eyes-closed condition, remains unclear. Indeed, the eyes' condition modulated the underlying brain regions responsible for discerning ASC from neurotypical controls. The default mode network(DMN) is a predominant brain network that exhibits alterations in brain activity associated with variations in the state of the eyes </w:t>
      </w:r>
      <w:hyperlink r:id="rId491" w:history="1">
        <w:r w:rsidRPr="008F4E90">
          <w:rPr>
            <w:rStyle w:val="Hyperlink"/>
            <w:rFonts w:asciiTheme="majorBidi" w:hAnsiTheme="majorBidi" w:cstheme="majorBidi"/>
            <w:color w:val="auto"/>
            <w:u w:val="none"/>
          </w:rPr>
          <w:t>(</w:t>
        </w:r>
        <w:proofErr w:type="spellStart"/>
      </w:hyperlink>
      <w:hyperlink r:id="rId492" w:history="1">
        <w:r w:rsidRPr="008F4E90">
          <w:rPr>
            <w:rStyle w:val="Hyperlink"/>
            <w:rFonts w:asciiTheme="majorBidi" w:hAnsiTheme="majorBidi" w:cstheme="majorBidi"/>
            <w:color w:val="auto"/>
            <w:u w:val="none"/>
          </w:rPr>
          <w:t>Costumero</w:t>
        </w:r>
        <w:proofErr w:type="spellEnd"/>
        <w:r w:rsidRPr="008F4E90">
          <w:rPr>
            <w:rStyle w:val="Hyperlink"/>
            <w:rFonts w:asciiTheme="majorBidi" w:hAnsiTheme="majorBidi" w:cstheme="majorBidi"/>
            <w:color w:val="auto"/>
            <w:u w:val="none"/>
          </w:rPr>
          <w:t xml:space="preserve"> et al., 2020</w:t>
        </w:r>
      </w:hyperlink>
      <w:hyperlink r:id="rId493" w:history="1">
        <w:r w:rsidRPr="008F4E90">
          <w:rPr>
            <w:rStyle w:val="Hyperlink"/>
            <w:rFonts w:asciiTheme="majorBidi" w:hAnsiTheme="majorBidi" w:cstheme="majorBidi"/>
            <w:color w:val="auto"/>
            <w:u w:val="none"/>
          </w:rPr>
          <w:t xml:space="preserve">; </w:t>
        </w:r>
      </w:hyperlink>
      <w:hyperlink r:id="rId494" w:history="1">
        <w:r w:rsidRPr="008F4E90">
          <w:rPr>
            <w:rStyle w:val="Hyperlink"/>
            <w:rFonts w:asciiTheme="majorBidi" w:hAnsiTheme="majorBidi" w:cstheme="majorBidi"/>
            <w:color w:val="auto"/>
            <w:u w:val="none"/>
          </w:rPr>
          <w:t>Liu et al., 2020</w:t>
        </w:r>
      </w:hyperlink>
      <w:hyperlink r:id="rId495" w:history="1">
        <w:r w:rsidRPr="008F4E90">
          <w:rPr>
            <w:rStyle w:val="Hyperlink"/>
            <w:rFonts w:asciiTheme="majorBidi" w:hAnsiTheme="majorBidi" w:cstheme="majorBidi"/>
            <w:color w:val="auto"/>
            <w:u w:val="none"/>
          </w:rPr>
          <w:t>;</w:t>
        </w:r>
      </w:hyperlink>
      <w:hyperlink r:id="rId496" w:history="1">
        <w:r w:rsidRPr="008F4E90">
          <w:rPr>
            <w:rStyle w:val="Hyperlink"/>
            <w:rFonts w:asciiTheme="majorBidi" w:hAnsiTheme="majorBidi" w:cstheme="majorBidi"/>
            <w:color w:val="auto"/>
            <w:u w:val="none"/>
          </w:rPr>
          <w:t xml:space="preserve"> </w:t>
        </w:r>
      </w:hyperlink>
      <w:hyperlink r:id="rId497" w:history="1">
        <w:r w:rsidRPr="008F4E90">
          <w:rPr>
            <w:rStyle w:val="Hyperlink"/>
            <w:rFonts w:asciiTheme="majorBidi" w:hAnsiTheme="majorBidi" w:cstheme="majorBidi"/>
            <w:color w:val="auto"/>
            <w:u w:val="none"/>
          </w:rPr>
          <w:t>Wang et al., 2022</w:t>
        </w:r>
      </w:hyperlink>
      <w:hyperlink r:id="rId498" w:history="1">
        <w:r w:rsidRPr="008F4E90">
          <w:rPr>
            <w:rStyle w:val="Hyperlink"/>
            <w:rFonts w:asciiTheme="majorBidi" w:hAnsiTheme="majorBidi" w:cstheme="majorBidi"/>
            <w:color w:val="auto"/>
            <w:u w:val="none"/>
          </w:rPr>
          <w:t>)</w:t>
        </w:r>
      </w:hyperlink>
      <w:r w:rsidRPr="008F4E90">
        <w:rPr>
          <w:rFonts w:asciiTheme="majorBidi" w:hAnsiTheme="majorBidi" w:cstheme="majorBidi"/>
        </w:rPr>
        <w:t xml:space="preserve">. DMN is also a highly clinically relevant brain network to ASC </w:t>
      </w:r>
      <w:hyperlink r:id="rId499" w:history="1">
        <w:r w:rsidRPr="008F4E90">
          <w:rPr>
            <w:rStyle w:val="Hyperlink"/>
            <w:rFonts w:asciiTheme="majorBidi" w:hAnsiTheme="majorBidi" w:cstheme="majorBidi"/>
            <w:color w:val="auto"/>
            <w:u w:val="none"/>
          </w:rPr>
          <w:t>(Buckner et al., 2008)</w:t>
        </w:r>
      </w:hyperlink>
      <w:r w:rsidRPr="008F4E90">
        <w:rPr>
          <w:rFonts w:asciiTheme="majorBidi" w:hAnsiTheme="majorBidi" w:cstheme="majorBidi"/>
        </w:rPr>
        <w:t xml:space="preserve">, particularly in social cognition processing and self-related information processing </w:t>
      </w:r>
      <w:hyperlink r:id="rId500"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Glerean</w:t>
        </w:r>
        <w:proofErr w:type="spellEnd"/>
        <w:r w:rsidRPr="008F4E90">
          <w:rPr>
            <w:rStyle w:val="Hyperlink"/>
            <w:rFonts w:asciiTheme="majorBidi" w:hAnsiTheme="majorBidi" w:cstheme="majorBidi"/>
            <w:color w:val="auto"/>
            <w:u w:val="none"/>
          </w:rPr>
          <w:t xml:space="preserve"> et al., 2016; Jung et al., 2014; </w:t>
        </w:r>
        <w:proofErr w:type="spellStart"/>
        <w:r w:rsidRPr="008F4E90">
          <w:rPr>
            <w:rStyle w:val="Hyperlink"/>
            <w:rFonts w:asciiTheme="majorBidi" w:hAnsiTheme="majorBidi" w:cstheme="majorBidi"/>
            <w:color w:val="auto"/>
            <w:u w:val="none"/>
          </w:rPr>
          <w:t>Yerys</w:t>
        </w:r>
        <w:proofErr w:type="spellEnd"/>
        <w:r w:rsidRPr="008F4E90">
          <w:rPr>
            <w:rStyle w:val="Hyperlink"/>
            <w:rFonts w:asciiTheme="majorBidi" w:hAnsiTheme="majorBidi" w:cstheme="majorBidi"/>
            <w:color w:val="auto"/>
            <w:u w:val="none"/>
          </w:rPr>
          <w:t xml:space="preserve"> et al., 2015)</w:t>
        </w:r>
      </w:hyperlink>
      <w:r w:rsidRPr="008F4E90">
        <w:rPr>
          <w:rFonts w:asciiTheme="majorBidi" w:hAnsiTheme="majorBidi" w:cstheme="majorBidi"/>
        </w:rPr>
        <w:t xml:space="preserve">. It is assumed that individuals with ASC exhibit variations in brain oscillations, specifically during the eyes-closed condition, which could potentially be linked to DMN. This hypothesis will be further investigated in the upcoming chapter, utilising an </w:t>
      </w:r>
      <w:proofErr w:type="spellStart"/>
      <w:r w:rsidRPr="008F4E90">
        <w:rPr>
          <w:rFonts w:asciiTheme="majorBidi" w:hAnsiTheme="majorBidi" w:cstheme="majorBidi"/>
        </w:rPr>
        <w:t>rs</w:t>
      </w:r>
      <w:proofErr w:type="spellEnd"/>
      <w:r w:rsidRPr="008F4E90">
        <w:rPr>
          <w:rFonts w:asciiTheme="majorBidi" w:hAnsiTheme="majorBidi" w:cstheme="majorBidi"/>
        </w:rPr>
        <w:t>-fMRI dataset known for its higher spatial resolution.</w:t>
      </w:r>
    </w:p>
    <w:p w14:paraId="7A2E188D" w14:textId="77777777" w:rsidR="00676D2F" w:rsidRPr="008F4E90" w:rsidRDefault="00676D2F" w:rsidP="00676D2F">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t>Conclusion</w:t>
      </w:r>
    </w:p>
    <w:p w14:paraId="5570CC9C" w14:textId="77777777" w:rsidR="00676D2F" w:rsidRPr="008F4E90" w:rsidRDefault="00676D2F" w:rsidP="00A159A8">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In general, when it comes to classifying individuals with or without ASC, relying solely on single features such as decreased alpha, increased delta, or reduced sample entropy may be less accurate than using a combination of multiple features, as stated in a study using the machine learning classifier </w:t>
      </w:r>
      <w:hyperlink r:id="rId501" w:history="1">
        <w:r w:rsidRPr="008F4E90">
          <w:rPr>
            <w:rStyle w:val="Hyperlink"/>
            <w:rFonts w:asciiTheme="majorBidi" w:hAnsiTheme="majorBidi" w:cstheme="majorBidi"/>
            <w:color w:val="auto"/>
            <w:u w:val="none"/>
          </w:rPr>
          <w:t>(Kang et al., 2021)</w:t>
        </w:r>
      </w:hyperlink>
      <w:r w:rsidRPr="008F4E90">
        <w:rPr>
          <w:rFonts w:asciiTheme="majorBidi" w:hAnsiTheme="majorBidi" w:cstheme="majorBidi"/>
        </w:rPr>
        <w:t xml:space="preserve">. This statement is also supported by the overall low effect size observed when classifying the individuals with ASC from neurotypical controls using a univariate feature </w:t>
      </w:r>
      <w:hyperlink r:id="rId502" w:history="1">
        <w:r w:rsidRPr="008F4E90">
          <w:rPr>
            <w:rStyle w:val="Hyperlink"/>
            <w:rFonts w:asciiTheme="majorBidi" w:hAnsiTheme="majorBidi" w:cstheme="majorBidi"/>
            <w:color w:val="auto"/>
            <w:u w:val="none"/>
          </w:rPr>
          <w:t>(Dede et al., 2023)</w:t>
        </w:r>
      </w:hyperlink>
      <w:r w:rsidRPr="008F4E90">
        <w:rPr>
          <w:rFonts w:asciiTheme="majorBidi" w:hAnsiTheme="majorBidi" w:cstheme="majorBidi"/>
        </w:rPr>
        <w:t xml:space="preserve">. Nonetheless, the result provides evidence that the predictive performance of the diagnosis group (i.e., ASC and Control groups) for EEG variables varies across different eye conditions, highlighting the importance of considering the experimental context in collecting </w:t>
      </w:r>
      <w:proofErr w:type="spellStart"/>
      <w:r w:rsidRPr="008F4E90">
        <w:rPr>
          <w:rFonts w:asciiTheme="majorBidi" w:hAnsiTheme="majorBidi" w:cstheme="majorBidi"/>
        </w:rPr>
        <w:t>rs</w:t>
      </w:r>
      <w:proofErr w:type="spellEnd"/>
      <w:r w:rsidRPr="008F4E90">
        <w:rPr>
          <w:rFonts w:asciiTheme="majorBidi" w:hAnsiTheme="majorBidi" w:cstheme="majorBidi"/>
        </w:rPr>
        <w:t xml:space="preserve">-EEG data. The primary finding of this study suggests that collecting data under the eye-closed condition may yield more informative insights </w:t>
      </w:r>
      <w:r w:rsidRPr="008F4E90">
        <w:rPr>
          <w:rFonts w:asciiTheme="majorBidi" w:hAnsiTheme="majorBidi" w:cstheme="majorBidi"/>
        </w:rPr>
        <w:lastRenderedPageBreak/>
        <w:t>into a prediction of diagnosis groups with EEG variables. Further research is necessary to examine the reliability of this finding.</w:t>
      </w:r>
    </w:p>
    <w:p w14:paraId="3198DB76" w14:textId="77777777" w:rsidR="00305114" w:rsidRDefault="00305114" w:rsidP="00A159A8">
      <w:pPr>
        <w:spacing w:line="480" w:lineRule="auto"/>
        <w:ind w:left="708" w:hanging="708"/>
        <w:rPr>
          <w:rFonts w:asciiTheme="majorBidi" w:eastAsia="Times New Roman" w:hAnsiTheme="majorBidi" w:cstheme="majorBidi"/>
          <w:b/>
          <w:sz w:val="24"/>
          <w:szCs w:val="24"/>
          <w:lang w:val="de-DE"/>
        </w:rPr>
      </w:pPr>
      <w:bookmarkStart w:id="9" w:name="_Hlk145596496"/>
    </w:p>
    <w:p w14:paraId="09CFF8B0" w14:textId="77777777" w:rsidR="004B7486" w:rsidRDefault="004B7486" w:rsidP="00A159A8">
      <w:pPr>
        <w:spacing w:line="480" w:lineRule="auto"/>
        <w:ind w:left="708" w:hanging="708"/>
        <w:rPr>
          <w:rFonts w:asciiTheme="majorBidi" w:eastAsia="Times New Roman" w:hAnsiTheme="majorBidi" w:cstheme="majorBidi"/>
          <w:b/>
          <w:sz w:val="24"/>
          <w:szCs w:val="24"/>
          <w:lang w:val="de-DE"/>
        </w:rPr>
      </w:pPr>
    </w:p>
    <w:p w14:paraId="6BF028AC" w14:textId="77777777" w:rsidR="004B7486" w:rsidRDefault="004B7486" w:rsidP="00A159A8">
      <w:pPr>
        <w:spacing w:line="480" w:lineRule="auto"/>
        <w:ind w:left="708" w:hanging="708"/>
        <w:rPr>
          <w:rFonts w:asciiTheme="majorBidi" w:eastAsia="Times New Roman" w:hAnsiTheme="majorBidi" w:cstheme="majorBidi"/>
          <w:b/>
          <w:sz w:val="24"/>
          <w:szCs w:val="24"/>
          <w:lang w:val="de-DE"/>
        </w:rPr>
      </w:pPr>
    </w:p>
    <w:p w14:paraId="1B6E4DA7" w14:textId="77777777" w:rsidR="004B7486" w:rsidRDefault="004B7486" w:rsidP="00A159A8">
      <w:pPr>
        <w:spacing w:line="480" w:lineRule="auto"/>
        <w:ind w:left="708" w:hanging="708"/>
        <w:rPr>
          <w:rFonts w:asciiTheme="majorBidi" w:eastAsia="Times New Roman" w:hAnsiTheme="majorBidi" w:cstheme="majorBidi"/>
          <w:b/>
          <w:sz w:val="24"/>
          <w:szCs w:val="24"/>
          <w:lang w:val="de-DE"/>
        </w:rPr>
      </w:pPr>
    </w:p>
    <w:p w14:paraId="01992D49" w14:textId="77777777" w:rsidR="004B7486" w:rsidRDefault="004B7486" w:rsidP="00A159A8">
      <w:pPr>
        <w:spacing w:line="480" w:lineRule="auto"/>
        <w:ind w:left="708" w:hanging="708"/>
        <w:rPr>
          <w:rFonts w:asciiTheme="majorBidi" w:eastAsia="Times New Roman" w:hAnsiTheme="majorBidi" w:cstheme="majorBidi"/>
          <w:b/>
          <w:sz w:val="24"/>
          <w:szCs w:val="24"/>
          <w:lang w:val="de-DE"/>
        </w:rPr>
      </w:pPr>
    </w:p>
    <w:p w14:paraId="5C483909" w14:textId="77777777" w:rsidR="004B7486" w:rsidRDefault="004B7486" w:rsidP="00A159A8">
      <w:pPr>
        <w:spacing w:line="480" w:lineRule="auto"/>
        <w:ind w:left="708" w:hanging="708"/>
        <w:rPr>
          <w:rFonts w:asciiTheme="majorBidi" w:eastAsia="Times New Roman" w:hAnsiTheme="majorBidi" w:cstheme="majorBidi"/>
          <w:b/>
          <w:sz w:val="24"/>
          <w:szCs w:val="24"/>
          <w:lang w:val="de-DE"/>
        </w:rPr>
      </w:pPr>
    </w:p>
    <w:p w14:paraId="2CFB76E1" w14:textId="77777777" w:rsidR="004B7486" w:rsidRPr="008F4E90" w:rsidRDefault="004B7486" w:rsidP="00A159A8">
      <w:pPr>
        <w:spacing w:line="480" w:lineRule="auto"/>
        <w:ind w:left="708" w:hanging="708"/>
        <w:rPr>
          <w:rFonts w:asciiTheme="majorBidi" w:eastAsia="Times New Roman" w:hAnsiTheme="majorBidi" w:cstheme="majorBidi"/>
          <w:sz w:val="24"/>
          <w:szCs w:val="24"/>
        </w:rPr>
      </w:pPr>
    </w:p>
    <w:p w14:paraId="62E79CA3" w14:textId="77777777" w:rsidR="001820E3" w:rsidRDefault="001820E3" w:rsidP="00894065">
      <w:pPr>
        <w:keepNext/>
        <w:keepLines/>
        <w:spacing w:line="480" w:lineRule="auto"/>
        <w:rPr>
          <w:rFonts w:asciiTheme="majorBidi" w:eastAsia="Times New Roman" w:hAnsiTheme="majorBidi" w:cstheme="majorBidi"/>
          <w:sz w:val="24"/>
          <w:szCs w:val="24"/>
        </w:rPr>
      </w:pPr>
    </w:p>
    <w:p w14:paraId="6C76671A" w14:textId="77777777" w:rsidR="004B7486" w:rsidRDefault="004B7486" w:rsidP="00894065">
      <w:pPr>
        <w:keepNext/>
        <w:keepLines/>
        <w:spacing w:line="480" w:lineRule="auto"/>
        <w:rPr>
          <w:rFonts w:asciiTheme="majorBidi" w:eastAsia="Times New Roman" w:hAnsiTheme="majorBidi" w:cstheme="majorBidi"/>
          <w:b/>
          <w:sz w:val="24"/>
          <w:szCs w:val="24"/>
        </w:rPr>
      </w:pPr>
    </w:p>
    <w:p w14:paraId="7C2F3F74" w14:textId="77777777" w:rsidR="004B7486" w:rsidRDefault="004B7486" w:rsidP="00894065">
      <w:pPr>
        <w:keepNext/>
        <w:keepLines/>
        <w:spacing w:line="480" w:lineRule="auto"/>
        <w:rPr>
          <w:rFonts w:asciiTheme="majorBidi" w:eastAsia="Times New Roman" w:hAnsiTheme="majorBidi" w:cstheme="majorBidi"/>
          <w:b/>
          <w:sz w:val="24"/>
          <w:szCs w:val="24"/>
        </w:rPr>
      </w:pPr>
    </w:p>
    <w:p w14:paraId="5BACCE51" w14:textId="77777777" w:rsidR="004B7486" w:rsidRPr="00305114" w:rsidRDefault="004B7486" w:rsidP="00894065">
      <w:pPr>
        <w:keepNext/>
        <w:keepLines/>
        <w:spacing w:line="480" w:lineRule="auto"/>
        <w:rPr>
          <w:rFonts w:asciiTheme="majorBidi" w:eastAsia="Times New Roman" w:hAnsiTheme="majorBidi" w:cstheme="majorBidi"/>
          <w:b/>
          <w:sz w:val="24"/>
          <w:szCs w:val="24"/>
        </w:rPr>
      </w:pPr>
    </w:p>
    <w:p w14:paraId="027289DC" w14:textId="77777777" w:rsidR="00305114" w:rsidRPr="00305114" w:rsidRDefault="00305114" w:rsidP="00305114">
      <w:pPr>
        <w:keepNext/>
        <w:keepLines/>
        <w:spacing w:line="480" w:lineRule="auto"/>
        <w:jc w:val="center"/>
        <w:rPr>
          <w:rFonts w:asciiTheme="majorBidi" w:eastAsia="Times New Roman" w:hAnsiTheme="majorBidi" w:cstheme="majorBidi"/>
          <w:b/>
          <w:sz w:val="24"/>
          <w:szCs w:val="24"/>
        </w:rPr>
      </w:pPr>
      <w:bookmarkStart w:id="10" w:name="_iln3tmxn40ta" w:colFirst="0" w:colLast="0"/>
      <w:bookmarkEnd w:id="10"/>
      <w:r w:rsidRPr="00305114">
        <w:rPr>
          <w:rFonts w:asciiTheme="majorBidi" w:eastAsia="Times New Roman" w:hAnsiTheme="majorBidi" w:cstheme="majorBidi"/>
          <w:b/>
          <w:sz w:val="24"/>
          <w:szCs w:val="24"/>
        </w:rPr>
        <w:t>Chapter 3</w:t>
      </w:r>
    </w:p>
    <w:p w14:paraId="7F1F7E8E" w14:textId="77777777" w:rsidR="00305114" w:rsidRPr="00305114" w:rsidRDefault="00305114" w:rsidP="00305114">
      <w:pPr>
        <w:keepNext/>
        <w:keepLines/>
        <w:spacing w:line="480" w:lineRule="auto"/>
        <w:jc w:val="center"/>
        <w:rPr>
          <w:rFonts w:asciiTheme="majorBidi" w:eastAsia="Times New Roman" w:hAnsiTheme="majorBidi" w:cstheme="majorBidi"/>
          <w:b/>
          <w:sz w:val="24"/>
          <w:szCs w:val="24"/>
        </w:rPr>
      </w:pPr>
      <w:bookmarkStart w:id="11" w:name="_l9zaeo16xksv" w:colFirst="0" w:colLast="0"/>
      <w:bookmarkEnd w:id="11"/>
    </w:p>
    <w:p w14:paraId="76471249" w14:textId="77777777" w:rsidR="00305114" w:rsidRPr="00305114" w:rsidRDefault="00305114" w:rsidP="00305114">
      <w:pPr>
        <w:keepNext/>
        <w:keepLines/>
        <w:spacing w:line="480" w:lineRule="auto"/>
        <w:jc w:val="center"/>
        <w:rPr>
          <w:rFonts w:asciiTheme="majorBidi" w:eastAsia="Times New Roman" w:hAnsiTheme="majorBidi" w:cstheme="majorBidi"/>
          <w:b/>
          <w:sz w:val="24"/>
          <w:szCs w:val="24"/>
        </w:rPr>
      </w:pPr>
      <w:bookmarkStart w:id="12" w:name="_b3p2fwgvbs1g" w:colFirst="0" w:colLast="0"/>
      <w:bookmarkEnd w:id="12"/>
      <w:r w:rsidRPr="00305114">
        <w:rPr>
          <w:rFonts w:asciiTheme="majorBidi" w:eastAsia="Times New Roman" w:hAnsiTheme="majorBidi" w:cstheme="majorBidi"/>
          <w:b/>
          <w:sz w:val="24"/>
          <w:szCs w:val="24"/>
        </w:rPr>
        <w:t xml:space="preserve">Unravelling Eyes-Open Resting-State Brain Complexity in Autistic Spectrum Condition: Insights from Multiscale Sample Entropy Analysis Using fMRI Data </w:t>
      </w:r>
    </w:p>
    <w:p w14:paraId="1F955F4D" w14:textId="77777777" w:rsidR="00305114" w:rsidRPr="00305114" w:rsidRDefault="00305114" w:rsidP="00305114">
      <w:pPr>
        <w:keepNext/>
        <w:keepLines/>
        <w:spacing w:line="480" w:lineRule="auto"/>
        <w:jc w:val="center"/>
        <w:rPr>
          <w:rFonts w:asciiTheme="majorBidi" w:eastAsia="Times New Roman" w:hAnsiTheme="majorBidi" w:cstheme="majorBidi"/>
          <w:sz w:val="24"/>
          <w:szCs w:val="24"/>
        </w:rPr>
      </w:pPr>
      <w:bookmarkStart w:id="13" w:name="_gfp93dp2p3r3" w:colFirst="0" w:colLast="0"/>
      <w:bookmarkEnd w:id="13"/>
    </w:p>
    <w:p w14:paraId="4075CC4A" w14:textId="77777777" w:rsidR="00305114" w:rsidRPr="00305114" w:rsidRDefault="00305114" w:rsidP="00305114">
      <w:pPr>
        <w:spacing w:line="480" w:lineRule="auto"/>
        <w:jc w:val="center"/>
        <w:rPr>
          <w:rFonts w:asciiTheme="majorBidi" w:eastAsia="Times New Roman" w:hAnsiTheme="majorBidi" w:cstheme="majorBidi"/>
          <w:b/>
          <w:sz w:val="24"/>
          <w:szCs w:val="24"/>
        </w:rPr>
      </w:pPr>
    </w:p>
    <w:p w14:paraId="022AF905" w14:textId="77777777" w:rsidR="00305114" w:rsidRPr="00305114" w:rsidRDefault="00305114" w:rsidP="00305114">
      <w:pPr>
        <w:spacing w:line="480" w:lineRule="auto"/>
        <w:jc w:val="center"/>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Abstract</w:t>
      </w:r>
    </w:p>
    <w:p w14:paraId="459FE8E4" w14:textId="0DEF064F" w:rsidR="00305114" w:rsidRPr="00305114" w:rsidRDefault="00305114" w:rsidP="00305114">
      <w:pPr>
        <w:spacing w:line="480" w:lineRule="auto"/>
        <w:rPr>
          <w:rFonts w:asciiTheme="majorBidi" w:eastAsia="Times New Roman" w:hAnsiTheme="majorBidi" w:cstheme="majorBidi"/>
          <w:sz w:val="24"/>
          <w:szCs w:val="24"/>
          <w:highlight w:val="white"/>
        </w:rPr>
      </w:pPr>
      <w:r w:rsidRPr="00305114">
        <w:rPr>
          <w:rFonts w:asciiTheme="majorBidi" w:eastAsia="Times New Roman" w:hAnsiTheme="majorBidi" w:cstheme="majorBidi"/>
          <w:sz w:val="24"/>
          <w:szCs w:val="24"/>
          <w:highlight w:val="white"/>
        </w:rPr>
        <w:t xml:space="preserve">The previous chapter delved into the multiscale sample entropy profiles observed in individuals with Autism Spectrum Condition (ASC) and neurotypical controls during the resting state EEG signal at eyes-open and eyes-closed conditions. The study specifically focused on comparing the profiles of multiscale sample entropy between the eyes open and eyes closed conditions, aiming to identify any divergences in these two states of eyes at both diagnosis groups. The findings shed light on the intricacies of brain </w:t>
      </w:r>
      <w:r w:rsidRPr="00305114">
        <w:rPr>
          <w:rFonts w:asciiTheme="majorBidi" w:eastAsia="Times New Roman" w:hAnsiTheme="majorBidi" w:cstheme="majorBidi"/>
          <w:sz w:val="24"/>
          <w:szCs w:val="24"/>
          <w:highlight w:val="white"/>
        </w:rPr>
        <w:lastRenderedPageBreak/>
        <w:t xml:space="preserve">complexity during rest, revealing that the eyes-open condition exhibited higher levels of multiscale sample entropy than the eyes-closed condition, regardless of diagnosis groups. Furthermore, the study highlighted that the differences between the ASC and neurotypical control groups (CON) were more pronounced in the eyes-closed condition, emphasising the significance of this </w:t>
      </w:r>
      <w:r w:rsidR="004A1E04">
        <w:rPr>
          <w:rFonts w:asciiTheme="majorBidi" w:eastAsia="Times New Roman" w:hAnsiTheme="majorBidi" w:cstheme="majorBidi"/>
          <w:sz w:val="24"/>
          <w:szCs w:val="24"/>
          <w:highlight w:val="white"/>
        </w:rPr>
        <w:t xml:space="preserve">eyes’ </w:t>
      </w:r>
      <w:r w:rsidR="004A1E04" w:rsidRPr="00305114">
        <w:rPr>
          <w:rFonts w:asciiTheme="majorBidi" w:eastAsia="Times New Roman" w:hAnsiTheme="majorBidi" w:cstheme="majorBidi"/>
          <w:sz w:val="24"/>
          <w:szCs w:val="24"/>
          <w:highlight w:val="white"/>
        </w:rPr>
        <w:t>state</w:t>
      </w:r>
      <w:r w:rsidRPr="00305114">
        <w:rPr>
          <w:rFonts w:asciiTheme="majorBidi" w:eastAsia="Times New Roman" w:hAnsiTheme="majorBidi" w:cstheme="majorBidi"/>
          <w:sz w:val="24"/>
          <w:szCs w:val="24"/>
          <w:highlight w:val="white"/>
        </w:rPr>
        <w:t xml:space="preserve"> in understanding group distinctions. The conclusion indicates </w:t>
      </w:r>
      <w:r w:rsidR="004A1E04" w:rsidRPr="00305114">
        <w:rPr>
          <w:rFonts w:asciiTheme="majorBidi" w:eastAsia="Times New Roman" w:hAnsiTheme="majorBidi" w:cstheme="majorBidi"/>
          <w:sz w:val="24"/>
          <w:szCs w:val="24"/>
          <w:highlight w:val="white"/>
        </w:rPr>
        <w:t>that:</w:t>
      </w:r>
      <w:r w:rsidRPr="00305114">
        <w:rPr>
          <w:rFonts w:asciiTheme="majorBidi" w:eastAsia="Times New Roman" w:hAnsiTheme="majorBidi" w:cstheme="majorBidi"/>
          <w:sz w:val="24"/>
          <w:szCs w:val="24"/>
          <w:highlight w:val="white"/>
        </w:rPr>
        <w:t xml:space="preserve"> 1) group differences in </w:t>
      </w:r>
      <w:r w:rsidR="001820E3" w:rsidRPr="00305114">
        <w:rPr>
          <w:rFonts w:asciiTheme="majorBidi" w:eastAsia="Times New Roman" w:hAnsiTheme="majorBidi" w:cstheme="majorBidi"/>
          <w:sz w:val="24"/>
          <w:szCs w:val="24"/>
          <w:highlight w:val="white"/>
        </w:rPr>
        <w:t>MSE between</w:t>
      </w:r>
      <w:r w:rsidRPr="00305114">
        <w:rPr>
          <w:rFonts w:asciiTheme="majorBidi" w:eastAsia="Times New Roman" w:hAnsiTheme="majorBidi" w:cstheme="majorBidi"/>
          <w:sz w:val="24"/>
          <w:szCs w:val="24"/>
          <w:highlight w:val="white"/>
        </w:rPr>
        <w:t xml:space="preserve"> ASC and CON are generally very small; 2) group differences in MSE seem somewhat more prominent during the eyes-closed condition, so this might be a fruitful direction for future research to consider brain state more carefully. Undoubtedly, the condition of the eyes influenced the underlying brain regions that differentiate ASC from neurotypical controls. Building upon these discoveries, the current chapter takes a step further by employing the resting state functional magnetic resonance imaging (</w:t>
      </w:r>
      <w:proofErr w:type="spellStart"/>
      <w:r w:rsidRPr="00305114">
        <w:rPr>
          <w:rFonts w:asciiTheme="majorBidi" w:eastAsia="Times New Roman" w:hAnsiTheme="majorBidi" w:cstheme="majorBidi"/>
          <w:sz w:val="24"/>
          <w:szCs w:val="24"/>
          <w:highlight w:val="white"/>
        </w:rPr>
        <w:t>rs</w:t>
      </w:r>
      <w:proofErr w:type="spellEnd"/>
      <w:r w:rsidRPr="00305114">
        <w:rPr>
          <w:rFonts w:asciiTheme="majorBidi" w:eastAsia="Times New Roman" w:hAnsiTheme="majorBidi" w:cstheme="majorBidi"/>
          <w:sz w:val="24"/>
          <w:szCs w:val="24"/>
          <w:highlight w:val="white"/>
        </w:rPr>
        <w:t xml:space="preserve">-fMRI) technique and extending the investigation of multiscale sample entropy to a larger dataset (e.g., ABIDE I). By harnessing the power of </w:t>
      </w:r>
      <w:proofErr w:type="spellStart"/>
      <w:r w:rsidRPr="00305114">
        <w:rPr>
          <w:rFonts w:asciiTheme="majorBidi" w:eastAsia="Times New Roman" w:hAnsiTheme="majorBidi" w:cstheme="majorBidi"/>
          <w:sz w:val="24"/>
          <w:szCs w:val="24"/>
          <w:highlight w:val="white"/>
        </w:rPr>
        <w:t>rs</w:t>
      </w:r>
      <w:proofErr w:type="spellEnd"/>
      <w:r w:rsidRPr="00305114">
        <w:rPr>
          <w:rFonts w:asciiTheme="majorBidi" w:eastAsia="Times New Roman" w:hAnsiTheme="majorBidi" w:cstheme="majorBidi"/>
          <w:sz w:val="24"/>
          <w:szCs w:val="24"/>
          <w:highlight w:val="white"/>
        </w:rPr>
        <w:t xml:space="preserve">-fMRI, this study aimed to delve deeper into the brain complexity and underlying brain regions involved, unravelling its role in classifying individuals with and without ASC. This chapter </w:t>
      </w:r>
      <w:proofErr w:type="spellStart"/>
      <w:r w:rsidRPr="00305114">
        <w:rPr>
          <w:rFonts w:asciiTheme="majorBidi" w:eastAsia="Times New Roman" w:hAnsiTheme="majorBidi" w:cstheme="majorBidi"/>
          <w:sz w:val="24"/>
          <w:szCs w:val="24"/>
          <w:highlight w:val="white"/>
        </w:rPr>
        <w:t>seeked</w:t>
      </w:r>
      <w:proofErr w:type="spellEnd"/>
      <w:r w:rsidRPr="00305114">
        <w:rPr>
          <w:rFonts w:asciiTheme="majorBidi" w:eastAsia="Times New Roman" w:hAnsiTheme="majorBidi" w:cstheme="majorBidi"/>
          <w:sz w:val="24"/>
          <w:szCs w:val="24"/>
          <w:highlight w:val="white"/>
        </w:rPr>
        <w:t xml:space="preserve"> to provide a more comprehensive investigation into the brain complexity exhibited by individuals with and without ASC during rest at the eyes-open and eyes-closed condition separately, along with a focus on the underlying brain location.</w:t>
      </w:r>
    </w:p>
    <w:p w14:paraId="22B655E3" w14:textId="77777777" w:rsidR="00305114" w:rsidRPr="00305114" w:rsidRDefault="00305114" w:rsidP="00305114">
      <w:pPr>
        <w:spacing w:line="480" w:lineRule="auto"/>
        <w:jc w:val="center"/>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Introduction</w:t>
      </w:r>
    </w:p>
    <w:p w14:paraId="4809B4E3"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Based on EEG data, the preceding section provided evidence supporting the effectiveness of multiscale sample entropy in distinguishing individuals with Autism Spectrum Condition (ASC) from neurotypical individuals. This finding is consistent with previous EEG studies </w:t>
      </w:r>
      <w:hyperlink r:id="rId503">
        <w:r w:rsidRPr="00305114">
          <w:rPr>
            <w:rFonts w:asciiTheme="majorBidi" w:eastAsia="Times New Roman" w:hAnsiTheme="majorBidi" w:cstheme="majorBidi"/>
            <w:sz w:val="24"/>
            <w:szCs w:val="24"/>
          </w:rPr>
          <w:t xml:space="preserve">(Catarino et al., 2011; </w:t>
        </w:r>
        <w:proofErr w:type="spellStart"/>
        <w:r w:rsidRPr="00305114">
          <w:rPr>
            <w:rFonts w:asciiTheme="majorBidi" w:eastAsia="Times New Roman" w:hAnsiTheme="majorBidi" w:cstheme="majorBidi"/>
            <w:sz w:val="24"/>
            <w:szCs w:val="24"/>
          </w:rPr>
          <w:t>Hadoush</w:t>
        </w:r>
        <w:proofErr w:type="spellEnd"/>
        <w:r w:rsidRPr="00305114">
          <w:rPr>
            <w:rFonts w:asciiTheme="majorBidi" w:eastAsia="Times New Roman" w:hAnsiTheme="majorBidi" w:cstheme="majorBidi"/>
            <w:sz w:val="24"/>
            <w:szCs w:val="24"/>
          </w:rPr>
          <w:t xml:space="preserve"> et al., 2019; Takahashi et al., 2016)</w:t>
        </w:r>
      </w:hyperlink>
      <w:r w:rsidRPr="00305114">
        <w:rPr>
          <w:rFonts w:asciiTheme="majorBidi" w:eastAsia="Times New Roman" w:hAnsiTheme="majorBidi" w:cstheme="majorBidi"/>
          <w:sz w:val="24"/>
          <w:szCs w:val="24"/>
        </w:rPr>
        <w:t xml:space="preserve">, which also demonstrated the ability of multiscale sample entropy to effectively differentiate between ASC and neurotypical individuals, especially at the coarse scale in MSE at the frontal region.  </w:t>
      </w:r>
    </w:p>
    <w:p w14:paraId="376D56FC"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Additionally, the eyes-closed condition tends to be more effective in highlighting differences among diagnosis groups than the eyes-open condition. However, the exact reason for this has yet to be </w:t>
      </w:r>
      <w:r w:rsidRPr="00305114">
        <w:rPr>
          <w:rFonts w:asciiTheme="majorBidi" w:eastAsia="Times New Roman" w:hAnsiTheme="majorBidi" w:cstheme="majorBidi"/>
          <w:sz w:val="24"/>
          <w:szCs w:val="24"/>
        </w:rPr>
        <w:lastRenderedPageBreak/>
        <w:t xml:space="preserve">apparent. Indeed, the underlying brain regions responsible for discerning ASC from neurotypical controls were modulated by the eyes’ condition. It is worth noting that EEG data has a high temporal resolution </w:t>
      </w:r>
      <w:hyperlink r:id="rId504">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Bosl</w:t>
        </w:r>
        <w:proofErr w:type="spellEnd"/>
        <w:r w:rsidRPr="00305114">
          <w:rPr>
            <w:rFonts w:asciiTheme="majorBidi" w:eastAsia="Times New Roman" w:hAnsiTheme="majorBidi" w:cstheme="majorBidi"/>
            <w:sz w:val="24"/>
            <w:szCs w:val="24"/>
          </w:rPr>
          <w:t xml:space="preserve"> et al., 2017; Lau et al., 2022)</w:t>
        </w:r>
      </w:hyperlink>
      <w:r w:rsidRPr="00305114">
        <w:rPr>
          <w:rFonts w:asciiTheme="majorBidi" w:eastAsia="Times New Roman" w:hAnsiTheme="majorBidi" w:cstheme="majorBidi"/>
          <w:sz w:val="24"/>
          <w:szCs w:val="24"/>
        </w:rPr>
        <w:t xml:space="preserve">, allowing for an accurate understanding of the chaotic behaviour of biological processes </w:t>
      </w:r>
      <w:hyperlink r:id="rId505">
        <w:r w:rsidRPr="00305114">
          <w:rPr>
            <w:rFonts w:asciiTheme="majorBidi" w:eastAsia="Times New Roman" w:hAnsiTheme="majorBidi" w:cstheme="majorBidi"/>
            <w:sz w:val="24"/>
            <w:szCs w:val="24"/>
          </w:rPr>
          <w:t>(Pradhan &amp; Dutt, 1993)</w:t>
        </w:r>
      </w:hyperlink>
      <w:r w:rsidRPr="00305114">
        <w:rPr>
          <w:rFonts w:asciiTheme="majorBidi" w:eastAsia="Times New Roman" w:hAnsiTheme="majorBidi" w:cstheme="majorBidi"/>
          <w:sz w:val="24"/>
          <w:szCs w:val="24"/>
        </w:rPr>
        <w:t>. Hence, when studying the neurophysiological profile of ASC, entropy-based investigations rely heavily on quantitative analysis using EEG signals.</w:t>
      </w:r>
    </w:p>
    <w:p w14:paraId="78AED850"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On the other hand, the spatial resolution of EEG signals is limited, which can pose challenges in precisely localising specific spatial alterations. Therefore, pinpointing the exact location of detailed spatial alterations still needs to be discovered. To address this limitation, applying the resting state functional magnetic resonance imaging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-fMRI) technique was considered to gain insights into the precise localisation of the intricate spatial alterations related to brain complexity.</w:t>
      </w:r>
    </w:p>
    <w:p w14:paraId="66AD5BF0"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b/>
          <w:i/>
          <w:sz w:val="24"/>
          <w:szCs w:val="24"/>
        </w:rPr>
        <w:t xml:space="preserve">Resting-State fMRI Insights into Atypical Brain Activity in ASC. </w:t>
      </w:r>
      <w:r w:rsidRPr="00305114">
        <w:rPr>
          <w:rFonts w:asciiTheme="majorBidi" w:eastAsia="Times New Roman" w:hAnsiTheme="majorBidi" w:cstheme="majorBidi"/>
          <w:sz w:val="24"/>
          <w:szCs w:val="24"/>
        </w:rPr>
        <w:t xml:space="preserve">Resting-state fMRI is widely acknowledged as a robust method for studying spontaneous brain activity, capturing regional alterations in cerebral blood flow and oxygen consumption through the blood oxygen level-dependent (BOLD) contrast </w:t>
      </w:r>
      <w:hyperlink r:id="rId506">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Lv</w:t>
        </w:r>
        <w:proofErr w:type="spellEnd"/>
        <w:r w:rsidRPr="00305114">
          <w:rPr>
            <w:rFonts w:asciiTheme="majorBidi" w:eastAsia="Times New Roman" w:hAnsiTheme="majorBidi" w:cstheme="majorBidi"/>
            <w:sz w:val="24"/>
            <w:szCs w:val="24"/>
          </w:rPr>
          <w:t xml:space="preserve"> et al., 2018)</w:t>
        </w:r>
      </w:hyperlink>
      <w:r w:rsidRPr="00305114">
        <w:rPr>
          <w:rFonts w:asciiTheme="majorBidi" w:eastAsia="Times New Roman" w:hAnsiTheme="majorBidi" w:cstheme="majorBidi"/>
          <w:sz w:val="24"/>
          <w:szCs w:val="24"/>
        </w:rPr>
        <w:t xml:space="preserve">. Resting-state fMRI data provide valuable insights into the atypical functional connectivity in brain networks and the altered temporal dynamics of the brain activity fluctuations in individuals with ASC. For example, amplitude of low-frequency fluctuations (ALFF), which measures the magnitude of spontaneous low-frequency oscillations in fMRI signals, displayed reduced values in the DMN brain networks among children with ASC </w:t>
      </w:r>
      <w:hyperlink r:id="rId507">
        <w:r w:rsidRPr="00305114">
          <w:rPr>
            <w:rFonts w:asciiTheme="majorBidi" w:eastAsia="Times New Roman" w:hAnsiTheme="majorBidi" w:cstheme="majorBidi"/>
            <w:sz w:val="24"/>
            <w:szCs w:val="24"/>
          </w:rPr>
          <w:t>(Achuthan et al., 2023)</w:t>
        </w:r>
      </w:hyperlink>
      <w:r w:rsidRPr="00305114">
        <w:rPr>
          <w:rFonts w:asciiTheme="majorBidi" w:eastAsia="Times New Roman" w:hAnsiTheme="majorBidi" w:cstheme="majorBidi"/>
          <w:sz w:val="24"/>
          <w:szCs w:val="24"/>
        </w:rPr>
        <w:t xml:space="preserve"> but increased ALFF in right middle temporal gyrus, angular gyrus, inferior parietal gyrus </w:t>
      </w:r>
      <w:hyperlink r:id="rId508">
        <w:r w:rsidRPr="00305114">
          <w:rPr>
            <w:rFonts w:asciiTheme="majorBidi" w:eastAsia="Times New Roman" w:hAnsiTheme="majorBidi" w:cstheme="majorBidi"/>
            <w:sz w:val="24"/>
            <w:szCs w:val="24"/>
          </w:rPr>
          <w:t>(Li et al., 2018)</w:t>
        </w:r>
      </w:hyperlink>
      <w:r w:rsidRPr="00305114">
        <w:rPr>
          <w:rFonts w:asciiTheme="majorBidi" w:eastAsia="Times New Roman" w:hAnsiTheme="majorBidi" w:cstheme="majorBidi"/>
          <w:sz w:val="24"/>
          <w:szCs w:val="24"/>
        </w:rPr>
        <w:t xml:space="preserve"> and the dorsal striatum </w:t>
      </w:r>
      <w:hyperlink r:id="rId509">
        <w:r w:rsidRPr="00305114">
          <w:rPr>
            <w:rFonts w:asciiTheme="majorBidi" w:eastAsia="Times New Roman" w:hAnsiTheme="majorBidi" w:cstheme="majorBidi"/>
            <w:sz w:val="24"/>
            <w:szCs w:val="24"/>
          </w:rPr>
          <w:t>(Mei et al., 2022)</w:t>
        </w:r>
      </w:hyperlink>
      <w:r w:rsidRPr="00305114">
        <w:rPr>
          <w:rFonts w:asciiTheme="majorBidi" w:eastAsia="Times New Roman" w:hAnsiTheme="majorBidi" w:cstheme="majorBidi"/>
          <w:sz w:val="24"/>
          <w:szCs w:val="24"/>
        </w:rPr>
        <w:t>. Additionally,</w:t>
      </w:r>
      <w:hyperlink r:id="rId510">
        <w:r w:rsidRPr="00305114">
          <w:rPr>
            <w:rFonts w:asciiTheme="majorBidi" w:eastAsia="Times New Roman" w:hAnsiTheme="majorBidi" w:cstheme="majorBidi"/>
            <w:sz w:val="24"/>
            <w:szCs w:val="24"/>
          </w:rPr>
          <w:t xml:space="preserve"> Li et al. 2018</w:t>
        </w:r>
      </w:hyperlink>
      <w:r w:rsidRPr="00305114">
        <w:rPr>
          <w:rFonts w:asciiTheme="majorBidi" w:eastAsia="Times New Roman" w:hAnsiTheme="majorBidi" w:cstheme="majorBidi"/>
          <w:sz w:val="24"/>
          <w:szCs w:val="24"/>
        </w:rPr>
        <w:t xml:space="preserve"> reported an elevation in regional homogeneity (ReHo) in the right </w:t>
      </w:r>
      <w:proofErr w:type="spellStart"/>
      <w:r w:rsidRPr="00305114">
        <w:rPr>
          <w:rFonts w:asciiTheme="majorBidi" w:eastAsia="Times New Roman" w:hAnsiTheme="majorBidi" w:cstheme="majorBidi"/>
          <w:sz w:val="24"/>
          <w:szCs w:val="24"/>
        </w:rPr>
        <w:t>precuneus</w:t>
      </w:r>
      <w:proofErr w:type="spellEnd"/>
      <w:r w:rsidRPr="00305114">
        <w:rPr>
          <w:rFonts w:asciiTheme="majorBidi" w:eastAsia="Times New Roman" w:hAnsiTheme="majorBidi" w:cstheme="majorBidi"/>
          <w:sz w:val="24"/>
          <w:szCs w:val="24"/>
        </w:rPr>
        <w:t xml:space="preserve"> and inferior parietal gyrus in individuals with ASC, suggesting a more substantial alignment between the time series of voxels in these particular brain regions and their neighbouring voxels in fMRI data.</w:t>
      </w:r>
    </w:p>
    <w:p w14:paraId="23ACEF2A"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b/>
          <w:i/>
          <w:sz w:val="24"/>
          <w:szCs w:val="24"/>
        </w:rPr>
        <w:t xml:space="preserve">Exploring Complexity of Brain Dynamics in ASC through Entropy-Based Methods. </w:t>
      </w:r>
      <w:r w:rsidRPr="00305114">
        <w:rPr>
          <w:rFonts w:asciiTheme="majorBidi" w:eastAsia="Times New Roman" w:hAnsiTheme="majorBidi" w:cstheme="majorBidi"/>
          <w:sz w:val="24"/>
          <w:szCs w:val="24"/>
        </w:rPr>
        <w:t xml:space="preserve">In addition to these functional connectivity measures, the temporally synchronised activity between segregated brain </w:t>
      </w:r>
      <w:r w:rsidRPr="00305114">
        <w:rPr>
          <w:rFonts w:asciiTheme="majorBidi" w:eastAsia="Times New Roman" w:hAnsiTheme="majorBidi" w:cstheme="majorBidi"/>
          <w:sz w:val="24"/>
          <w:szCs w:val="24"/>
        </w:rPr>
        <w:lastRenderedPageBreak/>
        <w:t xml:space="preserve">regions can also be assessed on unconstrained intrinsic activity with nonlinear methods due to the intrinsic nonlinearity of the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signal </w:t>
      </w:r>
      <w:hyperlink r:id="rId511">
        <w:r w:rsidRPr="00305114">
          <w:rPr>
            <w:rFonts w:asciiTheme="majorBidi" w:eastAsia="Times New Roman" w:hAnsiTheme="majorBidi" w:cstheme="majorBidi"/>
            <w:sz w:val="24"/>
            <w:szCs w:val="24"/>
          </w:rPr>
          <w:t xml:space="preserve">(Friston et al., 1998; </w:t>
        </w:r>
        <w:proofErr w:type="spellStart"/>
        <w:r w:rsidRPr="00305114">
          <w:rPr>
            <w:rFonts w:asciiTheme="majorBidi" w:eastAsia="Times New Roman" w:hAnsiTheme="majorBidi" w:cstheme="majorBidi"/>
            <w:sz w:val="24"/>
            <w:szCs w:val="24"/>
          </w:rPr>
          <w:t>Gultepe</w:t>
        </w:r>
        <w:proofErr w:type="spellEnd"/>
        <w:r w:rsidRPr="00305114">
          <w:rPr>
            <w:rFonts w:asciiTheme="majorBidi" w:eastAsia="Times New Roman" w:hAnsiTheme="majorBidi" w:cstheme="majorBidi"/>
            <w:sz w:val="24"/>
            <w:szCs w:val="24"/>
          </w:rPr>
          <w:t xml:space="preserve"> &amp; He, 2013)</w:t>
        </w:r>
      </w:hyperlink>
      <w:r w:rsidRPr="00305114">
        <w:rPr>
          <w:rFonts w:asciiTheme="majorBidi" w:eastAsia="Times New Roman" w:hAnsiTheme="majorBidi" w:cstheme="majorBidi"/>
          <w:sz w:val="24"/>
          <w:szCs w:val="24"/>
        </w:rPr>
        <w:t xml:space="preserve">. Sample entropy was successfully employed to characterise the resting-state brain activity of a substantial number of neurotypical participants from a 1000 functional connectome project (FCP) database </w:t>
      </w:r>
      <w:hyperlink r:id="rId512">
        <w:r w:rsidRPr="00305114">
          <w:rPr>
            <w:rFonts w:asciiTheme="majorBidi" w:eastAsia="Times New Roman" w:hAnsiTheme="majorBidi" w:cstheme="majorBidi"/>
            <w:sz w:val="24"/>
            <w:szCs w:val="24"/>
          </w:rPr>
          <w:t>(Wang et al., 2014)</w:t>
        </w:r>
      </w:hyperlink>
      <w:r w:rsidRPr="00305114">
        <w:rPr>
          <w:rFonts w:asciiTheme="majorBidi" w:eastAsia="Times New Roman" w:hAnsiTheme="majorBidi" w:cstheme="majorBidi"/>
          <w:sz w:val="24"/>
          <w:szCs w:val="24"/>
        </w:rPr>
        <w:t xml:space="preserve"> with the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dataset. The resulting whole-brain entropy pattern was further verified to be parcelled into seven hierarchical regional networks. Entropy can also be applied to differentiate between the brain states of resting periods and working memory tasks among normal subjects </w:t>
      </w:r>
      <w:hyperlink r:id="rId513">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Nezafati</w:t>
        </w:r>
        <w:proofErr w:type="spellEnd"/>
        <w:r w:rsidRPr="00305114">
          <w:rPr>
            <w:rFonts w:asciiTheme="majorBidi" w:eastAsia="Times New Roman" w:hAnsiTheme="majorBidi" w:cstheme="majorBidi"/>
            <w:sz w:val="24"/>
            <w:szCs w:val="24"/>
          </w:rPr>
          <w:t xml:space="preserve"> et al., 2020)</w:t>
        </w:r>
      </w:hyperlink>
      <w:r w:rsidRPr="00305114">
        <w:rPr>
          <w:rFonts w:asciiTheme="majorBidi" w:eastAsia="Times New Roman" w:hAnsiTheme="majorBidi" w:cstheme="majorBidi"/>
          <w:sz w:val="24"/>
          <w:szCs w:val="24"/>
        </w:rPr>
        <w:t xml:space="preserve">. These findings demonstrate the potential of entropy as a tool for evaluating brain activity through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signals. </w:t>
      </w:r>
    </w:p>
    <w:p w14:paraId="3C5FE417"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Nonlinear signal processing methods, such as approximate entropy </w:t>
      </w:r>
      <w:hyperlink r:id="rId514">
        <w:r w:rsidRPr="00305114">
          <w:rPr>
            <w:rFonts w:asciiTheme="majorBidi" w:eastAsia="Times New Roman" w:hAnsiTheme="majorBidi" w:cstheme="majorBidi"/>
            <w:sz w:val="24"/>
            <w:szCs w:val="24"/>
          </w:rPr>
          <w:t>(Pincus, 1991; Pincus, 1995)</w:t>
        </w:r>
      </w:hyperlink>
      <w:r w:rsidRPr="00305114">
        <w:rPr>
          <w:rFonts w:asciiTheme="majorBidi" w:eastAsia="Times New Roman" w:hAnsiTheme="majorBidi" w:cstheme="majorBidi"/>
          <w:sz w:val="24"/>
          <w:szCs w:val="24"/>
        </w:rPr>
        <w:t xml:space="preserve"> and sample entropy </w:t>
      </w:r>
      <w:hyperlink r:id="rId515">
        <w:r w:rsidRPr="00305114">
          <w:rPr>
            <w:rFonts w:asciiTheme="majorBidi" w:eastAsia="Times New Roman" w:hAnsiTheme="majorBidi" w:cstheme="majorBidi"/>
            <w:sz w:val="24"/>
            <w:szCs w:val="24"/>
          </w:rPr>
          <w:t>(Richman &amp; Moorman, 2000)</w:t>
        </w:r>
      </w:hyperlink>
      <w:r w:rsidRPr="00305114">
        <w:rPr>
          <w:rFonts w:asciiTheme="majorBidi" w:eastAsia="Times New Roman" w:hAnsiTheme="majorBidi" w:cstheme="majorBidi"/>
          <w:sz w:val="24"/>
          <w:szCs w:val="24"/>
        </w:rPr>
        <w:t xml:space="preserve">, have been recently applied to investigate the complexity of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dynamics </w:t>
      </w:r>
      <w:hyperlink r:id="rId516">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Sokunbi</w:t>
        </w:r>
        <w:proofErr w:type="spellEnd"/>
        <w:r w:rsidRPr="00305114">
          <w:rPr>
            <w:rFonts w:asciiTheme="majorBidi" w:eastAsia="Times New Roman" w:hAnsiTheme="majorBidi" w:cstheme="majorBidi"/>
            <w:sz w:val="24"/>
            <w:szCs w:val="24"/>
          </w:rPr>
          <w:t>, 2014)</w:t>
        </w:r>
      </w:hyperlink>
      <w:r w:rsidRPr="00305114">
        <w:rPr>
          <w:rFonts w:asciiTheme="majorBidi" w:eastAsia="Times New Roman" w:hAnsiTheme="majorBidi" w:cstheme="majorBidi"/>
          <w:sz w:val="24"/>
          <w:szCs w:val="24"/>
        </w:rPr>
        <w:t xml:space="preserve">. These entropy-based methods measure the frequency of pattern repetition within a signal, indicating both the randomness and predictability of a stochastic process </w:t>
      </w:r>
      <w:hyperlink r:id="rId517">
        <w:r w:rsidRPr="00305114">
          <w:rPr>
            <w:rFonts w:asciiTheme="majorBidi" w:eastAsia="Times New Roman" w:hAnsiTheme="majorBidi" w:cstheme="majorBidi"/>
            <w:sz w:val="24"/>
            <w:szCs w:val="24"/>
          </w:rPr>
          <w:t>(Delgado-Bonal &amp; Marshak, 2019)</w:t>
        </w:r>
      </w:hyperlink>
      <w:r w:rsidRPr="00305114">
        <w:rPr>
          <w:rFonts w:asciiTheme="majorBidi" w:eastAsia="Times New Roman" w:hAnsiTheme="majorBidi" w:cstheme="majorBidi"/>
          <w:sz w:val="24"/>
          <w:szCs w:val="24"/>
        </w:rPr>
        <w:t xml:space="preserve">. According to the Goldberger/Lipsitz model </w:t>
      </w:r>
      <w:hyperlink r:id="rId518">
        <w:r w:rsidRPr="00305114">
          <w:rPr>
            <w:rFonts w:asciiTheme="majorBidi" w:eastAsia="Times New Roman" w:hAnsiTheme="majorBidi" w:cstheme="majorBidi"/>
            <w:sz w:val="24"/>
            <w:szCs w:val="24"/>
          </w:rPr>
          <w:t>(Goldberger, 1996; Goldberger et al., 2002; Ho et al., 1997)</w:t>
        </w:r>
      </w:hyperlink>
      <w:r w:rsidRPr="00305114">
        <w:rPr>
          <w:rFonts w:asciiTheme="majorBidi" w:eastAsia="Times New Roman" w:hAnsiTheme="majorBidi" w:cstheme="majorBidi"/>
          <w:sz w:val="24"/>
          <w:szCs w:val="24"/>
        </w:rPr>
        <w:t xml:space="preserve">, it is generally expected that a less healthy system exhibits lower complexity in its physiological signal, as more predictable behaviours would be associated with pathological states </w:t>
      </w:r>
      <w:hyperlink r:id="rId519">
        <w:r w:rsidRPr="00305114">
          <w:rPr>
            <w:rFonts w:asciiTheme="majorBidi" w:eastAsia="Times New Roman" w:hAnsiTheme="majorBidi" w:cstheme="majorBidi"/>
            <w:sz w:val="24"/>
            <w:szCs w:val="24"/>
          </w:rPr>
          <w:t>(Pool 1989)</w:t>
        </w:r>
      </w:hyperlink>
      <w:r w:rsidRPr="00305114">
        <w:rPr>
          <w:rFonts w:asciiTheme="majorBidi" w:eastAsia="Times New Roman" w:hAnsiTheme="majorBidi" w:cstheme="majorBidi"/>
          <w:sz w:val="24"/>
          <w:szCs w:val="24"/>
        </w:rPr>
        <w:t xml:space="preserve">. Generally, individuals with ASC exhibit a reduced entropy in the prefrontal cortex, such as the left orbitofrontal cortex </w:t>
      </w:r>
      <w:hyperlink r:id="rId520">
        <w:r w:rsidRPr="00305114">
          <w:rPr>
            <w:rFonts w:asciiTheme="majorBidi" w:eastAsia="Times New Roman" w:hAnsiTheme="majorBidi" w:cstheme="majorBidi"/>
            <w:sz w:val="24"/>
            <w:szCs w:val="24"/>
          </w:rPr>
          <w:t>(Zhang et al., 2020)</w:t>
        </w:r>
      </w:hyperlink>
      <w:r w:rsidRPr="00305114">
        <w:rPr>
          <w:rFonts w:asciiTheme="majorBidi" w:eastAsia="Times New Roman" w:hAnsiTheme="majorBidi" w:cstheme="majorBidi"/>
          <w:sz w:val="24"/>
          <w:szCs w:val="24"/>
        </w:rPr>
        <w:t xml:space="preserve"> and superior frontal gyrus </w:t>
      </w:r>
      <w:hyperlink r:id="rId521">
        <w:r w:rsidRPr="00305114">
          <w:rPr>
            <w:rFonts w:asciiTheme="majorBidi" w:eastAsia="Times New Roman" w:hAnsiTheme="majorBidi" w:cstheme="majorBidi"/>
            <w:sz w:val="24"/>
            <w:szCs w:val="24"/>
          </w:rPr>
          <w:t>(Maximo et al., 2021)</w:t>
        </w:r>
      </w:hyperlink>
      <w:r w:rsidRPr="00305114">
        <w:rPr>
          <w:rFonts w:asciiTheme="majorBidi" w:eastAsia="Times New Roman" w:hAnsiTheme="majorBidi" w:cstheme="majorBidi"/>
          <w:sz w:val="24"/>
          <w:szCs w:val="24"/>
        </w:rPr>
        <w:t xml:space="preserve">. Despite observing reduced entropy in the frontal cortex among ASC subjects, several resting-state fMRI studies have reported inconsistent results concerning specific brain regions. For example, a study by </w:t>
      </w:r>
      <w:hyperlink r:id="rId522">
        <w:r w:rsidRPr="00305114">
          <w:rPr>
            <w:rFonts w:asciiTheme="majorBidi" w:eastAsia="Times New Roman" w:hAnsiTheme="majorBidi" w:cstheme="majorBidi"/>
            <w:sz w:val="24"/>
            <w:szCs w:val="24"/>
          </w:rPr>
          <w:t>Zhang et al. 2020</w:t>
        </w:r>
      </w:hyperlink>
      <w:r w:rsidRPr="00305114">
        <w:rPr>
          <w:rFonts w:asciiTheme="majorBidi" w:eastAsia="Times New Roman" w:hAnsiTheme="majorBidi" w:cstheme="majorBidi"/>
          <w:sz w:val="24"/>
          <w:szCs w:val="24"/>
        </w:rPr>
        <w:t xml:space="preserve"> revealed that sample entropy values were notably decreased in individuals with ASC compared to neurotypical individuals across multiple brain regions responsible for processing visual and sensory information, indicating reduced complexity in the adult ASC brain. Another study found both decreased entropy in the frontal cortex and increased entropy in the left angular gyrus, superior parietal lobule, and right inferior temporal gyrus in ASC children </w:t>
      </w:r>
      <w:hyperlink r:id="rId523">
        <w:r w:rsidRPr="00305114">
          <w:rPr>
            <w:rFonts w:asciiTheme="majorBidi" w:eastAsia="Times New Roman" w:hAnsiTheme="majorBidi" w:cstheme="majorBidi"/>
            <w:sz w:val="24"/>
            <w:szCs w:val="24"/>
          </w:rPr>
          <w:t>(Maximo et al., 2021)</w:t>
        </w:r>
      </w:hyperlink>
      <w:r w:rsidRPr="00305114">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lastRenderedPageBreak/>
        <w:t xml:space="preserve">Furthermore, decreased entropy has always been seen in the severe ASC children's brain regions </w:t>
      </w:r>
      <w:hyperlink r:id="rId524">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Hadoush</w:t>
        </w:r>
        <w:proofErr w:type="spellEnd"/>
        <w:r w:rsidRPr="00305114">
          <w:rPr>
            <w:rFonts w:asciiTheme="majorBidi" w:eastAsia="Times New Roman" w:hAnsiTheme="majorBidi" w:cstheme="majorBidi"/>
            <w:sz w:val="24"/>
            <w:szCs w:val="24"/>
          </w:rPr>
          <w:t xml:space="preserve"> et al., 2019)</w:t>
        </w:r>
      </w:hyperlink>
      <w:r w:rsidRPr="00305114">
        <w:rPr>
          <w:rFonts w:asciiTheme="majorBidi" w:eastAsia="Times New Roman" w:hAnsiTheme="majorBidi" w:cstheme="majorBidi"/>
          <w:sz w:val="24"/>
          <w:szCs w:val="24"/>
        </w:rPr>
        <w:t xml:space="preserve"> and also significantly negatively related to Autism Diagnostic Observation Schedule total scores (ADOS) in some specific brain regions, such as the left postcentral gyrus and the right lingual gyrus </w:t>
      </w:r>
      <w:hyperlink r:id="rId525">
        <w:r w:rsidRPr="00305114">
          <w:rPr>
            <w:rFonts w:asciiTheme="majorBidi" w:eastAsia="Times New Roman" w:hAnsiTheme="majorBidi" w:cstheme="majorBidi"/>
            <w:sz w:val="24"/>
            <w:szCs w:val="24"/>
          </w:rPr>
          <w:t>(Zhang et al., 2020)</w:t>
        </w:r>
      </w:hyperlink>
      <w:r w:rsidRPr="00305114">
        <w:rPr>
          <w:rFonts w:asciiTheme="majorBidi" w:eastAsia="Times New Roman" w:hAnsiTheme="majorBidi" w:cstheme="majorBidi"/>
          <w:sz w:val="24"/>
          <w:szCs w:val="24"/>
        </w:rPr>
        <w:t xml:space="preserve"> and also SRS scores </w:t>
      </w:r>
      <w:hyperlink r:id="rId526">
        <w:r w:rsidRPr="00305114">
          <w:rPr>
            <w:rFonts w:asciiTheme="majorBidi" w:eastAsia="Times New Roman" w:hAnsiTheme="majorBidi" w:cstheme="majorBidi"/>
            <w:sz w:val="24"/>
            <w:szCs w:val="24"/>
          </w:rPr>
          <w:t>(Easson &amp; McIntosh, 2019)</w:t>
        </w:r>
      </w:hyperlink>
      <w:r w:rsidRPr="00305114">
        <w:rPr>
          <w:rFonts w:asciiTheme="majorBidi" w:eastAsia="Times New Roman" w:hAnsiTheme="majorBidi" w:cstheme="majorBidi"/>
          <w:sz w:val="24"/>
          <w:szCs w:val="24"/>
        </w:rPr>
        <w:t xml:space="preserve">. These findings point to the potential diagnostic utility of entropy-based measures for understanding brain dynamics among the ASC population and its association with ASC symptomatology. </w:t>
      </w:r>
    </w:p>
    <w:p w14:paraId="45BE2B49"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However, it is noteworthy that another study investigated the complexity of resting-state BOLD signals using sample entropy in children and adolescents and found no significant differences between the ASC and neurotypical groups </w:t>
      </w:r>
      <w:hyperlink r:id="rId527">
        <w:r w:rsidRPr="00305114">
          <w:rPr>
            <w:rFonts w:asciiTheme="majorBidi" w:eastAsia="Times New Roman" w:hAnsiTheme="majorBidi" w:cstheme="majorBidi"/>
            <w:sz w:val="24"/>
            <w:szCs w:val="24"/>
          </w:rPr>
          <w:t>(Easson &amp; McIntosh, 2019)</w:t>
        </w:r>
      </w:hyperlink>
      <w:r w:rsidRPr="00305114">
        <w:rPr>
          <w:rFonts w:asciiTheme="majorBidi" w:eastAsia="Times New Roman" w:hAnsiTheme="majorBidi" w:cstheme="majorBidi"/>
          <w:sz w:val="24"/>
          <w:szCs w:val="24"/>
        </w:rPr>
        <w:t xml:space="preserve">. The inconsistent findings observed in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studies investigating the neurophysiological profile of ASC may also be attributed to the scarce utilisation of multiscale sample entropy </w:t>
      </w:r>
      <w:hyperlink r:id="rId528">
        <w:r w:rsidRPr="00305114">
          <w:rPr>
            <w:rFonts w:asciiTheme="majorBidi" w:eastAsia="Times New Roman" w:hAnsiTheme="majorBidi" w:cstheme="majorBidi"/>
            <w:sz w:val="24"/>
            <w:szCs w:val="24"/>
          </w:rPr>
          <w:t>(Okazaki et al., 2015)</w:t>
        </w:r>
      </w:hyperlink>
      <w:r w:rsidRPr="00305114">
        <w:rPr>
          <w:rFonts w:asciiTheme="majorBidi" w:eastAsia="Times New Roman" w:hAnsiTheme="majorBidi" w:cstheme="majorBidi"/>
          <w:sz w:val="24"/>
          <w:szCs w:val="24"/>
        </w:rPr>
        <w:t xml:space="preserve">. Multiscale sample entropy has provided more comprehensive insights into the system by considering the complexity of different signal series derived from the original data. It enables the comparison of series, aiding in identifying and quantifying regularity patterns </w:t>
      </w:r>
      <w:hyperlink r:id="rId529">
        <w:r w:rsidRPr="00305114">
          <w:rPr>
            <w:rFonts w:asciiTheme="majorBidi" w:eastAsia="Times New Roman" w:hAnsiTheme="majorBidi" w:cstheme="majorBidi"/>
            <w:sz w:val="24"/>
            <w:szCs w:val="24"/>
          </w:rPr>
          <w:t>(Costa et al., 2005)</w:t>
        </w:r>
      </w:hyperlink>
      <w:r w:rsidRPr="00305114">
        <w:rPr>
          <w:rFonts w:asciiTheme="majorBidi" w:eastAsia="Times New Roman" w:hAnsiTheme="majorBidi" w:cstheme="majorBidi"/>
          <w:sz w:val="24"/>
          <w:szCs w:val="24"/>
        </w:rPr>
        <w:t xml:space="preserve">. This model suggests that optimally functioning biological systems are characterised by multiple hierarchical mechanisms interacting over time, generating complex signals containing interconnected information. In contrast, single-scale sample entropy tends to misinterpret uncorrelated random signals, such as white noise, and actual complex signals, as it assigns high values to both </w:t>
      </w:r>
      <w:hyperlink r:id="rId530">
        <w:r w:rsidRPr="00305114">
          <w:rPr>
            <w:rFonts w:asciiTheme="majorBidi" w:eastAsia="Times New Roman" w:hAnsiTheme="majorBidi" w:cstheme="majorBidi"/>
            <w:sz w:val="24"/>
            <w:szCs w:val="24"/>
          </w:rPr>
          <w:t>(Vaillancourt &amp; Newell, 2002)</w:t>
        </w:r>
      </w:hyperlink>
      <w:r w:rsidRPr="00305114">
        <w:rPr>
          <w:rFonts w:asciiTheme="majorBidi" w:eastAsia="Times New Roman" w:hAnsiTheme="majorBidi" w:cstheme="majorBidi"/>
          <w:sz w:val="24"/>
          <w:szCs w:val="24"/>
        </w:rPr>
        <w:t xml:space="preserve">. </w:t>
      </w:r>
    </w:p>
    <w:p w14:paraId="2B8F5CB2"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b/>
          <w:i/>
          <w:sz w:val="24"/>
          <w:szCs w:val="24"/>
        </w:rPr>
        <w:t xml:space="preserve">Challenges and Solutions in Applying Multiscale Sample Entropy to </w:t>
      </w:r>
      <w:proofErr w:type="spellStart"/>
      <w:r w:rsidRPr="00305114">
        <w:rPr>
          <w:rFonts w:asciiTheme="majorBidi" w:eastAsia="Times New Roman" w:hAnsiTheme="majorBidi" w:cstheme="majorBidi"/>
          <w:b/>
          <w:i/>
          <w:sz w:val="24"/>
          <w:szCs w:val="24"/>
        </w:rPr>
        <w:t>rs</w:t>
      </w:r>
      <w:proofErr w:type="spellEnd"/>
      <w:r w:rsidRPr="00305114">
        <w:rPr>
          <w:rFonts w:asciiTheme="majorBidi" w:eastAsia="Times New Roman" w:hAnsiTheme="majorBidi" w:cstheme="majorBidi"/>
          <w:b/>
          <w:i/>
          <w:sz w:val="24"/>
          <w:szCs w:val="24"/>
        </w:rPr>
        <w:t xml:space="preserve">-fMRI Studies. </w:t>
      </w:r>
      <w:r w:rsidRPr="00305114">
        <w:rPr>
          <w:rFonts w:asciiTheme="majorBidi" w:eastAsia="Times New Roman" w:hAnsiTheme="majorBidi" w:cstheme="majorBidi"/>
          <w:sz w:val="24"/>
          <w:szCs w:val="24"/>
        </w:rPr>
        <w:t xml:space="preserve">However, the limited utilisation of multiscale sample entropy in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studies is because of the constraints imposed by the temporal resolution of the fMRI technique and the insufficient number of available time points for robust analysis. Typically, BOLD signals are relatively short, consisting of approximately 100-200 successive time points (TR = 2 sec). The limited number of time points available for analysis could increase the noise in the coarse-grained signal </w:t>
      </w:r>
      <w:hyperlink r:id="rId531">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Courtiol</w:t>
        </w:r>
        <w:proofErr w:type="spellEnd"/>
        <w:r w:rsidRPr="00305114">
          <w:rPr>
            <w:rFonts w:asciiTheme="majorBidi" w:eastAsia="Times New Roman" w:hAnsiTheme="majorBidi" w:cstheme="majorBidi"/>
            <w:sz w:val="24"/>
            <w:szCs w:val="24"/>
          </w:rPr>
          <w:t xml:space="preserve"> et al., 2016</w:t>
        </w:r>
      </w:hyperlink>
      <w:hyperlink r:id="rId532">
        <w:r w:rsidRPr="00305114">
          <w:rPr>
            <w:rFonts w:asciiTheme="majorBidi" w:eastAsia="Times New Roman" w:hAnsiTheme="majorBidi" w:cstheme="majorBidi"/>
            <w:sz w:val="24"/>
            <w:szCs w:val="24"/>
          </w:rPr>
          <w:t xml:space="preserve">; </w:t>
        </w:r>
      </w:hyperlink>
      <w:hyperlink r:id="rId533">
        <w:proofErr w:type="spellStart"/>
        <w:r w:rsidRPr="00305114">
          <w:rPr>
            <w:rFonts w:asciiTheme="majorBidi" w:eastAsia="Times New Roman" w:hAnsiTheme="majorBidi" w:cstheme="majorBidi"/>
            <w:sz w:val="24"/>
            <w:szCs w:val="24"/>
          </w:rPr>
          <w:t>Sokunbi</w:t>
        </w:r>
        <w:proofErr w:type="spellEnd"/>
        <w:r w:rsidRPr="00305114">
          <w:rPr>
            <w:rFonts w:asciiTheme="majorBidi" w:eastAsia="Times New Roman" w:hAnsiTheme="majorBidi" w:cstheme="majorBidi"/>
            <w:sz w:val="24"/>
            <w:szCs w:val="24"/>
          </w:rPr>
          <w:t>, 2014)</w:t>
        </w:r>
      </w:hyperlink>
      <w:r w:rsidRPr="00305114">
        <w:rPr>
          <w:rFonts w:asciiTheme="majorBidi" w:eastAsia="Times New Roman" w:hAnsiTheme="majorBidi" w:cstheme="majorBidi"/>
          <w:sz w:val="24"/>
          <w:szCs w:val="24"/>
        </w:rPr>
        <w:t xml:space="preserve">. However, it is essential to emphasise that no study has yet directly proved the lack of validity or usefulness of MSE in </w:t>
      </w:r>
      <w:r w:rsidRPr="00305114">
        <w:rPr>
          <w:rFonts w:asciiTheme="majorBidi" w:eastAsia="Times New Roman" w:hAnsiTheme="majorBidi" w:cstheme="majorBidi"/>
          <w:sz w:val="24"/>
          <w:szCs w:val="24"/>
        </w:rPr>
        <w:lastRenderedPageBreak/>
        <w:t xml:space="preserve">the context of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analysis. In practice, </w:t>
      </w:r>
      <w:r w:rsidR="004A1E04" w:rsidRPr="00305114">
        <w:rPr>
          <w:rFonts w:asciiTheme="majorBidi" w:eastAsia="Times New Roman" w:hAnsiTheme="majorBidi" w:cstheme="majorBidi"/>
          <w:sz w:val="24"/>
          <w:szCs w:val="24"/>
        </w:rPr>
        <w:t>coarse graining</w:t>
      </w:r>
      <w:r w:rsidRPr="00305114">
        <w:rPr>
          <w:rFonts w:asciiTheme="majorBidi" w:eastAsia="Times New Roman" w:hAnsiTheme="majorBidi" w:cstheme="majorBidi"/>
          <w:sz w:val="24"/>
          <w:szCs w:val="24"/>
        </w:rPr>
        <w:t xml:space="preserve"> involves a </w:t>
      </w:r>
      <w:proofErr w:type="spellStart"/>
      <w:r w:rsidRPr="00305114">
        <w:rPr>
          <w:rFonts w:asciiTheme="majorBidi" w:eastAsia="Times New Roman" w:hAnsiTheme="majorBidi" w:cstheme="majorBidi"/>
          <w:sz w:val="24"/>
          <w:szCs w:val="24"/>
        </w:rPr>
        <w:t>downsampling</w:t>
      </w:r>
      <w:proofErr w:type="spellEnd"/>
      <w:r w:rsidRPr="00305114">
        <w:rPr>
          <w:rFonts w:asciiTheme="majorBidi" w:eastAsia="Times New Roman" w:hAnsiTheme="majorBidi" w:cstheme="majorBidi"/>
          <w:sz w:val="24"/>
          <w:szCs w:val="24"/>
        </w:rPr>
        <w:t xml:space="preserve"> procedure that gradually eliminates rapid oscillatory patterns from the signal. As the time scale increases, the evaluation primarily focuses on the entropy of the slower activity (i.e., the lower frequencies). Such a coarse-graining procedure alleviates the signal from linear effects between consecutive samples, like those associated with observational noise at short time scales; MSE can evaluate the remaining correlations of possibly nonlinear deterministic nature </w:t>
      </w:r>
      <w:hyperlink r:id="rId534">
        <w:r w:rsidRPr="00305114">
          <w:rPr>
            <w:rFonts w:asciiTheme="majorBidi" w:eastAsia="Times New Roman" w:hAnsiTheme="majorBidi" w:cstheme="majorBidi"/>
            <w:sz w:val="24"/>
            <w:szCs w:val="24"/>
          </w:rPr>
          <w:t xml:space="preserve">(Govindan et al., 2007; </w:t>
        </w:r>
        <w:proofErr w:type="spellStart"/>
        <w:r w:rsidRPr="00305114">
          <w:rPr>
            <w:rFonts w:asciiTheme="majorBidi" w:eastAsia="Times New Roman" w:hAnsiTheme="majorBidi" w:cstheme="majorBidi"/>
            <w:sz w:val="24"/>
            <w:szCs w:val="24"/>
          </w:rPr>
          <w:t>Vakorin</w:t>
        </w:r>
        <w:proofErr w:type="spellEnd"/>
        <w:r w:rsidRPr="00305114">
          <w:rPr>
            <w:rFonts w:asciiTheme="majorBidi" w:eastAsia="Times New Roman" w:hAnsiTheme="majorBidi" w:cstheme="majorBidi"/>
            <w:sz w:val="24"/>
            <w:szCs w:val="24"/>
          </w:rPr>
          <w:t xml:space="preserve"> et al., 2011)</w:t>
        </w:r>
      </w:hyperlink>
      <w:r w:rsidRPr="00305114">
        <w:rPr>
          <w:rFonts w:asciiTheme="majorBidi" w:eastAsia="Times New Roman" w:hAnsiTheme="majorBidi" w:cstheme="majorBidi"/>
          <w:sz w:val="24"/>
          <w:szCs w:val="24"/>
        </w:rPr>
        <w:t>.</w:t>
      </w:r>
    </w:p>
    <w:p w14:paraId="35E3F5F3"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Researchers have also suggested appropriate parameters for MSE calculations from relatively short BOLD signals. The study </w:t>
      </w:r>
      <w:hyperlink r:id="rId535">
        <w:r w:rsidRPr="00305114">
          <w:rPr>
            <w:rFonts w:asciiTheme="majorBidi" w:eastAsia="Times New Roman" w:hAnsiTheme="majorBidi" w:cstheme="majorBidi"/>
            <w:sz w:val="24"/>
            <w:szCs w:val="24"/>
          </w:rPr>
          <w:t>(Yang &amp; Tsai, 2013)</w:t>
        </w:r>
      </w:hyperlink>
      <w:r w:rsidRPr="00305114">
        <w:rPr>
          <w:rFonts w:asciiTheme="majorBidi" w:eastAsia="Times New Roman" w:hAnsiTheme="majorBidi" w:cstheme="majorBidi"/>
          <w:sz w:val="24"/>
          <w:szCs w:val="24"/>
        </w:rPr>
        <w:t xml:space="preserve"> utilised a time scale factor of up to 5 to mitigate this concern. In another study, entropy successfully partitioned seven distinct brain networks in the resting state. To accommodate the limited number of time points in the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study, the researchers utilised parameters of m = 2 and r = 0.6 </w:t>
      </w:r>
      <w:hyperlink r:id="rId536">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Nezafati</w:t>
        </w:r>
        <w:proofErr w:type="spellEnd"/>
        <w:r w:rsidRPr="00305114">
          <w:rPr>
            <w:rFonts w:asciiTheme="majorBidi" w:eastAsia="Times New Roman" w:hAnsiTheme="majorBidi" w:cstheme="majorBidi"/>
            <w:sz w:val="24"/>
            <w:szCs w:val="24"/>
          </w:rPr>
          <w:t xml:space="preserve"> et al., 2020</w:t>
        </w:r>
      </w:hyperlink>
      <w:hyperlink r:id="rId537">
        <w:r w:rsidRPr="00305114">
          <w:rPr>
            <w:rFonts w:asciiTheme="majorBidi" w:eastAsia="Times New Roman" w:hAnsiTheme="majorBidi" w:cstheme="majorBidi"/>
            <w:sz w:val="24"/>
            <w:szCs w:val="24"/>
          </w:rPr>
          <w:t xml:space="preserve">; </w:t>
        </w:r>
      </w:hyperlink>
      <w:hyperlink r:id="rId538">
        <w:r w:rsidRPr="00305114">
          <w:rPr>
            <w:rFonts w:asciiTheme="majorBidi" w:eastAsia="Times New Roman" w:hAnsiTheme="majorBidi" w:cstheme="majorBidi"/>
            <w:sz w:val="24"/>
            <w:szCs w:val="24"/>
          </w:rPr>
          <w:t>Wang et al., 2014)</w:t>
        </w:r>
      </w:hyperlink>
      <w:r w:rsidRPr="00305114">
        <w:rPr>
          <w:rFonts w:asciiTheme="majorBidi" w:eastAsia="Times New Roman" w:hAnsiTheme="majorBidi" w:cstheme="majorBidi"/>
          <w:sz w:val="24"/>
          <w:szCs w:val="24"/>
        </w:rPr>
        <w:t xml:space="preserve">. This adjustment ensures the suitability of entropy analysis in the context of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studies with relatively few available time points </w:t>
      </w:r>
      <w:hyperlink r:id="rId539">
        <w:r w:rsidRPr="00305114">
          <w:rPr>
            <w:rFonts w:asciiTheme="majorBidi" w:eastAsia="Times New Roman" w:hAnsiTheme="majorBidi" w:cstheme="majorBidi"/>
            <w:sz w:val="24"/>
            <w:szCs w:val="24"/>
          </w:rPr>
          <w:t>(Yang et al., 2018)</w:t>
        </w:r>
      </w:hyperlink>
      <w:r w:rsidRPr="00305114">
        <w:rPr>
          <w:rFonts w:asciiTheme="majorBidi" w:eastAsia="Times New Roman" w:hAnsiTheme="majorBidi" w:cstheme="majorBidi"/>
          <w:sz w:val="24"/>
          <w:szCs w:val="24"/>
        </w:rPr>
        <w:t>. As demonstrated during the initial introduction (Chapter 1), the validity of these parameters in the measurement of MSE was verified by assigning greater entropy to the phase-shuffled surrogate time series compared to the original fMRI time series, owing to the increased irregularity present in the phase-shuffled surrogate time series.</w:t>
      </w:r>
    </w:p>
    <w:p w14:paraId="055F4A97"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b/>
          <w:i/>
          <w:sz w:val="24"/>
          <w:szCs w:val="24"/>
        </w:rPr>
        <w:t xml:space="preserve">Exploring Resting-State fMRI Differences across Eye Conditions: Insights and Considerations. </w:t>
      </w:r>
      <w:r w:rsidRPr="00305114">
        <w:rPr>
          <w:rFonts w:asciiTheme="majorBidi" w:eastAsia="Times New Roman" w:hAnsiTheme="majorBidi" w:cstheme="majorBidi"/>
          <w:sz w:val="24"/>
          <w:szCs w:val="24"/>
        </w:rPr>
        <w:t xml:space="preserve">Previous studies have examined differences in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w:t>
      </w:r>
      <w:r w:rsidR="004A1E04" w:rsidRPr="00305114">
        <w:rPr>
          <w:rFonts w:asciiTheme="majorBidi" w:eastAsia="Times New Roman" w:hAnsiTheme="majorBidi" w:cstheme="majorBidi"/>
          <w:sz w:val="24"/>
          <w:szCs w:val="24"/>
        </w:rPr>
        <w:t>matrices</w:t>
      </w:r>
      <w:r w:rsidRPr="00305114">
        <w:rPr>
          <w:rFonts w:asciiTheme="majorBidi" w:eastAsia="Times New Roman" w:hAnsiTheme="majorBidi" w:cstheme="majorBidi"/>
          <w:sz w:val="24"/>
          <w:szCs w:val="24"/>
        </w:rPr>
        <w:t xml:space="preserve">, i.e., functional connectivity across eye-open and eye-closed resting conditions in neurotypical controls. For instance, studies uncovered that the average BOLD activity in the visual processing regions was more substantial in eyes-open (EO) compared to eyes-closed (EC) conditions </w:t>
      </w:r>
      <w:hyperlink r:id="rId540">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Costumero</w:t>
        </w:r>
        <w:proofErr w:type="spellEnd"/>
        <w:r w:rsidRPr="00305114">
          <w:rPr>
            <w:rFonts w:asciiTheme="majorBidi" w:eastAsia="Times New Roman" w:hAnsiTheme="majorBidi" w:cstheme="majorBidi"/>
            <w:sz w:val="24"/>
            <w:szCs w:val="24"/>
          </w:rPr>
          <w:t xml:space="preserve"> et al., 2020)</w:t>
        </w:r>
      </w:hyperlink>
      <w:r w:rsidRPr="00305114">
        <w:rPr>
          <w:rFonts w:asciiTheme="majorBidi" w:eastAsia="Times New Roman" w:hAnsiTheme="majorBidi" w:cstheme="majorBidi"/>
          <w:sz w:val="24"/>
          <w:szCs w:val="24"/>
        </w:rPr>
        <w:t xml:space="preserve">, while increased connections in auditory and sensorimotor networks to other networks found at EC conditions. The increase in functional connectivity of visual processing is also positively associated with alpha reactivity(i.e., the degree of EC-to-EO alpha-blocking) </w:t>
      </w:r>
      <w:hyperlink r:id="rId541">
        <w:r w:rsidRPr="00305114">
          <w:rPr>
            <w:rFonts w:asciiTheme="majorBidi" w:eastAsia="Times New Roman" w:hAnsiTheme="majorBidi" w:cstheme="majorBidi"/>
            <w:sz w:val="24"/>
            <w:szCs w:val="24"/>
          </w:rPr>
          <w:t>(Wan et al., 2019)</w:t>
        </w:r>
      </w:hyperlink>
      <w:r w:rsidRPr="00305114">
        <w:rPr>
          <w:rFonts w:asciiTheme="majorBidi" w:eastAsia="Times New Roman" w:hAnsiTheme="majorBidi" w:cstheme="majorBidi"/>
          <w:sz w:val="24"/>
          <w:szCs w:val="24"/>
        </w:rPr>
        <w:t xml:space="preserve"> with regional heterogeneity (ReHo) in DMN </w:t>
      </w:r>
      <w:hyperlink r:id="rId542">
        <w:r w:rsidRPr="00305114">
          <w:rPr>
            <w:rFonts w:asciiTheme="majorBidi" w:eastAsia="Times New Roman" w:hAnsiTheme="majorBidi" w:cstheme="majorBidi"/>
            <w:sz w:val="24"/>
            <w:szCs w:val="24"/>
          </w:rPr>
          <w:t>(Bowman et al., 2017)</w:t>
        </w:r>
      </w:hyperlink>
      <w:r w:rsidRPr="00305114">
        <w:rPr>
          <w:rFonts w:asciiTheme="majorBidi" w:eastAsia="Times New Roman" w:hAnsiTheme="majorBidi" w:cstheme="majorBidi"/>
          <w:sz w:val="24"/>
          <w:szCs w:val="24"/>
        </w:rPr>
        <w:t xml:space="preserve">. Furthermore, increased parietal-occipital BOLD signal intensity in the somatosensory and </w:t>
      </w:r>
      <w:r w:rsidRPr="00305114">
        <w:rPr>
          <w:rFonts w:asciiTheme="majorBidi" w:eastAsia="Times New Roman" w:hAnsiTheme="majorBidi" w:cstheme="majorBidi"/>
          <w:sz w:val="24"/>
          <w:szCs w:val="24"/>
        </w:rPr>
        <w:lastRenderedPageBreak/>
        <w:t xml:space="preserve">secondary visual processing areas is observed at eye-closed conditions with disconnections between the visual and somatosensory areas </w:t>
      </w:r>
      <w:hyperlink r:id="rId543">
        <w:r w:rsidRPr="00305114">
          <w:rPr>
            <w:rFonts w:asciiTheme="majorBidi" w:eastAsia="Times New Roman" w:hAnsiTheme="majorBidi" w:cstheme="majorBidi"/>
            <w:sz w:val="24"/>
            <w:szCs w:val="24"/>
          </w:rPr>
          <w:t>(Götz et al., 2017</w:t>
        </w:r>
      </w:hyperlink>
      <w:hyperlink r:id="rId544">
        <w:r w:rsidRPr="00305114">
          <w:rPr>
            <w:rFonts w:asciiTheme="majorBidi" w:eastAsia="Times New Roman" w:hAnsiTheme="majorBidi" w:cstheme="majorBidi"/>
            <w:sz w:val="24"/>
            <w:szCs w:val="24"/>
          </w:rPr>
          <w:t xml:space="preserve">; </w:t>
        </w:r>
      </w:hyperlink>
      <w:hyperlink r:id="rId545">
        <w:r w:rsidRPr="00305114">
          <w:rPr>
            <w:rFonts w:asciiTheme="majorBidi" w:eastAsia="Times New Roman" w:hAnsiTheme="majorBidi" w:cstheme="majorBidi"/>
            <w:sz w:val="24"/>
            <w:szCs w:val="24"/>
          </w:rPr>
          <w:t>McAvoy et al., 2012)</w:t>
        </w:r>
      </w:hyperlink>
      <w:r w:rsidRPr="00305114">
        <w:rPr>
          <w:rFonts w:asciiTheme="majorBidi" w:eastAsia="Times New Roman" w:hAnsiTheme="majorBidi" w:cstheme="majorBidi"/>
          <w:sz w:val="24"/>
          <w:szCs w:val="24"/>
        </w:rPr>
        <w:t xml:space="preserve">. </w:t>
      </w:r>
    </w:p>
    <w:p w14:paraId="33BD3821"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According to </w:t>
      </w:r>
      <w:hyperlink r:id="rId546">
        <w:r w:rsidRPr="00305114">
          <w:rPr>
            <w:rFonts w:asciiTheme="majorBidi" w:eastAsia="Times New Roman" w:hAnsiTheme="majorBidi" w:cstheme="majorBidi"/>
            <w:sz w:val="24"/>
            <w:szCs w:val="24"/>
          </w:rPr>
          <w:t>Yan et al. 2019</w:t>
        </w:r>
      </w:hyperlink>
      <w:r w:rsidRPr="00305114">
        <w:rPr>
          <w:rFonts w:asciiTheme="majorBidi" w:eastAsia="Times New Roman" w:hAnsiTheme="majorBidi" w:cstheme="majorBidi"/>
          <w:sz w:val="24"/>
          <w:szCs w:val="24"/>
        </w:rPr>
        <w:t xml:space="preserve">, although the functional connectivity maps of the default mode network (DMN) exhibit similarities across different resting eye conditions, the connectivity strength was lower during eyes closed compared to eyes open. However, </w:t>
      </w:r>
      <w:hyperlink r:id="rId547">
        <w:r w:rsidRPr="00305114">
          <w:rPr>
            <w:rFonts w:asciiTheme="majorBidi" w:eastAsia="Times New Roman" w:hAnsiTheme="majorBidi" w:cstheme="majorBidi"/>
            <w:sz w:val="24"/>
            <w:szCs w:val="24"/>
          </w:rPr>
          <w:t>Jao et al. 2013</w:t>
        </w:r>
      </w:hyperlink>
      <w:r w:rsidRPr="00305114">
        <w:rPr>
          <w:rFonts w:asciiTheme="majorBidi" w:eastAsia="Times New Roman" w:hAnsiTheme="majorBidi" w:cstheme="majorBidi"/>
          <w:sz w:val="24"/>
          <w:szCs w:val="24"/>
        </w:rPr>
        <w:t xml:space="preserve"> argued that the connectivity strength of the bilateral posterior cingulate cortex (PCC) significantly decreased during the eyes open state, despite no observable differences in the PCC-as-seed functional connectivity map between eye conditions </w:t>
      </w:r>
      <w:hyperlink r:id="rId548">
        <w:r w:rsidRPr="00305114">
          <w:rPr>
            <w:rFonts w:asciiTheme="majorBidi" w:eastAsia="Times New Roman" w:hAnsiTheme="majorBidi" w:cstheme="majorBidi"/>
            <w:sz w:val="24"/>
            <w:szCs w:val="24"/>
          </w:rPr>
          <w:t>(Weng et al., 2020)</w:t>
        </w:r>
      </w:hyperlink>
      <w:r w:rsidRPr="00305114">
        <w:rPr>
          <w:rFonts w:asciiTheme="majorBidi" w:eastAsia="Times New Roman" w:hAnsiTheme="majorBidi" w:cstheme="majorBidi"/>
          <w:sz w:val="24"/>
          <w:szCs w:val="24"/>
        </w:rPr>
        <w:t xml:space="preserve">. Several studies have also reported that the amplitude of low-frequency fluctuation is higher during eyes-closed compared to eyes-open </w:t>
      </w:r>
      <w:hyperlink r:id="rId549">
        <w:r w:rsidRPr="00305114">
          <w:rPr>
            <w:rFonts w:asciiTheme="majorBidi" w:eastAsia="Times New Roman" w:hAnsiTheme="majorBidi" w:cstheme="majorBidi"/>
            <w:sz w:val="24"/>
            <w:szCs w:val="24"/>
          </w:rPr>
          <w:t>(Jao et al., 2013)</w:t>
        </w:r>
      </w:hyperlink>
      <w:r w:rsidRPr="00305114">
        <w:rPr>
          <w:rFonts w:asciiTheme="majorBidi" w:eastAsia="Times New Roman" w:hAnsiTheme="majorBidi" w:cstheme="majorBidi"/>
          <w:sz w:val="24"/>
          <w:szCs w:val="24"/>
        </w:rPr>
        <w:t xml:space="preserve"> and that the power of the blood-oxygen-level dependent (BOLD) signal is greater during eyes-closed </w:t>
      </w:r>
      <w:hyperlink r:id="rId550">
        <w:r w:rsidRPr="00305114">
          <w:rPr>
            <w:rFonts w:asciiTheme="majorBidi" w:eastAsia="Times New Roman" w:hAnsiTheme="majorBidi" w:cstheme="majorBidi"/>
            <w:sz w:val="24"/>
            <w:szCs w:val="24"/>
          </w:rPr>
          <w:t>(McAvoy et al., 2008; Yan et al., 2009)</w:t>
        </w:r>
      </w:hyperlink>
      <w:r w:rsidRPr="00305114">
        <w:rPr>
          <w:rFonts w:asciiTheme="majorBidi" w:eastAsia="Times New Roman" w:hAnsiTheme="majorBidi" w:cstheme="majorBidi"/>
          <w:sz w:val="24"/>
          <w:szCs w:val="24"/>
        </w:rPr>
        <w:t xml:space="preserve">. </w:t>
      </w:r>
    </w:p>
    <w:p w14:paraId="7D1F2972" w14:textId="77777777" w:rsid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Considering the substantial evidence suggesting that the state of the eyes during rest exerts a significant influence on fMRI signals, it becomes crucial to acknowledge the potential variations in brain activity associated with eye conditions. Although no direct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-fMRI study has yet offered empirical evidence of distinct disparities in brain complexity between different eye conditions, it remains essential to recognize and account for the possible fluctuations in brain activity that could arise between eye conditions to construct a comprehensive whole-brain entropy map. While this study will cover a considerable dataset sourced from ABIDE I, enabling exploration of alteration in brain sample entropy between individuals with ASC and neurotypical controls, both in the context of eyes-open and eyes-closed conditions separately, it is important to note that no suitable dataset exists to directly facilitate a comparative analysis of brain complexity across eye conditions.</w:t>
      </w:r>
    </w:p>
    <w:p w14:paraId="2F85E3FD" w14:textId="77777777" w:rsidR="00A367A4" w:rsidRPr="00305114" w:rsidRDefault="00A367A4" w:rsidP="00305114">
      <w:pPr>
        <w:spacing w:line="480" w:lineRule="auto"/>
        <w:ind w:firstLine="720"/>
        <w:rPr>
          <w:rFonts w:asciiTheme="majorBidi" w:eastAsia="Times New Roman" w:hAnsiTheme="majorBidi" w:cstheme="majorBidi"/>
          <w:sz w:val="24"/>
          <w:szCs w:val="24"/>
        </w:rPr>
      </w:pPr>
    </w:p>
    <w:p w14:paraId="3E883834" w14:textId="77777777" w:rsidR="00305114" w:rsidRPr="00305114" w:rsidRDefault="00305114" w:rsidP="00305114">
      <w:pPr>
        <w:spacing w:line="480" w:lineRule="auto"/>
        <w:jc w:val="center"/>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Method</w:t>
      </w:r>
    </w:p>
    <w:p w14:paraId="0AE0EDD3"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 xml:space="preserve">Data </w:t>
      </w:r>
    </w:p>
    <w:p w14:paraId="72105D57" w14:textId="77777777" w:rsidR="00305114" w:rsidRPr="00305114" w:rsidRDefault="00305114" w:rsidP="00305114">
      <w:pPr>
        <w:spacing w:line="480" w:lineRule="auto"/>
        <w:ind w:firstLine="720"/>
        <w:rPr>
          <w:rFonts w:asciiTheme="majorBidi" w:eastAsia="Times New Roman" w:hAnsiTheme="majorBidi" w:cstheme="majorBidi"/>
          <w:b/>
          <w:sz w:val="24"/>
          <w:szCs w:val="24"/>
        </w:rPr>
      </w:pPr>
      <w:r w:rsidRPr="00305114">
        <w:rPr>
          <w:rFonts w:asciiTheme="majorBidi" w:eastAsia="Times New Roman" w:hAnsiTheme="majorBidi" w:cstheme="majorBidi"/>
          <w:sz w:val="24"/>
          <w:szCs w:val="24"/>
        </w:rPr>
        <w:lastRenderedPageBreak/>
        <w:t xml:space="preserve">To ensure reproducibility and replicability, the </w:t>
      </w:r>
      <w:r w:rsidR="004A1E04" w:rsidRPr="00305114">
        <w:rPr>
          <w:rFonts w:asciiTheme="majorBidi" w:eastAsia="Times New Roman" w:hAnsiTheme="majorBidi" w:cstheme="majorBidi"/>
          <w:sz w:val="24"/>
          <w:szCs w:val="24"/>
        </w:rPr>
        <w:t>pre-processed</w:t>
      </w:r>
      <w:r w:rsidRPr="00305114">
        <w:rPr>
          <w:rFonts w:asciiTheme="majorBidi" w:eastAsia="Times New Roman" w:hAnsiTheme="majorBidi" w:cstheme="majorBidi"/>
          <w:sz w:val="24"/>
          <w:szCs w:val="24"/>
        </w:rPr>
        <w:t xml:space="preserve"> resting-state fMRI data was used from ABIDE I with publicly available access via the </w:t>
      </w:r>
      <w:r w:rsidR="004A1E04" w:rsidRPr="00305114">
        <w:rPr>
          <w:rFonts w:asciiTheme="majorBidi" w:eastAsia="Times New Roman" w:hAnsiTheme="majorBidi" w:cstheme="majorBidi"/>
          <w:sz w:val="24"/>
          <w:szCs w:val="24"/>
        </w:rPr>
        <w:t>Pre-processed</w:t>
      </w:r>
      <w:r w:rsidRPr="00305114">
        <w:rPr>
          <w:rFonts w:asciiTheme="majorBidi" w:eastAsia="Times New Roman" w:hAnsiTheme="majorBidi" w:cstheme="majorBidi"/>
          <w:sz w:val="24"/>
          <w:szCs w:val="24"/>
        </w:rPr>
        <w:t xml:space="preserve"> Connectomes Project (</w:t>
      </w:r>
      <w:hyperlink r:id="rId551">
        <w:r w:rsidRPr="00305114">
          <w:rPr>
            <w:rFonts w:asciiTheme="majorBidi" w:eastAsia="Times New Roman" w:hAnsiTheme="majorBidi" w:cstheme="majorBidi"/>
            <w:sz w:val="24"/>
            <w:szCs w:val="24"/>
          </w:rPr>
          <w:t>http://preprocessed-connectomes-project.org/</w:t>
        </w:r>
      </w:hyperlink>
      <w:r w:rsidRPr="00305114">
        <w:rPr>
          <w:rFonts w:asciiTheme="majorBidi" w:eastAsia="Times New Roman" w:hAnsiTheme="majorBidi" w:cstheme="majorBidi"/>
          <w:sz w:val="24"/>
          <w:szCs w:val="24"/>
        </w:rPr>
        <w:t xml:space="preserve">). The </w:t>
      </w:r>
      <w:r w:rsidR="004A1E04" w:rsidRPr="00305114">
        <w:rPr>
          <w:rFonts w:asciiTheme="majorBidi" w:eastAsia="Times New Roman" w:hAnsiTheme="majorBidi" w:cstheme="majorBidi"/>
          <w:sz w:val="24"/>
          <w:szCs w:val="24"/>
        </w:rPr>
        <w:t>pre-processing</w:t>
      </w:r>
      <w:r w:rsidRPr="00305114">
        <w:rPr>
          <w:rFonts w:asciiTheme="majorBidi" w:eastAsia="Times New Roman" w:hAnsiTheme="majorBidi" w:cstheme="majorBidi"/>
          <w:sz w:val="24"/>
          <w:szCs w:val="24"/>
        </w:rPr>
        <w:t xml:space="preserve"> pipeline applied in this study was generated using the Data Processing Assistant for Resting-State fMRI (DPARSF) </w:t>
      </w:r>
      <w:hyperlink r:id="rId552">
        <w:r w:rsidRPr="00305114">
          <w:rPr>
            <w:rFonts w:asciiTheme="majorBidi" w:eastAsia="Times New Roman" w:hAnsiTheme="majorBidi" w:cstheme="majorBidi"/>
            <w:sz w:val="24"/>
            <w:szCs w:val="24"/>
          </w:rPr>
          <w:t>(Chao-Gan &amp; Yu-Feng, 2010)</w:t>
        </w:r>
      </w:hyperlink>
      <w:r w:rsidRPr="00305114">
        <w:rPr>
          <w:rFonts w:asciiTheme="majorBidi" w:eastAsia="Times New Roman" w:hAnsiTheme="majorBidi" w:cstheme="majorBidi"/>
          <w:sz w:val="24"/>
          <w:szCs w:val="24"/>
        </w:rPr>
        <w:t xml:space="preserve">. All fMRI data were acquired and released with approval from each contributor’s ethics committee. </w:t>
      </w:r>
    </w:p>
    <w:p w14:paraId="78D9BA74"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Procedure for Filtering the Dataset</w:t>
      </w:r>
    </w:p>
    <w:p w14:paraId="53D2EB0D" w14:textId="32BBEB35"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procedure of the dataset filtering is illustrated in Figure 1. The complete dataset of the Abide Autism I is 1112 in total, including 539 participants with ASC and 573 neurotypical controls. First, we chose those sites with the same sampling rate as the entropy is sensitive to the frequency. Most sites have a 0.5 Hz sampling rate, so we selected </w:t>
      </w:r>
      <w:r w:rsidR="00450B25">
        <w:rPr>
          <w:rFonts w:asciiTheme="majorBidi" w:eastAsia="Times New Roman" w:hAnsiTheme="majorBidi" w:cstheme="majorBidi"/>
          <w:sz w:val="24"/>
          <w:szCs w:val="24"/>
        </w:rPr>
        <w:t>611</w:t>
      </w:r>
      <w:r w:rsidRPr="00305114">
        <w:rPr>
          <w:rFonts w:asciiTheme="majorBidi" w:eastAsia="Times New Roman" w:hAnsiTheme="majorBidi" w:cstheme="majorBidi"/>
          <w:sz w:val="24"/>
          <w:szCs w:val="24"/>
        </w:rPr>
        <w:t xml:space="preserve"> data in total, including </w:t>
      </w:r>
      <w:r w:rsidR="00450B25">
        <w:rPr>
          <w:rFonts w:asciiTheme="majorBidi" w:eastAsia="Times New Roman" w:hAnsiTheme="majorBidi" w:cstheme="majorBidi"/>
          <w:sz w:val="24"/>
          <w:szCs w:val="24"/>
        </w:rPr>
        <w:t>291</w:t>
      </w:r>
      <w:r w:rsidRPr="00305114">
        <w:rPr>
          <w:rFonts w:asciiTheme="majorBidi" w:eastAsia="Times New Roman" w:hAnsiTheme="majorBidi" w:cstheme="majorBidi"/>
          <w:sz w:val="24"/>
          <w:szCs w:val="24"/>
        </w:rPr>
        <w:t xml:space="preserve"> ASC and </w:t>
      </w:r>
      <w:r w:rsidR="00450B25">
        <w:rPr>
          <w:rFonts w:asciiTheme="majorBidi" w:eastAsia="Times New Roman" w:hAnsiTheme="majorBidi" w:cstheme="majorBidi"/>
          <w:sz w:val="24"/>
          <w:szCs w:val="24"/>
        </w:rPr>
        <w:t>320 CON</w:t>
      </w:r>
      <w:r w:rsidRPr="00305114">
        <w:rPr>
          <w:rFonts w:asciiTheme="majorBidi" w:eastAsia="Times New Roman" w:hAnsiTheme="majorBidi" w:cstheme="majorBidi"/>
          <w:sz w:val="24"/>
          <w:szCs w:val="24"/>
        </w:rPr>
        <w:t xml:space="preserve">. </w:t>
      </w:r>
      <w:r w:rsidR="00450B25">
        <w:rPr>
          <w:rFonts w:asciiTheme="majorBidi" w:eastAsia="Times New Roman" w:hAnsiTheme="majorBidi" w:cstheme="majorBidi"/>
          <w:sz w:val="24"/>
          <w:szCs w:val="24"/>
        </w:rPr>
        <w:t>Available pre-processed data after the a</w:t>
      </w:r>
      <w:r w:rsidR="00450B25" w:rsidRPr="00450B25">
        <w:rPr>
          <w:rFonts w:asciiTheme="majorBidi" w:eastAsia="Times New Roman" w:hAnsiTheme="majorBidi" w:cstheme="majorBidi"/>
          <w:sz w:val="24"/>
          <w:szCs w:val="24"/>
        </w:rPr>
        <w:t xml:space="preserve">utomated </w:t>
      </w:r>
      <w:r w:rsidR="00450B25">
        <w:rPr>
          <w:rFonts w:asciiTheme="majorBidi" w:eastAsia="Times New Roman" w:hAnsiTheme="majorBidi" w:cstheme="majorBidi"/>
          <w:sz w:val="24"/>
          <w:szCs w:val="24"/>
        </w:rPr>
        <w:t>f</w:t>
      </w:r>
      <w:r w:rsidR="00450B25" w:rsidRPr="00450B25">
        <w:rPr>
          <w:rFonts w:asciiTheme="majorBidi" w:eastAsia="Times New Roman" w:hAnsiTheme="majorBidi" w:cstheme="majorBidi"/>
          <w:sz w:val="24"/>
          <w:szCs w:val="24"/>
        </w:rPr>
        <w:t xml:space="preserve">unctional </w:t>
      </w:r>
      <w:r w:rsidR="00450B25">
        <w:rPr>
          <w:rFonts w:asciiTheme="majorBidi" w:eastAsia="Times New Roman" w:hAnsiTheme="majorBidi" w:cstheme="majorBidi"/>
          <w:sz w:val="24"/>
          <w:szCs w:val="24"/>
        </w:rPr>
        <w:t>q</w:t>
      </w:r>
      <w:r w:rsidR="00450B25" w:rsidRPr="00450B25">
        <w:rPr>
          <w:rFonts w:asciiTheme="majorBidi" w:eastAsia="Times New Roman" w:hAnsiTheme="majorBidi" w:cstheme="majorBidi"/>
          <w:sz w:val="24"/>
          <w:szCs w:val="24"/>
        </w:rPr>
        <w:t xml:space="preserve">uality </w:t>
      </w:r>
      <w:r w:rsidR="00450B25">
        <w:rPr>
          <w:rFonts w:asciiTheme="majorBidi" w:eastAsia="Times New Roman" w:hAnsiTheme="majorBidi" w:cstheme="majorBidi"/>
          <w:sz w:val="24"/>
          <w:szCs w:val="24"/>
        </w:rPr>
        <w:t>a</w:t>
      </w:r>
      <w:r w:rsidR="00450B25" w:rsidRPr="00450B25">
        <w:rPr>
          <w:rFonts w:asciiTheme="majorBidi" w:eastAsia="Times New Roman" w:hAnsiTheme="majorBidi" w:cstheme="majorBidi"/>
          <w:sz w:val="24"/>
          <w:szCs w:val="24"/>
        </w:rPr>
        <w:t>ssessment</w:t>
      </w:r>
      <w:r w:rsidR="00450B25">
        <w:rPr>
          <w:rFonts w:asciiTheme="majorBidi" w:eastAsia="Times New Roman" w:hAnsiTheme="majorBidi" w:cstheme="majorBidi"/>
          <w:sz w:val="24"/>
          <w:szCs w:val="24"/>
        </w:rPr>
        <w:t xml:space="preserve"> with </w:t>
      </w:r>
      <w:r w:rsidR="00450B25" w:rsidRPr="00450B25">
        <w:rPr>
          <w:rFonts w:asciiTheme="majorBidi" w:eastAsia="Times New Roman" w:hAnsiTheme="majorBidi" w:cstheme="majorBidi"/>
          <w:sz w:val="24"/>
          <w:szCs w:val="24"/>
        </w:rPr>
        <w:t xml:space="preserve">the PCP Quality Assessment Protocol </w:t>
      </w:r>
      <w:r w:rsidR="00450B25">
        <w:rPr>
          <w:rFonts w:asciiTheme="majorBidi" w:eastAsia="Times New Roman" w:hAnsiTheme="majorBidi" w:cstheme="majorBidi"/>
          <w:sz w:val="24"/>
          <w:szCs w:val="24"/>
        </w:rPr>
        <w:t xml:space="preserve">includes 506 participants (231 ASC and 275 CON). </w:t>
      </w:r>
      <w:r w:rsidRPr="00305114">
        <w:rPr>
          <w:rFonts w:asciiTheme="majorBidi" w:eastAsia="Times New Roman" w:hAnsiTheme="majorBidi" w:cstheme="majorBidi"/>
          <w:sz w:val="24"/>
          <w:szCs w:val="24"/>
        </w:rPr>
        <w:t xml:space="preserve">As this is a voxel-wise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study, to control the head motion better, we further exclude that dataset with excessive mean FD (mean FD &gt; mean group FD +2SD), resulting in 500 data in total (226 ASC and 274 </w:t>
      </w:r>
      <w:r w:rsidR="00450B25">
        <w:rPr>
          <w:rFonts w:asciiTheme="majorBidi" w:eastAsia="Times New Roman" w:hAnsiTheme="majorBidi" w:cstheme="majorBidi"/>
          <w:sz w:val="24"/>
          <w:szCs w:val="24"/>
        </w:rPr>
        <w:t>CON</w:t>
      </w:r>
      <w:r w:rsidRPr="00305114">
        <w:rPr>
          <w:rFonts w:asciiTheme="majorBidi" w:eastAsia="Times New Roman" w:hAnsiTheme="majorBidi" w:cstheme="majorBidi"/>
          <w:sz w:val="24"/>
          <w:szCs w:val="24"/>
        </w:rPr>
        <w:t xml:space="preserve">). This dataset is further separated into two based on the eye condition during the data collection. Only the sub-dataset at the eye open condition was included in this study. The overall step-by-step dataset chosen flowchart is depicted in Figure 1. The phenotypic information is shown in Table </w:t>
      </w:r>
      <w:r w:rsidR="00450B25">
        <w:rPr>
          <w:rFonts w:asciiTheme="majorBidi" w:eastAsia="Times New Roman" w:hAnsiTheme="majorBidi" w:cstheme="majorBidi"/>
          <w:sz w:val="24"/>
          <w:szCs w:val="24"/>
        </w:rPr>
        <w:t>3</w:t>
      </w:r>
      <w:r w:rsidRPr="00305114">
        <w:rPr>
          <w:rFonts w:asciiTheme="majorBidi" w:eastAsia="Times New Roman" w:hAnsiTheme="majorBidi" w:cstheme="majorBidi"/>
          <w:sz w:val="24"/>
          <w:szCs w:val="24"/>
        </w:rPr>
        <w:t>. The age range for individuals with ASC falls between 7.00 and 50.22 years (M = 16.43, SD = 7.17), while neurotypical controls exhibit an age range of 6.47 to 39.39 years (M = 15.75, SD = 5.67). The graphical representation of the age distribution is depicted in Figure 2. Notably, there is no statistically significant disparity in age between the diagnostic groups (t = 1.0407, p = 0.2988).</w:t>
      </w:r>
    </w:p>
    <w:p w14:paraId="5D9035C0"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006AF366"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22085212"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661DC11E" w14:textId="77777777" w:rsidR="00305114" w:rsidRDefault="00305114" w:rsidP="00407511">
      <w:pPr>
        <w:spacing w:line="480" w:lineRule="auto"/>
        <w:rPr>
          <w:rFonts w:asciiTheme="majorBidi" w:eastAsia="Times New Roman" w:hAnsiTheme="majorBidi" w:cstheme="majorBidi"/>
          <w:sz w:val="24"/>
          <w:szCs w:val="24"/>
        </w:rPr>
      </w:pPr>
    </w:p>
    <w:p w14:paraId="1E867C42"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lastRenderedPageBreak/>
        <w:t>F</w:t>
      </w:r>
      <w:r w:rsidR="004A1E04">
        <w:rPr>
          <w:rFonts w:asciiTheme="majorBidi" w:eastAsia="Times New Roman" w:hAnsiTheme="majorBidi" w:cstheme="majorBidi"/>
          <w:b/>
          <w:sz w:val="24"/>
          <w:szCs w:val="24"/>
        </w:rPr>
        <w:t>igure</w:t>
      </w:r>
      <w:r w:rsidRPr="00305114">
        <w:rPr>
          <w:rFonts w:asciiTheme="majorBidi" w:eastAsia="Times New Roman" w:hAnsiTheme="majorBidi" w:cstheme="majorBidi"/>
          <w:b/>
          <w:sz w:val="24"/>
          <w:szCs w:val="24"/>
        </w:rPr>
        <w:t xml:space="preserve"> 1</w:t>
      </w:r>
    </w:p>
    <w:p w14:paraId="2859BA15"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Flowchart of step-by-step dataset filtering.</w:t>
      </w:r>
    </w:p>
    <w:p w14:paraId="154483C2" w14:textId="77777777" w:rsidR="00305114" w:rsidRPr="00305114" w:rsidRDefault="00305114" w:rsidP="00305114">
      <w:pPr>
        <w:spacing w:line="480" w:lineRule="auto"/>
        <w:rPr>
          <w:rFonts w:asciiTheme="majorBidi" w:eastAsia="Times New Roman" w:hAnsiTheme="majorBidi" w:cstheme="majorBidi"/>
          <w:sz w:val="24"/>
          <w:szCs w:val="24"/>
        </w:rPr>
      </w:pPr>
    </w:p>
    <w:p w14:paraId="41A490BB" w14:textId="77777777" w:rsidR="004B7486" w:rsidRPr="004B7486" w:rsidRDefault="004B7486" w:rsidP="004B7486">
      <w:pPr>
        <w:pStyle w:val="NormalWeb"/>
        <w:spacing w:before="0" w:beforeAutospacing="0" w:after="0" w:afterAutospacing="0" w:line="480" w:lineRule="auto"/>
        <w:rPr>
          <w:lang w:val="en-US"/>
        </w:rPr>
      </w:pPr>
      <w:r>
        <w:rPr>
          <w:noProof/>
          <w:color w:val="000000"/>
          <w:sz w:val="28"/>
          <w:szCs w:val="28"/>
          <w:bdr w:val="none" w:sz="0" w:space="0" w:color="auto" w:frame="1"/>
        </w:rPr>
        <w:drawing>
          <wp:inline distT="0" distB="0" distL="0" distR="0" wp14:anchorId="57BE686D" wp14:editId="1AC8FBF7">
            <wp:extent cx="6481445" cy="3651885"/>
            <wp:effectExtent l="0" t="0" r="0" b="5715"/>
            <wp:docPr id="862019711" name="Picture 9" descr="A flowchart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19711" name="Picture 9" descr="A flowchart of data&#10;&#10;Description automatically generated"/>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481445" cy="3651885"/>
                    </a:xfrm>
                    <a:prstGeom prst="rect">
                      <a:avLst/>
                    </a:prstGeom>
                    <a:noFill/>
                    <a:ln>
                      <a:noFill/>
                    </a:ln>
                  </pic:spPr>
                </pic:pic>
              </a:graphicData>
            </a:graphic>
          </wp:inline>
        </w:drawing>
      </w:r>
      <w:r w:rsidRPr="004B7486">
        <w:rPr>
          <w:b/>
          <w:bCs/>
          <w:i/>
          <w:iCs/>
          <w:color w:val="000000"/>
          <w:lang w:val="en-US"/>
        </w:rPr>
        <w:t>Automated Functional Quality Assessment</w:t>
      </w:r>
    </w:p>
    <w:p w14:paraId="61511DCA" w14:textId="0D923E15" w:rsidR="004B7486" w:rsidRPr="004B7486" w:rsidRDefault="004B7486" w:rsidP="004B7486">
      <w:pPr>
        <w:spacing w:line="480" w:lineRule="auto"/>
        <w:ind w:firstLine="720"/>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 xml:space="preserve">In this investigation, the quality of functional MRI (fMRI) images was evaluated using various metrics in both the spatial and temporal domains. It is noteworthy that these quality assessments were executed using </w:t>
      </w:r>
      <w:bookmarkStart w:id="14" w:name="_Hlk156818289"/>
      <w:r w:rsidRPr="004B7486">
        <w:rPr>
          <w:rFonts w:ascii="Times New Roman" w:eastAsia="Times New Roman" w:hAnsi="Times New Roman" w:cs="Times New Roman"/>
          <w:color w:val="000000"/>
          <w:sz w:val="24"/>
          <w:szCs w:val="24"/>
          <w:lang w:val="en-US"/>
        </w:rPr>
        <w:t xml:space="preserve">the PCP Quality Assessment Protocol </w:t>
      </w:r>
      <w:bookmarkEnd w:id="14"/>
      <w:r w:rsidRPr="004B7486">
        <w:rPr>
          <w:rFonts w:ascii="Times New Roman" w:eastAsia="Times New Roman" w:hAnsi="Times New Roman" w:cs="Times New Roman"/>
          <w:color w:val="000000"/>
          <w:sz w:val="24"/>
          <w:szCs w:val="24"/>
          <w:lang w:val="en-US"/>
        </w:rPr>
        <w:t>(</w:t>
      </w:r>
      <w:hyperlink r:id="rId554" w:anchor="installing-the-qap-package" w:history="1">
        <w:r w:rsidRPr="004B7486">
          <w:rPr>
            <w:rFonts w:ascii="Times New Roman" w:eastAsia="Times New Roman" w:hAnsi="Times New Roman" w:cs="Times New Roman"/>
            <w:color w:val="000000"/>
            <w:sz w:val="24"/>
            <w:szCs w:val="24"/>
            <w:u w:val="single"/>
            <w:lang w:val="en-US"/>
          </w:rPr>
          <w:t>http://preprocessed-connectomes-project.org/quality-assessment-protocol/index.html#installing-the-qap-package</w:t>
        </w:r>
      </w:hyperlink>
      <w:r w:rsidRPr="004B7486">
        <w:rPr>
          <w:rFonts w:ascii="Times New Roman" w:eastAsia="Times New Roman" w:hAnsi="Times New Roman" w:cs="Times New Roman"/>
          <w:color w:val="000000"/>
          <w:sz w:val="24"/>
          <w:szCs w:val="24"/>
          <w:lang w:val="en-US"/>
        </w:rPr>
        <w:t>), a standardized procedure available through the publicly accessible database ABIDEI. Importantly, this protocol ensures transparency, reproducibility, and adherence to established guidelines in the analysis of neuroimaging data.</w:t>
      </w:r>
    </w:p>
    <w:p w14:paraId="7FF0AFA3" w14:textId="77777777" w:rsidR="004B7486" w:rsidRPr="004B7486" w:rsidRDefault="004B7486" w:rsidP="004B7486">
      <w:pPr>
        <w:spacing w:line="480" w:lineRule="auto"/>
        <w:ind w:firstLine="720"/>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 xml:space="preserve">The spatial domain assessment, employing the mean functional image, included metrics such as </w:t>
      </w:r>
      <w:r w:rsidRPr="004B7486">
        <w:rPr>
          <w:rFonts w:ascii="Times New Roman" w:eastAsia="Times New Roman" w:hAnsi="Times New Roman" w:cs="Times New Roman"/>
          <w:i/>
          <w:iCs/>
          <w:color w:val="000000"/>
          <w:sz w:val="24"/>
          <w:szCs w:val="24"/>
          <w:lang w:val="en-US"/>
        </w:rPr>
        <w:t>Ghost to Signal Ratio</w:t>
      </w:r>
      <w:r w:rsidRPr="004B7486">
        <w:rPr>
          <w:rFonts w:ascii="Times New Roman" w:eastAsia="Times New Roman" w:hAnsi="Times New Roman" w:cs="Times New Roman"/>
          <w:color w:val="000000"/>
          <w:sz w:val="24"/>
          <w:szCs w:val="24"/>
          <w:lang w:val="en-US"/>
        </w:rPr>
        <w:t xml:space="preserve"> assessed the mean signal in the 'ghost' image, representing signal outside the brain </w:t>
      </w:r>
      <w:r w:rsidRPr="004B7486">
        <w:rPr>
          <w:rFonts w:ascii="Times New Roman" w:eastAsia="Times New Roman" w:hAnsi="Times New Roman" w:cs="Times New Roman"/>
          <w:color w:val="000000"/>
          <w:sz w:val="24"/>
          <w:szCs w:val="24"/>
          <w:lang w:val="en-US"/>
        </w:rPr>
        <w:lastRenderedPageBreak/>
        <w:t xml:space="preserve">due to acquisition in the phase encoding direction, relative to the mean signal within the brain, indicating lower values are preferable </w:t>
      </w:r>
      <w:hyperlink r:id="rId555" w:history="1">
        <w:r w:rsidRPr="004B7486">
          <w:rPr>
            <w:rFonts w:ascii="Times New Roman" w:eastAsia="Times New Roman" w:hAnsi="Times New Roman" w:cs="Times New Roman"/>
            <w:color w:val="1155CC"/>
            <w:sz w:val="24"/>
            <w:szCs w:val="24"/>
            <w:u w:val="single"/>
            <w:lang w:val="en-US"/>
          </w:rPr>
          <w:t>(Giannelli et al. 2010)</w:t>
        </w:r>
      </w:hyperlink>
      <w:r w:rsidRPr="004B7486">
        <w:rPr>
          <w:rFonts w:ascii="Times New Roman" w:eastAsia="Times New Roman" w:hAnsi="Times New Roman" w:cs="Times New Roman"/>
          <w:color w:val="000000"/>
          <w:sz w:val="24"/>
          <w:szCs w:val="24"/>
          <w:lang w:val="en-US"/>
        </w:rPr>
        <w:t>. </w:t>
      </w:r>
    </w:p>
    <w:p w14:paraId="4F8EF793" w14:textId="1EE5BE8F" w:rsidR="004B7486" w:rsidRPr="004B7486" w:rsidRDefault="004B7486" w:rsidP="004B7486">
      <w:pPr>
        <w:spacing w:line="480" w:lineRule="auto"/>
        <w:ind w:firstLine="720"/>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 xml:space="preserve">While in the temporal domain, relying on voxel-wise time-series functional data, metrics like the </w:t>
      </w:r>
      <w:r w:rsidRPr="004B7486">
        <w:rPr>
          <w:rFonts w:ascii="Times New Roman" w:eastAsia="Times New Roman" w:hAnsi="Times New Roman" w:cs="Times New Roman"/>
          <w:i/>
          <w:iCs/>
          <w:color w:val="000000"/>
          <w:sz w:val="24"/>
          <w:szCs w:val="24"/>
          <w:lang w:val="en-US"/>
        </w:rPr>
        <w:t>Entropy Focus Criterion</w:t>
      </w:r>
      <w:r w:rsidRPr="004B7486">
        <w:rPr>
          <w:rFonts w:ascii="Times New Roman" w:eastAsia="Times New Roman" w:hAnsi="Times New Roman" w:cs="Times New Roman"/>
          <w:color w:val="000000"/>
          <w:sz w:val="24"/>
          <w:szCs w:val="24"/>
          <w:lang w:val="en-US"/>
        </w:rPr>
        <w:t xml:space="preserve">, which employed Shannon's entropy to evaluate the uniformity and energy distribution within the brain, with lower values signifying less noisy data  </w:t>
      </w:r>
      <w:hyperlink r:id="rId556" w:history="1">
        <w:r w:rsidRPr="004B7486">
          <w:rPr>
            <w:rFonts w:ascii="Times New Roman" w:eastAsia="Times New Roman" w:hAnsi="Times New Roman" w:cs="Times New Roman"/>
            <w:color w:val="1155CC"/>
            <w:sz w:val="24"/>
            <w:szCs w:val="24"/>
            <w:u w:val="single"/>
            <w:lang w:val="en-US"/>
          </w:rPr>
          <w:t>(Atkinson et al. 1997)</w:t>
        </w:r>
      </w:hyperlink>
      <w:r w:rsidRPr="004B7486">
        <w:rPr>
          <w:rFonts w:ascii="Times New Roman" w:eastAsia="Times New Roman" w:hAnsi="Times New Roman" w:cs="Times New Roman"/>
          <w:color w:val="000000"/>
          <w:sz w:val="24"/>
          <w:szCs w:val="24"/>
          <w:lang w:val="en-US"/>
        </w:rPr>
        <w:t xml:space="preserve">. </w:t>
      </w:r>
      <w:r w:rsidRPr="004B7486">
        <w:rPr>
          <w:rFonts w:ascii="Times New Roman" w:eastAsia="Times New Roman" w:hAnsi="Times New Roman" w:cs="Times New Roman"/>
          <w:i/>
          <w:iCs/>
          <w:color w:val="000000"/>
          <w:sz w:val="24"/>
          <w:szCs w:val="24"/>
          <w:lang w:val="en-US"/>
        </w:rPr>
        <w:t>Foreground to Background Energy Ratio</w:t>
      </w:r>
      <w:r w:rsidRPr="004B7486">
        <w:rPr>
          <w:rFonts w:ascii="Times New Roman" w:eastAsia="Times New Roman" w:hAnsi="Times New Roman" w:cs="Times New Roman"/>
          <w:color w:val="000000"/>
          <w:sz w:val="24"/>
          <w:szCs w:val="24"/>
          <w:lang w:val="en-US"/>
        </w:rPr>
        <w:t xml:space="preserve"> measured the mean energy within the head relative to outside, and </w:t>
      </w:r>
      <w:r w:rsidRPr="004B7486">
        <w:rPr>
          <w:rFonts w:ascii="Times New Roman" w:eastAsia="Times New Roman" w:hAnsi="Times New Roman" w:cs="Times New Roman"/>
          <w:i/>
          <w:iCs/>
          <w:color w:val="000000"/>
          <w:sz w:val="24"/>
          <w:szCs w:val="24"/>
          <w:lang w:val="en-US"/>
        </w:rPr>
        <w:t xml:space="preserve">Smoothness of Voxels </w:t>
      </w:r>
      <w:r w:rsidRPr="004B7486">
        <w:rPr>
          <w:rFonts w:ascii="Times New Roman" w:eastAsia="Times New Roman" w:hAnsi="Times New Roman" w:cs="Times New Roman"/>
          <w:color w:val="000000"/>
          <w:sz w:val="24"/>
          <w:szCs w:val="24"/>
          <w:lang w:val="en-US"/>
        </w:rPr>
        <w:t>evaluated the full-width half maximum of the spatial distribution , both with lower values considered better</w:t>
      </w:r>
      <w:hyperlink r:id="rId557" w:history="1">
        <w:r w:rsidRPr="004B7486">
          <w:rPr>
            <w:rFonts w:ascii="Times New Roman" w:eastAsia="Times New Roman" w:hAnsi="Times New Roman" w:cs="Times New Roman"/>
            <w:color w:val="1155CC"/>
            <w:sz w:val="24"/>
            <w:szCs w:val="24"/>
            <w:u w:val="single"/>
            <w:lang w:val="en-US"/>
          </w:rPr>
          <w:t>(Friedman et al. 2006)</w:t>
        </w:r>
      </w:hyperlink>
      <w:r w:rsidRPr="004B7486">
        <w:rPr>
          <w:rFonts w:ascii="Times New Roman" w:eastAsia="Times New Roman" w:hAnsi="Times New Roman" w:cs="Times New Roman"/>
          <w:color w:val="000000"/>
          <w:sz w:val="24"/>
          <w:szCs w:val="24"/>
          <w:lang w:val="en-US"/>
        </w:rPr>
        <w:t xml:space="preserve">. </w:t>
      </w:r>
      <w:r w:rsidRPr="004B7486">
        <w:rPr>
          <w:rFonts w:ascii="Times New Roman" w:eastAsia="Times New Roman" w:hAnsi="Times New Roman" w:cs="Times New Roman"/>
          <w:i/>
          <w:iCs/>
          <w:color w:val="000000"/>
          <w:sz w:val="24"/>
          <w:szCs w:val="24"/>
          <w:lang w:val="en-US"/>
        </w:rPr>
        <w:t>Standardized DVARS</w:t>
      </w:r>
      <w:r w:rsidRPr="004B7486">
        <w:rPr>
          <w:rFonts w:ascii="Times New Roman" w:eastAsia="Times New Roman" w:hAnsi="Times New Roman" w:cs="Times New Roman"/>
          <w:color w:val="000000"/>
          <w:sz w:val="24"/>
          <w:szCs w:val="24"/>
          <w:lang w:val="en-US"/>
        </w:rPr>
        <w:t xml:space="preserve"> calculated the spatial standard deviation of temporal derivatives </w:t>
      </w:r>
      <w:hyperlink r:id="rId558" w:history="1">
        <w:r w:rsidRPr="004B7486">
          <w:rPr>
            <w:rFonts w:ascii="Times New Roman" w:eastAsia="Times New Roman" w:hAnsi="Times New Roman" w:cs="Times New Roman"/>
            <w:color w:val="1155CC"/>
            <w:sz w:val="24"/>
            <w:szCs w:val="24"/>
            <w:u w:val="single"/>
            <w:lang w:val="en-US"/>
          </w:rPr>
          <w:t>(Nichols 2012)</w:t>
        </w:r>
      </w:hyperlink>
      <w:r w:rsidRPr="004B7486">
        <w:rPr>
          <w:rFonts w:ascii="Times New Roman" w:eastAsia="Times New Roman" w:hAnsi="Times New Roman" w:cs="Times New Roman"/>
          <w:color w:val="000000"/>
          <w:sz w:val="24"/>
          <w:szCs w:val="24"/>
          <w:lang w:val="en-US"/>
        </w:rPr>
        <w:t xml:space="preserve">,indicating lower values for better data quality. Other metrics, such as </w:t>
      </w:r>
      <w:r w:rsidRPr="004B7486">
        <w:rPr>
          <w:rFonts w:ascii="Times New Roman" w:eastAsia="Times New Roman" w:hAnsi="Times New Roman" w:cs="Times New Roman"/>
          <w:i/>
          <w:iCs/>
          <w:color w:val="000000"/>
          <w:sz w:val="24"/>
          <w:szCs w:val="24"/>
          <w:lang w:val="en-US"/>
        </w:rPr>
        <w:t>Fraction of Outlier Voxel</w:t>
      </w:r>
      <w:r w:rsidRPr="004B7486">
        <w:rPr>
          <w:rFonts w:ascii="Times New Roman" w:eastAsia="Times New Roman" w:hAnsi="Times New Roman" w:cs="Times New Roman"/>
          <w:color w:val="000000"/>
          <w:sz w:val="24"/>
          <w:szCs w:val="24"/>
          <w:lang w:val="en-US"/>
        </w:rPr>
        <w:t xml:space="preserve"> and </w:t>
      </w:r>
      <w:r w:rsidRPr="004B7486">
        <w:rPr>
          <w:rFonts w:ascii="Times New Roman" w:eastAsia="Times New Roman" w:hAnsi="Times New Roman" w:cs="Times New Roman"/>
          <w:i/>
          <w:iCs/>
          <w:color w:val="000000"/>
          <w:sz w:val="24"/>
          <w:szCs w:val="24"/>
          <w:lang w:val="en-US"/>
        </w:rPr>
        <w:t>Mean Distance to Median Volume</w:t>
      </w:r>
      <w:r w:rsidRPr="004B7486">
        <w:rPr>
          <w:rFonts w:ascii="Times New Roman" w:eastAsia="Times New Roman" w:hAnsi="Times New Roman" w:cs="Times New Roman"/>
          <w:color w:val="000000"/>
          <w:sz w:val="24"/>
          <w:szCs w:val="24"/>
          <w:lang w:val="en-US"/>
        </w:rPr>
        <w:t xml:space="preserve">, utilized functional time-series data to assess the mean fraction of outliers and the distance between time-point volumes and the median volume, respectively </w:t>
      </w:r>
      <w:hyperlink r:id="rId559" w:history="1">
        <w:r w:rsidRPr="004B7486">
          <w:rPr>
            <w:rFonts w:ascii="Times New Roman" w:eastAsia="Times New Roman" w:hAnsi="Times New Roman" w:cs="Times New Roman"/>
            <w:color w:val="1155CC"/>
            <w:sz w:val="24"/>
            <w:szCs w:val="24"/>
            <w:u w:val="single"/>
            <w:lang w:val="en-US"/>
          </w:rPr>
          <w:t>(Cox 1996)</w:t>
        </w:r>
      </w:hyperlink>
      <w:r w:rsidRPr="004B7486">
        <w:rPr>
          <w:rFonts w:ascii="Times New Roman" w:eastAsia="Times New Roman" w:hAnsi="Times New Roman" w:cs="Times New Roman"/>
          <w:color w:val="000000"/>
          <w:sz w:val="24"/>
          <w:szCs w:val="24"/>
          <w:lang w:val="en-US"/>
        </w:rPr>
        <w:t xml:space="preserve">. </w:t>
      </w:r>
      <w:r w:rsidRPr="004B7486">
        <w:rPr>
          <w:rFonts w:ascii="Times New Roman" w:eastAsia="Times New Roman" w:hAnsi="Times New Roman" w:cs="Times New Roman"/>
          <w:i/>
          <w:iCs/>
          <w:color w:val="000000"/>
          <w:sz w:val="24"/>
          <w:szCs w:val="24"/>
          <w:lang w:val="en-US"/>
        </w:rPr>
        <w:t xml:space="preserve">Mean Framewise Displacement </w:t>
      </w:r>
      <w:r w:rsidRPr="004B7486">
        <w:rPr>
          <w:rFonts w:ascii="Times New Roman" w:eastAsia="Times New Roman" w:hAnsi="Times New Roman" w:cs="Times New Roman"/>
          <w:color w:val="000000"/>
          <w:sz w:val="24"/>
          <w:szCs w:val="24"/>
          <w:lang w:val="en-US"/>
        </w:rPr>
        <w:t xml:space="preserve">measured subject head motion, and metrics like Number FD greater than 0.2mm and Percent FD greater than 0.2mm quantified frames or volumes with displacement greater than 0.2mm, all reflecting lower values for better data quality </w:t>
      </w:r>
      <w:hyperlink r:id="rId560" w:history="1">
        <w:r w:rsidRPr="004B7486">
          <w:rPr>
            <w:rFonts w:ascii="Times New Roman" w:eastAsia="Times New Roman" w:hAnsi="Times New Roman" w:cs="Times New Roman"/>
            <w:color w:val="1155CC"/>
            <w:sz w:val="24"/>
            <w:szCs w:val="24"/>
            <w:u w:val="single"/>
            <w:lang w:val="en-US"/>
          </w:rPr>
          <w:t>(Jenkinson et al. 2002; Yan et al. 2013)</w:t>
        </w:r>
      </w:hyperlink>
      <w:r w:rsidRPr="004B7486">
        <w:rPr>
          <w:rFonts w:ascii="Times New Roman" w:eastAsia="Times New Roman" w:hAnsi="Times New Roman" w:cs="Times New Roman"/>
          <w:color w:val="000000"/>
          <w:sz w:val="24"/>
          <w:szCs w:val="24"/>
          <w:lang w:val="en-US"/>
        </w:rPr>
        <w:t xml:space="preserve">. Additional details are available at </w:t>
      </w:r>
      <w:hyperlink r:id="rId561" w:history="1">
        <w:r w:rsidRPr="004B7486">
          <w:rPr>
            <w:rFonts w:ascii="Times New Roman" w:eastAsia="Times New Roman" w:hAnsi="Times New Roman" w:cs="Times New Roman"/>
            <w:color w:val="000000"/>
            <w:sz w:val="24"/>
            <w:szCs w:val="24"/>
            <w:u w:val="single"/>
            <w:lang w:val="en-US"/>
          </w:rPr>
          <w:t>http://preprocessed-connectomes-project.org/abide/quality_assessment.html</w:t>
        </w:r>
      </w:hyperlink>
      <w:r w:rsidRPr="004B7486">
        <w:rPr>
          <w:rFonts w:ascii="Times New Roman" w:eastAsia="Times New Roman" w:hAnsi="Times New Roman" w:cs="Times New Roman"/>
          <w:color w:val="000000"/>
          <w:sz w:val="24"/>
          <w:szCs w:val="24"/>
          <w:lang w:val="en-US"/>
        </w:rPr>
        <w:t>. </w:t>
      </w:r>
    </w:p>
    <w:p w14:paraId="3ABCA9E1" w14:textId="60D28F2A" w:rsidR="004B7486" w:rsidRPr="004B7486" w:rsidRDefault="004B7486" w:rsidP="004B7486">
      <w:pPr>
        <w:spacing w:line="480" w:lineRule="auto"/>
        <w:ind w:firstLine="720"/>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 xml:space="preserve">Table </w:t>
      </w:r>
      <w:r w:rsidR="00450B25">
        <w:rPr>
          <w:rFonts w:ascii="Times New Roman" w:eastAsia="Times New Roman" w:hAnsi="Times New Roman" w:cs="Times New Roman"/>
          <w:color w:val="000000"/>
          <w:sz w:val="24"/>
          <w:szCs w:val="24"/>
          <w:lang w:val="en-US"/>
        </w:rPr>
        <w:t>1</w:t>
      </w:r>
      <w:r w:rsidRPr="004B7486">
        <w:rPr>
          <w:rFonts w:ascii="Times New Roman" w:eastAsia="Times New Roman" w:hAnsi="Times New Roman" w:cs="Times New Roman"/>
          <w:color w:val="000000"/>
          <w:sz w:val="24"/>
          <w:szCs w:val="24"/>
          <w:lang w:val="en-US"/>
        </w:rPr>
        <w:t xml:space="preserve"> displays the outcomes of the automated functional quality assessment for site-wise data with a 0.5Hz sampling rate from 7 sites (</w:t>
      </w:r>
      <w:r w:rsidRPr="004B7486">
        <w:rPr>
          <w:rFonts w:ascii="Times New Roman" w:eastAsia="Times New Roman" w:hAnsi="Times New Roman" w:cs="Times New Roman"/>
          <w:i/>
          <w:iCs/>
          <w:color w:val="000000"/>
          <w:sz w:val="24"/>
          <w:szCs w:val="24"/>
          <w:lang w:val="en-US"/>
        </w:rPr>
        <w:t xml:space="preserve">N </w:t>
      </w:r>
      <w:r w:rsidRPr="004B7486">
        <w:rPr>
          <w:rFonts w:ascii="Times New Roman" w:eastAsia="Times New Roman" w:hAnsi="Times New Roman" w:cs="Times New Roman"/>
          <w:color w:val="000000"/>
          <w:sz w:val="24"/>
          <w:szCs w:val="24"/>
          <w:lang w:val="en-US"/>
        </w:rPr>
        <w:t xml:space="preserve">= 611) for each spatial and temporal variable. The comparison of various quality metrics across distinct imaging sites reveals noteworthy differences in the characteristics of fMRI data. Entropy Focus Criterion (EFC) values consistently demonstrated positive uniformity across all sites, indicating a consistent distribution of voxel intensities and </w:t>
      </w:r>
      <w:proofErr w:type="spellStart"/>
      <w:r w:rsidRPr="004B7486">
        <w:rPr>
          <w:rFonts w:ascii="Times New Roman" w:eastAsia="Times New Roman" w:hAnsi="Times New Roman" w:cs="Times New Roman"/>
          <w:color w:val="000000"/>
          <w:sz w:val="24"/>
          <w:szCs w:val="24"/>
          <w:lang w:val="en-US"/>
        </w:rPr>
        <w:t>favourable</w:t>
      </w:r>
      <w:proofErr w:type="spellEnd"/>
      <w:r w:rsidRPr="004B7486">
        <w:rPr>
          <w:rFonts w:ascii="Times New Roman" w:eastAsia="Times New Roman" w:hAnsi="Times New Roman" w:cs="Times New Roman"/>
          <w:color w:val="000000"/>
          <w:sz w:val="24"/>
          <w:szCs w:val="24"/>
          <w:lang w:val="en-US"/>
        </w:rPr>
        <w:t xml:space="preserve"> data quality. Foreground to Background Energy Ratio exhibited higher values uniformly, reflecting increased energy within brain regions across all sites. Notably, the assessment of spatial smoothness, measured by Full-Width Half Maximum (FWHM), revealed variations, with SDSU displaying the highest FWHM, suggesting distinct spatial smoothness characteristics at this site. Metrics associated with outlier detection, </w:t>
      </w:r>
      <w:r w:rsidRPr="004B7486">
        <w:rPr>
          <w:rFonts w:ascii="Times New Roman" w:eastAsia="Times New Roman" w:hAnsi="Times New Roman" w:cs="Times New Roman"/>
          <w:color w:val="000000"/>
          <w:sz w:val="24"/>
          <w:szCs w:val="24"/>
          <w:lang w:val="en-US"/>
        </w:rPr>
        <w:lastRenderedPageBreak/>
        <w:t>distance to median volume, ghost to signal ratio (GSR) and mean framewise displacement consistently indicated low values across all sites, indicative of robust data quality and minimal head motion.</w:t>
      </w:r>
    </w:p>
    <w:p w14:paraId="72CDF0A8" w14:textId="75032ABF" w:rsidR="004B7486" w:rsidRPr="004B7486" w:rsidRDefault="004B7486" w:rsidP="004B7486">
      <w:pPr>
        <w:spacing w:line="480" w:lineRule="auto"/>
        <w:ind w:firstLine="720"/>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 xml:space="preserve">Following preprocessing, including automated functional quality assessment and the subsequent exclusion of data with excessive mean Framewise Displacement (FD) within each site group (defined as mean </w:t>
      </w:r>
      <w:proofErr w:type="spellStart"/>
      <w:r w:rsidRPr="004B7486">
        <w:rPr>
          <w:rFonts w:ascii="Times New Roman" w:eastAsia="Times New Roman" w:hAnsi="Times New Roman" w:cs="Times New Roman"/>
          <w:color w:val="000000"/>
          <w:sz w:val="24"/>
          <w:szCs w:val="24"/>
          <w:lang w:val="en-US"/>
        </w:rPr>
        <w:t>FD_Jenkinson</w:t>
      </w:r>
      <w:proofErr w:type="spellEnd"/>
      <w:r w:rsidRPr="004B7486">
        <w:rPr>
          <w:rFonts w:ascii="Times New Roman" w:eastAsia="Times New Roman" w:hAnsi="Times New Roman" w:cs="Times New Roman"/>
          <w:color w:val="000000"/>
          <w:sz w:val="24"/>
          <w:szCs w:val="24"/>
          <w:lang w:val="en-US"/>
        </w:rPr>
        <w:t xml:space="preserve"> &gt; mean </w:t>
      </w:r>
      <w:proofErr w:type="spellStart"/>
      <w:r w:rsidRPr="004B7486">
        <w:rPr>
          <w:rFonts w:ascii="Times New Roman" w:eastAsia="Times New Roman" w:hAnsi="Times New Roman" w:cs="Times New Roman"/>
          <w:color w:val="000000"/>
          <w:sz w:val="24"/>
          <w:szCs w:val="24"/>
          <w:lang w:val="en-US"/>
        </w:rPr>
        <w:t>FD_Jenkinson</w:t>
      </w:r>
      <w:proofErr w:type="spellEnd"/>
      <w:r w:rsidRPr="004B7486">
        <w:rPr>
          <w:rFonts w:ascii="Times New Roman" w:eastAsia="Times New Roman" w:hAnsi="Times New Roman" w:cs="Times New Roman"/>
          <w:color w:val="000000"/>
          <w:sz w:val="24"/>
          <w:szCs w:val="24"/>
          <w:lang w:val="en-US"/>
        </w:rPr>
        <w:t xml:space="preserve">(group) + 2 * SD), as illustrated in Table </w:t>
      </w:r>
      <w:r w:rsidR="00450B25">
        <w:rPr>
          <w:rFonts w:ascii="Times New Roman" w:eastAsia="Times New Roman" w:hAnsi="Times New Roman" w:cs="Times New Roman"/>
          <w:color w:val="000000"/>
          <w:sz w:val="24"/>
          <w:szCs w:val="24"/>
          <w:lang w:val="en-US"/>
        </w:rPr>
        <w:t>2</w:t>
      </w:r>
      <w:r w:rsidRPr="004B7486">
        <w:rPr>
          <w:rFonts w:ascii="Times New Roman" w:eastAsia="Times New Roman" w:hAnsi="Times New Roman" w:cs="Times New Roman"/>
          <w:color w:val="000000"/>
          <w:sz w:val="24"/>
          <w:szCs w:val="24"/>
          <w:lang w:val="en-US"/>
        </w:rPr>
        <w:t>, there is a marginal enhancement in most quality metrics. However, variations persist across sites, underscoring the diverse data quality characteristics within each group. The exclusions made to mitigate excessive mean FD within each site group significantly contribute to a more nuanced evaluation of data quality (</w:t>
      </w:r>
      <w:r w:rsidRPr="004B7486">
        <w:rPr>
          <w:rFonts w:ascii="Times New Roman" w:eastAsia="Times New Roman" w:hAnsi="Times New Roman" w:cs="Times New Roman"/>
          <w:i/>
          <w:iCs/>
          <w:color w:val="000000"/>
          <w:sz w:val="24"/>
          <w:szCs w:val="24"/>
          <w:lang w:val="en-US"/>
        </w:rPr>
        <w:t xml:space="preserve">N </w:t>
      </w:r>
      <w:r w:rsidRPr="004B7486">
        <w:rPr>
          <w:rFonts w:ascii="Times New Roman" w:eastAsia="Times New Roman" w:hAnsi="Times New Roman" w:cs="Times New Roman"/>
          <w:color w:val="000000"/>
          <w:sz w:val="24"/>
          <w:szCs w:val="24"/>
          <w:lang w:val="en-US"/>
        </w:rPr>
        <w:t>= 500). This underscores the critical importance of acknowledging and addressing the impact of head motion in neuroimaging analyses.</w:t>
      </w:r>
    </w:p>
    <w:p w14:paraId="619647A7" w14:textId="77777777" w:rsidR="004B7486" w:rsidRPr="004B7486" w:rsidRDefault="004B7486" w:rsidP="004B7486">
      <w:pPr>
        <w:spacing w:line="480" w:lineRule="auto"/>
        <w:rPr>
          <w:rFonts w:ascii="Times New Roman" w:eastAsia="Times New Roman" w:hAnsi="Times New Roman" w:cs="Times New Roman"/>
          <w:sz w:val="24"/>
          <w:szCs w:val="24"/>
          <w:lang w:val="en-US"/>
        </w:rPr>
      </w:pPr>
    </w:p>
    <w:p w14:paraId="5D47BDCA" w14:textId="20F97FB9"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b/>
          <w:bCs/>
          <w:color w:val="000000"/>
          <w:sz w:val="24"/>
          <w:szCs w:val="24"/>
          <w:lang w:val="en-US"/>
        </w:rPr>
        <w:t xml:space="preserve">Table </w:t>
      </w:r>
      <w:r w:rsidR="00450B25">
        <w:rPr>
          <w:rFonts w:ascii="Times New Roman" w:eastAsia="Times New Roman" w:hAnsi="Times New Roman" w:cs="Times New Roman"/>
          <w:b/>
          <w:bCs/>
          <w:color w:val="000000"/>
          <w:sz w:val="24"/>
          <w:szCs w:val="24"/>
          <w:lang w:val="en-US"/>
        </w:rPr>
        <w:t>1</w:t>
      </w:r>
    </w:p>
    <w:p w14:paraId="2448CC5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i/>
          <w:iCs/>
          <w:color w:val="000000"/>
          <w:sz w:val="24"/>
          <w:szCs w:val="24"/>
          <w:lang w:val="en-US"/>
        </w:rPr>
        <w:t>Site-Wise Data with 0.5Hz Sampling Rate before automated functional quality assessment (N=611)</w:t>
      </w:r>
    </w:p>
    <w:tbl>
      <w:tblPr>
        <w:tblW w:w="10338" w:type="dxa"/>
        <w:tblCellMar>
          <w:top w:w="15" w:type="dxa"/>
          <w:left w:w="15" w:type="dxa"/>
          <w:bottom w:w="15" w:type="dxa"/>
          <w:right w:w="15" w:type="dxa"/>
        </w:tblCellMar>
        <w:tblLook w:val="04A0" w:firstRow="1" w:lastRow="0" w:firstColumn="1" w:lastColumn="0" w:noHBand="0" w:noVBand="1"/>
      </w:tblPr>
      <w:tblGrid>
        <w:gridCol w:w="1467"/>
        <w:gridCol w:w="560"/>
        <w:gridCol w:w="1020"/>
        <w:gridCol w:w="1067"/>
        <w:gridCol w:w="1374"/>
        <w:gridCol w:w="1361"/>
        <w:gridCol w:w="1020"/>
        <w:gridCol w:w="1040"/>
        <w:gridCol w:w="1520"/>
      </w:tblGrid>
      <w:tr w:rsidR="00450B25" w:rsidRPr="004B7486" w14:paraId="680C7BEC" w14:textId="77777777" w:rsidTr="00450B25">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17D41D4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Site</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F73969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i/>
                <w:iCs/>
                <w:color w:val="000000"/>
                <w:sz w:val="24"/>
                <w:szCs w:val="24"/>
                <w:lang w:val="en-US"/>
              </w:rPr>
              <w:t>N</w:t>
            </w:r>
            <w:r w:rsidRPr="004B7486">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065E7D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Ghost to Signal Ratio</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07CF98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Entropy Focus Criterion</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057D8DA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Foreground to Background Energy Ratio</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CAF2E6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Smoothness of Voxels</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79337B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Fraction of Outlier Voxel</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5CD910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Mean Distance to Median Volume</w:t>
            </w:r>
            <w:r w:rsidRPr="004B7486">
              <w:rPr>
                <w:rFonts w:ascii="Times New Roman" w:eastAsia="Times New Roman" w:hAnsi="Times New Roman" w:cs="Times New Roman"/>
                <w:b/>
                <w:bCs/>
                <w:color w:val="373737"/>
                <w:sz w:val="24"/>
                <w:szCs w:val="24"/>
                <w:shd w:val="clear" w:color="auto" w:fill="FFFFFF"/>
                <w:lang w:val="en-US"/>
              </w:rPr>
              <w:t> </w:t>
            </w:r>
          </w:p>
        </w:tc>
        <w:tc>
          <w:tcPr>
            <w:tcW w:w="1634"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4A422ED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Mean Framewise Displacement</w:t>
            </w:r>
          </w:p>
        </w:tc>
      </w:tr>
      <w:tr w:rsidR="00450B25" w:rsidRPr="004B7486" w14:paraId="7FA532F9" w14:textId="77777777" w:rsidTr="00450B25">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1FAE9F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NYU</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51EDC14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184</w:t>
            </w:r>
          </w:p>
        </w:tc>
        <w:tc>
          <w:tcPr>
            <w:tcW w:w="0" w:type="auto"/>
            <w:tcBorders>
              <w:top w:val="single" w:sz="8" w:space="0" w:color="000000"/>
              <w:left w:val="single" w:sz="8" w:space="0" w:color="FFFFFF"/>
            </w:tcBorders>
            <w:tcMar>
              <w:top w:w="100" w:type="dxa"/>
              <w:left w:w="100" w:type="dxa"/>
              <w:bottom w:w="100" w:type="dxa"/>
              <w:right w:w="100" w:type="dxa"/>
            </w:tcMar>
            <w:hideMark/>
          </w:tcPr>
          <w:p w14:paraId="291BBA6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-0.0052</w:t>
            </w:r>
          </w:p>
          <w:p w14:paraId="27C9AD9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(0.0040)</w:t>
            </w:r>
          </w:p>
        </w:tc>
        <w:tc>
          <w:tcPr>
            <w:tcW w:w="0" w:type="auto"/>
            <w:tcBorders>
              <w:top w:val="single" w:sz="8" w:space="0" w:color="000000"/>
            </w:tcBorders>
            <w:tcMar>
              <w:top w:w="100" w:type="dxa"/>
              <w:left w:w="100" w:type="dxa"/>
              <w:bottom w:w="100" w:type="dxa"/>
              <w:right w:w="100" w:type="dxa"/>
            </w:tcMar>
            <w:hideMark/>
          </w:tcPr>
          <w:p w14:paraId="7F158D5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0.5024 (0.0243)</w:t>
            </w:r>
          </w:p>
        </w:tc>
        <w:tc>
          <w:tcPr>
            <w:tcW w:w="0" w:type="auto"/>
            <w:tcBorders>
              <w:top w:val="single" w:sz="8" w:space="0" w:color="000000"/>
            </w:tcBorders>
            <w:tcMar>
              <w:top w:w="100" w:type="dxa"/>
              <w:left w:w="100" w:type="dxa"/>
              <w:bottom w:w="100" w:type="dxa"/>
              <w:right w:w="100" w:type="dxa"/>
            </w:tcMar>
            <w:hideMark/>
          </w:tcPr>
          <w:p w14:paraId="78DB21E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115.1792 (25.6358)</w:t>
            </w:r>
          </w:p>
        </w:tc>
        <w:tc>
          <w:tcPr>
            <w:tcW w:w="0" w:type="auto"/>
            <w:tcBorders>
              <w:top w:val="single" w:sz="8" w:space="0" w:color="000000"/>
            </w:tcBorders>
            <w:tcMar>
              <w:top w:w="100" w:type="dxa"/>
              <w:left w:w="100" w:type="dxa"/>
              <w:bottom w:w="100" w:type="dxa"/>
              <w:right w:w="100" w:type="dxa"/>
            </w:tcMar>
            <w:hideMark/>
          </w:tcPr>
          <w:p w14:paraId="09AFC3A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1.9065 (0.1484)</w:t>
            </w:r>
          </w:p>
        </w:tc>
        <w:tc>
          <w:tcPr>
            <w:tcW w:w="0" w:type="auto"/>
            <w:tcBorders>
              <w:top w:val="single" w:sz="8" w:space="0" w:color="000000"/>
            </w:tcBorders>
            <w:tcMar>
              <w:top w:w="100" w:type="dxa"/>
              <w:left w:w="100" w:type="dxa"/>
              <w:bottom w:w="100" w:type="dxa"/>
              <w:right w:w="100" w:type="dxa"/>
            </w:tcMar>
            <w:hideMark/>
          </w:tcPr>
          <w:p w14:paraId="36F0B9F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0.0069 (0.0017)</w:t>
            </w:r>
          </w:p>
        </w:tc>
        <w:tc>
          <w:tcPr>
            <w:tcW w:w="0" w:type="auto"/>
            <w:tcBorders>
              <w:top w:val="single" w:sz="8" w:space="0" w:color="000000"/>
            </w:tcBorders>
            <w:tcMar>
              <w:top w:w="100" w:type="dxa"/>
              <w:left w:w="100" w:type="dxa"/>
              <w:bottom w:w="100" w:type="dxa"/>
              <w:right w:w="100" w:type="dxa"/>
            </w:tcMar>
            <w:hideMark/>
          </w:tcPr>
          <w:p w14:paraId="4C1A7D8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0.0149 (0.0052)</w:t>
            </w:r>
          </w:p>
        </w:tc>
        <w:tc>
          <w:tcPr>
            <w:tcW w:w="1634" w:type="dxa"/>
            <w:tcBorders>
              <w:top w:val="single" w:sz="8" w:space="0" w:color="000000"/>
            </w:tcBorders>
            <w:tcMar>
              <w:top w:w="100" w:type="dxa"/>
              <w:left w:w="100" w:type="dxa"/>
              <w:bottom w:w="100" w:type="dxa"/>
              <w:right w:w="100" w:type="dxa"/>
            </w:tcMar>
            <w:hideMark/>
          </w:tcPr>
          <w:p w14:paraId="2F4EDDF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0.0691 (0.0500)</w:t>
            </w:r>
          </w:p>
        </w:tc>
      </w:tr>
      <w:tr w:rsidR="00450B25" w:rsidRPr="004B7486" w14:paraId="18021149"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A1852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SDSU</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27DE50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36</w:t>
            </w:r>
          </w:p>
        </w:tc>
        <w:tc>
          <w:tcPr>
            <w:tcW w:w="0" w:type="auto"/>
            <w:tcBorders>
              <w:left w:val="single" w:sz="8" w:space="0" w:color="FFFFFF"/>
            </w:tcBorders>
            <w:tcMar>
              <w:top w:w="100" w:type="dxa"/>
              <w:left w:w="100" w:type="dxa"/>
              <w:bottom w:w="100" w:type="dxa"/>
              <w:right w:w="100" w:type="dxa"/>
            </w:tcMar>
            <w:hideMark/>
          </w:tcPr>
          <w:p w14:paraId="62C8693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0.0226</w:t>
            </w:r>
          </w:p>
          <w:p w14:paraId="3D78CF2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(0.0128)</w:t>
            </w:r>
          </w:p>
        </w:tc>
        <w:tc>
          <w:tcPr>
            <w:tcW w:w="0" w:type="auto"/>
            <w:tcMar>
              <w:top w:w="100" w:type="dxa"/>
              <w:left w:w="100" w:type="dxa"/>
              <w:bottom w:w="100" w:type="dxa"/>
              <w:right w:w="100" w:type="dxa"/>
            </w:tcMar>
            <w:hideMark/>
          </w:tcPr>
          <w:p w14:paraId="5EAED34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0.4411 (0.0215)</w:t>
            </w:r>
          </w:p>
        </w:tc>
        <w:tc>
          <w:tcPr>
            <w:tcW w:w="0" w:type="auto"/>
            <w:tcMar>
              <w:top w:w="100" w:type="dxa"/>
              <w:left w:w="100" w:type="dxa"/>
              <w:bottom w:w="100" w:type="dxa"/>
              <w:right w:w="100" w:type="dxa"/>
            </w:tcMar>
            <w:hideMark/>
          </w:tcPr>
          <w:p w14:paraId="73ECC7D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135.5550 (27.4048)</w:t>
            </w:r>
          </w:p>
        </w:tc>
        <w:tc>
          <w:tcPr>
            <w:tcW w:w="0" w:type="auto"/>
            <w:tcMar>
              <w:top w:w="100" w:type="dxa"/>
              <w:left w:w="100" w:type="dxa"/>
              <w:bottom w:w="100" w:type="dxa"/>
              <w:right w:w="100" w:type="dxa"/>
            </w:tcMar>
            <w:hideMark/>
          </w:tcPr>
          <w:p w14:paraId="5DBAD2D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2.8631 (0.3334)</w:t>
            </w:r>
          </w:p>
        </w:tc>
        <w:tc>
          <w:tcPr>
            <w:tcW w:w="0" w:type="auto"/>
            <w:tcMar>
              <w:top w:w="100" w:type="dxa"/>
              <w:left w:w="100" w:type="dxa"/>
              <w:bottom w:w="100" w:type="dxa"/>
              <w:right w:w="100" w:type="dxa"/>
            </w:tcMar>
            <w:hideMark/>
          </w:tcPr>
          <w:p w14:paraId="6337CFE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0.0049 (0.0080)</w:t>
            </w:r>
          </w:p>
        </w:tc>
        <w:tc>
          <w:tcPr>
            <w:tcW w:w="0" w:type="auto"/>
            <w:tcMar>
              <w:top w:w="100" w:type="dxa"/>
              <w:left w:w="100" w:type="dxa"/>
              <w:bottom w:w="100" w:type="dxa"/>
              <w:right w:w="100" w:type="dxa"/>
            </w:tcMar>
            <w:hideMark/>
          </w:tcPr>
          <w:p w14:paraId="6F30DC6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0.0050 (0.0040)</w:t>
            </w:r>
          </w:p>
        </w:tc>
        <w:tc>
          <w:tcPr>
            <w:tcW w:w="1634" w:type="dxa"/>
            <w:tcMar>
              <w:top w:w="100" w:type="dxa"/>
              <w:left w:w="100" w:type="dxa"/>
              <w:bottom w:w="100" w:type="dxa"/>
              <w:right w:w="100" w:type="dxa"/>
            </w:tcMar>
            <w:hideMark/>
          </w:tcPr>
          <w:p w14:paraId="4083B6A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0.0944 (0.1234)</w:t>
            </w:r>
          </w:p>
        </w:tc>
      </w:tr>
      <w:tr w:rsidR="00450B25" w:rsidRPr="004B7486" w14:paraId="471DF7BE"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5DEC5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lastRenderedPageBreak/>
              <w:t>STANFORD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840C91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40</w:t>
            </w:r>
          </w:p>
        </w:tc>
        <w:tc>
          <w:tcPr>
            <w:tcW w:w="0" w:type="auto"/>
            <w:tcBorders>
              <w:left w:val="single" w:sz="8" w:space="0" w:color="FFFFFF"/>
            </w:tcBorders>
            <w:tcMar>
              <w:top w:w="100" w:type="dxa"/>
              <w:left w:w="100" w:type="dxa"/>
              <w:bottom w:w="100" w:type="dxa"/>
              <w:right w:w="100" w:type="dxa"/>
            </w:tcMar>
            <w:hideMark/>
          </w:tcPr>
          <w:p w14:paraId="386FE22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0.0445</w:t>
            </w:r>
          </w:p>
          <w:p w14:paraId="3744E29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(0.0135)</w:t>
            </w:r>
          </w:p>
        </w:tc>
        <w:tc>
          <w:tcPr>
            <w:tcW w:w="0" w:type="auto"/>
            <w:tcMar>
              <w:top w:w="100" w:type="dxa"/>
              <w:left w:w="100" w:type="dxa"/>
              <w:bottom w:w="100" w:type="dxa"/>
              <w:right w:w="100" w:type="dxa"/>
            </w:tcMar>
            <w:hideMark/>
          </w:tcPr>
          <w:p w14:paraId="68B5999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0.5498 (0.0256)</w:t>
            </w:r>
          </w:p>
        </w:tc>
        <w:tc>
          <w:tcPr>
            <w:tcW w:w="0" w:type="auto"/>
            <w:tcMar>
              <w:top w:w="100" w:type="dxa"/>
              <w:left w:w="100" w:type="dxa"/>
              <w:bottom w:w="100" w:type="dxa"/>
              <w:right w:w="100" w:type="dxa"/>
            </w:tcMar>
            <w:hideMark/>
          </w:tcPr>
          <w:p w14:paraId="19D119E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61.7417 (10.0542)</w:t>
            </w:r>
          </w:p>
        </w:tc>
        <w:tc>
          <w:tcPr>
            <w:tcW w:w="0" w:type="auto"/>
            <w:tcMar>
              <w:top w:w="100" w:type="dxa"/>
              <w:left w:w="100" w:type="dxa"/>
              <w:bottom w:w="100" w:type="dxa"/>
              <w:right w:w="100" w:type="dxa"/>
            </w:tcMar>
            <w:hideMark/>
          </w:tcPr>
          <w:p w14:paraId="05DC998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2.4181 (0.2118)</w:t>
            </w:r>
          </w:p>
        </w:tc>
        <w:tc>
          <w:tcPr>
            <w:tcW w:w="0" w:type="auto"/>
            <w:tcMar>
              <w:top w:w="100" w:type="dxa"/>
              <w:left w:w="100" w:type="dxa"/>
              <w:bottom w:w="100" w:type="dxa"/>
              <w:right w:w="100" w:type="dxa"/>
            </w:tcMar>
            <w:hideMark/>
          </w:tcPr>
          <w:p w14:paraId="7AFA904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0.0066 (0.0053)</w:t>
            </w:r>
          </w:p>
        </w:tc>
        <w:tc>
          <w:tcPr>
            <w:tcW w:w="0" w:type="auto"/>
            <w:tcMar>
              <w:top w:w="100" w:type="dxa"/>
              <w:left w:w="100" w:type="dxa"/>
              <w:bottom w:w="100" w:type="dxa"/>
              <w:right w:w="100" w:type="dxa"/>
            </w:tcMar>
            <w:hideMark/>
          </w:tcPr>
          <w:p w14:paraId="797D010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0.0122 (0.0110)</w:t>
            </w:r>
          </w:p>
        </w:tc>
        <w:tc>
          <w:tcPr>
            <w:tcW w:w="1634" w:type="dxa"/>
            <w:tcMar>
              <w:top w:w="100" w:type="dxa"/>
              <w:left w:w="100" w:type="dxa"/>
              <w:bottom w:w="100" w:type="dxa"/>
              <w:right w:w="100" w:type="dxa"/>
            </w:tcMar>
            <w:hideMark/>
          </w:tcPr>
          <w:p w14:paraId="4B9C52B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0.1092 (0.0785)</w:t>
            </w:r>
          </w:p>
        </w:tc>
      </w:tr>
      <w:tr w:rsidR="00450B25" w:rsidRPr="004B7486" w14:paraId="30C6CCA9"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B615E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TRINITY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B723B1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49</w:t>
            </w:r>
          </w:p>
        </w:tc>
        <w:tc>
          <w:tcPr>
            <w:tcW w:w="0" w:type="auto"/>
            <w:tcBorders>
              <w:left w:val="single" w:sz="8" w:space="0" w:color="FFFFFF"/>
            </w:tcBorders>
            <w:tcMar>
              <w:top w:w="100" w:type="dxa"/>
              <w:left w:w="100" w:type="dxa"/>
              <w:bottom w:w="100" w:type="dxa"/>
              <w:right w:w="100" w:type="dxa"/>
            </w:tcMar>
            <w:hideMark/>
          </w:tcPr>
          <w:p w14:paraId="4852DAB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0.0155</w:t>
            </w:r>
          </w:p>
          <w:p w14:paraId="2D9CAE9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(0.0066)</w:t>
            </w:r>
          </w:p>
        </w:tc>
        <w:tc>
          <w:tcPr>
            <w:tcW w:w="0" w:type="auto"/>
            <w:tcMar>
              <w:top w:w="100" w:type="dxa"/>
              <w:left w:w="100" w:type="dxa"/>
              <w:bottom w:w="100" w:type="dxa"/>
              <w:right w:w="100" w:type="dxa"/>
            </w:tcMar>
            <w:hideMark/>
          </w:tcPr>
          <w:p w14:paraId="6EE38F9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0.4124 (0.0182)</w:t>
            </w:r>
          </w:p>
        </w:tc>
        <w:tc>
          <w:tcPr>
            <w:tcW w:w="0" w:type="auto"/>
            <w:tcMar>
              <w:top w:w="100" w:type="dxa"/>
              <w:left w:w="100" w:type="dxa"/>
              <w:bottom w:w="100" w:type="dxa"/>
              <w:right w:w="100" w:type="dxa"/>
            </w:tcMar>
            <w:hideMark/>
          </w:tcPr>
          <w:p w14:paraId="2B090D9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155.4983 (31.8079)</w:t>
            </w:r>
          </w:p>
        </w:tc>
        <w:tc>
          <w:tcPr>
            <w:tcW w:w="0" w:type="auto"/>
            <w:tcMar>
              <w:top w:w="100" w:type="dxa"/>
              <w:left w:w="100" w:type="dxa"/>
              <w:bottom w:w="100" w:type="dxa"/>
              <w:right w:w="100" w:type="dxa"/>
            </w:tcMar>
            <w:hideMark/>
          </w:tcPr>
          <w:p w14:paraId="155B436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2.0194 (0.1268)</w:t>
            </w:r>
          </w:p>
        </w:tc>
        <w:tc>
          <w:tcPr>
            <w:tcW w:w="0" w:type="auto"/>
            <w:tcMar>
              <w:top w:w="100" w:type="dxa"/>
              <w:left w:w="100" w:type="dxa"/>
              <w:bottom w:w="100" w:type="dxa"/>
              <w:right w:w="100" w:type="dxa"/>
            </w:tcMar>
            <w:hideMark/>
          </w:tcPr>
          <w:p w14:paraId="6936AA2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0.0027 (0.0025)</w:t>
            </w:r>
          </w:p>
        </w:tc>
        <w:tc>
          <w:tcPr>
            <w:tcW w:w="0" w:type="auto"/>
            <w:tcMar>
              <w:top w:w="100" w:type="dxa"/>
              <w:left w:w="100" w:type="dxa"/>
              <w:bottom w:w="100" w:type="dxa"/>
              <w:right w:w="100" w:type="dxa"/>
            </w:tcMar>
            <w:hideMark/>
          </w:tcPr>
          <w:p w14:paraId="712B6AA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0.0087 (0.0053)</w:t>
            </w:r>
          </w:p>
        </w:tc>
        <w:tc>
          <w:tcPr>
            <w:tcW w:w="1634" w:type="dxa"/>
            <w:tcMar>
              <w:top w:w="100" w:type="dxa"/>
              <w:left w:w="100" w:type="dxa"/>
              <w:bottom w:w="100" w:type="dxa"/>
              <w:right w:w="100" w:type="dxa"/>
            </w:tcMar>
            <w:hideMark/>
          </w:tcPr>
          <w:p w14:paraId="29A818A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0.1096 (0.1108)</w:t>
            </w:r>
          </w:p>
        </w:tc>
      </w:tr>
      <w:tr w:rsidR="00450B25" w:rsidRPr="004B7486" w14:paraId="30BF78F6"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5A62AE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UM_1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C828D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110</w:t>
            </w:r>
          </w:p>
        </w:tc>
        <w:tc>
          <w:tcPr>
            <w:tcW w:w="0" w:type="auto"/>
            <w:tcBorders>
              <w:left w:val="single" w:sz="8" w:space="0" w:color="FFFFFF"/>
            </w:tcBorders>
            <w:tcMar>
              <w:top w:w="100" w:type="dxa"/>
              <w:left w:w="100" w:type="dxa"/>
              <w:bottom w:w="100" w:type="dxa"/>
              <w:right w:w="100" w:type="dxa"/>
            </w:tcMar>
            <w:hideMark/>
          </w:tcPr>
          <w:p w14:paraId="33D3D34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0.0335</w:t>
            </w:r>
          </w:p>
          <w:p w14:paraId="605CA7A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(0.0097)</w:t>
            </w:r>
          </w:p>
        </w:tc>
        <w:tc>
          <w:tcPr>
            <w:tcW w:w="0" w:type="auto"/>
            <w:tcMar>
              <w:top w:w="100" w:type="dxa"/>
              <w:left w:w="100" w:type="dxa"/>
              <w:bottom w:w="100" w:type="dxa"/>
              <w:right w:w="100" w:type="dxa"/>
            </w:tcMar>
            <w:hideMark/>
          </w:tcPr>
          <w:p w14:paraId="5D98843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0.5341 (0.0232)</w:t>
            </w:r>
          </w:p>
        </w:tc>
        <w:tc>
          <w:tcPr>
            <w:tcW w:w="0" w:type="auto"/>
            <w:tcMar>
              <w:top w:w="100" w:type="dxa"/>
              <w:left w:w="100" w:type="dxa"/>
              <w:bottom w:w="100" w:type="dxa"/>
              <w:right w:w="100" w:type="dxa"/>
            </w:tcMar>
            <w:hideMark/>
          </w:tcPr>
          <w:p w14:paraId="3F15F87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72.5291 (13.1818)</w:t>
            </w:r>
          </w:p>
        </w:tc>
        <w:tc>
          <w:tcPr>
            <w:tcW w:w="0" w:type="auto"/>
            <w:tcMar>
              <w:top w:w="100" w:type="dxa"/>
              <w:left w:w="100" w:type="dxa"/>
              <w:bottom w:w="100" w:type="dxa"/>
              <w:right w:w="100" w:type="dxa"/>
            </w:tcMar>
            <w:hideMark/>
          </w:tcPr>
          <w:p w14:paraId="48E8F08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2.4071 (0.1714)</w:t>
            </w:r>
          </w:p>
        </w:tc>
        <w:tc>
          <w:tcPr>
            <w:tcW w:w="0" w:type="auto"/>
            <w:tcMar>
              <w:top w:w="100" w:type="dxa"/>
              <w:left w:w="100" w:type="dxa"/>
              <w:bottom w:w="100" w:type="dxa"/>
              <w:right w:w="100" w:type="dxa"/>
            </w:tcMar>
            <w:hideMark/>
          </w:tcPr>
          <w:p w14:paraId="2B61217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0.0075 (0.0109)</w:t>
            </w:r>
          </w:p>
        </w:tc>
        <w:tc>
          <w:tcPr>
            <w:tcW w:w="0" w:type="auto"/>
            <w:tcMar>
              <w:top w:w="100" w:type="dxa"/>
              <w:left w:w="100" w:type="dxa"/>
              <w:bottom w:w="100" w:type="dxa"/>
              <w:right w:w="100" w:type="dxa"/>
            </w:tcMar>
            <w:hideMark/>
          </w:tcPr>
          <w:p w14:paraId="484DE70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0.0209 (0.0204)</w:t>
            </w:r>
          </w:p>
        </w:tc>
        <w:tc>
          <w:tcPr>
            <w:tcW w:w="1634" w:type="dxa"/>
            <w:tcMar>
              <w:top w:w="100" w:type="dxa"/>
              <w:left w:w="100" w:type="dxa"/>
              <w:bottom w:w="100" w:type="dxa"/>
              <w:right w:w="100" w:type="dxa"/>
            </w:tcMar>
            <w:hideMark/>
          </w:tcPr>
          <w:p w14:paraId="6FA53A6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0.1921 (0.2806)</w:t>
            </w:r>
          </w:p>
        </w:tc>
      </w:tr>
      <w:tr w:rsidR="00450B25" w:rsidRPr="004B7486" w14:paraId="052052EA"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90378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UM_2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3AF1EC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35</w:t>
            </w:r>
          </w:p>
        </w:tc>
        <w:tc>
          <w:tcPr>
            <w:tcW w:w="0" w:type="auto"/>
            <w:tcBorders>
              <w:left w:val="single" w:sz="8" w:space="0" w:color="FFFFFF"/>
            </w:tcBorders>
            <w:tcMar>
              <w:top w:w="100" w:type="dxa"/>
              <w:left w:w="100" w:type="dxa"/>
              <w:bottom w:w="100" w:type="dxa"/>
              <w:right w:w="100" w:type="dxa"/>
            </w:tcMar>
            <w:hideMark/>
          </w:tcPr>
          <w:p w14:paraId="703D290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0.0402</w:t>
            </w:r>
          </w:p>
          <w:p w14:paraId="755C2F8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(0.0107)</w:t>
            </w:r>
          </w:p>
        </w:tc>
        <w:tc>
          <w:tcPr>
            <w:tcW w:w="0" w:type="auto"/>
            <w:tcMar>
              <w:top w:w="100" w:type="dxa"/>
              <w:left w:w="100" w:type="dxa"/>
              <w:bottom w:w="100" w:type="dxa"/>
              <w:right w:w="100" w:type="dxa"/>
            </w:tcMar>
            <w:hideMark/>
          </w:tcPr>
          <w:p w14:paraId="6C99735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0.5459 (0.0194)</w:t>
            </w:r>
          </w:p>
        </w:tc>
        <w:tc>
          <w:tcPr>
            <w:tcW w:w="0" w:type="auto"/>
            <w:tcMar>
              <w:top w:w="100" w:type="dxa"/>
              <w:left w:w="100" w:type="dxa"/>
              <w:bottom w:w="100" w:type="dxa"/>
              <w:right w:w="100" w:type="dxa"/>
            </w:tcMar>
            <w:hideMark/>
          </w:tcPr>
          <w:p w14:paraId="55EB9EB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60.0860 (9.0388)</w:t>
            </w:r>
          </w:p>
        </w:tc>
        <w:tc>
          <w:tcPr>
            <w:tcW w:w="0" w:type="auto"/>
            <w:tcMar>
              <w:top w:w="100" w:type="dxa"/>
              <w:left w:w="100" w:type="dxa"/>
              <w:bottom w:w="100" w:type="dxa"/>
              <w:right w:w="100" w:type="dxa"/>
            </w:tcMar>
            <w:hideMark/>
          </w:tcPr>
          <w:p w14:paraId="4B34838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2.3836 (0.1387)</w:t>
            </w:r>
          </w:p>
        </w:tc>
        <w:tc>
          <w:tcPr>
            <w:tcW w:w="0" w:type="auto"/>
            <w:tcMar>
              <w:top w:w="100" w:type="dxa"/>
              <w:left w:w="100" w:type="dxa"/>
              <w:bottom w:w="100" w:type="dxa"/>
              <w:right w:w="100" w:type="dxa"/>
            </w:tcMar>
            <w:hideMark/>
          </w:tcPr>
          <w:p w14:paraId="38A7DDD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0.0032 (0.0037)</w:t>
            </w:r>
          </w:p>
        </w:tc>
        <w:tc>
          <w:tcPr>
            <w:tcW w:w="0" w:type="auto"/>
            <w:tcMar>
              <w:top w:w="100" w:type="dxa"/>
              <w:left w:w="100" w:type="dxa"/>
              <w:bottom w:w="100" w:type="dxa"/>
              <w:right w:w="100" w:type="dxa"/>
            </w:tcMar>
            <w:hideMark/>
          </w:tcPr>
          <w:p w14:paraId="1AF55EB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0.0140 (0.0106)</w:t>
            </w:r>
          </w:p>
        </w:tc>
        <w:tc>
          <w:tcPr>
            <w:tcW w:w="1634" w:type="dxa"/>
            <w:tcMar>
              <w:top w:w="100" w:type="dxa"/>
              <w:left w:w="100" w:type="dxa"/>
              <w:bottom w:w="100" w:type="dxa"/>
              <w:right w:w="100" w:type="dxa"/>
            </w:tcMar>
            <w:hideMark/>
          </w:tcPr>
          <w:p w14:paraId="52403AE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0.0924 (0.0951)</w:t>
            </w:r>
          </w:p>
        </w:tc>
      </w:tr>
      <w:tr w:rsidR="00450B25" w:rsidRPr="004B7486" w14:paraId="3C1C70E9"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41987D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USM</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7C283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101</w:t>
            </w:r>
          </w:p>
        </w:tc>
        <w:tc>
          <w:tcPr>
            <w:tcW w:w="0" w:type="auto"/>
            <w:tcBorders>
              <w:left w:val="single" w:sz="8" w:space="0" w:color="FFFFFF"/>
              <w:bottom w:val="single" w:sz="8" w:space="0" w:color="FFFFFF"/>
            </w:tcBorders>
            <w:tcMar>
              <w:top w:w="100" w:type="dxa"/>
              <w:left w:w="100" w:type="dxa"/>
              <w:bottom w:w="100" w:type="dxa"/>
              <w:right w:w="100" w:type="dxa"/>
            </w:tcMar>
            <w:hideMark/>
          </w:tcPr>
          <w:p w14:paraId="102027F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0.0396 (0.0104)</w:t>
            </w:r>
          </w:p>
        </w:tc>
        <w:tc>
          <w:tcPr>
            <w:tcW w:w="0" w:type="auto"/>
            <w:tcBorders>
              <w:bottom w:val="single" w:sz="8" w:space="0" w:color="FFFFFF"/>
            </w:tcBorders>
            <w:tcMar>
              <w:top w:w="100" w:type="dxa"/>
              <w:left w:w="100" w:type="dxa"/>
              <w:bottom w:w="100" w:type="dxa"/>
              <w:right w:w="100" w:type="dxa"/>
            </w:tcMar>
            <w:hideMark/>
          </w:tcPr>
          <w:p w14:paraId="3CAA01F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0.5332 (0.0177)</w:t>
            </w:r>
          </w:p>
        </w:tc>
        <w:tc>
          <w:tcPr>
            <w:tcW w:w="0" w:type="auto"/>
            <w:tcBorders>
              <w:bottom w:val="single" w:sz="8" w:space="0" w:color="FFFFFF"/>
            </w:tcBorders>
            <w:tcMar>
              <w:top w:w="100" w:type="dxa"/>
              <w:left w:w="100" w:type="dxa"/>
              <w:bottom w:w="100" w:type="dxa"/>
              <w:right w:w="100" w:type="dxa"/>
            </w:tcMar>
            <w:hideMark/>
          </w:tcPr>
          <w:p w14:paraId="611AA61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77.3840 (15.9648)</w:t>
            </w:r>
          </w:p>
        </w:tc>
        <w:tc>
          <w:tcPr>
            <w:tcW w:w="0" w:type="auto"/>
            <w:tcBorders>
              <w:bottom w:val="single" w:sz="8" w:space="0" w:color="FFFFFF"/>
            </w:tcBorders>
            <w:tcMar>
              <w:top w:w="100" w:type="dxa"/>
              <w:left w:w="100" w:type="dxa"/>
              <w:bottom w:w="100" w:type="dxa"/>
              <w:right w:w="100" w:type="dxa"/>
            </w:tcMar>
            <w:hideMark/>
          </w:tcPr>
          <w:p w14:paraId="5662AB2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1.8368 (0.0906)</w:t>
            </w:r>
          </w:p>
        </w:tc>
        <w:tc>
          <w:tcPr>
            <w:tcW w:w="0" w:type="auto"/>
            <w:tcBorders>
              <w:bottom w:val="single" w:sz="8" w:space="0" w:color="FFFFFF"/>
            </w:tcBorders>
            <w:tcMar>
              <w:top w:w="100" w:type="dxa"/>
              <w:left w:w="100" w:type="dxa"/>
              <w:bottom w:w="100" w:type="dxa"/>
              <w:right w:w="100" w:type="dxa"/>
            </w:tcMar>
            <w:hideMark/>
          </w:tcPr>
          <w:p w14:paraId="224BE49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0.0025 (0.0031)</w:t>
            </w:r>
          </w:p>
        </w:tc>
        <w:tc>
          <w:tcPr>
            <w:tcW w:w="0" w:type="auto"/>
            <w:tcBorders>
              <w:bottom w:val="single" w:sz="8" w:space="0" w:color="FFFFFF"/>
            </w:tcBorders>
            <w:tcMar>
              <w:top w:w="100" w:type="dxa"/>
              <w:left w:w="100" w:type="dxa"/>
              <w:bottom w:w="100" w:type="dxa"/>
              <w:right w:w="100" w:type="dxa"/>
            </w:tcMar>
            <w:hideMark/>
          </w:tcPr>
          <w:p w14:paraId="548E036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0.0177 (0.0103)</w:t>
            </w:r>
          </w:p>
        </w:tc>
        <w:tc>
          <w:tcPr>
            <w:tcW w:w="1634" w:type="dxa"/>
            <w:tcBorders>
              <w:bottom w:val="single" w:sz="8" w:space="0" w:color="FFFFFF"/>
            </w:tcBorders>
            <w:tcMar>
              <w:top w:w="100" w:type="dxa"/>
              <w:left w:w="100" w:type="dxa"/>
              <w:bottom w:w="100" w:type="dxa"/>
              <w:right w:w="100" w:type="dxa"/>
            </w:tcMar>
            <w:hideMark/>
          </w:tcPr>
          <w:p w14:paraId="67261C6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0.1358 (0.1479)</w:t>
            </w:r>
          </w:p>
        </w:tc>
      </w:tr>
      <w:tr w:rsidR="00450B25" w:rsidRPr="004B7486" w14:paraId="76772ED3" w14:textId="77777777" w:rsidTr="00450B25">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2A247E2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YALE</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55085A0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56</w:t>
            </w:r>
          </w:p>
        </w:tc>
        <w:tc>
          <w:tcPr>
            <w:tcW w:w="0" w:type="auto"/>
            <w:tcBorders>
              <w:top w:val="single" w:sz="8" w:space="0" w:color="FFFFFF"/>
              <w:left w:val="single" w:sz="8" w:space="0" w:color="FFFFFF"/>
              <w:bottom w:val="single" w:sz="8" w:space="0" w:color="000000"/>
            </w:tcBorders>
            <w:tcMar>
              <w:top w:w="100" w:type="dxa"/>
              <w:left w:w="100" w:type="dxa"/>
              <w:bottom w:w="100" w:type="dxa"/>
              <w:right w:w="100" w:type="dxa"/>
            </w:tcMar>
            <w:hideMark/>
          </w:tcPr>
          <w:p w14:paraId="3C72EA2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0.0487 (0.0149)</w:t>
            </w:r>
          </w:p>
        </w:tc>
        <w:tc>
          <w:tcPr>
            <w:tcW w:w="0" w:type="auto"/>
            <w:tcBorders>
              <w:top w:val="single" w:sz="8" w:space="0" w:color="FFFFFF"/>
              <w:bottom w:val="single" w:sz="8" w:space="0" w:color="000000"/>
            </w:tcBorders>
            <w:tcMar>
              <w:top w:w="100" w:type="dxa"/>
              <w:left w:w="100" w:type="dxa"/>
              <w:bottom w:w="100" w:type="dxa"/>
              <w:right w:w="100" w:type="dxa"/>
            </w:tcMar>
            <w:hideMark/>
          </w:tcPr>
          <w:p w14:paraId="1F8CCC2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0.4897 (0.0250)</w:t>
            </w:r>
          </w:p>
        </w:tc>
        <w:tc>
          <w:tcPr>
            <w:tcW w:w="0" w:type="auto"/>
            <w:tcBorders>
              <w:top w:val="single" w:sz="8" w:space="0" w:color="FFFFFF"/>
              <w:bottom w:val="single" w:sz="8" w:space="0" w:color="000000"/>
            </w:tcBorders>
            <w:tcMar>
              <w:top w:w="100" w:type="dxa"/>
              <w:left w:w="100" w:type="dxa"/>
              <w:bottom w:w="100" w:type="dxa"/>
              <w:right w:w="100" w:type="dxa"/>
            </w:tcMar>
            <w:hideMark/>
          </w:tcPr>
          <w:p w14:paraId="7781D28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92.7550 (30.4840)</w:t>
            </w:r>
          </w:p>
        </w:tc>
        <w:tc>
          <w:tcPr>
            <w:tcW w:w="0" w:type="auto"/>
            <w:tcBorders>
              <w:top w:val="single" w:sz="8" w:space="0" w:color="FFFFFF"/>
              <w:bottom w:val="single" w:sz="8" w:space="0" w:color="000000"/>
            </w:tcBorders>
            <w:tcMar>
              <w:top w:w="100" w:type="dxa"/>
              <w:left w:w="100" w:type="dxa"/>
              <w:bottom w:w="100" w:type="dxa"/>
              <w:right w:w="100" w:type="dxa"/>
            </w:tcMar>
            <w:hideMark/>
          </w:tcPr>
          <w:p w14:paraId="4A7692B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2.6400 (0.3185)</w:t>
            </w:r>
          </w:p>
        </w:tc>
        <w:tc>
          <w:tcPr>
            <w:tcW w:w="0" w:type="auto"/>
            <w:tcBorders>
              <w:top w:val="single" w:sz="8" w:space="0" w:color="FFFFFF"/>
              <w:bottom w:val="single" w:sz="8" w:space="0" w:color="000000"/>
            </w:tcBorders>
            <w:tcMar>
              <w:top w:w="100" w:type="dxa"/>
              <w:left w:w="100" w:type="dxa"/>
              <w:bottom w:w="100" w:type="dxa"/>
              <w:right w:w="100" w:type="dxa"/>
            </w:tcMar>
            <w:hideMark/>
          </w:tcPr>
          <w:p w14:paraId="41E7FC5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0.0149 (0.0064)</w:t>
            </w:r>
          </w:p>
        </w:tc>
        <w:tc>
          <w:tcPr>
            <w:tcW w:w="0" w:type="auto"/>
            <w:tcBorders>
              <w:top w:val="single" w:sz="8" w:space="0" w:color="FFFFFF"/>
              <w:bottom w:val="single" w:sz="8" w:space="0" w:color="000000"/>
            </w:tcBorders>
            <w:tcMar>
              <w:top w:w="100" w:type="dxa"/>
              <w:left w:w="100" w:type="dxa"/>
              <w:bottom w:w="100" w:type="dxa"/>
              <w:right w:w="100" w:type="dxa"/>
            </w:tcMar>
            <w:hideMark/>
          </w:tcPr>
          <w:p w14:paraId="7BC9028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0.0053 (0.0034)</w:t>
            </w:r>
          </w:p>
        </w:tc>
        <w:tc>
          <w:tcPr>
            <w:tcW w:w="1634" w:type="dxa"/>
            <w:tcBorders>
              <w:top w:val="single" w:sz="8" w:space="0" w:color="FFFFFF"/>
              <w:bottom w:val="single" w:sz="8" w:space="0" w:color="000000"/>
            </w:tcBorders>
            <w:tcMar>
              <w:top w:w="100" w:type="dxa"/>
              <w:left w:w="100" w:type="dxa"/>
              <w:bottom w:w="100" w:type="dxa"/>
              <w:right w:w="100" w:type="dxa"/>
            </w:tcMar>
            <w:hideMark/>
          </w:tcPr>
          <w:p w14:paraId="6972DC3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0.1094 (0.0790)</w:t>
            </w:r>
          </w:p>
        </w:tc>
      </w:tr>
    </w:tbl>
    <w:p w14:paraId="554C56B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i/>
          <w:iCs/>
          <w:color w:val="000000"/>
          <w:sz w:val="24"/>
          <w:szCs w:val="24"/>
          <w:lang w:val="en-US"/>
        </w:rPr>
        <w:t>Note</w:t>
      </w:r>
      <w:r w:rsidRPr="004B7486">
        <w:rPr>
          <w:rFonts w:ascii="Times New Roman" w:eastAsia="Times New Roman" w:hAnsi="Times New Roman" w:cs="Times New Roman"/>
          <w:color w:val="000000"/>
          <w:sz w:val="24"/>
          <w:szCs w:val="24"/>
          <w:lang w:val="en-US"/>
        </w:rPr>
        <w:t>. Numeric values indicate mean and (standard deviation)</w:t>
      </w:r>
    </w:p>
    <w:p w14:paraId="6CA803F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NYU = NYU Langone Medical Center. SDSU = San Diego State University. </w:t>
      </w:r>
    </w:p>
    <w:p w14:paraId="022ABA5A" w14:textId="0244D353" w:rsidR="00450B25" w:rsidRDefault="004B7486" w:rsidP="004B7486">
      <w:pPr>
        <w:spacing w:line="480" w:lineRule="auto"/>
        <w:rPr>
          <w:rFonts w:ascii="Times New Roman" w:eastAsia="Times New Roman" w:hAnsi="Times New Roman" w:cs="Times New Roman"/>
          <w:color w:val="000000"/>
          <w:sz w:val="24"/>
          <w:szCs w:val="24"/>
          <w:lang w:val="en-US"/>
        </w:rPr>
      </w:pPr>
      <w:r w:rsidRPr="004B7486">
        <w:rPr>
          <w:rFonts w:ascii="Times New Roman" w:eastAsia="Times New Roman" w:hAnsi="Times New Roman" w:cs="Times New Roman"/>
          <w:color w:val="000000"/>
          <w:sz w:val="24"/>
          <w:szCs w:val="24"/>
          <w:lang w:val="en-US"/>
        </w:rPr>
        <w:t>STANFORD = Stanford University. TRINITY = Trinity Centre for Health Sciences.  UM = University of Michigan. USM = University of Utah School of Medicine. YALE = Yale Child Study Center</w:t>
      </w:r>
      <w:r w:rsidR="00450B25">
        <w:rPr>
          <w:rFonts w:ascii="Times New Roman" w:eastAsia="Times New Roman" w:hAnsi="Times New Roman" w:cs="Times New Roman"/>
          <w:color w:val="000000"/>
          <w:sz w:val="24"/>
          <w:szCs w:val="24"/>
          <w:lang w:val="en-US"/>
        </w:rPr>
        <w:t>.</w:t>
      </w:r>
    </w:p>
    <w:p w14:paraId="339F9049" w14:textId="77777777" w:rsidR="00450B25" w:rsidRDefault="00450B25" w:rsidP="004B7486">
      <w:pPr>
        <w:spacing w:line="480" w:lineRule="auto"/>
        <w:rPr>
          <w:rFonts w:ascii="Times New Roman" w:eastAsia="Times New Roman" w:hAnsi="Times New Roman" w:cs="Times New Roman"/>
          <w:color w:val="000000"/>
          <w:sz w:val="24"/>
          <w:szCs w:val="24"/>
          <w:lang w:val="en-US"/>
        </w:rPr>
      </w:pPr>
    </w:p>
    <w:p w14:paraId="3CACD720" w14:textId="77777777" w:rsidR="00450B25" w:rsidRDefault="00450B25" w:rsidP="004B7486">
      <w:pPr>
        <w:spacing w:line="480" w:lineRule="auto"/>
        <w:rPr>
          <w:rFonts w:ascii="Times New Roman" w:eastAsia="Times New Roman" w:hAnsi="Times New Roman" w:cs="Times New Roman"/>
          <w:color w:val="000000"/>
          <w:sz w:val="24"/>
          <w:szCs w:val="24"/>
          <w:lang w:val="en-US"/>
        </w:rPr>
      </w:pPr>
    </w:p>
    <w:p w14:paraId="35E2CD80" w14:textId="77777777" w:rsidR="00450B25" w:rsidRDefault="00450B25" w:rsidP="004B7486">
      <w:pPr>
        <w:spacing w:line="480" w:lineRule="auto"/>
        <w:rPr>
          <w:rFonts w:ascii="Times New Roman" w:eastAsia="Times New Roman" w:hAnsi="Times New Roman" w:cs="Times New Roman"/>
          <w:color w:val="000000"/>
          <w:sz w:val="24"/>
          <w:szCs w:val="24"/>
          <w:lang w:val="en-US"/>
        </w:rPr>
      </w:pPr>
    </w:p>
    <w:p w14:paraId="6747FB95" w14:textId="77777777" w:rsidR="00450B25" w:rsidRDefault="00450B25" w:rsidP="004B7486">
      <w:pPr>
        <w:spacing w:line="480" w:lineRule="auto"/>
        <w:rPr>
          <w:rFonts w:ascii="Times New Roman" w:eastAsia="Times New Roman" w:hAnsi="Times New Roman" w:cs="Times New Roman"/>
          <w:color w:val="000000"/>
          <w:sz w:val="24"/>
          <w:szCs w:val="24"/>
          <w:lang w:val="en-US"/>
        </w:rPr>
      </w:pPr>
    </w:p>
    <w:p w14:paraId="324932F2" w14:textId="77777777" w:rsidR="00450B25" w:rsidRDefault="00450B25" w:rsidP="004B7486">
      <w:pPr>
        <w:spacing w:line="480" w:lineRule="auto"/>
        <w:rPr>
          <w:rFonts w:ascii="Times New Roman" w:eastAsia="Times New Roman" w:hAnsi="Times New Roman" w:cs="Times New Roman"/>
          <w:color w:val="000000"/>
          <w:sz w:val="24"/>
          <w:szCs w:val="24"/>
          <w:lang w:val="en-US"/>
        </w:rPr>
      </w:pPr>
    </w:p>
    <w:p w14:paraId="17EE3D18" w14:textId="77777777" w:rsidR="00450B25" w:rsidRDefault="00450B25" w:rsidP="004B7486">
      <w:pPr>
        <w:spacing w:line="480" w:lineRule="auto"/>
        <w:rPr>
          <w:rFonts w:ascii="Times New Roman" w:eastAsia="Times New Roman" w:hAnsi="Times New Roman" w:cs="Times New Roman"/>
          <w:color w:val="000000"/>
          <w:sz w:val="24"/>
          <w:szCs w:val="24"/>
          <w:lang w:val="en-US"/>
        </w:rPr>
      </w:pPr>
    </w:p>
    <w:p w14:paraId="0A873A8A" w14:textId="77777777" w:rsidR="00450B25" w:rsidRPr="004B7486" w:rsidRDefault="00450B25" w:rsidP="004B7486">
      <w:pPr>
        <w:spacing w:line="480" w:lineRule="auto"/>
        <w:rPr>
          <w:rFonts w:ascii="Times New Roman" w:eastAsia="Times New Roman" w:hAnsi="Times New Roman" w:cs="Times New Roman"/>
          <w:color w:val="000000"/>
          <w:sz w:val="24"/>
          <w:szCs w:val="24"/>
          <w:lang w:val="en-US"/>
        </w:rPr>
      </w:pPr>
    </w:p>
    <w:p w14:paraId="29EAD119" w14:textId="53C7AFBE"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lastRenderedPageBreak/>
        <w:t xml:space="preserve">Table </w:t>
      </w:r>
      <w:r w:rsidR="00450B25">
        <w:rPr>
          <w:rFonts w:ascii="Times New Roman" w:eastAsia="Times New Roman" w:hAnsi="Times New Roman" w:cs="Times New Roman"/>
          <w:color w:val="000000"/>
          <w:sz w:val="24"/>
          <w:szCs w:val="24"/>
          <w:lang w:val="en-US"/>
        </w:rPr>
        <w:t>2</w:t>
      </w:r>
      <w:r w:rsidRPr="004B7486">
        <w:rPr>
          <w:rFonts w:ascii="Times New Roman" w:eastAsia="Times New Roman" w:hAnsi="Times New Roman" w:cs="Times New Roman"/>
          <w:color w:val="000000"/>
          <w:sz w:val="24"/>
          <w:szCs w:val="24"/>
          <w:lang w:val="en-US"/>
        </w:rPr>
        <w:t> </w:t>
      </w:r>
    </w:p>
    <w:p w14:paraId="30647A7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i/>
          <w:iCs/>
          <w:color w:val="000000"/>
          <w:sz w:val="24"/>
          <w:szCs w:val="24"/>
          <w:lang w:val="en-US"/>
        </w:rPr>
        <w:t>Site-Wise Pre-processed Data with 0.5Hz Sampling Rate after automated functional quality assessment and</w:t>
      </w:r>
      <w:r w:rsidRPr="004B7486">
        <w:rPr>
          <w:rFonts w:ascii="Times New Roman" w:eastAsia="Times New Roman" w:hAnsi="Times New Roman" w:cs="Times New Roman"/>
          <w:color w:val="000000"/>
          <w:sz w:val="24"/>
          <w:szCs w:val="24"/>
          <w:lang w:val="en-US"/>
        </w:rPr>
        <w:t xml:space="preserve"> </w:t>
      </w:r>
      <w:r w:rsidRPr="004B7486">
        <w:rPr>
          <w:rFonts w:ascii="Times New Roman" w:eastAsia="Times New Roman" w:hAnsi="Times New Roman" w:cs="Times New Roman"/>
          <w:i/>
          <w:iCs/>
          <w:color w:val="000000"/>
          <w:sz w:val="24"/>
          <w:szCs w:val="24"/>
          <w:lang w:val="en-US"/>
        </w:rPr>
        <w:t>further exclusion with excessive mean FD within each group of sites (N=500)</w:t>
      </w:r>
    </w:p>
    <w:tbl>
      <w:tblPr>
        <w:tblW w:w="10480" w:type="dxa"/>
        <w:tblCellMar>
          <w:top w:w="15" w:type="dxa"/>
          <w:left w:w="15" w:type="dxa"/>
          <w:bottom w:w="15" w:type="dxa"/>
          <w:right w:w="15" w:type="dxa"/>
        </w:tblCellMar>
        <w:tblLook w:val="04A0" w:firstRow="1" w:lastRow="0" w:firstColumn="1" w:lastColumn="0" w:noHBand="0" w:noVBand="1"/>
      </w:tblPr>
      <w:tblGrid>
        <w:gridCol w:w="1467"/>
        <w:gridCol w:w="560"/>
        <w:gridCol w:w="1020"/>
        <w:gridCol w:w="1067"/>
        <w:gridCol w:w="1374"/>
        <w:gridCol w:w="1361"/>
        <w:gridCol w:w="1020"/>
        <w:gridCol w:w="1040"/>
        <w:gridCol w:w="1571"/>
      </w:tblGrid>
      <w:tr w:rsidR="00450B25" w:rsidRPr="004B7486" w14:paraId="720DE20F" w14:textId="77777777" w:rsidTr="00450B25">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19BAB43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Site</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A9FA5E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i/>
                <w:iCs/>
                <w:color w:val="000000"/>
                <w:sz w:val="24"/>
                <w:szCs w:val="24"/>
                <w:lang w:val="en-US"/>
              </w:rPr>
              <w:t>N</w:t>
            </w:r>
            <w:r w:rsidRPr="004B7486">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49AC4A3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Ghost to Signal Ratio</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71A6E0E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Entropy Focus Criterion</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A0F43C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Foreground to Background Energy Ratio</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6A904B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Smoothness of Voxels</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D27846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Fraction of Outlier Voxel</w:t>
            </w:r>
          </w:p>
        </w:tc>
        <w:tc>
          <w:tcPr>
            <w:tcW w:w="0" w:type="auto"/>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00F30A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Mean Distance to Median Volume</w:t>
            </w:r>
            <w:r w:rsidRPr="004B7486">
              <w:rPr>
                <w:rFonts w:ascii="Times New Roman" w:eastAsia="Times New Roman" w:hAnsi="Times New Roman" w:cs="Times New Roman"/>
                <w:b/>
                <w:bCs/>
                <w:color w:val="373737"/>
                <w:sz w:val="24"/>
                <w:szCs w:val="24"/>
                <w:shd w:val="clear" w:color="auto" w:fill="FFFFFF"/>
                <w:lang w:val="en-US"/>
              </w:rPr>
              <w:t> </w:t>
            </w:r>
          </w:p>
        </w:tc>
        <w:tc>
          <w:tcPr>
            <w:tcW w:w="1776"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51CAF46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Mean Framewise Displacement</w:t>
            </w:r>
          </w:p>
        </w:tc>
      </w:tr>
      <w:tr w:rsidR="00450B25" w:rsidRPr="004B7486" w14:paraId="184CAFEA" w14:textId="77777777" w:rsidTr="00450B25">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19A65BD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NYU</w:t>
            </w:r>
          </w:p>
        </w:tc>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1E1D899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166</w:t>
            </w:r>
          </w:p>
        </w:tc>
        <w:tc>
          <w:tcPr>
            <w:tcW w:w="0" w:type="auto"/>
            <w:tcBorders>
              <w:top w:val="single" w:sz="8" w:space="0" w:color="000000"/>
              <w:left w:val="single" w:sz="8" w:space="0" w:color="FFFFFF"/>
            </w:tcBorders>
            <w:tcMar>
              <w:top w:w="100" w:type="dxa"/>
              <w:left w:w="100" w:type="dxa"/>
              <w:bottom w:w="100" w:type="dxa"/>
              <w:right w:w="100" w:type="dxa"/>
            </w:tcMar>
            <w:hideMark/>
          </w:tcPr>
          <w:p w14:paraId="6E343AD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-0.0052 (0.0040)</w:t>
            </w:r>
          </w:p>
        </w:tc>
        <w:tc>
          <w:tcPr>
            <w:tcW w:w="0" w:type="auto"/>
            <w:tcBorders>
              <w:top w:val="single" w:sz="8" w:space="0" w:color="000000"/>
            </w:tcBorders>
            <w:tcMar>
              <w:top w:w="100" w:type="dxa"/>
              <w:left w:w="100" w:type="dxa"/>
              <w:bottom w:w="100" w:type="dxa"/>
              <w:right w:w="100" w:type="dxa"/>
            </w:tcMar>
            <w:hideMark/>
          </w:tcPr>
          <w:p w14:paraId="64C189B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0.5018 (0.0247)</w:t>
            </w:r>
          </w:p>
        </w:tc>
        <w:tc>
          <w:tcPr>
            <w:tcW w:w="0" w:type="auto"/>
            <w:tcBorders>
              <w:top w:val="single" w:sz="8" w:space="0" w:color="000000"/>
            </w:tcBorders>
            <w:tcMar>
              <w:top w:w="100" w:type="dxa"/>
              <w:left w:w="100" w:type="dxa"/>
              <w:bottom w:w="100" w:type="dxa"/>
              <w:right w:w="100" w:type="dxa"/>
            </w:tcMar>
            <w:hideMark/>
          </w:tcPr>
          <w:p w14:paraId="6FCE16D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115.1409 (26.0799)</w:t>
            </w:r>
          </w:p>
        </w:tc>
        <w:tc>
          <w:tcPr>
            <w:tcW w:w="0" w:type="auto"/>
            <w:tcBorders>
              <w:top w:val="single" w:sz="8" w:space="0" w:color="000000"/>
            </w:tcBorders>
            <w:tcMar>
              <w:top w:w="100" w:type="dxa"/>
              <w:left w:w="100" w:type="dxa"/>
              <w:bottom w:w="100" w:type="dxa"/>
              <w:right w:w="100" w:type="dxa"/>
            </w:tcMar>
            <w:hideMark/>
          </w:tcPr>
          <w:p w14:paraId="504E0CC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1.9071 (0.1526)</w:t>
            </w:r>
          </w:p>
        </w:tc>
        <w:tc>
          <w:tcPr>
            <w:tcW w:w="0" w:type="auto"/>
            <w:tcBorders>
              <w:top w:val="single" w:sz="8" w:space="0" w:color="000000"/>
            </w:tcBorders>
            <w:tcMar>
              <w:top w:w="100" w:type="dxa"/>
              <w:left w:w="100" w:type="dxa"/>
              <w:bottom w:w="100" w:type="dxa"/>
              <w:right w:w="100" w:type="dxa"/>
            </w:tcMar>
            <w:hideMark/>
          </w:tcPr>
          <w:p w14:paraId="5D4CA7E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0.0066 (0.0011)</w:t>
            </w:r>
          </w:p>
        </w:tc>
        <w:tc>
          <w:tcPr>
            <w:tcW w:w="0" w:type="auto"/>
            <w:tcBorders>
              <w:top w:val="single" w:sz="8" w:space="0" w:color="000000"/>
            </w:tcBorders>
            <w:tcMar>
              <w:top w:w="100" w:type="dxa"/>
              <w:left w:w="100" w:type="dxa"/>
              <w:bottom w:w="100" w:type="dxa"/>
              <w:right w:w="100" w:type="dxa"/>
            </w:tcMar>
            <w:hideMark/>
          </w:tcPr>
          <w:p w14:paraId="60D2F81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0.0144 (0.0047)</w:t>
            </w:r>
          </w:p>
        </w:tc>
        <w:tc>
          <w:tcPr>
            <w:tcW w:w="1776" w:type="dxa"/>
            <w:tcBorders>
              <w:top w:val="single" w:sz="8" w:space="0" w:color="000000"/>
            </w:tcBorders>
            <w:tcMar>
              <w:top w:w="100" w:type="dxa"/>
              <w:left w:w="100" w:type="dxa"/>
              <w:bottom w:w="100" w:type="dxa"/>
              <w:right w:w="100" w:type="dxa"/>
            </w:tcMar>
            <w:hideMark/>
          </w:tcPr>
          <w:p w14:paraId="1883EDF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0.0607 (0.0322)</w:t>
            </w:r>
          </w:p>
        </w:tc>
      </w:tr>
      <w:tr w:rsidR="00450B25" w:rsidRPr="004B7486" w14:paraId="40CC25EE"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1056AA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SDSU</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D9E09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33</w:t>
            </w:r>
          </w:p>
        </w:tc>
        <w:tc>
          <w:tcPr>
            <w:tcW w:w="0" w:type="auto"/>
            <w:tcBorders>
              <w:left w:val="single" w:sz="8" w:space="0" w:color="FFFFFF"/>
            </w:tcBorders>
            <w:tcMar>
              <w:top w:w="100" w:type="dxa"/>
              <w:left w:w="100" w:type="dxa"/>
              <w:bottom w:w="100" w:type="dxa"/>
              <w:right w:w="100" w:type="dxa"/>
            </w:tcMar>
            <w:hideMark/>
          </w:tcPr>
          <w:p w14:paraId="5C8AAD3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0.0217 (0.0112)</w:t>
            </w:r>
          </w:p>
        </w:tc>
        <w:tc>
          <w:tcPr>
            <w:tcW w:w="0" w:type="auto"/>
            <w:tcMar>
              <w:top w:w="100" w:type="dxa"/>
              <w:left w:w="100" w:type="dxa"/>
              <w:bottom w:w="100" w:type="dxa"/>
              <w:right w:w="100" w:type="dxa"/>
            </w:tcMar>
            <w:hideMark/>
          </w:tcPr>
          <w:p w14:paraId="4F2504E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0.4411 (0.0224)</w:t>
            </w:r>
          </w:p>
        </w:tc>
        <w:tc>
          <w:tcPr>
            <w:tcW w:w="0" w:type="auto"/>
            <w:tcMar>
              <w:top w:w="100" w:type="dxa"/>
              <w:left w:w="100" w:type="dxa"/>
              <w:bottom w:w="100" w:type="dxa"/>
              <w:right w:w="100" w:type="dxa"/>
            </w:tcMar>
            <w:hideMark/>
          </w:tcPr>
          <w:p w14:paraId="5A3AFD6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134.8110 (27.9385)</w:t>
            </w:r>
          </w:p>
        </w:tc>
        <w:tc>
          <w:tcPr>
            <w:tcW w:w="0" w:type="auto"/>
            <w:tcMar>
              <w:top w:w="100" w:type="dxa"/>
              <w:left w:w="100" w:type="dxa"/>
              <w:bottom w:w="100" w:type="dxa"/>
              <w:right w:w="100" w:type="dxa"/>
            </w:tcMar>
            <w:hideMark/>
          </w:tcPr>
          <w:p w14:paraId="2417EAD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2.8578 (0.3405)</w:t>
            </w:r>
          </w:p>
        </w:tc>
        <w:tc>
          <w:tcPr>
            <w:tcW w:w="0" w:type="auto"/>
            <w:tcMar>
              <w:top w:w="100" w:type="dxa"/>
              <w:left w:w="100" w:type="dxa"/>
              <w:bottom w:w="100" w:type="dxa"/>
              <w:right w:w="100" w:type="dxa"/>
            </w:tcMar>
            <w:hideMark/>
          </w:tcPr>
          <w:p w14:paraId="44997AE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0.0034 (0.0051)</w:t>
            </w:r>
          </w:p>
        </w:tc>
        <w:tc>
          <w:tcPr>
            <w:tcW w:w="0" w:type="auto"/>
            <w:tcMar>
              <w:top w:w="100" w:type="dxa"/>
              <w:left w:w="100" w:type="dxa"/>
              <w:bottom w:w="100" w:type="dxa"/>
              <w:right w:w="100" w:type="dxa"/>
            </w:tcMar>
            <w:hideMark/>
          </w:tcPr>
          <w:p w14:paraId="4F0C8AE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0.0041 (0.0022)</w:t>
            </w:r>
          </w:p>
        </w:tc>
        <w:tc>
          <w:tcPr>
            <w:tcW w:w="1776" w:type="dxa"/>
            <w:tcMar>
              <w:top w:w="100" w:type="dxa"/>
              <w:left w:w="100" w:type="dxa"/>
              <w:bottom w:w="100" w:type="dxa"/>
              <w:right w:w="100" w:type="dxa"/>
            </w:tcMar>
            <w:hideMark/>
          </w:tcPr>
          <w:p w14:paraId="2F3935A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0.0632 (0.0416)</w:t>
            </w:r>
          </w:p>
        </w:tc>
      </w:tr>
      <w:tr w:rsidR="00450B25" w:rsidRPr="004B7486" w14:paraId="1030F299"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2D7E24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STANFORD</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F103D7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36 </w:t>
            </w:r>
          </w:p>
        </w:tc>
        <w:tc>
          <w:tcPr>
            <w:tcW w:w="0" w:type="auto"/>
            <w:tcBorders>
              <w:left w:val="single" w:sz="8" w:space="0" w:color="FFFFFF"/>
            </w:tcBorders>
            <w:tcMar>
              <w:top w:w="100" w:type="dxa"/>
              <w:left w:w="100" w:type="dxa"/>
              <w:bottom w:w="100" w:type="dxa"/>
              <w:right w:w="100" w:type="dxa"/>
            </w:tcMar>
            <w:hideMark/>
          </w:tcPr>
          <w:p w14:paraId="0D13EF1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0.0456 (0.0135)</w:t>
            </w:r>
          </w:p>
        </w:tc>
        <w:tc>
          <w:tcPr>
            <w:tcW w:w="0" w:type="auto"/>
            <w:tcMar>
              <w:top w:w="100" w:type="dxa"/>
              <w:left w:w="100" w:type="dxa"/>
              <w:bottom w:w="100" w:type="dxa"/>
              <w:right w:w="100" w:type="dxa"/>
            </w:tcMar>
            <w:hideMark/>
          </w:tcPr>
          <w:p w14:paraId="50C89A9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0.5498 (0.0251)</w:t>
            </w:r>
          </w:p>
        </w:tc>
        <w:tc>
          <w:tcPr>
            <w:tcW w:w="0" w:type="auto"/>
            <w:tcMar>
              <w:top w:w="100" w:type="dxa"/>
              <w:left w:w="100" w:type="dxa"/>
              <w:bottom w:w="100" w:type="dxa"/>
              <w:right w:w="100" w:type="dxa"/>
            </w:tcMar>
            <w:hideMark/>
          </w:tcPr>
          <w:p w14:paraId="3ADFDDD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61.8329 (10.3597)</w:t>
            </w:r>
          </w:p>
        </w:tc>
        <w:tc>
          <w:tcPr>
            <w:tcW w:w="0" w:type="auto"/>
            <w:tcMar>
              <w:top w:w="100" w:type="dxa"/>
              <w:left w:w="100" w:type="dxa"/>
              <w:bottom w:w="100" w:type="dxa"/>
              <w:right w:w="100" w:type="dxa"/>
            </w:tcMar>
            <w:hideMark/>
          </w:tcPr>
          <w:p w14:paraId="394E370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2.4124 (0.2042)</w:t>
            </w:r>
          </w:p>
        </w:tc>
        <w:tc>
          <w:tcPr>
            <w:tcW w:w="0" w:type="auto"/>
            <w:tcMar>
              <w:top w:w="100" w:type="dxa"/>
              <w:left w:w="100" w:type="dxa"/>
              <w:bottom w:w="100" w:type="dxa"/>
              <w:right w:w="100" w:type="dxa"/>
            </w:tcMar>
            <w:hideMark/>
          </w:tcPr>
          <w:p w14:paraId="08A2E58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0.0059 (0.0048)</w:t>
            </w:r>
          </w:p>
        </w:tc>
        <w:tc>
          <w:tcPr>
            <w:tcW w:w="0" w:type="auto"/>
            <w:tcMar>
              <w:top w:w="100" w:type="dxa"/>
              <w:left w:w="100" w:type="dxa"/>
              <w:bottom w:w="100" w:type="dxa"/>
              <w:right w:w="100" w:type="dxa"/>
            </w:tcMar>
            <w:hideMark/>
          </w:tcPr>
          <w:p w14:paraId="6C4C7D4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0.0100 (0.0055)</w:t>
            </w:r>
          </w:p>
        </w:tc>
        <w:tc>
          <w:tcPr>
            <w:tcW w:w="1776" w:type="dxa"/>
            <w:tcMar>
              <w:top w:w="100" w:type="dxa"/>
              <w:left w:w="100" w:type="dxa"/>
              <w:bottom w:w="100" w:type="dxa"/>
              <w:right w:w="100" w:type="dxa"/>
            </w:tcMar>
            <w:hideMark/>
          </w:tcPr>
          <w:p w14:paraId="4D6E013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0.0879 (0.0424)</w:t>
            </w:r>
          </w:p>
        </w:tc>
      </w:tr>
      <w:tr w:rsidR="00450B25" w:rsidRPr="004B7486" w14:paraId="4AE5464B"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D78EB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TRINITY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88B69C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44</w:t>
            </w:r>
          </w:p>
        </w:tc>
        <w:tc>
          <w:tcPr>
            <w:tcW w:w="0" w:type="auto"/>
            <w:tcBorders>
              <w:left w:val="single" w:sz="8" w:space="0" w:color="FFFFFF"/>
            </w:tcBorders>
            <w:tcMar>
              <w:top w:w="100" w:type="dxa"/>
              <w:left w:w="100" w:type="dxa"/>
              <w:bottom w:w="100" w:type="dxa"/>
              <w:right w:w="100" w:type="dxa"/>
            </w:tcMar>
            <w:hideMark/>
          </w:tcPr>
          <w:p w14:paraId="0766134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0.0155 (0.0063)</w:t>
            </w:r>
          </w:p>
        </w:tc>
        <w:tc>
          <w:tcPr>
            <w:tcW w:w="0" w:type="auto"/>
            <w:tcMar>
              <w:top w:w="100" w:type="dxa"/>
              <w:left w:w="100" w:type="dxa"/>
              <w:bottom w:w="100" w:type="dxa"/>
              <w:right w:w="100" w:type="dxa"/>
            </w:tcMar>
            <w:hideMark/>
          </w:tcPr>
          <w:p w14:paraId="71FF04D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0.4125 (0.0166)</w:t>
            </w:r>
          </w:p>
        </w:tc>
        <w:tc>
          <w:tcPr>
            <w:tcW w:w="0" w:type="auto"/>
            <w:tcMar>
              <w:top w:w="100" w:type="dxa"/>
              <w:left w:w="100" w:type="dxa"/>
              <w:bottom w:w="100" w:type="dxa"/>
              <w:right w:w="100" w:type="dxa"/>
            </w:tcMar>
            <w:hideMark/>
          </w:tcPr>
          <w:p w14:paraId="5F69180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153.4534 (27.3054)</w:t>
            </w:r>
          </w:p>
        </w:tc>
        <w:tc>
          <w:tcPr>
            <w:tcW w:w="0" w:type="auto"/>
            <w:tcMar>
              <w:top w:w="100" w:type="dxa"/>
              <w:left w:w="100" w:type="dxa"/>
              <w:bottom w:w="100" w:type="dxa"/>
              <w:right w:w="100" w:type="dxa"/>
            </w:tcMar>
            <w:hideMark/>
          </w:tcPr>
          <w:p w14:paraId="5DCB844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2.0199 (0.1301)</w:t>
            </w:r>
          </w:p>
        </w:tc>
        <w:tc>
          <w:tcPr>
            <w:tcW w:w="0" w:type="auto"/>
            <w:tcMar>
              <w:top w:w="100" w:type="dxa"/>
              <w:left w:w="100" w:type="dxa"/>
              <w:bottom w:w="100" w:type="dxa"/>
              <w:right w:w="100" w:type="dxa"/>
            </w:tcMar>
            <w:hideMark/>
          </w:tcPr>
          <w:p w14:paraId="639F944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0.0024 (0.0024)</w:t>
            </w:r>
          </w:p>
        </w:tc>
        <w:tc>
          <w:tcPr>
            <w:tcW w:w="0" w:type="auto"/>
            <w:tcMar>
              <w:top w:w="100" w:type="dxa"/>
              <w:left w:w="100" w:type="dxa"/>
              <w:bottom w:w="100" w:type="dxa"/>
              <w:right w:w="100" w:type="dxa"/>
            </w:tcMar>
            <w:hideMark/>
          </w:tcPr>
          <w:p w14:paraId="7C084FD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0.0077 (0.0037)</w:t>
            </w:r>
          </w:p>
        </w:tc>
        <w:tc>
          <w:tcPr>
            <w:tcW w:w="1776" w:type="dxa"/>
            <w:tcMar>
              <w:top w:w="100" w:type="dxa"/>
              <w:left w:w="100" w:type="dxa"/>
              <w:bottom w:w="100" w:type="dxa"/>
              <w:right w:w="100" w:type="dxa"/>
            </w:tcMar>
            <w:hideMark/>
          </w:tcPr>
          <w:p w14:paraId="65ECDCF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0.0833 (0.0352)</w:t>
            </w:r>
          </w:p>
        </w:tc>
      </w:tr>
      <w:tr w:rsidR="00450B25" w:rsidRPr="004B7486" w14:paraId="787F6B1B"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C69A4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UM_1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19EA1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82</w:t>
            </w:r>
          </w:p>
        </w:tc>
        <w:tc>
          <w:tcPr>
            <w:tcW w:w="0" w:type="auto"/>
            <w:tcBorders>
              <w:left w:val="single" w:sz="8" w:space="0" w:color="FFFFFF"/>
            </w:tcBorders>
            <w:tcMar>
              <w:top w:w="100" w:type="dxa"/>
              <w:left w:w="100" w:type="dxa"/>
              <w:bottom w:w="100" w:type="dxa"/>
              <w:right w:w="100" w:type="dxa"/>
            </w:tcMar>
            <w:hideMark/>
          </w:tcPr>
          <w:p w14:paraId="3B35583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0.0335 (0.0102)</w:t>
            </w:r>
          </w:p>
        </w:tc>
        <w:tc>
          <w:tcPr>
            <w:tcW w:w="0" w:type="auto"/>
            <w:tcMar>
              <w:top w:w="100" w:type="dxa"/>
              <w:left w:w="100" w:type="dxa"/>
              <w:bottom w:w="100" w:type="dxa"/>
              <w:right w:w="100" w:type="dxa"/>
            </w:tcMar>
            <w:hideMark/>
          </w:tcPr>
          <w:p w14:paraId="0885AE6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0.5332 (0.0237)</w:t>
            </w:r>
          </w:p>
        </w:tc>
        <w:tc>
          <w:tcPr>
            <w:tcW w:w="0" w:type="auto"/>
            <w:tcMar>
              <w:top w:w="100" w:type="dxa"/>
              <w:left w:w="100" w:type="dxa"/>
              <w:bottom w:w="100" w:type="dxa"/>
              <w:right w:w="100" w:type="dxa"/>
            </w:tcMar>
            <w:hideMark/>
          </w:tcPr>
          <w:p w14:paraId="0B80E51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71.0993 (12.6420)</w:t>
            </w:r>
          </w:p>
        </w:tc>
        <w:tc>
          <w:tcPr>
            <w:tcW w:w="0" w:type="auto"/>
            <w:tcMar>
              <w:top w:w="100" w:type="dxa"/>
              <w:left w:w="100" w:type="dxa"/>
              <w:bottom w:w="100" w:type="dxa"/>
              <w:right w:w="100" w:type="dxa"/>
            </w:tcMar>
            <w:hideMark/>
          </w:tcPr>
          <w:p w14:paraId="6AE148E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2.3651 (0.1574)</w:t>
            </w:r>
          </w:p>
        </w:tc>
        <w:tc>
          <w:tcPr>
            <w:tcW w:w="0" w:type="auto"/>
            <w:tcMar>
              <w:top w:w="100" w:type="dxa"/>
              <w:left w:w="100" w:type="dxa"/>
              <w:bottom w:w="100" w:type="dxa"/>
              <w:right w:w="100" w:type="dxa"/>
            </w:tcMar>
            <w:hideMark/>
          </w:tcPr>
          <w:p w14:paraId="5FB6531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0.0032 (0.0031)</w:t>
            </w:r>
          </w:p>
        </w:tc>
        <w:tc>
          <w:tcPr>
            <w:tcW w:w="0" w:type="auto"/>
            <w:tcMar>
              <w:top w:w="100" w:type="dxa"/>
              <w:left w:w="100" w:type="dxa"/>
              <w:bottom w:w="100" w:type="dxa"/>
              <w:right w:w="100" w:type="dxa"/>
            </w:tcMar>
            <w:hideMark/>
          </w:tcPr>
          <w:p w14:paraId="709F0B7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0.0124 (0.0060)</w:t>
            </w:r>
          </w:p>
        </w:tc>
        <w:tc>
          <w:tcPr>
            <w:tcW w:w="1776" w:type="dxa"/>
            <w:tcMar>
              <w:top w:w="100" w:type="dxa"/>
              <w:left w:w="100" w:type="dxa"/>
              <w:bottom w:w="100" w:type="dxa"/>
              <w:right w:w="100" w:type="dxa"/>
            </w:tcMar>
            <w:hideMark/>
          </w:tcPr>
          <w:p w14:paraId="2087100C"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0.0735 (0.0448)</w:t>
            </w:r>
          </w:p>
        </w:tc>
      </w:tr>
      <w:tr w:rsidR="00450B25" w:rsidRPr="004B7486" w14:paraId="772704B0"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B3CE75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UM_2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83CA3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31</w:t>
            </w:r>
          </w:p>
        </w:tc>
        <w:tc>
          <w:tcPr>
            <w:tcW w:w="0" w:type="auto"/>
            <w:tcBorders>
              <w:left w:val="single" w:sz="8" w:space="0" w:color="FFFFFF"/>
            </w:tcBorders>
            <w:tcMar>
              <w:top w:w="100" w:type="dxa"/>
              <w:left w:w="100" w:type="dxa"/>
              <w:bottom w:w="100" w:type="dxa"/>
              <w:right w:w="100" w:type="dxa"/>
            </w:tcMar>
            <w:hideMark/>
          </w:tcPr>
          <w:p w14:paraId="2CF2C45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0.0400 (0.0112)</w:t>
            </w:r>
          </w:p>
        </w:tc>
        <w:tc>
          <w:tcPr>
            <w:tcW w:w="0" w:type="auto"/>
            <w:tcMar>
              <w:top w:w="100" w:type="dxa"/>
              <w:left w:w="100" w:type="dxa"/>
              <w:bottom w:w="100" w:type="dxa"/>
              <w:right w:w="100" w:type="dxa"/>
            </w:tcMar>
            <w:hideMark/>
          </w:tcPr>
          <w:p w14:paraId="7862A4A7"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0.5450 (0.0195)</w:t>
            </w:r>
          </w:p>
        </w:tc>
        <w:tc>
          <w:tcPr>
            <w:tcW w:w="0" w:type="auto"/>
            <w:tcMar>
              <w:top w:w="100" w:type="dxa"/>
              <w:left w:w="100" w:type="dxa"/>
              <w:bottom w:w="100" w:type="dxa"/>
              <w:right w:w="100" w:type="dxa"/>
            </w:tcMar>
            <w:hideMark/>
          </w:tcPr>
          <w:p w14:paraId="7B53883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59.5212 (9.2120)</w:t>
            </w:r>
          </w:p>
        </w:tc>
        <w:tc>
          <w:tcPr>
            <w:tcW w:w="0" w:type="auto"/>
            <w:tcMar>
              <w:top w:w="100" w:type="dxa"/>
              <w:left w:w="100" w:type="dxa"/>
              <w:bottom w:w="100" w:type="dxa"/>
              <w:right w:w="100" w:type="dxa"/>
            </w:tcMar>
            <w:hideMark/>
          </w:tcPr>
          <w:p w14:paraId="4E9D6F0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2.3761 (0.1320)</w:t>
            </w:r>
          </w:p>
        </w:tc>
        <w:tc>
          <w:tcPr>
            <w:tcW w:w="0" w:type="auto"/>
            <w:tcMar>
              <w:top w:w="100" w:type="dxa"/>
              <w:left w:w="100" w:type="dxa"/>
              <w:bottom w:w="100" w:type="dxa"/>
              <w:right w:w="100" w:type="dxa"/>
            </w:tcMar>
            <w:hideMark/>
          </w:tcPr>
          <w:p w14:paraId="08B98A0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0.0026 (0.0032)</w:t>
            </w:r>
          </w:p>
        </w:tc>
        <w:tc>
          <w:tcPr>
            <w:tcW w:w="0" w:type="auto"/>
            <w:tcMar>
              <w:top w:w="100" w:type="dxa"/>
              <w:left w:w="100" w:type="dxa"/>
              <w:bottom w:w="100" w:type="dxa"/>
              <w:right w:w="100" w:type="dxa"/>
            </w:tcMar>
            <w:hideMark/>
          </w:tcPr>
          <w:p w14:paraId="50F02B1E"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0.0112 (0.0057)</w:t>
            </w:r>
          </w:p>
        </w:tc>
        <w:tc>
          <w:tcPr>
            <w:tcW w:w="1776" w:type="dxa"/>
            <w:tcMar>
              <w:top w:w="100" w:type="dxa"/>
              <w:left w:w="100" w:type="dxa"/>
              <w:bottom w:w="100" w:type="dxa"/>
              <w:right w:w="100" w:type="dxa"/>
            </w:tcMar>
            <w:hideMark/>
          </w:tcPr>
          <w:p w14:paraId="28B3072D"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0.0652 (0.0367)</w:t>
            </w:r>
          </w:p>
        </w:tc>
      </w:tr>
      <w:tr w:rsidR="00450B25" w:rsidRPr="004B7486" w14:paraId="4DE747C9" w14:textId="77777777" w:rsidTr="00450B25">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EEBCEB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lastRenderedPageBreak/>
              <w:t>USM</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674423"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60 </w:t>
            </w:r>
          </w:p>
        </w:tc>
        <w:tc>
          <w:tcPr>
            <w:tcW w:w="0" w:type="auto"/>
            <w:tcBorders>
              <w:left w:val="single" w:sz="8" w:space="0" w:color="FFFFFF"/>
            </w:tcBorders>
            <w:tcMar>
              <w:top w:w="100" w:type="dxa"/>
              <w:left w:w="100" w:type="dxa"/>
              <w:bottom w:w="100" w:type="dxa"/>
              <w:right w:w="100" w:type="dxa"/>
            </w:tcMar>
            <w:hideMark/>
          </w:tcPr>
          <w:p w14:paraId="3FADC8E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0.0393 (0.0101)</w:t>
            </w:r>
          </w:p>
        </w:tc>
        <w:tc>
          <w:tcPr>
            <w:tcW w:w="0" w:type="auto"/>
            <w:tcMar>
              <w:top w:w="100" w:type="dxa"/>
              <w:left w:w="100" w:type="dxa"/>
              <w:bottom w:w="100" w:type="dxa"/>
              <w:right w:w="100" w:type="dxa"/>
            </w:tcMar>
            <w:hideMark/>
          </w:tcPr>
          <w:p w14:paraId="09005B9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0.5314 (0.0158)</w:t>
            </w:r>
          </w:p>
        </w:tc>
        <w:tc>
          <w:tcPr>
            <w:tcW w:w="0" w:type="auto"/>
            <w:tcMar>
              <w:top w:w="100" w:type="dxa"/>
              <w:left w:w="100" w:type="dxa"/>
              <w:bottom w:w="100" w:type="dxa"/>
              <w:right w:w="100" w:type="dxa"/>
            </w:tcMar>
            <w:hideMark/>
          </w:tcPr>
          <w:p w14:paraId="6DC6B9B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77.9893 (15.6400)</w:t>
            </w:r>
          </w:p>
        </w:tc>
        <w:tc>
          <w:tcPr>
            <w:tcW w:w="0" w:type="auto"/>
            <w:tcMar>
              <w:top w:w="100" w:type="dxa"/>
              <w:left w:w="100" w:type="dxa"/>
              <w:bottom w:w="100" w:type="dxa"/>
              <w:right w:w="100" w:type="dxa"/>
            </w:tcMar>
            <w:hideMark/>
          </w:tcPr>
          <w:p w14:paraId="7BCFD06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1.8392 (0.0915)</w:t>
            </w:r>
          </w:p>
        </w:tc>
        <w:tc>
          <w:tcPr>
            <w:tcW w:w="0" w:type="auto"/>
            <w:tcMar>
              <w:top w:w="100" w:type="dxa"/>
              <w:left w:w="100" w:type="dxa"/>
              <w:bottom w:w="100" w:type="dxa"/>
              <w:right w:w="100" w:type="dxa"/>
            </w:tcMar>
            <w:hideMark/>
          </w:tcPr>
          <w:p w14:paraId="6E7C379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0.0018 (0.0022)</w:t>
            </w:r>
          </w:p>
        </w:tc>
        <w:tc>
          <w:tcPr>
            <w:tcW w:w="0" w:type="auto"/>
            <w:tcMar>
              <w:top w:w="100" w:type="dxa"/>
              <w:left w:w="100" w:type="dxa"/>
              <w:bottom w:w="100" w:type="dxa"/>
              <w:right w:w="100" w:type="dxa"/>
            </w:tcMar>
            <w:hideMark/>
          </w:tcPr>
          <w:p w14:paraId="2E6EADF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0.0153 (0.0063)</w:t>
            </w:r>
          </w:p>
        </w:tc>
        <w:tc>
          <w:tcPr>
            <w:tcW w:w="1776" w:type="dxa"/>
            <w:tcMar>
              <w:top w:w="100" w:type="dxa"/>
              <w:left w:w="100" w:type="dxa"/>
              <w:bottom w:w="100" w:type="dxa"/>
              <w:right w:w="100" w:type="dxa"/>
            </w:tcMar>
            <w:hideMark/>
          </w:tcPr>
          <w:p w14:paraId="6715E461"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0.0957 (0.0464)</w:t>
            </w:r>
          </w:p>
        </w:tc>
      </w:tr>
      <w:tr w:rsidR="00450B25" w:rsidRPr="004B7486" w14:paraId="6F5B6668" w14:textId="77777777" w:rsidTr="00450B25">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3CB9CF19"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YALE</w:t>
            </w:r>
          </w:p>
        </w:tc>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3F4ACD32"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48</w:t>
            </w:r>
          </w:p>
        </w:tc>
        <w:tc>
          <w:tcPr>
            <w:tcW w:w="0" w:type="auto"/>
            <w:tcBorders>
              <w:left w:val="single" w:sz="8" w:space="0" w:color="FFFFFF"/>
              <w:bottom w:val="single" w:sz="8" w:space="0" w:color="000000"/>
            </w:tcBorders>
            <w:tcMar>
              <w:top w:w="100" w:type="dxa"/>
              <w:left w:w="100" w:type="dxa"/>
              <w:bottom w:w="100" w:type="dxa"/>
              <w:right w:w="100" w:type="dxa"/>
            </w:tcMar>
            <w:hideMark/>
          </w:tcPr>
          <w:p w14:paraId="33AECC3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0.0494 (0.0152)</w:t>
            </w:r>
          </w:p>
        </w:tc>
        <w:tc>
          <w:tcPr>
            <w:tcW w:w="0" w:type="auto"/>
            <w:tcBorders>
              <w:bottom w:val="single" w:sz="8" w:space="0" w:color="000000"/>
            </w:tcBorders>
            <w:tcMar>
              <w:top w:w="100" w:type="dxa"/>
              <w:left w:w="100" w:type="dxa"/>
              <w:bottom w:w="100" w:type="dxa"/>
              <w:right w:w="100" w:type="dxa"/>
            </w:tcMar>
            <w:hideMark/>
          </w:tcPr>
          <w:p w14:paraId="53DCED5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0.4898 (0.0253)</w:t>
            </w:r>
          </w:p>
        </w:tc>
        <w:tc>
          <w:tcPr>
            <w:tcW w:w="0" w:type="auto"/>
            <w:tcBorders>
              <w:bottom w:val="single" w:sz="8" w:space="0" w:color="000000"/>
            </w:tcBorders>
            <w:tcMar>
              <w:top w:w="100" w:type="dxa"/>
              <w:left w:w="100" w:type="dxa"/>
              <w:bottom w:w="100" w:type="dxa"/>
              <w:right w:w="100" w:type="dxa"/>
            </w:tcMar>
            <w:hideMark/>
          </w:tcPr>
          <w:p w14:paraId="5D88EAA8"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91.2792 (31.4471)</w:t>
            </w:r>
          </w:p>
        </w:tc>
        <w:tc>
          <w:tcPr>
            <w:tcW w:w="0" w:type="auto"/>
            <w:tcBorders>
              <w:bottom w:val="single" w:sz="8" w:space="0" w:color="000000"/>
            </w:tcBorders>
            <w:tcMar>
              <w:top w:w="100" w:type="dxa"/>
              <w:left w:w="100" w:type="dxa"/>
              <w:bottom w:w="100" w:type="dxa"/>
              <w:right w:w="100" w:type="dxa"/>
            </w:tcMar>
            <w:hideMark/>
          </w:tcPr>
          <w:p w14:paraId="689F0BA4"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2.6560 (0.3075)</w:t>
            </w:r>
          </w:p>
        </w:tc>
        <w:tc>
          <w:tcPr>
            <w:tcW w:w="0" w:type="auto"/>
            <w:tcBorders>
              <w:bottom w:val="single" w:sz="8" w:space="0" w:color="000000"/>
            </w:tcBorders>
            <w:tcMar>
              <w:top w:w="100" w:type="dxa"/>
              <w:left w:w="100" w:type="dxa"/>
              <w:bottom w:w="100" w:type="dxa"/>
              <w:right w:w="100" w:type="dxa"/>
            </w:tcMar>
            <w:hideMark/>
          </w:tcPr>
          <w:p w14:paraId="388E7FE6"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0.0138 (0.0054)</w:t>
            </w:r>
          </w:p>
        </w:tc>
        <w:tc>
          <w:tcPr>
            <w:tcW w:w="0" w:type="auto"/>
            <w:tcBorders>
              <w:bottom w:val="single" w:sz="8" w:space="0" w:color="000000"/>
            </w:tcBorders>
            <w:tcMar>
              <w:top w:w="100" w:type="dxa"/>
              <w:left w:w="100" w:type="dxa"/>
              <w:bottom w:w="100" w:type="dxa"/>
              <w:right w:w="100" w:type="dxa"/>
            </w:tcMar>
            <w:hideMark/>
          </w:tcPr>
          <w:p w14:paraId="4DCD74EB"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0.0044 (0.0020)</w:t>
            </w:r>
          </w:p>
        </w:tc>
        <w:tc>
          <w:tcPr>
            <w:tcW w:w="1776" w:type="dxa"/>
            <w:tcBorders>
              <w:bottom w:val="single" w:sz="8" w:space="0" w:color="000000"/>
            </w:tcBorders>
            <w:tcMar>
              <w:top w:w="100" w:type="dxa"/>
              <w:left w:w="100" w:type="dxa"/>
              <w:bottom w:w="100" w:type="dxa"/>
              <w:right w:w="100" w:type="dxa"/>
            </w:tcMar>
            <w:hideMark/>
          </w:tcPr>
          <w:p w14:paraId="5E0B3775"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0.0855 (0.0434)</w:t>
            </w:r>
          </w:p>
        </w:tc>
      </w:tr>
    </w:tbl>
    <w:p w14:paraId="20749AFF"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i/>
          <w:iCs/>
          <w:color w:val="000000"/>
          <w:sz w:val="24"/>
          <w:szCs w:val="24"/>
          <w:lang w:val="en-US"/>
        </w:rPr>
        <w:t>Note</w:t>
      </w:r>
      <w:r w:rsidRPr="004B7486">
        <w:rPr>
          <w:rFonts w:ascii="Times New Roman" w:eastAsia="Times New Roman" w:hAnsi="Times New Roman" w:cs="Times New Roman"/>
          <w:color w:val="000000"/>
          <w:sz w:val="24"/>
          <w:szCs w:val="24"/>
          <w:lang w:val="en-US"/>
        </w:rPr>
        <w:t>. Numeric values indicate mean and (standard deviation)</w:t>
      </w:r>
    </w:p>
    <w:p w14:paraId="346ADBD0"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NYU = NYU Langone Medical Center. SDSU = San Diego State University. </w:t>
      </w:r>
    </w:p>
    <w:p w14:paraId="027F96BA" w14:textId="77777777" w:rsidR="004B7486" w:rsidRPr="004B7486" w:rsidRDefault="004B7486" w:rsidP="004B7486">
      <w:pPr>
        <w:spacing w:line="480" w:lineRule="auto"/>
        <w:rPr>
          <w:rFonts w:ascii="Times New Roman" w:eastAsia="Times New Roman" w:hAnsi="Times New Roman" w:cs="Times New Roman"/>
          <w:sz w:val="24"/>
          <w:szCs w:val="24"/>
          <w:lang w:val="en-US"/>
        </w:rPr>
      </w:pPr>
      <w:r w:rsidRPr="004B7486">
        <w:rPr>
          <w:rFonts w:ascii="Times New Roman" w:eastAsia="Times New Roman" w:hAnsi="Times New Roman" w:cs="Times New Roman"/>
          <w:color w:val="000000"/>
          <w:sz w:val="24"/>
          <w:szCs w:val="24"/>
          <w:lang w:val="en-US"/>
        </w:rPr>
        <w:t>STANFORD = Stanford University. TRINITY = Trinity Centre for Health Sciences.  UM = University of Michigan. USM = University of Utah School of Medicine. YALE = Yale Child Study Center.</w:t>
      </w:r>
    </w:p>
    <w:p w14:paraId="7C847DD6" w14:textId="73C62114" w:rsidR="00305114" w:rsidRPr="004B7486" w:rsidRDefault="00305114" w:rsidP="004B7486">
      <w:pPr>
        <w:spacing w:line="480" w:lineRule="auto"/>
        <w:rPr>
          <w:rFonts w:ascii="Times New Roman" w:eastAsia="Times New Roman" w:hAnsi="Times New Roman" w:cs="Times New Roman"/>
          <w:sz w:val="24"/>
          <w:szCs w:val="24"/>
        </w:rPr>
      </w:pPr>
    </w:p>
    <w:p w14:paraId="01DC70A5" w14:textId="63CA9941"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 xml:space="preserve">Table </w:t>
      </w:r>
      <w:r w:rsidR="00450B25">
        <w:rPr>
          <w:rFonts w:asciiTheme="majorBidi" w:eastAsia="Times New Roman" w:hAnsiTheme="majorBidi" w:cstheme="majorBidi"/>
          <w:b/>
          <w:sz w:val="24"/>
          <w:szCs w:val="24"/>
        </w:rPr>
        <w:t>3</w:t>
      </w:r>
    </w:p>
    <w:p w14:paraId="00DA2969"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 xml:space="preserve">Phenotypic information of the dataset with 0.5 Hz Sampling Rate after quality control at Eyes-Open condition  </w:t>
      </w:r>
    </w:p>
    <w:tbl>
      <w:tblPr>
        <w:tblW w:w="103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34"/>
        <w:gridCol w:w="1985"/>
        <w:gridCol w:w="1417"/>
        <w:gridCol w:w="1843"/>
        <w:gridCol w:w="1731"/>
        <w:gridCol w:w="2190"/>
      </w:tblGrid>
      <w:tr w:rsidR="008F4E90" w:rsidRPr="008F4E90" w14:paraId="18CC268D" w14:textId="77777777" w:rsidTr="00305114">
        <w:trPr>
          <w:jc w:val="center"/>
        </w:trPr>
        <w:tc>
          <w:tcPr>
            <w:tcW w:w="1134" w:type="dxa"/>
            <w:tcBorders>
              <w:top w:val="single" w:sz="8" w:space="0" w:color="000000"/>
              <w:left w:val="single" w:sz="8" w:space="0" w:color="FFFFFF"/>
              <w:bottom w:val="single" w:sz="8" w:space="0" w:color="000000"/>
              <w:right w:val="single" w:sz="8" w:space="0" w:color="FFFFFF"/>
            </w:tcBorders>
          </w:tcPr>
          <w:p w14:paraId="4C734EDA"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Group</w:t>
            </w:r>
          </w:p>
        </w:tc>
        <w:tc>
          <w:tcPr>
            <w:tcW w:w="1985" w:type="dxa"/>
            <w:tcBorders>
              <w:top w:val="single" w:sz="8" w:space="0" w:color="000000"/>
              <w:left w:val="single" w:sz="8" w:space="0" w:color="FFFFFF"/>
              <w:bottom w:val="single" w:sz="8" w:space="0" w:color="000000"/>
              <w:right w:val="single" w:sz="8" w:space="0" w:color="FFFFFF"/>
            </w:tcBorders>
          </w:tcPr>
          <w:p w14:paraId="7EA4EA63"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Age</w:t>
            </w:r>
          </w:p>
        </w:tc>
        <w:tc>
          <w:tcPr>
            <w:tcW w:w="1417" w:type="dxa"/>
            <w:tcBorders>
              <w:top w:val="single" w:sz="8" w:space="0" w:color="000000"/>
              <w:left w:val="single" w:sz="8" w:space="0" w:color="FFFFFF"/>
              <w:bottom w:val="single" w:sz="8" w:space="0" w:color="000000"/>
              <w:right w:val="single" w:sz="8" w:space="0" w:color="FFFFFF"/>
            </w:tcBorders>
          </w:tcPr>
          <w:p w14:paraId="17C0C5F6"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Gender</w:t>
            </w:r>
          </w:p>
          <w:p w14:paraId="59773AB8"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(M/F)</w:t>
            </w:r>
          </w:p>
        </w:tc>
        <w:tc>
          <w:tcPr>
            <w:tcW w:w="1843" w:type="dxa"/>
            <w:tcBorders>
              <w:top w:val="single" w:sz="8" w:space="0" w:color="000000"/>
              <w:left w:val="single" w:sz="8" w:space="0" w:color="FFFFFF"/>
              <w:bottom w:val="single" w:sz="8" w:space="0" w:color="000000"/>
              <w:right w:val="single" w:sz="8" w:space="0" w:color="FFFFFF"/>
            </w:tcBorders>
          </w:tcPr>
          <w:p w14:paraId="4E148234"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FIQ</w:t>
            </w:r>
          </w:p>
        </w:tc>
        <w:tc>
          <w:tcPr>
            <w:tcW w:w="1731" w:type="dxa"/>
            <w:tcBorders>
              <w:top w:val="single" w:sz="8" w:space="0" w:color="000000"/>
              <w:left w:val="single" w:sz="8" w:space="0" w:color="FFFFFF"/>
              <w:bottom w:val="single" w:sz="8" w:space="0" w:color="000000"/>
              <w:right w:val="single" w:sz="8" w:space="0" w:color="FFFFFF"/>
            </w:tcBorders>
          </w:tcPr>
          <w:p w14:paraId="03D3EB2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VIQ</w:t>
            </w:r>
          </w:p>
        </w:tc>
        <w:tc>
          <w:tcPr>
            <w:tcW w:w="2190" w:type="dxa"/>
            <w:tcBorders>
              <w:top w:val="single" w:sz="8" w:space="0" w:color="000000"/>
              <w:left w:val="single" w:sz="8" w:space="0" w:color="FFFFFF"/>
              <w:bottom w:val="single" w:sz="8" w:space="0" w:color="000000"/>
              <w:right w:val="single" w:sz="8" w:space="0" w:color="FFFFFF"/>
            </w:tcBorders>
          </w:tcPr>
          <w:p w14:paraId="73F1A822"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PIQ</w:t>
            </w:r>
          </w:p>
        </w:tc>
      </w:tr>
      <w:tr w:rsidR="008F4E90" w:rsidRPr="008F4E90" w14:paraId="62F723CB" w14:textId="77777777" w:rsidTr="00305114">
        <w:trPr>
          <w:jc w:val="center"/>
        </w:trPr>
        <w:tc>
          <w:tcPr>
            <w:tcW w:w="1134" w:type="dxa"/>
            <w:tcBorders>
              <w:top w:val="single" w:sz="8" w:space="0" w:color="000000"/>
              <w:left w:val="single" w:sz="8" w:space="0" w:color="FFFFFF"/>
              <w:bottom w:val="single" w:sz="8" w:space="0" w:color="FFFFFF"/>
              <w:right w:val="single" w:sz="8" w:space="0" w:color="FFFFFF"/>
            </w:tcBorders>
          </w:tcPr>
          <w:p w14:paraId="6AEFAEF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ASC</w:t>
            </w:r>
          </w:p>
        </w:tc>
        <w:tc>
          <w:tcPr>
            <w:tcW w:w="1985" w:type="dxa"/>
            <w:tcBorders>
              <w:top w:val="single" w:sz="8" w:space="0" w:color="000000"/>
              <w:left w:val="single" w:sz="8" w:space="0" w:color="FFFFFF"/>
              <w:bottom w:val="single" w:sz="8" w:space="0" w:color="FFFFFF"/>
              <w:right w:val="single" w:sz="8" w:space="0" w:color="FFFFFF"/>
            </w:tcBorders>
          </w:tcPr>
          <w:p w14:paraId="0818E97E"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16.43(7.17)</w:t>
            </w:r>
          </w:p>
        </w:tc>
        <w:tc>
          <w:tcPr>
            <w:tcW w:w="1417" w:type="dxa"/>
            <w:tcBorders>
              <w:top w:val="single" w:sz="8" w:space="0" w:color="000000"/>
              <w:left w:val="single" w:sz="8" w:space="0" w:color="FFFFFF"/>
              <w:bottom w:val="single" w:sz="8" w:space="0" w:color="FFFFFF"/>
              <w:right w:val="single" w:sz="8" w:space="0" w:color="FFFFFF"/>
            </w:tcBorders>
          </w:tcPr>
          <w:p w14:paraId="3EC248A3"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157/22</w:t>
            </w:r>
          </w:p>
        </w:tc>
        <w:tc>
          <w:tcPr>
            <w:tcW w:w="1843" w:type="dxa"/>
            <w:tcBorders>
              <w:top w:val="single" w:sz="8" w:space="0" w:color="000000"/>
              <w:left w:val="single" w:sz="8" w:space="0" w:color="FFFFFF"/>
              <w:bottom w:val="single" w:sz="8" w:space="0" w:color="FFFFFF"/>
              <w:right w:val="single" w:sz="8" w:space="0" w:color="FFFFFF"/>
            </w:tcBorders>
          </w:tcPr>
          <w:p w14:paraId="3E696217"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104.16(18.22)</w:t>
            </w:r>
          </w:p>
        </w:tc>
        <w:tc>
          <w:tcPr>
            <w:tcW w:w="1731" w:type="dxa"/>
            <w:tcBorders>
              <w:top w:val="single" w:sz="8" w:space="0" w:color="000000"/>
              <w:left w:val="single" w:sz="8" w:space="0" w:color="FFFFFF"/>
              <w:bottom w:val="single" w:sz="8" w:space="0" w:color="FFFFFF"/>
              <w:right w:val="single" w:sz="8" w:space="0" w:color="FFFFFF"/>
            </w:tcBorders>
          </w:tcPr>
          <w:p w14:paraId="6BE4F421"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103.30(20.17)</w:t>
            </w:r>
          </w:p>
        </w:tc>
        <w:tc>
          <w:tcPr>
            <w:tcW w:w="2190" w:type="dxa"/>
            <w:tcBorders>
              <w:top w:val="single" w:sz="8" w:space="0" w:color="000000"/>
              <w:left w:val="single" w:sz="8" w:space="0" w:color="FFFFFF"/>
              <w:bottom w:val="single" w:sz="8" w:space="0" w:color="FFFFFF"/>
              <w:right w:val="single" w:sz="8" w:space="0" w:color="FFFFFF"/>
            </w:tcBorders>
          </w:tcPr>
          <w:p w14:paraId="497685C8"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104.40 (18.92)</w:t>
            </w:r>
          </w:p>
        </w:tc>
      </w:tr>
      <w:tr w:rsidR="008F4E90" w:rsidRPr="008F4E90" w14:paraId="7EE8FB96" w14:textId="77777777" w:rsidTr="00305114">
        <w:trPr>
          <w:jc w:val="center"/>
        </w:trPr>
        <w:tc>
          <w:tcPr>
            <w:tcW w:w="1134" w:type="dxa"/>
            <w:tcBorders>
              <w:top w:val="single" w:sz="8" w:space="0" w:color="FFFFFF"/>
              <w:left w:val="single" w:sz="8" w:space="0" w:color="FFFFFF"/>
              <w:bottom w:val="single" w:sz="8" w:space="0" w:color="000000"/>
              <w:right w:val="single" w:sz="8" w:space="0" w:color="FFFFFF"/>
            </w:tcBorders>
          </w:tcPr>
          <w:p w14:paraId="3E25104B"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CON</w:t>
            </w:r>
          </w:p>
        </w:tc>
        <w:tc>
          <w:tcPr>
            <w:tcW w:w="1985" w:type="dxa"/>
            <w:tcBorders>
              <w:top w:val="single" w:sz="8" w:space="0" w:color="FFFFFF"/>
              <w:left w:val="single" w:sz="8" w:space="0" w:color="FFFFFF"/>
              <w:bottom w:val="single" w:sz="8" w:space="0" w:color="000000"/>
              <w:right w:val="single" w:sz="8" w:space="0" w:color="FFFFFF"/>
            </w:tcBorders>
          </w:tcPr>
          <w:p w14:paraId="2EEED627"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15.75(5.67)</w:t>
            </w:r>
          </w:p>
        </w:tc>
        <w:tc>
          <w:tcPr>
            <w:tcW w:w="1417" w:type="dxa"/>
            <w:tcBorders>
              <w:top w:val="single" w:sz="8" w:space="0" w:color="FFFFFF"/>
              <w:left w:val="single" w:sz="8" w:space="0" w:color="FFFFFF"/>
              <w:bottom w:val="single" w:sz="8" w:space="0" w:color="000000"/>
              <w:right w:val="single" w:sz="8" w:space="0" w:color="FFFFFF"/>
            </w:tcBorders>
          </w:tcPr>
          <w:p w14:paraId="1B9A65E5"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165/53</w:t>
            </w:r>
          </w:p>
        </w:tc>
        <w:tc>
          <w:tcPr>
            <w:tcW w:w="1843" w:type="dxa"/>
            <w:tcBorders>
              <w:top w:val="single" w:sz="8" w:space="0" w:color="FFFFFF"/>
              <w:left w:val="single" w:sz="8" w:space="0" w:color="FFFFFF"/>
              <w:bottom w:val="single" w:sz="8" w:space="0" w:color="000000"/>
              <w:right w:val="single" w:sz="8" w:space="0" w:color="FFFFFF"/>
            </w:tcBorders>
          </w:tcPr>
          <w:p w14:paraId="0D43BFD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110.87(13.49)</w:t>
            </w:r>
          </w:p>
        </w:tc>
        <w:tc>
          <w:tcPr>
            <w:tcW w:w="1731" w:type="dxa"/>
            <w:tcBorders>
              <w:top w:val="single" w:sz="8" w:space="0" w:color="FFFFFF"/>
              <w:left w:val="single" w:sz="8" w:space="0" w:color="FFFFFF"/>
              <w:bottom w:val="single" w:sz="8" w:space="0" w:color="000000"/>
              <w:right w:val="single" w:sz="8" w:space="0" w:color="FFFFFF"/>
            </w:tcBorders>
          </w:tcPr>
          <w:p w14:paraId="7B242134"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112.11 (13.77)</w:t>
            </w:r>
          </w:p>
        </w:tc>
        <w:tc>
          <w:tcPr>
            <w:tcW w:w="2190" w:type="dxa"/>
            <w:tcBorders>
              <w:top w:val="single" w:sz="8" w:space="0" w:color="FFFFFF"/>
              <w:left w:val="single" w:sz="8" w:space="0" w:color="FFFFFF"/>
              <w:bottom w:val="single" w:sz="8" w:space="0" w:color="000000"/>
              <w:right w:val="single" w:sz="8" w:space="0" w:color="FFFFFF"/>
            </w:tcBorders>
          </w:tcPr>
          <w:p w14:paraId="341AB044"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107.53 (13.84)</w:t>
            </w:r>
          </w:p>
        </w:tc>
      </w:tr>
    </w:tbl>
    <w:p w14:paraId="4B08B65B"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t>Note.</w:t>
      </w:r>
      <w:r w:rsidRPr="00305114">
        <w:rPr>
          <w:rFonts w:asciiTheme="majorBidi" w:eastAsia="Times New Roman" w:hAnsiTheme="majorBidi" w:cstheme="majorBidi"/>
          <w:sz w:val="24"/>
          <w:szCs w:val="24"/>
        </w:rPr>
        <w:t xml:space="preserve"> ASC = Autistic Spectrum Conditions. CON = neurotypical controls.</w:t>
      </w:r>
    </w:p>
    <w:p w14:paraId="2848AD7B"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FIQ = IQ test administered for Full Scale IQ standard score.</w:t>
      </w:r>
    </w:p>
    <w:p w14:paraId="07341B28"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VIQ =</w:t>
      </w:r>
      <w:r w:rsidRPr="008F4E90">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IQ test administered for Verbal IQ standard score.</w:t>
      </w:r>
    </w:p>
    <w:p w14:paraId="75028E57"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PIQ = IQ test administered for Performance IQ standard score.</w:t>
      </w:r>
    </w:p>
    <w:p w14:paraId="7E1BA460" w14:textId="77777777" w:rsid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Numeric values indicate mean (standard deviation).</w:t>
      </w:r>
    </w:p>
    <w:p w14:paraId="41510DE4" w14:textId="77777777" w:rsidR="00450B25" w:rsidRDefault="00450B25" w:rsidP="00305114">
      <w:pPr>
        <w:spacing w:line="480" w:lineRule="auto"/>
        <w:rPr>
          <w:rFonts w:asciiTheme="majorBidi" w:eastAsia="Times New Roman" w:hAnsiTheme="majorBidi" w:cstheme="majorBidi"/>
          <w:sz w:val="24"/>
          <w:szCs w:val="24"/>
        </w:rPr>
      </w:pPr>
    </w:p>
    <w:p w14:paraId="47BE9E6A" w14:textId="77777777" w:rsidR="00450B25" w:rsidRDefault="00450B25" w:rsidP="00305114">
      <w:pPr>
        <w:spacing w:line="480" w:lineRule="auto"/>
        <w:rPr>
          <w:rFonts w:asciiTheme="majorBidi" w:eastAsia="Times New Roman" w:hAnsiTheme="majorBidi" w:cstheme="majorBidi"/>
          <w:sz w:val="24"/>
          <w:szCs w:val="24"/>
        </w:rPr>
      </w:pPr>
    </w:p>
    <w:p w14:paraId="29BCC244" w14:textId="77777777" w:rsidR="00450B25" w:rsidRPr="008F4E90" w:rsidRDefault="00450B25" w:rsidP="00305114">
      <w:pPr>
        <w:spacing w:line="480" w:lineRule="auto"/>
        <w:rPr>
          <w:rFonts w:asciiTheme="majorBidi" w:eastAsia="Times New Roman" w:hAnsiTheme="majorBidi" w:cstheme="majorBidi"/>
          <w:sz w:val="24"/>
          <w:szCs w:val="24"/>
        </w:rPr>
      </w:pPr>
    </w:p>
    <w:p w14:paraId="057DF1FC"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b/>
          <w:sz w:val="24"/>
          <w:szCs w:val="24"/>
        </w:rPr>
        <w:lastRenderedPageBreak/>
        <w:t>F</w:t>
      </w:r>
      <w:r w:rsidR="004A1E04">
        <w:rPr>
          <w:rFonts w:asciiTheme="majorBidi" w:eastAsia="Times New Roman" w:hAnsiTheme="majorBidi" w:cstheme="majorBidi"/>
          <w:b/>
          <w:sz w:val="24"/>
          <w:szCs w:val="24"/>
        </w:rPr>
        <w:t>igure</w:t>
      </w:r>
      <w:r w:rsidRPr="00305114">
        <w:rPr>
          <w:rFonts w:asciiTheme="majorBidi" w:eastAsia="Times New Roman" w:hAnsiTheme="majorBidi" w:cstheme="majorBidi"/>
          <w:b/>
          <w:sz w:val="24"/>
          <w:szCs w:val="24"/>
        </w:rPr>
        <w:t xml:space="preserve"> 2</w:t>
      </w:r>
    </w:p>
    <w:p w14:paraId="4BB914CE"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 xml:space="preserve">Distribution of Age among ASC and Control groups at the final dataset under eyes-open condition. </w:t>
      </w:r>
      <w:r w:rsidRPr="00305114">
        <w:rPr>
          <w:rFonts w:asciiTheme="majorBidi" w:eastAsia="Times New Roman" w:hAnsiTheme="majorBidi" w:cstheme="majorBidi"/>
          <w:noProof/>
          <w:sz w:val="24"/>
          <w:szCs w:val="24"/>
        </w:rPr>
        <w:drawing>
          <wp:inline distT="114300" distB="114300" distL="114300" distR="114300" wp14:anchorId="363BC240" wp14:editId="2D97DDE7">
            <wp:extent cx="4629150" cy="3038475"/>
            <wp:effectExtent l="0" t="0" r="0" b="952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2"/>
                    <a:srcRect/>
                    <a:stretch>
                      <a:fillRect/>
                    </a:stretch>
                  </pic:blipFill>
                  <pic:spPr>
                    <a:xfrm>
                      <a:off x="0" y="0"/>
                      <a:ext cx="4629150" cy="3038475"/>
                    </a:xfrm>
                    <a:prstGeom prst="rect">
                      <a:avLst/>
                    </a:prstGeom>
                    <a:ln/>
                  </pic:spPr>
                </pic:pic>
              </a:graphicData>
            </a:graphic>
          </wp:inline>
        </w:drawing>
      </w:r>
    </w:p>
    <w:p w14:paraId="16600EE3" w14:textId="77777777" w:rsid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t>Note.</w:t>
      </w:r>
      <w:r w:rsidRPr="00305114">
        <w:rPr>
          <w:rFonts w:asciiTheme="majorBidi" w:eastAsia="Times New Roman" w:hAnsiTheme="majorBidi" w:cstheme="majorBidi"/>
          <w:sz w:val="24"/>
          <w:szCs w:val="24"/>
        </w:rPr>
        <w:t xml:space="preserve"> Vertical lines indicate minimum, </w:t>
      </w:r>
      <w:r w:rsidRPr="008F4E90">
        <w:rPr>
          <w:rFonts w:asciiTheme="majorBidi" w:eastAsia="Times New Roman" w:hAnsiTheme="majorBidi" w:cstheme="majorBidi"/>
          <w:sz w:val="24"/>
          <w:szCs w:val="24"/>
        </w:rPr>
        <w:t>averaged,</w:t>
      </w:r>
      <w:r w:rsidRPr="00305114">
        <w:rPr>
          <w:rFonts w:asciiTheme="majorBidi" w:eastAsia="Times New Roman" w:hAnsiTheme="majorBidi" w:cstheme="majorBidi"/>
          <w:sz w:val="24"/>
          <w:szCs w:val="24"/>
        </w:rPr>
        <w:t xml:space="preserve"> and maximum age within each group from left to right at each panel.</w:t>
      </w:r>
    </w:p>
    <w:p w14:paraId="37D5CEEF" w14:textId="77777777" w:rsidR="00450B25" w:rsidRPr="00305114" w:rsidRDefault="00450B25" w:rsidP="00305114">
      <w:pPr>
        <w:spacing w:line="480" w:lineRule="auto"/>
        <w:rPr>
          <w:rFonts w:asciiTheme="majorBidi" w:eastAsia="Times New Roman" w:hAnsiTheme="majorBidi" w:cstheme="majorBidi"/>
          <w:sz w:val="24"/>
          <w:szCs w:val="24"/>
        </w:rPr>
      </w:pPr>
    </w:p>
    <w:p w14:paraId="7E27CB17" w14:textId="77777777" w:rsidR="00305114" w:rsidRPr="00450B25" w:rsidRDefault="00305114" w:rsidP="00305114">
      <w:pPr>
        <w:spacing w:line="480" w:lineRule="auto"/>
        <w:rPr>
          <w:rFonts w:asciiTheme="majorBidi" w:eastAsia="Times New Roman" w:hAnsiTheme="majorBidi" w:cstheme="majorBidi"/>
          <w:b/>
          <w:iCs/>
          <w:sz w:val="24"/>
          <w:szCs w:val="24"/>
          <w:lang w:val="it-IT"/>
        </w:rPr>
      </w:pPr>
      <w:r w:rsidRPr="00450B25">
        <w:rPr>
          <w:rFonts w:asciiTheme="majorBidi" w:eastAsia="Times New Roman" w:hAnsiTheme="majorBidi" w:cstheme="majorBidi"/>
          <w:b/>
          <w:iCs/>
          <w:sz w:val="24"/>
          <w:szCs w:val="24"/>
          <w:lang w:val="it-IT"/>
        </w:rPr>
        <w:t>Multi-Site fMRI Data Acquisition Parameters</w:t>
      </w:r>
    </w:p>
    <w:p w14:paraId="57A72D23" w14:textId="77777777" w:rsid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Data from 7 sites (n=611) were analysed with the same original Sample Resolution (SR) in 0.5Hz. Voxel size: 3.0~4.0 mm within plane; slice thickness: 3.0~4.0mm. TR:1500ms~3000ms; TE:15ms~30ms. The analysis encompassed datasets gathered from the sites listed below. The subsequent table furnishes a comprehensive depiction of the acquisition parameters employed across diverse sites within the study. Notably, multiple sites were included in this study, each characterised by distinct acquisition specifications.</w:t>
      </w:r>
    </w:p>
    <w:p w14:paraId="15F69797" w14:textId="77777777" w:rsidR="00450B25" w:rsidRDefault="00450B25" w:rsidP="00305114">
      <w:pPr>
        <w:spacing w:line="480" w:lineRule="auto"/>
        <w:ind w:firstLine="720"/>
        <w:rPr>
          <w:rFonts w:asciiTheme="majorBidi" w:eastAsia="Times New Roman" w:hAnsiTheme="majorBidi" w:cstheme="majorBidi"/>
          <w:sz w:val="24"/>
          <w:szCs w:val="24"/>
        </w:rPr>
      </w:pPr>
    </w:p>
    <w:p w14:paraId="2AFD1BDD" w14:textId="77777777" w:rsidR="00450B25" w:rsidRDefault="00450B25" w:rsidP="00305114">
      <w:pPr>
        <w:spacing w:line="480" w:lineRule="auto"/>
        <w:ind w:firstLine="720"/>
        <w:rPr>
          <w:rFonts w:asciiTheme="majorBidi" w:eastAsia="Times New Roman" w:hAnsiTheme="majorBidi" w:cstheme="majorBidi"/>
          <w:sz w:val="24"/>
          <w:szCs w:val="24"/>
        </w:rPr>
      </w:pPr>
    </w:p>
    <w:p w14:paraId="0BFF592F" w14:textId="77777777" w:rsidR="00450B25" w:rsidRDefault="00450B25" w:rsidP="00305114">
      <w:pPr>
        <w:spacing w:line="480" w:lineRule="auto"/>
        <w:ind w:firstLine="720"/>
        <w:rPr>
          <w:rFonts w:asciiTheme="majorBidi" w:eastAsia="Times New Roman" w:hAnsiTheme="majorBidi" w:cstheme="majorBidi"/>
          <w:sz w:val="24"/>
          <w:szCs w:val="24"/>
        </w:rPr>
      </w:pPr>
    </w:p>
    <w:p w14:paraId="3A1DB295" w14:textId="77777777" w:rsidR="00450B25" w:rsidRPr="00305114" w:rsidRDefault="00450B25" w:rsidP="00305114">
      <w:pPr>
        <w:spacing w:line="480" w:lineRule="auto"/>
        <w:ind w:firstLine="720"/>
        <w:rPr>
          <w:rFonts w:asciiTheme="majorBidi" w:eastAsia="Times New Roman" w:hAnsiTheme="majorBidi" w:cstheme="majorBidi"/>
          <w:sz w:val="24"/>
          <w:szCs w:val="24"/>
        </w:rPr>
      </w:pPr>
    </w:p>
    <w:p w14:paraId="437B7440" w14:textId="6C04AC55"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lastRenderedPageBreak/>
        <w:t xml:space="preserve">Table </w:t>
      </w:r>
      <w:r w:rsidR="00450B25">
        <w:rPr>
          <w:rFonts w:asciiTheme="majorBidi" w:eastAsia="Times New Roman" w:hAnsiTheme="majorBidi" w:cstheme="majorBidi"/>
          <w:b/>
          <w:sz w:val="24"/>
          <w:szCs w:val="24"/>
        </w:rPr>
        <w:t>4</w:t>
      </w:r>
    </w:p>
    <w:p w14:paraId="7227A199"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A comprehensive overview of the acquisition parameters used across different sites in the study</w:t>
      </w:r>
    </w:p>
    <w:tbl>
      <w:tblPr>
        <w:tblW w:w="102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820"/>
        <w:gridCol w:w="1680"/>
        <w:gridCol w:w="1305"/>
        <w:gridCol w:w="1050"/>
        <w:gridCol w:w="1425"/>
      </w:tblGrid>
      <w:tr w:rsidR="008F4E90" w:rsidRPr="008F4E90" w14:paraId="6EF269E0" w14:textId="77777777" w:rsidTr="00305114">
        <w:tc>
          <w:tcPr>
            <w:tcW w:w="1965" w:type="dxa"/>
            <w:tcBorders>
              <w:left w:val="single" w:sz="8" w:space="0" w:color="FFFFFF"/>
              <w:right w:val="single" w:sz="8" w:space="0" w:color="FFFFFF"/>
            </w:tcBorders>
          </w:tcPr>
          <w:p w14:paraId="756F6F6D"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Site</w:t>
            </w:r>
          </w:p>
        </w:tc>
        <w:tc>
          <w:tcPr>
            <w:tcW w:w="2820" w:type="dxa"/>
            <w:tcBorders>
              <w:left w:val="single" w:sz="8" w:space="0" w:color="FFFFFF"/>
              <w:right w:val="single" w:sz="8" w:space="0" w:color="FFFFFF"/>
            </w:tcBorders>
          </w:tcPr>
          <w:p w14:paraId="4F12AABF"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Voxel size</w:t>
            </w:r>
          </w:p>
        </w:tc>
        <w:tc>
          <w:tcPr>
            <w:tcW w:w="1680" w:type="dxa"/>
            <w:tcBorders>
              <w:left w:val="single" w:sz="8" w:space="0" w:color="FFFFFF"/>
              <w:right w:val="single" w:sz="8" w:space="0" w:color="FFFFFF"/>
            </w:tcBorders>
          </w:tcPr>
          <w:p w14:paraId="1A2D4ED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Slice thickness</w:t>
            </w:r>
          </w:p>
        </w:tc>
        <w:tc>
          <w:tcPr>
            <w:tcW w:w="1305" w:type="dxa"/>
            <w:tcBorders>
              <w:left w:val="single" w:sz="8" w:space="0" w:color="FFFFFF"/>
              <w:right w:val="single" w:sz="8" w:space="0" w:color="FFFFFF"/>
            </w:tcBorders>
          </w:tcPr>
          <w:p w14:paraId="57370FD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TR</w:t>
            </w:r>
          </w:p>
        </w:tc>
        <w:tc>
          <w:tcPr>
            <w:tcW w:w="1050" w:type="dxa"/>
            <w:tcBorders>
              <w:left w:val="single" w:sz="8" w:space="0" w:color="FFFFFF"/>
              <w:right w:val="single" w:sz="8" w:space="0" w:color="FFFFFF"/>
            </w:tcBorders>
          </w:tcPr>
          <w:p w14:paraId="76683EC3"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TE</w:t>
            </w:r>
          </w:p>
        </w:tc>
        <w:tc>
          <w:tcPr>
            <w:tcW w:w="1425" w:type="dxa"/>
            <w:tcBorders>
              <w:left w:val="single" w:sz="8" w:space="0" w:color="FFFFFF"/>
              <w:right w:val="single" w:sz="8" w:space="0" w:color="FFFFFF"/>
            </w:tcBorders>
          </w:tcPr>
          <w:p w14:paraId="183CC8D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Time points</w:t>
            </w:r>
          </w:p>
        </w:tc>
      </w:tr>
      <w:tr w:rsidR="008F4E90" w:rsidRPr="008F4E90" w14:paraId="4BB8A997" w14:textId="77777777" w:rsidTr="00305114">
        <w:tc>
          <w:tcPr>
            <w:tcW w:w="1965" w:type="dxa"/>
            <w:tcBorders>
              <w:left w:val="single" w:sz="8" w:space="0" w:color="FFFFFF"/>
              <w:bottom w:val="single" w:sz="8" w:space="0" w:color="FFFFFF"/>
              <w:right w:val="single" w:sz="8" w:space="0" w:color="FFFFFF"/>
            </w:tcBorders>
          </w:tcPr>
          <w:p w14:paraId="64D49AED"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NYU</w:t>
            </w:r>
          </w:p>
        </w:tc>
        <w:tc>
          <w:tcPr>
            <w:tcW w:w="2820" w:type="dxa"/>
            <w:tcBorders>
              <w:left w:val="single" w:sz="8" w:space="0" w:color="FFFFFF"/>
              <w:bottom w:val="single" w:sz="8" w:space="0" w:color="FFFFFF"/>
              <w:right w:val="single" w:sz="8" w:space="0" w:color="FFFFFF"/>
            </w:tcBorders>
          </w:tcPr>
          <w:p w14:paraId="4B486D4F"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3.0*3.0*4.0 mm</w:t>
            </w:r>
          </w:p>
        </w:tc>
        <w:tc>
          <w:tcPr>
            <w:tcW w:w="1680" w:type="dxa"/>
            <w:tcBorders>
              <w:left w:val="single" w:sz="8" w:space="0" w:color="FFFFFF"/>
              <w:bottom w:val="single" w:sz="8" w:space="0" w:color="FFFFFF"/>
              <w:right w:val="single" w:sz="8" w:space="0" w:color="FFFFFF"/>
            </w:tcBorders>
          </w:tcPr>
          <w:p w14:paraId="3496492A"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4.0 mm</w:t>
            </w:r>
          </w:p>
        </w:tc>
        <w:tc>
          <w:tcPr>
            <w:tcW w:w="1305" w:type="dxa"/>
            <w:tcBorders>
              <w:left w:val="single" w:sz="8" w:space="0" w:color="FFFFFF"/>
              <w:bottom w:val="single" w:sz="8" w:space="0" w:color="FFFFFF"/>
              <w:right w:val="single" w:sz="8" w:space="0" w:color="FFFFFF"/>
            </w:tcBorders>
          </w:tcPr>
          <w:p w14:paraId="0481A575"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2000 </w:t>
            </w:r>
            <w:proofErr w:type="spellStart"/>
            <w:r w:rsidRPr="00305114">
              <w:rPr>
                <w:rFonts w:asciiTheme="majorBidi" w:eastAsia="Times New Roman" w:hAnsiTheme="majorBidi" w:cstheme="majorBidi"/>
                <w:sz w:val="24"/>
                <w:szCs w:val="24"/>
              </w:rPr>
              <w:t>ms</w:t>
            </w:r>
            <w:proofErr w:type="spellEnd"/>
          </w:p>
        </w:tc>
        <w:tc>
          <w:tcPr>
            <w:tcW w:w="1050" w:type="dxa"/>
            <w:tcBorders>
              <w:left w:val="single" w:sz="8" w:space="0" w:color="FFFFFF"/>
              <w:bottom w:val="single" w:sz="8" w:space="0" w:color="FFFFFF"/>
              <w:right w:val="single" w:sz="8" w:space="0" w:color="FFFFFF"/>
            </w:tcBorders>
          </w:tcPr>
          <w:p w14:paraId="7CB51AC5"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15ms</w:t>
            </w:r>
          </w:p>
        </w:tc>
        <w:tc>
          <w:tcPr>
            <w:tcW w:w="1425" w:type="dxa"/>
            <w:tcBorders>
              <w:left w:val="single" w:sz="8" w:space="0" w:color="FFFFFF"/>
              <w:bottom w:val="single" w:sz="8" w:space="0" w:color="FFFFFF"/>
              <w:right w:val="single" w:sz="8" w:space="0" w:color="FFFFFF"/>
            </w:tcBorders>
          </w:tcPr>
          <w:p w14:paraId="4AD0EA48"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180</w:t>
            </w:r>
          </w:p>
        </w:tc>
      </w:tr>
      <w:tr w:rsidR="008F4E90" w:rsidRPr="008F4E90" w14:paraId="63065286" w14:textId="77777777" w:rsidTr="00305114">
        <w:tc>
          <w:tcPr>
            <w:tcW w:w="1965" w:type="dxa"/>
            <w:tcBorders>
              <w:top w:val="single" w:sz="8" w:space="0" w:color="FFFFFF"/>
              <w:left w:val="single" w:sz="8" w:space="0" w:color="FFFFFF"/>
              <w:bottom w:val="single" w:sz="8" w:space="0" w:color="FFFFFF"/>
              <w:right w:val="single" w:sz="8" w:space="0" w:color="FFFFFF"/>
            </w:tcBorders>
          </w:tcPr>
          <w:p w14:paraId="064EF31B"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SDSU</w:t>
            </w:r>
          </w:p>
        </w:tc>
        <w:tc>
          <w:tcPr>
            <w:tcW w:w="2820" w:type="dxa"/>
            <w:tcBorders>
              <w:top w:val="single" w:sz="8" w:space="0" w:color="FFFFFF"/>
              <w:left w:val="single" w:sz="8" w:space="0" w:color="FFFFFF"/>
              <w:bottom w:val="single" w:sz="8" w:space="0" w:color="FFFFFF"/>
              <w:right w:val="single" w:sz="8" w:space="0" w:color="FFFFFF"/>
            </w:tcBorders>
          </w:tcPr>
          <w:p w14:paraId="1DD0FFD8"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w:t>
            </w:r>
          </w:p>
        </w:tc>
        <w:tc>
          <w:tcPr>
            <w:tcW w:w="1680" w:type="dxa"/>
            <w:tcBorders>
              <w:top w:val="single" w:sz="8" w:space="0" w:color="FFFFFF"/>
              <w:left w:val="single" w:sz="8" w:space="0" w:color="FFFFFF"/>
              <w:bottom w:val="single" w:sz="8" w:space="0" w:color="FFFFFF"/>
              <w:right w:val="single" w:sz="8" w:space="0" w:color="FFFFFF"/>
            </w:tcBorders>
          </w:tcPr>
          <w:p w14:paraId="75F3BB4F"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3.4 mm</w:t>
            </w:r>
          </w:p>
        </w:tc>
        <w:tc>
          <w:tcPr>
            <w:tcW w:w="1305" w:type="dxa"/>
            <w:tcBorders>
              <w:top w:val="single" w:sz="8" w:space="0" w:color="FFFFFF"/>
              <w:left w:val="single" w:sz="8" w:space="0" w:color="FFFFFF"/>
              <w:bottom w:val="single" w:sz="8" w:space="0" w:color="FFFFFF"/>
              <w:right w:val="single" w:sz="8" w:space="0" w:color="FFFFFF"/>
            </w:tcBorders>
          </w:tcPr>
          <w:p w14:paraId="2265CE98"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2000 </w:t>
            </w:r>
            <w:proofErr w:type="spellStart"/>
            <w:r w:rsidRPr="00305114">
              <w:rPr>
                <w:rFonts w:asciiTheme="majorBidi" w:eastAsia="Times New Roman" w:hAnsiTheme="majorBidi" w:cstheme="majorBidi"/>
                <w:sz w:val="24"/>
                <w:szCs w:val="24"/>
              </w:rPr>
              <w:t>ms</w:t>
            </w:r>
            <w:proofErr w:type="spellEnd"/>
          </w:p>
        </w:tc>
        <w:tc>
          <w:tcPr>
            <w:tcW w:w="1050" w:type="dxa"/>
            <w:tcBorders>
              <w:top w:val="single" w:sz="8" w:space="0" w:color="FFFFFF"/>
              <w:left w:val="single" w:sz="8" w:space="0" w:color="FFFFFF"/>
              <w:bottom w:val="single" w:sz="8" w:space="0" w:color="FFFFFF"/>
              <w:right w:val="single" w:sz="8" w:space="0" w:color="FFFFFF"/>
            </w:tcBorders>
          </w:tcPr>
          <w:p w14:paraId="36B371AA"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30 </w:t>
            </w:r>
            <w:proofErr w:type="spellStart"/>
            <w:r w:rsidRPr="00305114">
              <w:rPr>
                <w:rFonts w:asciiTheme="majorBidi" w:eastAsia="Times New Roman" w:hAnsiTheme="majorBidi" w:cstheme="majorBidi"/>
                <w:sz w:val="24"/>
                <w:szCs w:val="24"/>
              </w:rPr>
              <w:t>ms</w:t>
            </w:r>
            <w:proofErr w:type="spellEnd"/>
          </w:p>
        </w:tc>
        <w:tc>
          <w:tcPr>
            <w:tcW w:w="1425" w:type="dxa"/>
            <w:tcBorders>
              <w:top w:val="single" w:sz="8" w:space="0" w:color="FFFFFF"/>
              <w:left w:val="single" w:sz="8" w:space="0" w:color="FFFFFF"/>
              <w:bottom w:val="single" w:sz="8" w:space="0" w:color="FFFFFF"/>
              <w:right w:val="single" w:sz="8" w:space="0" w:color="FFFFFF"/>
            </w:tcBorders>
          </w:tcPr>
          <w:p w14:paraId="1D1C556F"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180</w:t>
            </w:r>
          </w:p>
        </w:tc>
      </w:tr>
      <w:tr w:rsidR="008F4E90" w:rsidRPr="008F4E90" w14:paraId="231C7D2E" w14:textId="77777777" w:rsidTr="00305114">
        <w:tc>
          <w:tcPr>
            <w:tcW w:w="1965" w:type="dxa"/>
            <w:tcBorders>
              <w:top w:val="single" w:sz="8" w:space="0" w:color="FFFFFF"/>
              <w:left w:val="single" w:sz="8" w:space="0" w:color="FFFFFF"/>
              <w:bottom w:val="single" w:sz="8" w:space="0" w:color="FFFFFF"/>
              <w:right w:val="single" w:sz="8" w:space="0" w:color="FFFFFF"/>
            </w:tcBorders>
          </w:tcPr>
          <w:p w14:paraId="0498B84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STANFORD</w:t>
            </w:r>
          </w:p>
        </w:tc>
        <w:tc>
          <w:tcPr>
            <w:tcW w:w="2820" w:type="dxa"/>
            <w:tcBorders>
              <w:top w:val="single" w:sz="8" w:space="0" w:color="FFFFFF"/>
              <w:left w:val="single" w:sz="8" w:space="0" w:color="FFFFFF"/>
              <w:bottom w:val="single" w:sz="8" w:space="0" w:color="FFFFFF"/>
              <w:right w:val="single" w:sz="8" w:space="0" w:color="FFFFFF"/>
            </w:tcBorders>
          </w:tcPr>
          <w:p w14:paraId="71E2F860"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3.125*3.125 *4.500 mm</w:t>
            </w:r>
          </w:p>
        </w:tc>
        <w:tc>
          <w:tcPr>
            <w:tcW w:w="1680" w:type="dxa"/>
            <w:tcBorders>
              <w:top w:val="single" w:sz="8" w:space="0" w:color="FFFFFF"/>
              <w:left w:val="single" w:sz="8" w:space="0" w:color="FFFFFF"/>
              <w:bottom w:val="single" w:sz="8" w:space="0" w:color="FFFFFF"/>
              <w:right w:val="single" w:sz="8" w:space="0" w:color="FFFFFF"/>
            </w:tcBorders>
          </w:tcPr>
          <w:p w14:paraId="2B5F60A1" w14:textId="77777777" w:rsidR="00305114" w:rsidRPr="00305114" w:rsidRDefault="00305114" w:rsidP="00305114">
            <w:pPr>
              <w:spacing w:line="480" w:lineRule="auto"/>
              <w:jc w:val="center"/>
              <w:rPr>
                <w:rFonts w:asciiTheme="majorBidi" w:eastAsia="Times New Roman" w:hAnsiTheme="majorBidi" w:cstheme="majorBidi"/>
                <w:sz w:val="24"/>
                <w:szCs w:val="24"/>
              </w:rPr>
            </w:pPr>
          </w:p>
        </w:tc>
        <w:tc>
          <w:tcPr>
            <w:tcW w:w="1305" w:type="dxa"/>
            <w:tcBorders>
              <w:top w:val="single" w:sz="8" w:space="0" w:color="FFFFFF"/>
              <w:left w:val="single" w:sz="8" w:space="0" w:color="FFFFFF"/>
              <w:bottom w:val="single" w:sz="8" w:space="0" w:color="FFFFFF"/>
              <w:right w:val="single" w:sz="8" w:space="0" w:color="FFFFFF"/>
            </w:tcBorders>
          </w:tcPr>
          <w:p w14:paraId="050ACDBE"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2000 </w:t>
            </w:r>
            <w:proofErr w:type="spellStart"/>
            <w:r w:rsidRPr="00305114">
              <w:rPr>
                <w:rFonts w:asciiTheme="majorBidi" w:eastAsia="Times New Roman" w:hAnsiTheme="majorBidi" w:cstheme="majorBidi"/>
                <w:sz w:val="24"/>
                <w:szCs w:val="24"/>
              </w:rPr>
              <w:t>ms</w:t>
            </w:r>
            <w:proofErr w:type="spellEnd"/>
          </w:p>
        </w:tc>
        <w:tc>
          <w:tcPr>
            <w:tcW w:w="1050" w:type="dxa"/>
            <w:tcBorders>
              <w:top w:val="single" w:sz="8" w:space="0" w:color="FFFFFF"/>
              <w:left w:val="single" w:sz="8" w:space="0" w:color="FFFFFF"/>
              <w:bottom w:val="single" w:sz="8" w:space="0" w:color="FFFFFF"/>
              <w:right w:val="single" w:sz="8" w:space="0" w:color="FFFFFF"/>
            </w:tcBorders>
          </w:tcPr>
          <w:p w14:paraId="0A83AFEB"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30 </w:t>
            </w:r>
            <w:proofErr w:type="spellStart"/>
            <w:r w:rsidRPr="00305114">
              <w:rPr>
                <w:rFonts w:asciiTheme="majorBidi" w:eastAsia="Times New Roman" w:hAnsiTheme="majorBidi" w:cstheme="majorBidi"/>
                <w:sz w:val="24"/>
                <w:szCs w:val="24"/>
              </w:rPr>
              <w:t>ms</w:t>
            </w:r>
            <w:proofErr w:type="spellEnd"/>
          </w:p>
        </w:tc>
        <w:tc>
          <w:tcPr>
            <w:tcW w:w="1425" w:type="dxa"/>
            <w:tcBorders>
              <w:top w:val="single" w:sz="8" w:space="0" w:color="FFFFFF"/>
              <w:left w:val="single" w:sz="8" w:space="0" w:color="FFFFFF"/>
              <w:bottom w:val="single" w:sz="8" w:space="0" w:color="FFFFFF"/>
              <w:right w:val="single" w:sz="8" w:space="0" w:color="FFFFFF"/>
            </w:tcBorders>
          </w:tcPr>
          <w:p w14:paraId="79007F31"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180</w:t>
            </w:r>
          </w:p>
        </w:tc>
      </w:tr>
      <w:tr w:rsidR="008F4E90" w:rsidRPr="008F4E90" w14:paraId="2F850A21" w14:textId="77777777" w:rsidTr="00305114">
        <w:tc>
          <w:tcPr>
            <w:tcW w:w="1965" w:type="dxa"/>
            <w:tcBorders>
              <w:top w:val="single" w:sz="8" w:space="0" w:color="FFFFFF"/>
              <w:left w:val="single" w:sz="8" w:space="0" w:color="FFFFFF"/>
              <w:bottom w:val="single" w:sz="8" w:space="0" w:color="FFFFFF"/>
              <w:right w:val="single" w:sz="8" w:space="0" w:color="FFFFFF"/>
            </w:tcBorders>
          </w:tcPr>
          <w:p w14:paraId="16FB034A"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TRINITY</w:t>
            </w:r>
          </w:p>
        </w:tc>
        <w:tc>
          <w:tcPr>
            <w:tcW w:w="2820" w:type="dxa"/>
            <w:tcBorders>
              <w:top w:val="single" w:sz="8" w:space="0" w:color="FFFFFF"/>
              <w:left w:val="single" w:sz="8" w:space="0" w:color="FFFFFF"/>
              <w:bottom w:val="single" w:sz="8" w:space="0" w:color="FFFFFF"/>
              <w:right w:val="single" w:sz="8" w:space="0" w:color="FFFFFF"/>
            </w:tcBorders>
          </w:tcPr>
          <w:p w14:paraId="36B9DC7D"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3.0*3.0*3.0 mm</w:t>
            </w:r>
          </w:p>
        </w:tc>
        <w:tc>
          <w:tcPr>
            <w:tcW w:w="1680" w:type="dxa"/>
            <w:tcBorders>
              <w:top w:val="single" w:sz="8" w:space="0" w:color="FFFFFF"/>
              <w:left w:val="single" w:sz="8" w:space="0" w:color="FFFFFF"/>
              <w:bottom w:val="single" w:sz="8" w:space="0" w:color="FFFFFF"/>
              <w:right w:val="single" w:sz="8" w:space="0" w:color="FFFFFF"/>
            </w:tcBorders>
          </w:tcPr>
          <w:p w14:paraId="134C8081"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3.5 mm</w:t>
            </w:r>
          </w:p>
        </w:tc>
        <w:tc>
          <w:tcPr>
            <w:tcW w:w="1305" w:type="dxa"/>
            <w:tcBorders>
              <w:top w:val="single" w:sz="8" w:space="0" w:color="FFFFFF"/>
              <w:left w:val="single" w:sz="8" w:space="0" w:color="FFFFFF"/>
              <w:bottom w:val="single" w:sz="8" w:space="0" w:color="FFFFFF"/>
              <w:right w:val="single" w:sz="8" w:space="0" w:color="FFFFFF"/>
            </w:tcBorders>
          </w:tcPr>
          <w:p w14:paraId="78EA8736"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2000 </w:t>
            </w:r>
            <w:proofErr w:type="spellStart"/>
            <w:r w:rsidRPr="00305114">
              <w:rPr>
                <w:rFonts w:asciiTheme="majorBidi" w:eastAsia="Times New Roman" w:hAnsiTheme="majorBidi" w:cstheme="majorBidi"/>
                <w:sz w:val="24"/>
                <w:szCs w:val="24"/>
              </w:rPr>
              <w:t>ms</w:t>
            </w:r>
            <w:proofErr w:type="spellEnd"/>
          </w:p>
        </w:tc>
        <w:tc>
          <w:tcPr>
            <w:tcW w:w="1050" w:type="dxa"/>
            <w:tcBorders>
              <w:top w:val="single" w:sz="8" w:space="0" w:color="FFFFFF"/>
              <w:left w:val="single" w:sz="8" w:space="0" w:color="FFFFFF"/>
              <w:bottom w:val="single" w:sz="8" w:space="0" w:color="FFFFFF"/>
              <w:right w:val="single" w:sz="8" w:space="0" w:color="FFFFFF"/>
            </w:tcBorders>
          </w:tcPr>
          <w:p w14:paraId="58522537"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28 </w:t>
            </w:r>
            <w:proofErr w:type="spellStart"/>
            <w:r w:rsidRPr="00305114">
              <w:rPr>
                <w:rFonts w:asciiTheme="majorBidi" w:eastAsia="Times New Roman" w:hAnsiTheme="majorBidi" w:cstheme="majorBidi"/>
                <w:sz w:val="24"/>
                <w:szCs w:val="24"/>
              </w:rPr>
              <w:t>ms</w:t>
            </w:r>
            <w:proofErr w:type="spellEnd"/>
          </w:p>
        </w:tc>
        <w:tc>
          <w:tcPr>
            <w:tcW w:w="1425" w:type="dxa"/>
            <w:tcBorders>
              <w:top w:val="single" w:sz="8" w:space="0" w:color="FFFFFF"/>
              <w:left w:val="single" w:sz="8" w:space="0" w:color="FFFFFF"/>
              <w:bottom w:val="single" w:sz="8" w:space="0" w:color="FFFFFF"/>
              <w:right w:val="single" w:sz="8" w:space="0" w:color="FFFFFF"/>
            </w:tcBorders>
          </w:tcPr>
          <w:p w14:paraId="626A9FE5"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150</w:t>
            </w:r>
          </w:p>
        </w:tc>
      </w:tr>
      <w:tr w:rsidR="008F4E90" w:rsidRPr="008F4E90" w14:paraId="08B4F287" w14:textId="77777777" w:rsidTr="00305114">
        <w:tc>
          <w:tcPr>
            <w:tcW w:w="1965" w:type="dxa"/>
            <w:tcBorders>
              <w:top w:val="single" w:sz="8" w:space="0" w:color="FFFFFF"/>
              <w:left w:val="single" w:sz="8" w:space="0" w:color="FFFFFF"/>
              <w:bottom w:val="single" w:sz="8" w:space="0" w:color="FFFFFF"/>
              <w:right w:val="single" w:sz="8" w:space="0" w:color="FFFFFF"/>
            </w:tcBorders>
          </w:tcPr>
          <w:p w14:paraId="1DE26A15"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UM</w:t>
            </w:r>
          </w:p>
        </w:tc>
        <w:tc>
          <w:tcPr>
            <w:tcW w:w="2820" w:type="dxa"/>
            <w:tcBorders>
              <w:top w:val="single" w:sz="8" w:space="0" w:color="FFFFFF"/>
              <w:left w:val="single" w:sz="8" w:space="0" w:color="FFFFFF"/>
              <w:bottom w:val="single" w:sz="8" w:space="0" w:color="FFFFFF"/>
              <w:right w:val="single" w:sz="8" w:space="0" w:color="FFFFFF"/>
            </w:tcBorders>
          </w:tcPr>
          <w:p w14:paraId="120C7628"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3.438*3.438*3.0mm</w:t>
            </w:r>
          </w:p>
        </w:tc>
        <w:tc>
          <w:tcPr>
            <w:tcW w:w="1680" w:type="dxa"/>
            <w:tcBorders>
              <w:top w:val="single" w:sz="8" w:space="0" w:color="FFFFFF"/>
              <w:left w:val="single" w:sz="8" w:space="0" w:color="FFFFFF"/>
              <w:bottom w:val="single" w:sz="8" w:space="0" w:color="FFFFFF"/>
              <w:right w:val="single" w:sz="8" w:space="0" w:color="FFFFFF"/>
            </w:tcBorders>
          </w:tcPr>
          <w:p w14:paraId="031D9DC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3.0 mm</w:t>
            </w:r>
          </w:p>
        </w:tc>
        <w:tc>
          <w:tcPr>
            <w:tcW w:w="1305" w:type="dxa"/>
            <w:tcBorders>
              <w:top w:val="single" w:sz="8" w:space="0" w:color="FFFFFF"/>
              <w:left w:val="single" w:sz="8" w:space="0" w:color="FFFFFF"/>
              <w:bottom w:val="single" w:sz="8" w:space="0" w:color="FFFFFF"/>
              <w:right w:val="single" w:sz="8" w:space="0" w:color="FFFFFF"/>
            </w:tcBorders>
          </w:tcPr>
          <w:p w14:paraId="223B569B"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2000 </w:t>
            </w:r>
            <w:proofErr w:type="spellStart"/>
            <w:r w:rsidRPr="00305114">
              <w:rPr>
                <w:rFonts w:asciiTheme="majorBidi" w:eastAsia="Times New Roman" w:hAnsiTheme="majorBidi" w:cstheme="majorBidi"/>
                <w:sz w:val="24"/>
                <w:szCs w:val="24"/>
              </w:rPr>
              <w:t>ms</w:t>
            </w:r>
            <w:proofErr w:type="spellEnd"/>
          </w:p>
        </w:tc>
        <w:tc>
          <w:tcPr>
            <w:tcW w:w="1050" w:type="dxa"/>
            <w:tcBorders>
              <w:top w:val="single" w:sz="8" w:space="0" w:color="FFFFFF"/>
              <w:left w:val="single" w:sz="8" w:space="0" w:color="FFFFFF"/>
              <w:bottom w:val="single" w:sz="8" w:space="0" w:color="FFFFFF"/>
              <w:right w:val="single" w:sz="8" w:space="0" w:color="FFFFFF"/>
            </w:tcBorders>
          </w:tcPr>
          <w:p w14:paraId="59763454"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30 </w:t>
            </w:r>
            <w:proofErr w:type="spellStart"/>
            <w:r w:rsidRPr="00305114">
              <w:rPr>
                <w:rFonts w:asciiTheme="majorBidi" w:eastAsia="Times New Roman" w:hAnsiTheme="majorBidi" w:cstheme="majorBidi"/>
                <w:sz w:val="24"/>
                <w:szCs w:val="24"/>
              </w:rPr>
              <w:t>ms</w:t>
            </w:r>
            <w:proofErr w:type="spellEnd"/>
          </w:p>
        </w:tc>
        <w:tc>
          <w:tcPr>
            <w:tcW w:w="1425" w:type="dxa"/>
            <w:tcBorders>
              <w:top w:val="single" w:sz="8" w:space="0" w:color="FFFFFF"/>
              <w:left w:val="single" w:sz="8" w:space="0" w:color="FFFFFF"/>
              <w:bottom w:val="single" w:sz="8" w:space="0" w:color="FFFFFF"/>
              <w:right w:val="single" w:sz="8" w:space="0" w:color="FFFFFF"/>
            </w:tcBorders>
          </w:tcPr>
          <w:p w14:paraId="26C257F4"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300</w:t>
            </w:r>
          </w:p>
        </w:tc>
      </w:tr>
      <w:tr w:rsidR="008F4E90" w:rsidRPr="008F4E90" w14:paraId="0C0C639B" w14:textId="77777777" w:rsidTr="00305114">
        <w:tc>
          <w:tcPr>
            <w:tcW w:w="1965" w:type="dxa"/>
            <w:tcBorders>
              <w:top w:val="single" w:sz="8" w:space="0" w:color="FFFFFF"/>
              <w:left w:val="single" w:sz="8" w:space="0" w:color="FFFFFF"/>
              <w:bottom w:val="single" w:sz="8" w:space="0" w:color="FFFFFF"/>
              <w:right w:val="single" w:sz="8" w:space="0" w:color="FFFFFF"/>
            </w:tcBorders>
          </w:tcPr>
          <w:p w14:paraId="20C8D214"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USM</w:t>
            </w:r>
          </w:p>
        </w:tc>
        <w:tc>
          <w:tcPr>
            <w:tcW w:w="2820" w:type="dxa"/>
            <w:tcBorders>
              <w:top w:val="single" w:sz="8" w:space="0" w:color="FFFFFF"/>
              <w:left w:val="single" w:sz="8" w:space="0" w:color="FFFFFF"/>
              <w:bottom w:val="single" w:sz="8" w:space="0" w:color="FFFFFF"/>
              <w:right w:val="single" w:sz="8" w:space="0" w:color="FFFFFF"/>
            </w:tcBorders>
          </w:tcPr>
          <w:p w14:paraId="5330031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3.4*3.4*4.0mm</w:t>
            </w:r>
          </w:p>
        </w:tc>
        <w:tc>
          <w:tcPr>
            <w:tcW w:w="1680" w:type="dxa"/>
            <w:tcBorders>
              <w:top w:val="single" w:sz="8" w:space="0" w:color="FFFFFF"/>
              <w:left w:val="single" w:sz="8" w:space="0" w:color="FFFFFF"/>
              <w:bottom w:val="single" w:sz="8" w:space="0" w:color="FFFFFF"/>
              <w:right w:val="single" w:sz="8" w:space="0" w:color="FFFFFF"/>
            </w:tcBorders>
          </w:tcPr>
          <w:p w14:paraId="73F42BB3"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3.0 mm</w:t>
            </w:r>
          </w:p>
        </w:tc>
        <w:tc>
          <w:tcPr>
            <w:tcW w:w="1305" w:type="dxa"/>
            <w:tcBorders>
              <w:top w:val="single" w:sz="8" w:space="0" w:color="FFFFFF"/>
              <w:left w:val="single" w:sz="8" w:space="0" w:color="FFFFFF"/>
              <w:bottom w:val="single" w:sz="8" w:space="0" w:color="FFFFFF"/>
              <w:right w:val="single" w:sz="8" w:space="0" w:color="FFFFFF"/>
            </w:tcBorders>
          </w:tcPr>
          <w:p w14:paraId="793D6CC2"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2000ms</w:t>
            </w:r>
          </w:p>
        </w:tc>
        <w:tc>
          <w:tcPr>
            <w:tcW w:w="1050" w:type="dxa"/>
            <w:tcBorders>
              <w:top w:val="single" w:sz="8" w:space="0" w:color="FFFFFF"/>
              <w:left w:val="single" w:sz="8" w:space="0" w:color="FFFFFF"/>
              <w:bottom w:val="single" w:sz="8" w:space="0" w:color="FFFFFF"/>
              <w:right w:val="single" w:sz="8" w:space="0" w:color="FFFFFF"/>
            </w:tcBorders>
          </w:tcPr>
          <w:p w14:paraId="44823CB2"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28ms</w:t>
            </w:r>
          </w:p>
        </w:tc>
        <w:tc>
          <w:tcPr>
            <w:tcW w:w="1425" w:type="dxa"/>
            <w:tcBorders>
              <w:top w:val="single" w:sz="8" w:space="0" w:color="FFFFFF"/>
              <w:left w:val="single" w:sz="8" w:space="0" w:color="FFFFFF"/>
              <w:bottom w:val="single" w:sz="8" w:space="0" w:color="FFFFFF"/>
              <w:right w:val="single" w:sz="8" w:space="0" w:color="FFFFFF"/>
            </w:tcBorders>
          </w:tcPr>
          <w:p w14:paraId="535F59FF"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240</w:t>
            </w:r>
          </w:p>
        </w:tc>
      </w:tr>
      <w:tr w:rsidR="008F4E90" w:rsidRPr="008F4E90" w14:paraId="1CBD4357" w14:textId="77777777" w:rsidTr="00305114">
        <w:tc>
          <w:tcPr>
            <w:tcW w:w="1965" w:type="dxa"/>
            <w:tcBorders>
              <w:top w:val="single" w:sz="8" w:space="0" w:color="FFFFFF"/>
              <w:left w:val="single" w:sz="8" w:space="0" w:color="FFFFFF"/>
              <w:right w:val="single" w:sz="8" w:space="0" w:color="FFFFFF"/>
            </w:tcBorders>
          </w:tcPr>
          <w:p w14:paraId="5255EE39"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YALE</w:t>
            </w:r>
          </w:p>
        </w:tc>
        <w:tc>
          <w:tcPr>
            <w:tcW w:w="2820" w:type="dxa"/>
            <w:tcBorders>
              <w:top w:val="single" w:sz="8" w:space="0" w:color="FFFFFF"/>
              <w:left w:val="single" w:sz="8" w:space="0" w:color="FFFFFF"/>
              <w:right w:val="single" w:sz="8" w:space="0" w:color="FFFFFF"/>
            </w:tcBorders>
          </w:tcPr>
          <w:p w14:paraId="45A0F465"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3.4*3.4*4.0mm</w:t>
            </w:r>
          </w:p>
        </w:tc>
        <w:tc>
          <w:tcPr>
            <w:tcW w:w="1680" w:type="dxa"/>
            <w:tcBorders>
              <w:top w:val="single" w:sz="8" w:space="0" w:color="FFFFFF"/>
              <w:left w:val="single" w:sz="8" w:space="0" w:color="FFFFFF"/>
              <w:right w:val="single" w:sz="8" w:space="0" w:color="FFFFFF"/>
            </w:tcBorders>
          </w:tcPr>
          <w:p w14:paraId="4ACCB1EA"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4.0 mm</w:t>
            </w:r>
          </w:p>
        </w:tc>
        <w:tc>
          <w:tcPr>
            <w:tcW w:w="1305" w:type="dxa"/>
            <w:tcBorders>
              <w:top w:val="single" w:sz="8" w:space="0" w:color="FFFFFF"/>
              <w:left w:val="single" w:sz="8" w:space="0" w:color="FFFFFF"/>
              <w:right w:val="single" w:sz="8" w:space="0" w:color="FFFFFF"/>
            </w:tcBorders>
          </w:tcPr>
          <w:p w14:paraId="29D23513"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2000ms</w:t>
            </w:r>
          </w:p>
        </w:tc>
        <w:tc>
          <w:tcPr>
            <w:tcW w:w="1050" w:type="dxa"/>
            <w:tcBorders>
              <w:top w:val="single" w:sz="8" w:space="0" w:color="FFFFFF"/>
              <w:left w:val="single" w:sz="8" w:space="0" w:color="FFFFFF"/>
              <w:right w:val="single" w:sz="8" w:space="0" w:color="FFFFFF"/>
            </w:tcBorders>
          </w:tcPr>
          <w:p w14:paraId="004AF64B"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25ms</w:t>
            </w:r>
          </w:p>
        </w:tc>
        <w:tc>
          <w:tcPr>
            <w:tcW w:w="1425" w:type="dxa"/>
            <w:tcBorders>
              <w:top w:val="single" w:sz="8" w:space="0" w:color="FFFFFF"/>
              <w:left w:val="single" w:sz="8" w:space="0" w:color="FFFFFF"/>
              <w:right w:val="single" w:sz="8" w:space="0" w:color="FFFFFF"/>
            </w:tcBorders>
          </w:tcPr>
          <w:p w14:paraId="56D74D4C"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200</w:t>
            </w:r>
          </w:p>
        </w:tc>
      </w:tr>
    </w:tbl>
    <w:p w14:paraId="23CD2398"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t>Note</w:t>
      </w:r>
      <w:r w:rsidRPr="00305114">
        <w:rPr>
          <w:rFonts w:asciiTheme="majorBidi" w:eastAsia="Times New Roman" w:hAnsiTheme="majorBidi" w:cstheme="majorBidi"/>
          <w:sz w:val="24"/>
          <w:szCs w:val="24"/>
        </w:rPr>
        <w:t>.  TR = repetition time. TE = echo time.</w:t>
      </w:r>
    </w:p>
    <w:p w14:paraId="0FDB4089"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lang w:val="it-IT"/>
        </w:rPr>
        <w:t xml:space="preserve">NYU = NYU Langone Medical Center. </w:t>
      </w:r>
      <w:r w:rsidRPr="00305114">
        <w:rPr>
          <w:rFonts w:asciiTheme="majorBidi" w:eastAsia="Times New Roman" w:hAnsiTheme="majorBidi" w:cstheme="majorBidi"/>
          <w:sz w:val="24"/>
          <w:szCs w:val="24"/>
        </w:rPr>
        <w:t xml:space="preserve">SDSU = San Diego State University. </w:t>
      </w:r>
    </w:p>
    <w:p w14:paraId="694771BA" w14:textId="77777777" w:rsidR="00305114" w:rsidRDefault="00305114" w:rsidP="00F14238">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STANFORD = Stanford University. TRINITY = Trinity Centre for Health Sciences.  UM = University of Michigan. USM = University of Utah</w:t>
      </w:r>
      <w:r w:rsidR="00F14238" w:rsidRPr="008F4E90">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 xml:space="preserve">School of Medicine. YALE = Yale Child Study </w:t>
      </w:r>
      <w:proofErr w:type="spellStart"/>
      <w:r w:rsidRPr="00305114">
        <w:rPr>
          <w:rFonts w:asciiTheme="majorBidi" w:eastAsia="Times New Roman" w:hAnsiTheme="majorBidi" w:cstheme="majorBidi"/>
          <w:sz w:val="24"/>
          <w:szCs w:val="24"/>
        </w:rPr>
        <w:t>Center</w:t>
      </w:r>
      <w:proofErr w:type="spellEnd"/>
      <w:r w:rsidRPr="00305114">
        <w:rPr>
          <w:rFonts w:asciiTheme="majorBidi" w:eastAsia="Times New Roman" w:hAnsiTheme="majorBidi" w:cstheme="majorBidi"/>
          <w:sz w:val="24"/>
          <w:szCs w:val="24"/>
        </w:rPr>
        <w:t>.</w:t>
      </w:r>
    </w:p>
    <w:p w14:paraId="078B0300" w14:textId="77777777" w:rsidR="00450B25" w:rsidRPr="00305114" w:rsidRDefault="00450B25" w:rsidP="00F14238">
      <w:pPr>
        <w:spacing w:line="480" w:lineRule="auto"/>
        <w:rPr>
          <w:rFonts w:asciiTheme="majorBidi" w:eastAsia="Times New Roman" w:hAnsiTheme="majorBidi" w:cstheme="majorBidi"/>
          <w:sz w:val="24"/>
          <w:szCs w:val="24"/>
        </w:rPr>
      </w:pPr>
    </w:p>
    <w:p w14:paraId="74E2E1FB" w14:textId="77777777" w:rsidR="00305114" w:rsidRPr="00450B25" w:rsidRDefault="00305114" w:rsidP="00305114">
      <w:pPr>
        <w:spacing w:line="480" w:lineRule="auto"/>
        <w:rPr>
          <w:rFonts w:asciiTheme="majorBidi" w:eastAsia="Times New Roman" w:hAnsiTheme="majorBidi" w:cstheme="majorBidi"/>
          <w:b/>
          <w:iCs/>
          <w:sz w:val="24"/>
          <w:szCs w:val="24"/>
        </w:rPr>
      </w:pPr>
      <w:proofErr w:type="spellStart"/>
      <w:r w:rsidRPr="00450B25">
        <w:rPr>
          <w:rFonts w:asciiTheme="majorBidi" w:eastAsia="Times New Roman" w:hAnsiTheme="majorBidi" w:cstheme="majorBidi"/>
          <w:b/>
          <w:iCs/>
          <w:sz w:val="24"/>
          <w:szCs w:val="24"/>
        </w:rPr>
        <w:t>rs</w:t>
      </w:r>
      <w:proofErr w:type="spellEnd"/>
      <w:r w:rsidRPr="00450B25">
        <w:rPr>
          <w:rFonts w:asciiTheme="majorBidi" w:eastAsia="Times New Roman" w:hAnsiTheme="majorBidi" w:cstheme="majorBidi"/>
          <w:b/>
          <w:iCs/>
          <w:sz w:val="24"/>
          <w:szCs w:val="24"/>
        </w:rPr>
        <w:t xml:space="preserve">-fMRI data pre-processing </w:t>
      </w:r>
    </w:p>
    <w:p w14:paraId="3F044C3A"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image </w:t>
      </w:r>
      <w:r w:rsidRPr="008F4E90">
        <w:rPr>
          <w:rFonts w:asciiTheme="majorBidi" w:eastAsia="Times New Roman" w:hAnsiTheme="majorBidi" w:cstheme="majorBidi"/>
          <w:sz w:val="24"/>
          <w:szCs w:val="24"/>
        </w:rPr>
        <w:t>pre-processing</w:t>
      </w:r>
      <w:r w:rsidRPr="00305114">
        <w:rPr>
          <w:rFonts w:asciiTheme="majorBidi" w:eastAsia="Times New Roman" w:hAnsiTheme="majorBidi" w:cstheme="majorBidi"/>
          <w:sz w:val="24"/>
          <w:szCs w:val="24"/>
        </w:rPr>
        <w:t xml:space="preserve"> was performed using the Data Processing Assistant for Resting-State fMRI (DPARSF) </w:t>
      </w:r>
      <w:hyperlink r:id="rId563">
        <w:r w:rsidRPr="00305114">
          <w:rPr>
            <w:rFonts w:asciiTheme="majorBidi" w:eastAsia="Times New Roman" w:hAnsiTheme="majorBidi" w:cstheme="majorBidi"/>
            <w:sz w:val="24"/>
            <w:szCs w:val="24"/>
          </w:rPr>
          <w:t>(Chao-Gan &amp; Yu-Feng, 2010)</w:t>
        </w:r>
      </w:hyperlink>
      <w:r w:rsidRPr="00305114">
        <w:rPr>
          <w:rFonts w:asciiTheme="majorBidi" w:eastAsia="Times New Roman" w:hAnsiTheme="majorBidi" w:cstheme="majorBidi"/>
          <w:sz w:val="24"/>
          <w:szCs w:val="24"/>
        </w:rPr>
        <w:t xml:space="preserve">, a tool based on Statistical Parametric Mapping (SPM) </w:t>
      </w:r>
      <w:hyperlink r:id="rId564">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Flandin</w:t>
        </w:r>
        <w:proofErr w:type="spellEnd"/>
        <w:r w:rsidRPr="00305114">
          <w:rPr>
            <w:rFonts w:asciiTheme="majorBidi" w:eastAsia="Times New Roman" w:hAnsiTheme="majorBidi" w:cstheme="majorBidi"/>
            <w:sz w:val="24"/>
            <w:szCs w:val="24"/>
          </w:rPr>
          <w:t xml:space="preserve"> &amp; Friston, 2008)</w:t>
        </w:r>
      </w:hyperlink>
      <w:r w:rsidRPr="00305114">
        <w:rPr>
          <w:rFonts w:asciiTheme="majorBidi" w:eastAsia="Times New Roman" w:hAnsiTheme="majorBidi" w:cstheme="majorBidi"/>
          <w:sz w:val="24"/>
          <w:szCs w:val="24"/>
        </w:rPr>
        <w:t xml:space="preserve"> and the Data Processing &amp; Analysis of Brain Imaging (DPABI) toolbox </w:t>
      </w:r>
      <w:hyperlink r:id="rId565">
        <w:r w:rsidRPr="00305114">
          <w:rPr>
            <w:rFonts w:asciiTheme="majorBidi" w:eastAsia="Times New Roman" w:hAnsiTheme="majorBidi" w:cstheme="majorBidi"/>
            <w:sz w:val="24"/>
            <w:szCs w:val="24"/>
          </w:rPr>
          <w:t>(Yan et al., 2016)</w:t>
        </w:r>
      </w:hyperlink>
      <w:r w:rsidRPr="00305114">
        <w:rPr>
          <w:rFonts w:asciiTheme="majorBidi" w:eastAsia="Times New Roman" w:hAnsiTheme="majorBidi" w:cstheme="majorBidi"/>
          <w:sz w:val="24"/>
          <w:szCs w:val="24"/>
        </w:rPr>
        <w:t xml:space="preserve">. The standard </w:t>
      </w:r>
      <w:r w:rsidR="00E135A4" w:rsidRPr="008F4E90">
        <w:rPr>
          <w:rFonts w:asciiTheme="majorBidi" w:eastAsia="Times New Roman" w:hAnsiTheme="majorBidi" w:cstheme="majorBidi"/>
          <w:sz w:val="24"/>
          <w:szCs w:val="24"/>
        </w:rPr>
        <w:t>pre-processing</w:t>
      </w:r>
      <w:r w:rsidRPr="00305114">
        <w:rPr>
          <w:rFonts w:asciiTheme="majorBidi" w:eastAsia="Times New Roman" w:hAnsiTheme="majorBidi" w:cstheme="majorBidi"/>
          <w:sz w:val="24"/>
          <w:szCs w:val="24"/>
        </w:rPr>
        <w:t xml:space="preserve"> steps from the ABIDE project were as follows. These steps included slice timing correction, head motion correction, normalisation, and spatial smoothing.</w:t>
      </w:r>
    </w:p>
    <w:p w14:paraId="22ED123B"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Specifically, the </w:t>
      </w:r>
      <w:r w:rsidR="00E135A4" w:rsidRPr="008F4E90">
        <w:rPr>
          <w:rFonts w:asciiTheme="majorBidi" w:eastAsia="Times New Roman" w:hAnsiTheme="majorBidi" w:cstheme="majorBidi"/>
          <w:sz w:val="24"/>
          <w:szCs w:val="24"/>
        </w:rPr>
        <w:t>pre-processing</w:t>
      </w:r>
      <w:r w:rsidRPr="00305114">
        <w:rPr>
          <w:rFonts w:asciiTheme="majorBidi" w:eastAsia="Times New Roman" w:hAnsiTheme="majorBidi" w:cstheme="majorBidi"/>
          <w:sz w:val="24"/>
          <w:szCs w:val="24"/>
        </w:rPr>
        <w:t xml:space="preserve"> involved correcting the acquisition duration differences between volume slices, realigning the time series using a six-parameter rigid body linear transformation, registering the images to the MNI standard space with 3x3x3 mm voxels, and applying a 6mm smoothing </w:t>
      </w:r>
      <w:r w:rsidRPr="00305114">
        <w:rPr>
          <w:rFonts w:asciiTheme="majorBidi" w:eastAsia="Times New Roman" w:hAnsiTheme="majorBidi" w:cstheme="majorBidi"/>
          <w:sz w:val="24"/>
          <w:szCs w:val="24"/>
        </w:rPr>
        <w:lastRenderedPageBreak/>
        <w:t>kernel. A Friston 24-parameter model was also used to regress out head motion effects from the realigned data.</w:t>
      </w:r>
    </w:p>
    <w:p w14:paraId="7BE12E02"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initial ten volumes were discarded during the </w:t>
      </w:r>
      <w:r w:rsidR="00E135A4" w:rsidRPr="008F4E90">
        <w:rPr>
          <w:rFonts w:asciiTheme="majorBidi" w:eastAsia="Times New Roman" w:hAnsiTheme="majorBidi" w:cstheme="majorBidi"/>
          <w:sz w:val="24"/>
          <w:szCs w:val="24"/>
        </w:rPr>
        <w:t>pre-processing</w:t>
      </w:r>
      <w:r w:rsidRPr="00305114">
        <w:rPr>
          <w:rFonts w:asciiTheme="majorBidi" w:eastAsia="Times New Roman" w:hAnsiTheme="majorBidi" w:cstheme="majorBidi"/>
          <w:sz w:val="24"/>
          <w:szCs w:val="24"/>
        </w:rPr>
        <w:t xml:space="preserve">, and the slice-timing correction was performed to account for different signal acquisition times. Each subject's time series of images were then realigned using a two-pass procedure, with registration to the first image followed by registration to the mean functional image. Co-registration between individual T1-weighted MPRAGE images and the mean functional image was performed without resampling. The individual T1 images were segmented into grey matter, white matter, and cerebrospinal fluid using the DARTEL tool. No global normalisation was performed. High-pass filtering at 0.01 Hz was also applied to the time series signal, as the low-pass filtering could be controversial. Low-pass filtering has reduced detection sensitivity without significantly improving specificity </w:t>
      </w:r>
      <w:hyperlink r:id="rId566">
        <w:r w:rsidRPr="00305114">
          <w:rPr>
            <w:rFonts w:asciiTheme="majorBidi" w:eastAsia="Times New Roman" w:hAnsiTheme="majorBidi" w:cstheme="majorBidi"/>
            <w:sz w:val="24"/>
            <w:szCs w:val="24"/>
          </w:rPr>
          <w:t>(Della-Maggiore et al., 2002)</w:t>
        </w:r>
      </w:hyperlink>
      <w:r w:rsidRPr="00305114">
        <w:rPr>
          <w:rFonts w:asciiTheme="majorBidi" w:eastAsia="Times New Roman" w:hAnsiTheme="majorBidi" w:cstheme="majorBidi"/>
          <w:sz w:val="24"/>
          <w:szCs w:val="24"/>
        </w:rPr>
        <w:t xml:space="preserve">. This filtering method introduces a significant level of autocorrelation in the signal, thereby violating the assumptions of temporal independence necessary for sample entropy estimation. Additionally, other research demonstrated the presence of significant fMRI frequencies exceeding 0.15 Hz </w:t>
      </w:r>
      <w:hyperlink r:id="rId567">
        <w:r w:rsidRPr="00305114">
          <w:rPr>
            <w:rFonts w:asciiTheme="majorBidi" w:eastAsia="Times New Roman" w:hAnsiTheme="majorBidi" w:cstheme="majorBidi"/>
            <w:sz w:val="24"/>
            <w:szCs w:val="24"/>
          </w:rPr>
          <w:t>(Chen &amp; Glover, 2015; Kundu et al., 2012)</w:t>
        </w:r>
      </w:hyperlink>
      <w:r w:rsidRPr="00305114">
        <w:rPr>
          <w:rFonts w:asciiTheme="majorBidi" w:eastAsia="Times New Roman" w:hAnsiTheme="majorBidi" w:cstheme="majorBidi"/>
          <w:sz w:val="24"/>
          <w:szCs w:val="24"/>
        </w:rPr>
        <w:t>. After filtering the signals, transformations from the individual native space to the MNI space were computed finally.</w:t>
      </w:r>
    </w:p>
    <w:p w14:paraId="08AEF4FF" w14:textId="77777777" w:rsidR="00305114" w:rsidRPr="008F4E90"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To summarise, the image </w:t>
      </w:r>
      <w:r w:rsidRPr="008F4E90">
        <w:rPr>
          <w:rFonts w:asciiTheme="majorBidi" w:eastAsia="Times New Roman" w:hAnsiTheme="majorBidi" w:cstheme="majorBidi"/>
          <w:sz w:val="24"/>
          <w:szCs w:val="24"/>
        </w:rPr>
        <w:t>pre-processing</w:t>
      </w:r>
      <w:r w:rsidRPr="00305114">
        <w:rPr>
          <w:rFonts w:asciiTheme="majorBidi" w:eastAsia="Times New Roman" w:hAnsiTheme="majorBidi" w:cstheme="majorBidi"/>
          <w:sz w:val="24"/>
          <w:szCs w:val="24"/>
        </w:rPr>
        <w:t xml:space="preserve"> was performed using DPARSF, following the standard </w:t>
      </w:r>
      <w:r w:rsidRPr="008F4E90">
        <w:rPr>
          <w:rFonts w:asciiTheme="majorBidi" w:eastAsia="Times New Roman" w:hAnsiTheme="majorBidi" w:cstheme="majorBidi"/>
          <w:sz w:val="24"/>
          <w:szCs w:val="24"/>
        </w:rPr>
        <w:t>pre-processing</w:t>
      </w:r>
      <w:r w:rsidRPr="00305114">
        <w:rPr>
          <w:rFonts w:asciiTheme="majorBidi" w:eastAsia="Times New Roman" w:hAnsiTheme="majorBidi" w:cstheme="majorBidi"/>
          <w:sz w:val="24"/>
          <w:szCs w:val="24"/>
        </w:rPr>
        <w:t xml:space="preserve"> steps from the ABIDE project. This involved correcting for slice timing differences, realigning the images, registering to the MNI standard space, high pass filtering and smoothing the data. Head motion effects were regressed using a Friston 24-parameter model.</w:t>
      </w:r>
    </w:p>
    <w:p w14:paraId="3AF98E43" w14:textId="77777777" w:rsidR="00F14238" w:rsidRPr="00305114" w:rsidRDefault="00F14238" w:rsidP="00305114">
      <w:pPr>
        <w:spacing w:line="480" w:lineRule="auto"/>
        <w:ind w:firstLine="720"/>
        <w:rPr>
          <w:rFonts w:asciiTheme="majorBidi" w:eastAsia="Times New Roman" w:hAnsiTheme="majorBidi" w:cstheme="majorBidi"/>
          <w:sz w:val="24"/>
          <w:szCs w:val="24"/>
        </w:rPr>
      </w:pPr>
    </w:p>
    <w:p w14:paraId="12D37FF4" w14:textId="77777777" w:rsidR="00305114" w:rsidRPr="00450B25" w:rsidRDefault="00305114" w:rsidP="00305114">
      <w:pPr>
        <w:spacing w:line="480" w:lineRule="auto"/>
        <w:rPr>
          <w:rFonts w:asciiTheme="majorBidi" w:eastAsia="Times New Roman" w:hAnsiTheme="majorBidi" w:cstheme="majorBidi"/>
          <w:b/>
          <w:iCs/>
          <w:sz w:val="24"/>
          <w:szCs w:val="24"/>
        </w:rPr>
      </w:pPr>
      <w:r w:rsidRPr="00450B25">
        <w:rPr>
          <w:rFonts w:asciiTheme="majorBidi" w:eastAsia="Times New Roman" w:hAnsiTheme="majorBidi" w:cstheme="majorBidi"/>
          <w:b/>
          <w:iCs/>
          <w:sz w:val="24"/>
          <w:szCs w:val="24"/>
        </w:rPr>
        <w:t>Quality control for head motion</w:t>
      </w:r>
    </w:p>
    <w:p w14:paraId="56E05E6C" w14:textId="0A5426CD" w:rsidR="00305114" w:rsidRPr="00305114" w:rsidRDefault="00305114" w:rsidP="00305114">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Pre-processed</w:t>
      </w:r>
      <w:r w:rsidRPr="00305114">
        <w:rPr>
          <w:rFonts w:asciiTheme="majorBidi" w:eastAsia="Times New Roman" w:hAnsiTheme="majorBidi" w:cstheme="majorBidi"/>
          <w:sz w:val="24"/>
          <w:szCs w:val="24"/>
        </w:rPr>
        <w:t xml:space="preserv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data downloaded were priorly excluded if the scans showed excessive head motion, indexed by mean framewise displacement (FD) </w:t>
      </w:r>
      <w:hyperlink r:id="rId568">
        <w:r w:rsidRPr="00305114">
          <w:rPr>
            <w:rFonts w:asciiTheme="majorBidi" w:eastAsia="Times New Roman" w:hAnsiTheme="majorBidi" w:cstheme="majorBidi"/>
            <w:sz w:val="24"/>
            <w:szCs w:val="24"/>
          </w:rPr>
          <w:t>(Jenkinson et al., 2002)</w:t>
        </w:r>
      </w:hyperlink>
      <w:r w:rsidRPr="00305114">
        <w:rPr>
          <w:rFonts w:asciiTheme="majorBidi" w:eastAsia="Times New Roman" w:hAnsiTheme="majorBidi" w:cstheme="majorBidi"/>
          <w:sz w:val="24"/>
          <w:szCs w:val="24"/>
        </w:rPr>
        <w:t xml:space="preserve"> exceeding 0.2 mm. Raw resting-state functional data and T1-weighted magnetization-prepared gradient echo images (MPRAGE) obtained for further quality examination. Those with an excessive mean FD (i.e., mean </w:t>
      </w:r>
      <w:proofErr w:type="spellStart"/>
      <w:r w:rsidRPr="00305114">
        <w:rPr>
          <w:rFonts w:asciiTheme="majorBidi" w:eastAsia="Times New Roman" w:hAnsiTheme="majorBidi" w:cstheme="majorBidi"/>
          <w:sz w:val="24"/>
          <w:szCs w:val="24"/>
        </w:rPr>
        <w:t>FD_Jenkinson</w:t>
      </w:r>
      <w:proofErr w:type="spellEnd"/>
      <w:r w:rsidRPr="00305114">
        <w:rPr>
          <w:rFonts w:asciiTheme="majorBidi" w:eastAsia="Times New Roman" w:hAnsiTheme="majorBidi" w:cstheme="majorBidi"/>
          <w:sz w:val="24"/>
          <w:szCs w:val="24"/>
        </w:rPr>
        <w:t xml:space="preserve"> &gt; </w:t>
      </w:r>
      <w:r w:rsidRPr="00305114">
        <w:rPr>
          <w:rFonts w:asciiTheme="majorBidi" w:eastAsia="Times New Roman" w:hAnsiTheme="majorBidi" w:cstheme="majorBidi"/>
          <w:sz w:val="24"/>
          <w:szCs w:val="24"/>
        </w:rPr>
        <w:lastRenderedPageBreak/>
        <w:t xml:space="preserve">mean </w:t>
      </w:r>
      <w:proofErr w:type="spellStart"/>
      <w:r w:rsidRPr="00305114">
        <w:rPr>
          <w:rFonts w:asciiTheme="majorBidi" w:eastAsia="Times New Roman" w:hAnsiTheme="majorBidi" w:cstheme="majorBidi"/>
          <w:sz w:val="24"/>
          <w:szCs w:val="24"/>
        </w:rPr>
        <w:t>FD_Jenkinson</w:t>
      </w:r>
      <w:proofErr w:type="spellEnd"/>
      <w:r w:rsidRPr="00305114">
        <w:rPr>
          <w:rFonts w:asciiTheme="majorBidi" w:eastAsia="Times New Roman" w:hAnsiTheme="majorBidi" w:cstheme="majorBidi"/>
          <w:sz w:val="24"/>
          <w:szCs w:val="24"/>
        </w:rPr>
        <w:t xml:space="preserve">(group)+2*SD) were further excluded. This framewise displacement (FD) (Jenkinson) was defined to evaluate the volume-to-volume superimposed head position discrepancy. After excluding subjects with excessive head motion, independent sample t-tests determined that the ASC and control group from most sites were not significantly different in head motion. The individual mean </w:t>
      </w:r>
      <w:proofErr w:type="spellStart"/>
      <w:r w:rsidRPr="00305114">
        <w:rPr>
          <w:rFonts w:asciiTheme="majorBidi" w:eastAsia="Times New Roman" w:hAnsiTheme="majorBidi" w:cstheme="majorBidi"/>
          <w:sz w:val="24"/>
          <w:szCs w:val="24"/>
        </w:rPr>
        <w:t>FD_Jenkinson</w:t>
      </w:r>
      <w:proofErr w:type="spellEnd"/>
      <w:r w:rsidRPr="00305114">
        <w:rPr>
          <w:rFonts w:asciiTheme="majorBidi" w:eastAsia="Times New Roman" w:hAnsiTheme="majorBidi" w:cstheme="majorBidi"/>
          <w:sz w:val="24"/>
          <w:szCs w:val="24"/>
        </w:rPr>
        <w:t xml:space="preserve"> was calculated after performing the realignment between functional data and T1 image in DPARSF with the application of pre-generated matrices (</w:t>
      </w:r>
      <w:hyperlink r:id="rId569">
        <w:r w:rsidRPr="00305114">
          <w:rPr>
            <w:rFonts w:asciiTheme="majorBidi" w:eastAsia="Times New Roman" w:hAnsiTheme="majorBidi" w:cstheme="majorBidi"/>
            <w:sz w:val="24"/>
            <w:szCs w:val="24"/>
          </w:rPr>
          <w:t>https://www.rfmri.org/DownloadedReorientMats</w:t>
        </w:r>
      </w:hyperlink>
      <w:r w:rsidRPr="00305114">
        <w:rPr>
          <w:rFonts w:asciiTheme="majorBidi" w:eastAsia="Times New Roman" w:hAnsiTheme="majorBidi" w:cstheme="majorBidi"/>
          <w:sz w:val="24"/>
          <w:szCs w:val="24"/>
        </w:rPr>
        <w:t xml:space="preserve">) to reorient the origin of functional data and T1 image to the anterior commissure first. </w:t>
      </w:r>
    </w:p>
    <w:p w14:paraId="78934A92" w14:textId="77777777" w:rsidR="00305114" w:rsidRPr="00305114" w:rsidRDefault="00305114" w:rsidP="00305114">
      <w:pPr>
        <w:spacing w:line="480" w:lineRule="auto"/>
        <w:rPr>
          <w:rFonts w:asciiTheme="majorBidi" w:eastAsia="Times New Roman" w:hAnsiTheme="majorBidi" w:cstheme="majorBidi"/>
          <w:sz w:val="24"/>
          <w:szCs w:val="24"/>
        </w:rPr>
      </w:pPr>
    </w:p>
    <w:p w14:paraId="45A0AE1D" w14:textId="77777777" w:rsidR="00305114" w:rsidRPr="00305114" w:rsidRDefault="00305114" w:rsidP="00305114">
      <w:pPr>
        <w:spacing w:line="480" w:lineRule="auto"/>
        <w:rPr>
          <w:rFonts w:asciiTheme="majorBidi" w:eastAsia="Times New Roman" w:hAnsiTheme="majorBidi" w:cstheme="majorBidi"/>
          <w:sz w:val="24"/>
          <w:szCs w:val="24"/>
        </w:rPr>
      </w:pPr>
    </w:p>
    <w:p w14:paraId="404457BE" w14:textId="77777777" w:rsidR="00305114" w:rsidRPr="00305114" w:rsidRDefault="00305114" w:rsidP="00305114">
      <w:pPr>
        <w:spacing w:line="480" w:lineRule="auto"/>
        <w:rPr>
          <w:rFonts w:asciiTheme="majorBidi" w:eastAsia="Times New Roman" w:hAnsiTheme="majorBidi" w:cstheme="majorBidi"/>
          <w:sz w:val="24"/>
          <w:szCs w:val="24"/>
        </w:rPr>
      </w:pPr>
    </w:p>
    <w:p w14:paraId="18E6D943" w14:textId="77777777" w:rsidR="00305114" w:rsidRPr="00305114" w:rsidRDefault="00305114" w:rsidP="00305114">
      <w:pPr>
        <w:spacing w:line="480" w:lineRule="auto"/>
        <w:rPr>
          <w:rFonts w:asciiTheme="majorBidi" w:eastAsia="Times New Roman" w:hAnsiTheme="majorBidi" w:cstheme="majorBidi"/>
          <w:sz w:val="24"/>
          <w:szCs w:val="24"/>
        </w:rPr>
      </w:pPr>
    </w:p>
    <w:p w14:paraId="6B298C85" w14:textId="77777777" w:rsidR="00305114" w:rsidRPr="00305114" w:rsidRDefault="00305114" w:rsidP="00305114">
      <w:pPr>
        <w:spacing w:line="480" w:lineRule="auto"/>
        <w:rPr>
          <w:rFonts w:asciiTheme="majorBidi" w:eastAsia="Times New Roman" w:hAnsiTheme="majorBidi" w:cstheme="majorBidi"/>
          <w:sz w:val="24"/>
          <w:szCs w:val="24"/>
        </w:rPr>
      </w:pPr>
    </w:p>
    <w:p w14:paraId="3400B876" w14:textId="77777777" w:rsidR="00305114" w:rsidRPr="008F4E90" w:rsidRDefault="00305114" w:rsidP="00305114">
      <w:pPr>
        <w:spacing w:line="480" w:lineRule="auto"/>
        <w:rPr>
          <w:rFonts w:asciiTheme="majorBidi" w:eastAsia="Times New Roman" w:hAnsiTheme="majorBidi" w:cstheme="majorBidi"/>
          <w:sz w:val="24"/>
          <w:szCs w:val="24"/>
        </w:rPr>
      </w:pPr>
    </w:p>
    <w:p w14:paraId="1AB1614F" w14:textId="77777777" w:rsidR="00F14238" w:rsidRPr="008F4E90" w:rsidRDefault="00F14238" w:rsidP="00305114">
      <w:pPr>
        <w:spacing w:line="480" w:lineRule="auto"/>
        <w:rPr>
          <w:rFonts w:asciiTheme="majorBidi" w:eastAsia="Times New Roman" w:hAnsiTheme="majorBidi" w:cstheme="majorBidi"/>
          <w:sz w:val="24"/>
          <w:szCs w:val="24"/>
        </w:rPr>
      </w:pPr>
    </w:p>
    <w:p w14:paraId="21EED065" w14:textId="77777777" w:rsidR="00F14238" w:rsidRPr="008F4E90" w:rsidRDefault="00F14238" w:rsidP="00305114">
      <w:pPr>
        <w:spacing w:line="480" w:lineRule="auto"/>
        <w:rPr>
          <w:rFonts w:asciiTheme="majorBidi" w:eastAsia="Times New Roman" w:hAnsiTheme="majorBidi" w:cstheme="majorBidi"/>
          <w:sz w:val="24"/>
          <w:szCs w:val="24"/>
        </w:rPr>
      </w:pPr>
    </w:p>
    <w:p w14:paraId="61BD6B1C" w14:textId="77777777" w:rsidR="00F14238" w:rsidRPr="008F4E90" w:rsidRDefault="00F14238" w:rsidP="00305114">
      <w:pPr>
        <w:spacing w:line="480" w:lineRule="auto"/>
        <w:rPr>
          <w:rFonts w:asciiTheme="majorBidi" w:eastAsia="Times New Roman" w:hAnsiTheme="majorBidi" w:cstheme="majorBidi"/>
          <w:sz w:val="24"/>
          <w:szCs w:val="24"/>
        </w:rPr>
      </w:pPr>
    </w:p>
    <w:p w14:paraId="3AC308C2" w14:textId="77777777" w:rsidR="00F14238" w:rsidRPr="008F4E90" w:rsidRDefault="00F14238" w:rsidP="00305114">
      <w:pPr>
        <w:spacing w:line="480" w:lineRule="auto"/>
        <w:rPr>
          <w:rFonts w:asciiTheme="majorBidi" w:eastAsia="Times New Roman" w:hAnsiTheme="majorBidi" w:cstheme="majorBidi"/>
          <w:sz w:val="24"/>
          <w:szCs w:val="24"/>
        </w:rPr>
      </w:pPr>
    </w:p>
    <w:p w14:paraId="6733D06B" w14:textId="77777777" w:rsidR="00F14238" w:rsidRPr="00305114" w:rsidRDefault="00F14238" w:rsidP="00305114">
      <w:pPr>
        <w:spacing w:line="480" w:lineRule="auto"/>
        <w:rPr>
          <w:rFonts w:asciiTheme="majorBidi" w:eastAsia="Times New Roman" w:hAnsiTheme="majorBidi" w:cstheme="majorBidi"/>
          <w:sz w:val="24"/>
          <w:szCs w:val="24"/>
        </w:rPr>
      </w:pPr>
    </w:p>
    <w:p w14:paraId="49CF7FD3" w14:textId="77777777" w:rsidR="00305114" w:rsidRDefault="00305114" w:rsidP="00305114">
      <w:pPr>
        <w:spacing w:line="480" w:lineRule="auto"/>
        <w:rPr>
          <w:rFonts w:asciiTheme="majorBidi" w:eastAsia="Times New Roman" w:hAnsiTheme="majorBidi" w:cstheme="majorBidi"/>
          <w:sz w:val="24"/>
          <w:szCs w:val="24"/>
        </w:rPr>
      </w:pPr>
    </w:p>
    <w:p w14:paraId="1A180E1A" w14:textId="77777777" w:rsidR="00450B25" w:rsidRDefault="00450B25" w:rsidP="00305114">
      <w:pPr>
        <w:spacing w:line="480" w:lineRule="auto"/>
        <w:rPr>
          <w:rFonts w:asciiTheme="majorBidi" w:eastAsia="Times New Roman" w:hAnsiTheme="majorBidi" w:cstheme="majorBidi"/>
          <w:sz w:val="24"/>
          <w:szCs w:val="24"/>
        </w:rPr>
      </w:pPr>
    </w:p>
    <w:p w14:paraId="182E6357" w14:textId="77777777" w:rsidR="00450B25" w:rsidRDefault="00450B25" w:rsidP="00305114">
      <w:pPr>
        <w:spacing w:line="480" w:lineRule="auto"/>
        <w:rPr>
          <w:rFonts w:asciiTheme="majorBidi" w:eastAsia="Times New Roman" w:hAnsiTheme="majorBidi" w:cstheme="majorBidi"/>
          <w:sz w:val="24"/>
          <w:szCs w:val="24"/>
        </w:rPr>
      </w:pPr>
    </w:p>
    <w:p w14:paraId="5F870974" w14:textId="77777777" w:rsidR="00450B25" w:rsidRDefault="00450B25" w:rsidP="00305114">
      <w:pPr>
        <w:spacing w:line="480" w:lineRule="auto"/>
        <w:rPr>
          <w:rFonts w:asciiTheme="majorBidi" w:eastAsia="Times New Roman" w:hAnsiTheme="majorBidi" w:cstheme="majorBidi"/>
          <w:sz w:val="24"/>
          <w:szCs w:val="24"/>
        </w:rPr>
      </w:pPr>
    </w:p>
    <w:p w14:paraId="5C8C63FE" w14:textId="77777777" w:rsidR="00450B25" w:rsidRDefault="00450B25" w:rsidP="00305114">
      <w:pPr>
        <w:spacing w:line="480" w:lineRule="auto"/>
        <w:rPr>
          <w:rFonts w:asciiTheme="majorBidi" w:eastAsia="Times New Roman" w:hAnsiTheme="majorBidi" w:cstheme="majorBidi"/>
          <w:sz w:val="24"/>
          <w:szCs w:val="24"/>
        </w:rPr>
      </w:pPr>
    </w:p>
    <w:p w14:paraId="37692989" w14:textId="77777777" w:rsidR="00450B25" w:rsidRPr="00305114" w:rsidRDefault="00450B25" w:rsidP="00305114">
      <w:pPr>
        <w:spacing w:line="480" w:lineRule="auto"/>
        <w:rPr>
          <w:rFonts w:asciiTheme="majorBidi" w:eastAsia="Times New Roman" w:hAnsiTheme="majorBidi" w:cstheme="majorBidi"/>
          <w:sz w:val="24"/>
          <w:szCs w:val="24"/>
        </w:rPr>
      </w:pPr>
    </w:p>
    <w:p w14:paraId="38678B28" w14:textId="04AAD1EA"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lastRenderedPageBreak/>
        <w:t xml:space="preserve">Table </w:t>
      </w:r>
      <w:r w:rsidR="00450B25">
        <w:rPr>
          <w:rFonts w:asciiTheme="majorBidi" w:eastAsia="Times New Roman" w:hAnsiTheme="majorBidi" w:cstheme="majorBidi"/>
          <w:b/>
          <w:sz w:val="24"/>
          <w:szCs w:val="24"/>
        </w:rPr>
        <w:t>5</w:t>
      </w:r>
    </w:p>
    <w:p w14:paraId="77525EA3"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 xml:space="preserve">Site-Wise </w:t>
      </w:r>
      <w:r w:rsidR="00E135A4" w:rsidRPr="008F4E90">
        <w:rPr>
          <w:rFonts w:asciiTheme="majorBidi" w:eastAsia="Times New Roman" w:hAnsiTheme="majorBidi" w:cstheme="majorBidi"/>
          <w:i/>
          <w:sz w:val="24"/>
          <w:szCs w:val="24"/>
        </w:rPr>
        <w:t>Pre-processed</w:t>
      </w:r>
      <w:r w:rsidRPr="00305114">
        <w:rPr>
          <w:rFonts w:asciiTheme="majorBidi" w:eastAsia="Times New Roman" w:hAnsiTheme="majorBidi" w:cstheme="majorBidi"/>
          <w:i/>
          <w:sz w:val="24"/>
          <w:szCs w:val="24"/>
        </w:rPr>
        <w:t xml:space="preserve"> Data Exclusion Criteria Using Head Motion Parameter (</w:t>
      </w:r>
      <w:proofErr w:type="spellStart"/>
      <w:r w:rsidRPr="00305114">
        <w:rPr>
          <w:rFonts w:asciiTheme="majorBidi" w:eastAsia="Times New Roman" w:hAnsiTheme="majorBidi" w:cstheme="majorBidi"/>
          <w:i/>
          <w:sz w:val="24"/>
          <w:szCs w:val="24"/>
        </w:rPr>
        <w:t>FD_Jenkinson</w:t>
      </w:r>
      <w:proofErr w:type="spellEnd"/>
      <w:r w:rsidRPr="00305114">
        <w:rPr>
          <w:rFonts w:asciiTheme="majorBidi" w:eastAsia="Times New Roman" w:hAnsiTheme="majorBidi" w:cstheme="majorBidi"/>
          <w:i/>
          <w:sz w:val="24"/>
          <w:szCs w:val="24"/>
        </w:rPr>
        <w:t>)</w:t>
      </w:r>
    </w:p>
    <w:p w14:paraId="2E057CA4"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w:t>
      </w:r>
      <w:proofErr w:type="spellStart"/>
      <w:r w:rsidRPr="00F14238">
        <w:rPr>
          <w:rFonts w:asciiTheme="majorBidi" w:eastAsia="Times New Roman" w:hAnsiTheme="majorBidi" w:cstheme="majorBidi"/>
          <w:i/>
          <w:iCs/>
          <w:sz w:val="24"/>
          <w:szCs w:val="24"/>
        </w:rPr>
        <w:t>FD_Jenkinson</w:t>
      </w:r>
      <w:proofErr w:type="spellEnd"/>
      <w:r w:rsidRPr="00F14238">
        <w:rPr>
          <w:rFonts w:asciiTheme="majorBidi" w:eastAsia="Times New Roman" w:hAnsiTheme="majorBidi" w:cstheme="majorBidi"/>
          <w:i/>
          <w:iCs/>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1467"/>
        <w:gridCol w:w="1217"/>
        <w:gridCol w:w="2126"/>
        <w:gridCol w:w="2977"/>
        <w:gridCol w:w="2400"/>
      </w:tblGrid>
      <w:tr w:rsidR="008F4E90" w:rsidRPr="008F4E90" w14:paraId="25E64CD8" w14:textId="77777777" w:rsidTr="00F14238">
        <w:tc>
          <w:tcPr>
            <w:tcW w:w="1467"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38B68EF"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Site</w:t>
            </w:r>
          </w:p>
        </w:tc>
        <w:tc>
          <w:tcPr>
            <w:tcW w:w="1217"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36456BFF"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Original</w:t>
            </w:r>
          </w:p>
          <w:p w14:paraId="204CE0F1"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Sample size </w:t>
            </w:r>
          </w:p>
        </w:tc>
        <w:tc>
          <w:tcPr>
            <w:tcW w:w="2126"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405E4615" w14:textId="77777777" w:rsidR="00F14238" w:rsidRPr="00F14238" w:rsidRDefault="00F14238" w:rsidP="00F14238">
            <w:pPr>
              <w:spacing w:line="480" w:lineRule="auto"/>
              <w:jc w:val="center"/>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Head Motion Criteria </w:t>
            </w:r>
          </w:p>
          <w:p w14:paraId="7BB366DF" w14:textId="77777777" w:rsidR="00F14238" w:rsidRPr="00F14238" w:rsidRDefault="00F14238" w:rsidP="00F14238">
            <w:pPr>
              <w:spacing w:line="480" w:lineRule="auto"/>
              <w:jc w:val="center"/>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(M += 2SD)</w:t>
            </w:r>
          </w:p>
        </w:tc>
        <w:tc>
          <w:tcPr>
            <w:tcW w:w="2977"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2C7E71A6"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 xml:space="preserve">Independent Sample t-tests between Group in Head Motion Parameter </w:t>
            </w:r>
          </w:p>
        </w:tc>
        <w:tc>
          <w:tcPr>
            <w:tcW w:w="240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hideMark/>
          </w:tcPr>
          <w:p w14:paraId="09DAB1DE"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Final Sample Size</w:t>
            </w:r>
          </w:p>
        </w:tc>
      </w:tr>
      <w:tr w:rsidR="008F4E90" w:rsidRPr="008F4E90" w14:paraId="66731847" w14:textId="77777777" w:rsidTr="00F14238">
        <w:tc>
          <w:tcPr>
            <w:tcW w:w="1467" w:type="dxa"/>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0F1EC0FB"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NYU</w:t>
            </w:r>
          </w:p>
        </w:tc>
        <w:tc>
          <w:tcPr>
            <w:tcW w:w="1217" w:type="dxa"/>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29DE0DBD"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184</w:t>
            </w:r>
          </w:p>
        </w:tc>
        <w:tc>
          <w:tcPr>
            <w:tcW w:w="2126" w:type="dxa"/>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6C1DA1C"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0.085+=0.033</w:t>
            </w:r>
            <w:r w:rsidRPr="00F14238">
              <w:rPr>
                <w:rFonts w:asciiTheme="majorBidi" w:eastAsia="Times New Roman" w:hAnsiTheme="majorBidi" w:cstheme="majorBidi"/>
                <w:sz w:val="24"/>
                <w:szCs w:val="24"/>
              </w:rPr>
              <w:br/>
              <w:t>0.068+=0.025</w:t>
            </w:r>
          </w:p>
        </w:tc>
        <w:tc>
          <w:tcPr>
            <w:tcW w:w="2977" w:type="dxa"/>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15D944D5"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=3.471,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&lt;0.01</w:t>
            </w:r>
          </w:p>
        </w:tc>
        <w:tc>
          <w:tcPr>
            <w:tcW w:w="2400" w:type="dxa"/>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14:paraId="4B325EFE"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166 (69 in autism;97 in control)</w:t>
            </w:r>
          </w:p>
        </w:tc>
      </w:tr>
      <w:tr w:rsidR="008F4E90" w:rsidRPr="008F4E90" w14:paraId="6C861367" w14:textId="77777777" w:rsidTr="00F14238">
        <w:tc>
          <w:tcPr>
            <w:tcW w:w="14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8774C1C"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SDSU</w:t>
            </w:r>
          </w:p>
        </w:tc>
        <w:tc>
          <w:tcPr>
            <w:tcW w:w="121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3AFB2BA"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36</w:t>
            </w:r>
          </w:p>
        </w:tc>
        <w:tc>
          <w:tcPr>
            <w:tcW w:w="21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6685A45"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0.070+=0.051</w:t>
            </w:r>
          </w:p>
          <w:p w14:paraId="2C5BD498"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0.072+=0.036</w:t>
            </w:r>
          </w:p>
        </w:tc>
        <w:tc>
          <w:tcPr>
            <w:tcW w:w="29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9F7A8A7"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=-0.084,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=0.934</w:t>
            </w:r>
          </w:p>
        </w:tc>
        <w:tc>
          <w:tcPr>
            <w:tcW w:w="24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0DFBEB"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33 (12 in autism;21 in control)</w:t>
            </w:r>
          </w:p>
        </w:tc>
      </w:tr>
      <w:tr w:rsidR="008F4E90" w:rsidRPr="008F4E90" w14:paraId="1FC9E310" w14:textId="77777777" w:rsidTr="00F14238">
        <w:tc>
          <w:tcPr>
            <w:tcW w:w="14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EA336A0"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STANFORD</w:t>
            </w:r>
          </w:p>
        </w:tc>
        <w:tc>
          <w:tcPr>
            <w:tcW w:w="121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6737AA9"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40</w:t>
            </w:r>
          </w:p>
        </w:tc>
        <w:tc>
          <w:tcPr>
            <w:tcW w:w="21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735537A"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0.117+=0.032</w:t>
            </w:r>
          </w:p>
          <w:p w14:paraId="73D03DFE"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0.124+=0.062</w:t>
            </w:r>
          </w:p>
        </w:tc>
        <w:tc>
          <w:tcPr>
            <w:tcW w:w="29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E72ED7"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=-0.395,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=0.696</w:t>
            </w:r>
          </w:p>
        </w:tc>
        <w:tc>
          <w:tcPr>
            <w:tcW w:w="24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FCA16F"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36 (17 in autism;19 in control)</w:t>
            </w:r>
          </w:p>
        </w:tc>
      </w:tr>
      <w:tr w:rsidR="008F4E90" w:rsidRPr="008F4E90" w14:paraId="19554F8A" w14:textId="77777777" w:rsidTr="00F14238">
        <w:tc>
          <w:tcPr>
            <w:tcW w:w="14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189815"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TRINITY</w:t>
            </w:r>
          </w:p>
        </w:tc>
        <w:tc>
          <w:tcPr>
            <w:tcW w:w="121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8F2B1C"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49</w:t>
            </w:r>
          </w:p>
        </w:tc>
        <w:tc>
          <w:tcPr>
            <w:tcW w:w="21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757D9B"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0.114+=0.046</w:t>
            </w:r>
          </w:p>
          <w:p w14:paraId="5E607222"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0.082+=0.019</w:t>
            </w:r>
          </w:p>
        </w:tc>
        <w:tc>
          <w:tcPr>
            <w:tcW w:w="29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5075F7D"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=2.918,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&lt;0.01</w:t>
            </w:r>
          </w:p>
        </w:tc>
        <w:tc>
          <w:tcPr>
            <w:tcW w:w="24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6E70FC7"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44 (21 in autism;23 in control)</w:t>
            </w:r>
          </w:p>
        </w:tc>
      </w:tr>
      <w:tr w:rsidR="008F4E90" w:rsidRPr="008F4E90" w14:paraId="1A2D358C" w14:textId="77777777" w:rsidTr="00F14238">
        <w:tc>
          <w:tcPr>
            <w:tcW w:w="14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8D9198D"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UM_1</w:t>
            </w:r>
          </w:p>
        </w:tc>
        <w:tc>
          <w:tcPr>
            <w:tcW w:w="121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BB62DCF"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110</w:t>
            </w:r>
          </w:p>
        </w:tc>
        <w:tc>
          <w:tcPr>
            <w:tcW w:w="21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083424"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0.104+=0.048</w:t>
            </w:r>
          </w:p>
          <w:p w14:paraId="70C53007"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0.075+=0.033</w:t>
            </w:r>
          </w:p>
        </w:tc>
        <w:tc>
          <w:tcPr>
            <w:tcW w:w="29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D06C69"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=3.123,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&lt;0.01</w:t>
            </w:r>
          </w:p>
        </w:tc>
        <w:tc>
          <w:tcPr>
            <w:tcW w:w="24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DBD953"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82 (36 in autism;46 in control)</w:t>
            </w:r>
          </w:p>
        </w:tc>
      </w:tr>
      <w:tr w:rsidR="008F4E90" w:rsidRPr="008F4E90" w14:paraId="4C352630" w14:textId="77777777" w:rsidTr="00F14238">
        <w:tc>
          <w:tcPr>
            <w:tcW w:w="14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36C0104"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UM_2</w:t>
            </w:r>
          </w:p>
        </w:tc>
        <w:tc>
          <w:tcPr>
            <w:tcW w:w="121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16FE964"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35</w:t>
            </w:r>
          </w:p>
        </w:tc>
        <w:tc>
          <w:tcPr>
            <w:tcW w:w="21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D599397"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0.101+=0.066</w:t>
            </w:r>
          </w:p>
          <w:p w14:paraId="20800836"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0.092+=0.093</w:t>
            </w:r>
          </w:p>
        </w:tc>
        <w:tc>
          <w:tcPr>
            <w:tcW w:w="29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AC7B8EF"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=0.300,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=0.766</w:t>
            </w:r>
          </w:p>
        </w:tc>
        <w:tc>
          <w:tcPr>
            <w:tcW w:w="24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B0EA74F"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31(12 in autism;19 in control)</w:t>
            </w:r>
          </w:p>
        </w:tc>
      </w:tr>
      <w:tr w:rsidR="008F4E90" w:rsidRPr="008F4E90" w14:paraId="2CF7548E" w14:textId="77777777" w:rsidTr="00F14238">
        <w:tc>
          <w:tcPr>
            <w:tcW w:w="146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E06EAE3"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USM</w:t>
            </w:r>
          </w:p>
        </w:tc>
        <w:tc>
          <w:tcPr>
            <w:tcW w:w="121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6DCC12"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101</w:t>
            </w:r>
          </w:p>
        </w:tc>
        <w:tc>
          <w:tcPr>
            <w:tcW w:w="21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3AC4ED"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0.107+=0.050</w:t>
            </w:r>
          </w:p>
          <w:p w14:paraId="06A191A4"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0.107+=0.046</w:t>
            </w:r>
          </w:p>
        </w:tc>
        <w:tc>
          <w:tcPr>
            <w:tcW w:w="297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5CF660"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=-0.006,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=0.995</w:t>
            </w:r>
          </w:p>
        </w:tc>
        <w:tc>
          <w:tcPr>
            <w:tcW w:w="24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C64AAC0"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60 (37 in autism;23 in control)</w:t>
            </w:r>
          </w:p>
        </w:tc>
      </w:tr>
      <w:tr w:rsidR="008F4E90" w:rsidRPr="008F4E90" w14:paraId="57313F2C" w14:textId="77777777" w:rsidTr="00F14238">
        <w:tc>
          <w:tcPr>
            <w:tcW w:w="1467"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27738608"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lastRenderedPageBreak/>
              <w:t>YALE</w:t>
            </w:r>
          </w:p>
        </w:tc>
        <w:tc>
          <w:tcPr>
            <w:tcW w:w="1217"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15E9AE76"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56</w:t>
            </w:r>
          </w:p>
        </w:tc>
        <w:tc>
          <w:tcPr>
            <w:tcW w:w="2126"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40D69845"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0.104+=0.050</w:t>
            </w:r>
          </w:p>
          <w:p w14:paraId="039C59C6"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0.088+=0.043</w:t>
            </w:r>
          </w:p>
        </w:tc>
        <w:tc>
          <w:tcPr>
            <w:tcW w:w="2977"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202CB814"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i/>
                <w:iCs/>
                <w:sz w:val="24"/>
                <w:szCs w:val="24"/>
              </w:rPr>
              <w:t>t</w:t>
            </w:r>
            <w:r w:rsidRPr="00F14238">
              <w:rPr>
                <w:rFonts w:asciiTheme="majorBidi" w:eastAsia="Times New Roman" w:hAnsiTheme="majorBidi" w:cstheme="majorBidi"/>
                <w:sz w:val="24"/>
                <w:szCs w:val="24"/>
              </w:rPr>
              <w:t xml:space="preserve">=1.189, </w:t>
            </w:r>
            <w:r w:rsidRPr="00F14238">
              <w:rPr>
                <w:rFonts w:asciiTheme="majorBidi" w:eastAsia="Times New Roman" w:hAnsiTheme="majorBidi" w:cstheme="majorBidi"/>
                <w:i/>
                <w:iCs/>
                <w:sz w:val="24"/>
                <w:szCs w:val="24"/>
              </w:rPr>
              <w:t>p</w:t>
            </w:r>
            <w:r w:rsidRPr="00F14238">
              <w:rPr>
                <w:rFonts w:asciiTheme="majorBidi" w:eastAsia="Times New Roman" w:hAnsiTheme="majorBidi" w:cstheme="majorBidi"/>
                <w:sz w:val="24"/>
                <w:szCs w:val="24"/>
              </w:rPr>
              <w:t>=0.241</w:t>
            </w:r>
          </w:p>
        </w:tc>
        <w:tc>
          <w:tcPr>
            <w:tcW w:w="240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14:paraId="6E9EA51D" w14:textId="77777777" w:rsidR="00F14238" w:rsidRPr="00F14238" w:rsidRDefault="00F14238" w:rsidP="00F14238">
            <w:pPr>
              <w:spacing w:line="480" w:lineRule="auto"/>
              <w:rPr>
                <w:rFonts w:asciiTheme="majorBidi" w:eastAsia="Times New Roman" w:hAnsiTheme="majorBidi" w:cstheme="majorBidi"/>
                <w:sz w:val="24"/>
                <w:szCs w:val="24"/>
              </w:rPr>
            </w:pPr>
            <w:r w:rsidRPr="00F14238">
              <w:rPr>
                <w:rFonts w:asciiTheme="majorBidi" w:eastAsia="Times New Roman" w:hAnsiTheme="majorBidi" w:cstheme="majorBidi"/>
                <w:sz w:val="24"/>
                <w:szCs w:val="24"/>
              </w:rPr>
              <w:t>48 (22 in autism;26 in control)</w:t>
            </w:r>
          </w:p>
        </w:tc>
      </w:tr>
    </w:tbl>
    <w:p w14:paraId="17515BB8" w14:textId="77777777" w:rsidR="00F14238" w:rsidRPr="00305114" w:rsidRDefault="00F14238" w:rsidP="00F14238">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lang w:val="it-IT"/>
        </w:rPr>
        <w:t>Note</w:t>
      </w:r>
      <w:r w:rsidRPr="00305114">
        <w:rPr>
          <w:rFonts w:asciiTheme="majorBidi" w:eastAsia="Times New Roman" w:hAnsiTheme="majorBidi" w:cstheme="majorBidi"/>
          <w:sz w:val="24"/>
          <w:szCs w:val="24"/>
          <w:lang w:val="it-IT"/>
        </w:rPr>
        <w:t xml:space="preserve">. NYU = NYU Langone Medical Center. </w:t>
      </w:r>
      <w:r w:rsidRPr="00305114">
        <w:rPr>
          <w:rFonts w:asciiTheme="majorBidi" w:eastAsia="Times New Roman" w:hAnsiTheme="majorBidi" w:cstheme="majorBidi"/>
          <w:sz w:val="24"/>
          <w:szCs w:val="24"/>
        </w:rPr>
        <w:t xml:space="preserve">SDSU = San Diego State University. </w:t>
      </w:r>
    </w:p>
    <w:p w14:paraId="2738686E" w14:textId="77777777" w:rsidR="00F14238" w:rsidRDefault="00F14238" w:rsidP="00F14238">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STANFORD = Stanford University. TRINITY = Trinity Centre for Health Sciences.  UM = University of Michigan. USM = University of Utah</w:t>
      </w:r>
      <w:r w:rsidRPr="008F4E90">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 xml:space="preserve">School of Medicine. YALE = Yale Child Study </w:t>
      </w:r>
      <w:proofErr w:type="spellStart"/>
      <w:r w:rsidRPr="00305114">
        <w:rPr>
          <w:rFonts w:asciiTheme="majorBidi" w:eastAsia="Times New Roman" w:hAnsiTheme="majorBidi" w:cstheme="majorBidi"/>
          <w:sz w:val="24"/>
          <w:szCs w:val="24"/>
        </w:rPr>
        <w:t>Center</w:t>
      </w:r>
      <w:proofErr w:type="spellEnd"/>
      <w:r w:rsidRPr="00305114">
        <w:rPr>
          <w:rFonts w:asciiTheme="majorBidi" w:eastAsia="Times New Roman" w:hAnsiTheme="majorBidi" w:cstheme="majorBidi"/>
          <w:sz w:val="24"/>
          <w:szCs w:val="24"/>
        </w:rPr>
        <w:t>.</w:t>
      </w:r>
    </w:p>
    <w:p w14:paraId="3A0AFB7C" w14:textId="77777777" w:rsidR="00A367A4" w:rsidRPr="00305114" w:rsidRDefault="00A367A4" w:rsidP="00F14238">
      <w:pPr>
        <w:spacing w:line="480" w:lineRule="auto"/>
        <w:rPr>
          <w:rFonts w:asciiTheme="majorBidi" w:eastAsia="Times New Roman" w:hAnsiTheme="majorBidi" w:cstheme="majorBidi"/>
          <w:sz w:val="24"/>
          <w:szCs w:val="24"/>
        </w:rPr>
      </w:pPr>
    </w:p>
    <w:p w14:paraId="525E8E60"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b/>
          <w:sz w:val="24"/>
          <w:szCs w:val="24"/>
        </w:rPr>
        <w:t xml:space="preserve"> Statistical analysis: Data-driven Exploration followed by Machine Learning Classifier</w:t>
      </w:r>
    </w:p>
    <w:p w14:paraId="1088D9E9"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In this study, the novel neurophysiological biomarker study pipeline (as illustrated in Figure 3) will be employed by extracting nonlinear features of spontaneous fMRI (i.e., multiscale sample entropy) and comparing group differences between individuals with and without ASC. More specifically, this novel resting-state neurophysiological biomarker pipeline includes data acquisition, preprocessing, feature extraction and classification </w:t>
      </w:r>
      <w:hyperlink r:id="rId570">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Heunis</w:t>
        </w:r>
        <w:proofErr w:type="spellEnd"/>
        <w:r w:rsidRPr="00305114">
          <w:rPr>
            <w:rFonts w:asciiTheme="majorBidi" w:eastAsia="Times New Roman" w:hAnsiTheme="majorBidi" w:cstheme="majorBidi"/>
            <w:sz w:val="24"/>
            <w:szCs w:val="24"/>
          </w:rPr>
          <w:t xml:space="preserve"> et al., 2016)</w:t>
        </w:r>
      </w:hyperlink>
      <w:r w:rsidRPr="00305114">
        <w:rPr>
          <w:rFonts w:asciiTheme="majorBidi" w:eastAsia="Times New Roman" w:hAnsiTheme="majorBidi" w:cstheme="majorBidi"/>
          <w:sz w:val="24"/>
          <w:szCs w:val="24"/>
        </w:rPr>
        <w:t xml:space="preserve">. In the feature extraction step, specific characteristics of the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signals will be extracted and compared, and these extracted pieces of information are referred to as "features." In the final step (classification), the machine learning strategies are incorporated to enhance the accuracy and effectiveness of the classification process </w:t>
      </w:r>
      <w:hyperlink r:id="rId571">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Bosl</w:t>
        </w:r>
        <w:proofErr w:type="spellEnd"/>
        <w:r w:rsidRPr="00305114">
          <w:rPr>
            <w:rFonts w:asciiTheme="majorBidi" w:eastAsia="Times New Roman" w:hAnsiTheme="majorBidi" w:cstheme="majorBidi"/>
            <w:sz w:val="24"/>
            <w:szCs w:val="24"/>
          </w:rPr>
          <w:t xml:space="preserve"> et al., 2011; Duffy &amp; Als, 2012; Pistorius et al., 2013)</w:t>
        </w:r>
      </w:hyperlink>
      <w:r w:rsidRPr="00305114">
        <w:rPr>
          <w:rFonts w:asciiTheme="majorBidi" w:eastAsia="Times New Roman" w:hAnsiTheme="majorBidi" w:cstheme="majorBidi"/>
          <w:sz w:val="24"/>
          <w:szCs w:val="24"/>
        </w:rPr>
        <w:t>.</w:t>
      </w:r>
    </w:p>
    <w:p w14:paraId="6D1C7BBC"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78C3CF0F"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0AEB64B8"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03839A79"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6AC9CD33"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5AD21509"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487DEFAF"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2260D841"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7854FA9E" w14:textId="77777777" w:rsidR="00305114" w:rsidRPr="00305114" w:rsidRDefault="00305114" w:rsidP="00305114">
      <w:pPr>
        <w:spacing w:line="480" w:lineRule="auto"/>
        <w:rPr>
          <w:rFonts w:asciiTheme="majorBidi" w:eastAsia="Times New Roman" w:hAnsiTheme="majorBidi" w:cstheme="majorBidi"/>
          <w:sz w:val="24"/>
          <w:szCs w:val="24"/>
        </w:rPr>
      </w:pPr>
    </w:p>
    <w:p w14:paraId="6F1F8AC3"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lastRenderedPageBreak/>
        <w:t>F</w:t>
      </w:r>
      <w:r w:rsidR="00E135A4" w:rsidRPr="008F4E90">
        <w:rPr>
          <w:rFonts w:asciiTheme="majorBidi" w:eastAsia="Times New Roman" w:hAnsiTheme="majorBidi" w:cstheme="majorBidi"/>
          <w:b/>
          <w:sz w:val="24"/>
          <w:szCs w:val="24"/>
        </w:rPr>
        <w:t>igure</w:t>
      </w:r>
      <w:r w:rsidRPr="00305114">
        <w:rPr>
          <w:rFonts w:asciiTheme="majorBidi" w:eastAsia="Times New Roman" w:hAnsiTheme="majorBidi" w:cstheme="majorBidi"/>
          <w:b/>
          <w:sz w:val="24"/>
          <w:szCs w:val="24"/>
        </w:rPr>
        <w:t xml:space="preserve"> 3</w:t>
      </w:r>
    </w:p>
    <w:p w14:paraId="281B5559"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 xml:space="preserve">Full analysis procedure based on </w:t>
      </w:r>
      <w:proofErr w:type="spellStart"/>
      <w:r w:rsidRPr="00305114">
        <w:rPr>
          <w:rFonts w:asciiTheme="majorBidi" w:eastAsia="Times New Roman" w:hAnsiTheme="majorBidi" w:cstheme="majorBidi"/>
          <w:i/>
          <w:sz w:val="24"/>
          <w:szCs w:val="24"/>
        </w:rPr>
        <w:t>rs</w:t>
      </w:r>
      <w:proofErr w:type="spellEnd"/>
      <w:r w:rsidRPr="00305114">
        <w:rPr>
          <w:rFonts w:asciiTheme="majorBidi" w:eastAsia="Times New Roman" w:hAnsiTheme="majorBidi" w:cstheme="majorBidi"/>
          <w:i/>
          <w:sz w:val="24"/>
          <w:szCs w:val="24"/>
        </w:rPr>
        <w:t>-fMRI data with multiscale sample entropy calculation.</w:t>
      </w:r>
    </w:p>
    <w:p w14:paraId="3BA61092"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noProof/>
          <w:sz w:val="24"/>
          <w:szCs w:val="24"/>
        </w:rPr>
        <w:drawing>
          <wp:inline distT="114300" distB="114300" distL="114300" distR="114300" wp14:anchorId="3628B9CA" wp14:editId="536C502D">
            <wp:extent cx="6486525" cy="3781425"/>
            <wp:effectExtent l="0" t="0" r="9525" b="9525"/>
            <wp:docPr id="71" name="Picture 7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2"/>
                    <a:srcRect/>
                    <a:stretch>
                      <a:fillRect/>
                    </a:stretch>
                  </pic:blipFill>
                  <pic:spPr>
                    <a:xfrm>
                      <a:off x="0" y="0"/>
                      <a:ext cx="6486896" cy="3781641"/>
                    </a:xfrm>
                    <a:prstGeom prst="rect">
                      <a:avLst/>
                    </a:prstGeom>
                    <a:ln/>
                  </pic:spPr>
                </pic:pic>
              </a:graphicData>
            </a:graphic>
          </wp:inline>
        </w:drawing>
      </w:r>
    </w:p>
    <w:p w14:paraId="682EE948" w14:textId="77777777" w:rsidR="0010427A" w:rsidRDefault="00305114" w:rsidP="0010427A">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Instead of employing a specific hypothesis-driven method for testing specific hypotheses, we opted for a hypothesis-free statistical analysis. This choice was influenced by the conflicting findings in the current literature regarding the resting state fMRI signal group differences between individuals with and without ASC. Varied effects have been observed across different brain rhythms and regions </w:t>
      </w:r>
      <w:hyperlink r:id="rId573">
        <w:r w:rsidRPr="00305114">
          <w:rPr>
            <w:rFonts w:asciiTheme="majorBidi" w:eastAsia="Times New Roman" w:hAnsiTheme="majorBidi" w:cstheme="majorBidi"/>
            <w:sz w:val="24"/>
            <w:szCs w:val="24"/>
          </w:rPr>
          <w:t>(Maximo et al., 2021)</w:t>
        </w:r>
      </w:hyperlink>
      <w:r w:rsidRPr="00305114">
        <w:rPr>
          <w:rFonts w:asciiTheme="majorBidi" w:eastAsia="Times New Roman" w:hAnsiTheme="majorBidi" w:cstheme="majorBidi"/>
          <w:sz w:val="24"/>
          <w:szCs w:val="24"/>
        </w:rPr>
        <w:t xml:space="preserve">, and there have also been no significant differences between groups </w:t>
      </w:r>
      <w:hyperlink r:id="rId574">
        <w:r w:rsidRPr="00305114">
          <w:rPr>
            <w:rFonts w:asciiTheme="majorBidi" w:eastAsia="Times New Roman" w:hAnsiTheme="majorBidi" w:cstheme="majorBidi"/>
            <w:sz w:val="24"/>
            <w:szCs w:val="24"/>
          </w:rPr>
          <w:t>(Easson &amp; McIntosh, 2019)</w:t>
        </w:r>
      </w:hyperlink>
      <w:r w:rsidRPr="00305114">
        <w:rPr>
          <w:rFonts w:asciiTheme="majorBidi" w:eastAsia="Times New Roman" w:hAnsiTheme="majorBidi" w:cstheme="majorBidi"/>
          <w:sz w:val="24"/>
          <w:szCs w:val="24"/>
        </w:rPr>
        <w:t xml:space="preserve">. </w:t>
      </w:r>
    </w:p>
    <w:p w14:paraId="7F86354B" w14:textId="6C6E8D48" w:rsidR="00305114" w:rsidRPr="00305114" w:rsidRDefault="00305114" w:rsidP="0010427A">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Furthermore, the limited availability of adequate sample sizes across several studies may have contributed to a constrained exploration of the generalizability and robustness of findings. This, in turn, has led to the emergence of conflicting findings, as previously highlighted. Thus, it becomes imperative to rigorously assess the external validity of our results when scrutinising the intricate neural patterns within the ASC population. In light of this, the present study capitalised on a substantial, pre-existing </w:t>
      </w:r>
      <w:r w:rsidRPr="00305114">
        <w:rPr>
          <w:rFonts w:asciiTheme="majorBidi" w:eastAsia="Times New Roman" w:hAnsiTheme="majorBidi" w:cstheme="majorBidi"/>
          <w:sz w:val="24"/>
          <w:szCs w:val="24"/>
        </w:rPr>
        <w:lastRenderedPageBreak/>
        <w:t>dataset, specifically the Autism Brain Imaging Data Exchange (ABIDE), to enhance the empirical basis of the investigation (</w:t>
      </w:r>
      <w:hyperlink r:id="rId575">
        <w:r w:rsidRPr="00305114">
          <w:rPr>
            <w:rFonts w:asciiTheme="majorBidi" w:eastAsia="Times New Roman" w:hAnsiTheme="majorBidi" w:cstheme="majorBidi"/>
            <w:sz w:val="24"/>
            <w:szCs w:val="24"/>
          </w:rPr>
          <w:t>https://fcon_1000.projects.nitrc.org/indi/abide/</w:t>
        </w:r>
      </w:hyperlink>
      <w:r w:rsidRPr="00305114">
        <w:rPr>
          <w:rFonts w:asciiTheme="majorBidi" w:eastAsia="Times New Roman" w:hAnsiTheme="majorBidi" w:cstheme="majorBidi"/>
          <w:sz w:val="24"/>
          <w:szCs w:val="24"/>
        </w:rPr>
        <w:t>).</w:t>
      </w:r>
    </w:p>
    <w:p w14:paraId="31B0114C" w14:textId="4A946F2B" w:rsidR="00450B25" w:rsidRPr="00305114" w:rsidRDefault="00305114" w:rsidP="00450B25">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To strike a balance between statistical flexibility and robustness, the machine learning approach was adopted with two main components: feature selection and an objective function to assess all possible feature subsets. First, the feature selection process conducted in two directions (as illustrated in Figure 3): The first approach employed the univariate method, where features were selected based on the significant clusters identified through a massive univariate voxel-wise two-sample t-test and corrected using a cluster-based method. In contrast, the second approach, referred to as the multivariate method, employed Sequential Forward Floating Selection (SFFS) to select features. Second, the objective function was a 10-fold cross-validation method utilising a linear Support Vector Machine (SVM) as the machine learning classifier. This procedure entailed the division of data into training and test sets. A linear SVM model was trained using the training samples throughout each cross-validation procedure iteration. Subsequently, the resultant model was employed on the corresponding test sample to evaluate the efficacy of the selected features.</w:t>
      </w:r>
    </w:p>
    <w:p w14:paraId="4A4D2C9D" w14:textId="77777777" w:rsidR="00305114" w:rsidRPr="00305114" w:rsidRDefault="00305114" w:rsidP="00305114">
      <w:pPr>
        <w:spacing w:line="480" w:lineRule="auto"/>
        <w:rPr>
          <w:rFonts w:asciiTheme="majorBidi" w:eastAsia="Times New Roman" w:hAnsiTheme="majorBidi" w:cstheme="majorBidi"/>
          <w:b/>
          <w:i/>
          <w:sz w:val="24"/>
          <w:szCs w:val="24"/>
        </w:rPr>
      </w:pPr>
      <w:r w:rsidRPr="00305114">
        <w:rPr>
          <w:rFonts w:asciiTheme="majorBidi" w:eastAsia="Times New Roman" w:hAnsiTheme="majorBidi" w:cstheme="majorBidi"/>
          <w:b/>
          <w:i/>
          <w:sz w:val="24"/>
          <w:szCs w:val="24"/>
        </w:rPr>
        <w:t>Feature selection: Significant clusters obtained from massive univariate voxel-wise two sample t tests (Univariate Method)</w:t>
      </w:r>
    </w:p>
    <w:p w14:paraId="21158FBA" w14:textId="77777777" w:rsidR="0010427A" w:rsidRDefault="00305114" w:rsidP="0010427A">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Like most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studies, the voxel-wise two-sample t-test was initially conducted to explore group differences. The Threshold-free cluster enhancement was adopted as a cluster-based technique to address the multiple comparison problem </w:t>
      </w:r>
      <w:hyperlink r:id="rId576">
        <w:r w:rsidRPr="00305114">
          <w:rPr>
            <w:rFonts w:asciiTheme="majorBidi" w:eastAsia="Times New Roman" w:hAnsiTheme="majorBidi" w:cstheme="majorBidi"/>
            <w:sz w:val="24"/>
            <w:szCs w:val="24"/>
          </w:rPr>
          <w:t>(Nichols, 2012)</w:t>
        </w:r>
      </w:hyperlink>
      <w:r w:rsidRPr="00305114">
        <w:rPr>
          <w:rFonts w:asciiTheme="majorBidi" w:eastAsia="Times New Roman" w:hAnsiTheme="majorBidi" w:cstheme="majorBidi"/>
          <w:sz w:val="24"/>
          <w:szCs w:val="24"/>
        </w:rPr>
        <w:t>, resulting in significant clusters that indicated group differences. These clusters would be considered the selected features for further investigation in subsequent evaluations.</w:t>
      </w:r>
    </w:p>
    <w:p w14:paraId="01C72E68" w14:textId="3E280A07" w:rsidR="00305114" w:rsidRPr="00305114" w:rsidRDefault="00305114" w:rsidP="0010427A">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voxel-wise two-sample t-test, known as mass-univariate model-based analysis, is a commonly used classical statistical method where statistical inference is conducted individually at each voxel. Brain regions exhibiting significant statistical effects between groups are identified based on BOLD responses using iterative statistical analysis of all voxels. However, a noteworthy limitation of this strategy lies in </w:t>
      </w:r>
      <w:r w:rsidRPr="00305114">
        <w:rPr>
          <w:rFonts w:asciiTheme="majorBidi" w:eastAsia="Times New Roman" w:hAnsiTheme="majorBidi" w:cstheme="majorBidi"/>
          <w:sz w:val="24"/>
          <w:szCs w:val="24"/>
        </w:rPr>
        <w:lastRenderedPageBreak/>
        <w:t xml:space="preserve">the presumption that the covariance between adjacent voxels needs to offer pertinent insights into the cognitive function under investigation. This covariance is often viewed as uncorrelated noise and is typically mitigated by applying spatial filters, which smooth BOLD signals across neighbouring voxels </w:t>
      </w:r>
      <w:hyperlink r:id="rId577">
        <w:r w:rsidRPr="00305114">
          <w:rPr>
            <w:rFonts w:asciiTheme="majorBidi" w:eastAsia="Times New Roman" w:hAnsiTheme="majorBidi" w:cstheme="majorBidi"/>
            <w:sz w:val="24"/>
            <w:szCs w:val="24"/>
          </w:rPr>
          <w:t>(Mahmoudi et al., 2012)</w:t>
        </w:r>
      </w:hyperlink>
      <w:r w:rsidRPr="00305114">
        <w:rPr>
          <w:rFonts w:asciiTheme="majorBidi" w:eastAsia="Times New Roman" w:hAnsiTheme="majorBidi" w:cstheme="majorBidi"/>
          <w:sz w:val="24"/>
          <w:szCs w:val="24"/>
        </w:rPr>
        <w:t xml:space="preserve">. Additionally, such mass univariate is inevitable to meet the multiple comparison problem. </w:t>
      </w:r>
    </w:p>
    <w:p w14:paraId="514BEA34"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 xml:space="preserve">Feature selection: Contributing cortical atlas obtained from the Sequential Forward Floating Selection (SFFS) </w:t>
      </w:r>
    </w:p>
    <w:p w14:paraId="68649CFD"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This study utilised the Harvard-Oxford cortical atlas to address this limitation and assign predefined meaning to the selected features. This atlas was employed to aggregate multiple voxels within predefined functionally related regions </w:t>
      </w:r>
      <w:hyperlink r:id="rId578">
        <w:r w:rsidRPr="00305114">
          <w:rPr>
            <w:rFonts w:asciiTheme="majorBidi" w:eastAsia="Times New Roman" w:hAnsiTheme="majorBidi" w:cstheme="majorBidi"/>
            <w:sz w:val="24"/>
            <w:szCs w:val="24"/>
          </w:rPr>
          <w:t>(Stelzer et al., 2013)</w:t>
        </w:r>
      </w:hyperlink>
      <w:r w:rsidRPr="00305114">
        <w:rPr>
          <w:rFonts w:asciiTheme="majorBidi" w:eastAsia="Times New Roman" w:hAnsiTheme="majorBidi" w:cstheme="majorBidi"/>
          <w:sz w:val="24"/>
          <w:szCs w:val="24"/>
        </w:rPr>
        <w:t>. This methodology enables the simultaneous analysis of multiple voxels, facilitating dimension reduction and integrating cognitive information linked to the importance of these regions. The subsequent sections explain the univariate and multivariate statistical analyses in detail.</w:t>
      </w:r>
    </w:p>
    <w:p w14:paraId="76E78D6B"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In the context of the classical classification problem, feature selection aims to automatically search for and choose the optimal subset of features for classification purposes. This is primarily motivated by the curse of dimensionality. In many instances, fMRI data contain a limited number of samples but a more significant number of features. This discrepancy often leads to overfitting in classification, resulting in misleading diagnostic outcomes and insufficient generalisation performance.</w:t>
      </w:r>
    </w:p>
    <w:p w14:paraId="2C293736"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To reduce the chances of overfitting, one can employ feature-selection algorithms to eliminate redundant data. This study employed a specific feature-selection algorithm, Sequential Forward Floating Selection (SFFS) </w:t>
      </w:r>
      <w:hyperlink r:id="rId579">
        <w:r w:rsidRPr="00305114">
          <w:rPr>
            <w:rFonts w:asciiTheme="majorBidi" w:eastAsia="Times New Roman" w:hAnsiTheme="majorBidi" w:cstheme="majorBidi"/>
            <w:sz w:val="24"/>
            <w:szCs w:val="24"/>
          </w:rPr>
          <w:t>(Pudil et al., 1994)</w:t>
        </w:r>
      </w:hyperlink>
      <w:r w:rsidRPr="00305114">
        <w:rPr>
          <w:rFonts w:asciiTheme="majorBidi" w:eastAsia="Times New Roman" w:hAnsiTheme="majorBidi" w:cstheme="majorBidi"/>
          <w:sz w:val="24"/>
          <w:szCs w:val="24"/>
        </w:rPr>
        <w:t xml:space="preserve">. The SFFS algorithm begins by identifying the initial feature with the highest classification rate and adding it to an empty candidate set. Subsequently, other features are chosen individually and combined with either the first feature or the existing subset of features in the candidate set. The algorithm tests each new feature combination to determine if it improves the </w:t>
      </w:r>
      <w:r w:rsidRPr="00305114">
        <w:rPr>
          <w:rFonts w:asciiTheme="majorBidi" w:eastAsia="Times New Roman" w:hAnsiTheme="majorBidi" w:cstheme="majorBidi"/>
          <w:sz w:val="24"/>
          <w:szCs w:val="24"/>
        </w:rPr>
        <w:lastRenderedPageBreak/>
        <w:t xml:space="preserve">classification rate. This process continues until no additional features contribute to improving the objective function. </w:t>
      </w:r>
    </w:p>
    <w:p w14:paraId="4437D77A"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 xml:space="preserve">The Final Classification Step </w:t>
      </w:r>
    </w:p>
    <w:p w14:paraId="2D523A63"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After successfully choosing the feature candidates using the abovementioned steps, we assessed these selected features. The 10-fold cross-validation method with a linear Support Vector Machine (SVM) was utilised as the machine learning classifier to accomplish this. This involved splitting the data into training and test samples. In each iteration of the cross-validation process, a linear SVM model was trained using the training samples, and the resulting model was applied to the test sample to assess the feature subset. This combination of SFFS and linear SVM has demonstrated notable accuracy in distinguishing between various resting brain states </w:t>
      </w:r>
      <w:hyperlink r:id="rId580">
        <w:r w:rsidRPr="00305114">
          <w:rPr>
            <w:rFonts w:asciiTheme="majorBidi" w:eastAsia="Times New Roman" w:hAnsiTheme="majorBidi" w:cstheme="majorBidi"/>
            <w:sz w:val="24"/>
            <w:szCs w:val="24"/>
          </w:rPr>
          <w:t>(Al-Zubaidi et al., 2019)</w:t>
        </w:r>
      </w:hyperlink>
      <w:r w:rsidRPr="00305114">
        <w:rPr>
          <w:rFonts w:asciiTheme="majorBidi" w:eastAsia="Times New Roman" w:hAnsiTheme="majorBidi" w:cstheme="majorBidi"/>
          <w:sz w:val="24"/>
          <w:szCs w:val="24"/>
        </w:rPr>
        <w:t>.</w:t>
      </w:r>
    </w:p>
    <w:p w14:paraId="4696C45A"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The classification accuracy (CA) was derived using a 10-fold cross-validation strategy with confusion matrix (CM) and accuracy calculation. The CM provided information on the predicted and actual classifications produced by the linear SVM. The SVM classifier (ASC or CON) results were compared with the reference data, and the CM outcomes were documented.</w:t>
      </w:r>
    </w:p>
    <w:p w14:paraId="20F7891D" w14:textId="177F851B" w:rsidR="00305114" w:rsidRPr="00305114" w:rsidRDefault="00305114" w:rsidP="00F14238">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b/>
          <w:sz w:val="24"/>
          <w:szCs w:val="24"/>
        </w:rPr>
        <w:t xml:space="preserve">Table </w:t>
      </w:r>
      <w:r w:rsidR="0010427A">
        <w:rPr>
          <w:rFonts w:asciiTheme="majorBidi" w:eastAsia="Times New Roman" w:hAnsiTheme="majorBidi" w:cstheme="majorBidi"/>
          <w:b/>
          <w:sz w:val="24"/>
          <w:szCs w:val="24"/>
        </w:rPr>
        <w:t>6</w:t>
      </w:r>
    </w:p>
    <w:p w14:paraId="5353DDE6"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Example of the Confusion Matrix</w:t>
      </w:r>
    </w:p>
    <w:tbl>
      <w:tblPr>
        <w:tblW w:w="9135" w:type="dxa"/>
        <w:tblInd w:w="543" w:type="dxa"/>
        <w:tblBorders>
          <w:top w:val="nil"/>
          <w:left w:val="nil"/>
          <w:bottom w:val="nil"/>
          <w:right w:val="nil"/>
          <w:insideH w:val="nil"/>
          <w:insideV w:val="nil"/>
        </w:tblBorders>
        <w:tblLayout w:type="fixed"/>
        <w:tblLook w:val="0600" w:firstRow="0" w:lastRow="0" w:firstColumn="0" w:lastColumn="0" w:noHBand="1" w:noVBand="1"/>
      </w:tblPr>
      <w:tblGrid>
        <w:gridCol w:w="1995"/>
        <w:gridCol w:w="1620"/>
        <w:gridCol w:w="2970"/>
        <w:gridCol w:w="2550"/>
      </w:tblGrid>
      <w:tr w:rsidR="008F4E90" w:rsidRPr="008F4E90" w14:paraId="12D98B8A" w14:textId="77777777" w:rsidTr="00E135A4">
        <w:trPr>
          <w:trHeight w:val="300"/>
        </w:trPr>
        <w:tc>
          <w:tcPr>
            <w:tcW w:w="3615" w:type="dxa"/>
            <w:gridSpan w:val="2"/>
            <w:vMerge w:val="restart"/>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53749B84" w14:textId="77777777" w:rsidR="00305114" w:rsidRPr="00305114" w:rsidRDefault="00305114" w:rsidP="00305114">
            <w:pPr>
              <w:spacing w:before="240"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w:t>
            </w:r>
          </w:p>
        </w:tc>
        <w:tc>
          <w:tcPr>
            <w:tcW w:w="5520" w:type="dxa"/>
            <w:gridSpan w:val="2"/>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3B7F046D" w14:textId="77777777" w:rsidR="00305114" w:rsidRPr="00305114" w:rsidRDefault="00305114" w:rsidP="00305114">
            <w:pPr>
              <w:spacing w:before="240"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Referenced Data</w:t>
            </w:r>
          </w:p>
        </w:tc>
      </w:tr>
      <w:tr w:rsidR="008F4E90" w:rsidRPr="008F4E90" w14:paraId="78586E6C" w14:textId="77777777" w:rsidTr="00E135A4">
        <w:trPr>
          <w:trHeight w:val="300"/>
        </w:trPr>
        <w:tc>
          <w:tcPr>
            <w:tcW w:w="3615" w:type="dxa"/>
            <w:gridSpan w:val="2"/>
            <w:vMerge/>
            <w:tcBorders>
              <w:top w:val="single" w:sz="7" w:space="0" w:color="000000"/>
              <w:left w:val="nil"/>
              <w:bottom w:val="single" w:sz="7" w:space="0" w:color="000000"/>
            </w:tcBorders>
            <w:shd w:val="clear" w:color="auto" w:fill="auto"/>
            <w:tcMar>
              <w:top w:w="100" w:type="dxa"/>
              <w:left w:w="100" w:type="dxa"/>
              <w:bottom w:w="100" w:type="dxa"/>
              <w:right w:w="100" w:type="dxa"/>
            </w:tcMar>
          </w:tcPr>
          <w:p w14:paraId="3ECADA9D" w14:textId="77777777" w:rsidR="00305114" w:rsidRPr="00305114" w:rsidRDefault="00305114" w:rsidP="00305114">
            <w:pPr>
              <w:widowControl w:val="0"/>
              <w:spacing w:line="480" w:lineRule="auto"/>
              <w:rPr>
                <w:rFonts w:asciiTheme="majorBidi" w:eastAsia="Times New Roman" w:hAnsiTheme="majorBidi" w:cstheme="majorBidi"/>
                <w:sz w:val="24"/>
                <w:szCs w:val="24"/>
              </w:rPr>
            </w:pPr>
          </w:p>
        </w:tc>
        <w:tc>
          <w:tcPr>
            <w:tcW w:w="2970" w:type="dxa"/>
            <w:tcBorders>
              <w:top w:val="nil"/>
              <w:left w:val="nil"/>
              <w:bottom w:val="single" w:sz="7" w:space="0" w:color="000000"/>
              <w:right w:val="nil"/>
            </w:tcBorders>
            <w:shd w:val="clear" w:color="auto" w:fill="auto"/>
            <w:tcMar>
              <w:top w:w="0" w:type="dxa"/>
              <w:left w:w="100" w:type="dxa"/>
              <w:bottom w:w="0" w:type="dxa"/>
              <w:right w:w="100" w:type="dxa"/>
            </w:tcMar>
          </w:tcPr>
          <w:p w14:paraId="07319CB2" w14:textId="77777777" w:rsidR="00305114" w:rsidRPr="00305114" w:rsidRDefault="00305114" w:rsidP="00305114">
            <w:pPr>
              <w:spacing w:before="240"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ASC</w:t>
            </w:r>
          </w:p>
        </w:tc>
        <w:tc>
          <w:tcPr>
            <w:tcW w:w="2550" w:type="dxa"/>
            <w:tcBorders>
              <w:top w:val="nil"/>
              <w:left w:val="nil"/>
              <w:bottom w:val="single" w:sz="7" w:space="0" w:color="000000"/>
              <w:right w:val="nil"/>
            </w:tcBorders>
            <w:shd w:val="clear" w:color="auto" w:fill="auto"/>
            <w:tcMar>
              <w:top w:w="0" w:type="dxa"/>
              <w:left w:w="100" w:type="dxa"/>
              <w:bottom w:w="0" w:type="dxa"/>
              <w:right w:w="100" w:type="dxa"/>
            </w:tcMar>
          </w:tcPr>
          <w:p w14:paraId="1554FC1C" w14:textId="77777777" w:rsidR="00305114" w:rsidRPr="00305114" w:rsidRDefault="00305114" w:rsidP="00305114">
            <w:pPr>
              <w:spacing w:before="240"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CON</w:t>
            </w:r>
          </w:p>
        </w:tc>
      </w:tr>
      <w:tr w:rsidR="008F4E90" w:rsidRPr="008F4E90" w14:paraId="797BE262" w14:textId="77777777" w:rsidTr="00E135A4">
        <w:trPr>
          <w:trHeight w:val="285"/>
        </w:trPr>
        <w:tc>
          <w:tcPr>
            <w:tcW w:w="1995" w:type="dxa"/>
            <w:vMerge w:val="restart"/>
            <w:tcBorders>
              <w:top w:val="nil"/>
              <w:left w:val="nil"/>
              <w:bottom w:val="single" w:sz="7" w:space="0" w:color="000000"/>
              <w:right w:val="nil"/>
            </w:tcBorders>
            <w:shd w:val="clear" w:color="auto" w:fill="auto"/>
            <w:tcMar>
              <w:top w:w="0" w:type="dxa"/>
              <w:left w:w="100" w:type="dxa"/>
              <w:bottom w:w="0" w:type="dxa"/>
              <w:right w:w="100" w:type="dxa"/>
            </w:tcMar>
          </w:tcPr>
          <w:p w14:paraId="73912489" w14:textId="77777777" w:rsidR="00305114" w:rsidRPr="00305114" w:rsidRDefault="00305114" w:rsidP="00305114">
            <w:pPr>
              <w:spacing w:before="240"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Classified Data</w:t>
            </w:r>
          </w:p>
        </w:tc>
        <w:tc>
          <w:tcPr>
            <w:tcW w:w="1620" w:type="dxa"/>
            <w:tcBorders>
              <w:top w:val="nil"/>
              <w:left w:val="nil"/>
              <w:right w:val="nil"/>
            </w:tcBorders>
            <w:shd w:val="clear" w:color="auto" w:fill="auto"/>
            <w:tcMar>
              <w:top w:w="0" w:type="dxa"/>
              <w:left w:w="100" w:type="dxa"/>
              <w:bottom w:w="0" w:type="dxa"/>
              <w:right w:w="100" w:type="dxa"/>
            </w:tcMar>
          </w:tcPr>
          <w:p w14:paraId="22338CFD" w14:textId="77777777" w:rsidR="00305114" w:rsidRPr="00305114" w:rsidRDefault="00305114" w:rsidP="00305114">
            <w:pPr>
              <w:spacing w:before="240"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ASC</w:t>
            </w:r>
          </w:p>
        </w:tc>
        <w:tc>
          <w:tcPr>
            <w:tcW w:w="5520" w:type="dxa"/>
            <w:gridSpan w:val="2"/>
            <w:vMerge w:val="restart"/>
            <w:tcBorders>
              <w:top w:val="nil"/>
              <w:left w:val="nil"/>
              <w:bottom w:val="single" w:sz="7" w:space="0" w:color="000000"/>
              <w:right w:val="nil"/>
            </w:tcBorders>
            <w:shd w:val="clear" w:color="auto" w:fill="auto"/>
            <w:tcMar>
              <w:top w:w="0" w:type="dxa"/>
              <w:left w:w="100" w:type="dxa"/>
              <w:bottom w:w="0" w:type="dxa"/>
              <w:right w:w="100" w:type="dxa"/>
            </w:tcMar>
          </w:tcPr>
          <w:p w14:paraId="2EB48B12" w14:textId="77777777" w:rsidR="00305114" w:rsidRPr="00305114" w:rsidRDefault="00305114" w:rsidP="00305114">
            <w:pPr>
              <w:spacing w:line="480" w:lineRule="auto"/>
              <w:rPr>
                <w:rFonts w:asciiTheme="majorBidi" w:eastAsia="Times New Roman" w:hAnsiTheme="majorBidi" w:cstheme="majorBidi"/>
                <w:sz w:val="24"/>
                <w:szCs w:val="24"/>
              </w:rPr>
            </w:pPr>
            <m:oMathPara>
              <m:oMath>
                <m:r>
                  <w:rPr>
                    <w:rFonts w:ascii="Cambria Math" w:eastAsia="Times New Roman" w:hAnsi="Cambria Math" w:cstheme="majorBidi"/>
                    <w:sz w:val="24"/>
                    <w:szCs w:val="24"/>
                  </w:rPr>
                  <m:t xml:space="preserve">         </m:t>
                </m:r>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TP                                                    FP</m:t>
                    </m:r>
                  </m:e>
                </m:d>
              </m:oMath>
            </m:oMathPara>
          </w:p>
          <w:p w14:paraId="5F47FE1D"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w:t>
            </w:r>
          </w:p>
          <w:p w14:paraId="67EC90CC"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w:t>
            </w:r>
            <w:r w:rsidR="00F14238" w:rsidRPr="008F4E90">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 xml:space="preserve"> </w:t>
            </w:r>
            <m:oMath>
              <m:r>
                <w:rPr>
                  <w:rFonts w:ascii="Cambria Math" w:eastAsia="Times New Roman" w:hAnsi="Cambria Math" w:cstheme="majorBidi"/>
                  <w:sz w:val="24"/>
                  <w:szCs w:val="24"/>
                </w:rPr>
                <m:t xml:space="preserve"> </m:t>
              </m:r>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FN                                                   TN</m:t>
                  </m:r>
                </m:e>
              </m:d>
            </m:oMath>
          </w:p>
        </w:tc>
      </w:tr>
      <w:tr w:rsidR="008F4E90" w:rsidRPr="008F4E90" w14:paraId="0D6D8346" w14:textId="77777777" w:rsidTr="00E135A4">
        <w:trPr>
          <w:trHeight w:val="285"/>
        </w:trPr>
        <w:tc>
          <w:tcPr>
            <w:tcW w:w="1995" w:type="dxa"/>
            <w:vMerge/>
            <w:tcBorders>
              <w:top w:val="nil"/>
              <w:left w:val="nil"/>
              <w:bottom w:val="single" w:sz="7" w:space="0" w:color="000000"/>
              <w:right w:val="nil"/>
            </w:tcBorders>
            <w:shd w:val="clear" w:color="auto" w:fill="auto"/>
            <w:tcMar>
              <w:top w:w="100" w:type="dxa"/>
              <w:left w:w="100" w:type="dxa"/>
              <w:bottom w:w="100" w:type="dxa"/>
              <w:right w:w="100" w:type="dxa"/>
            </w:tcMar>
          </w:tcPr>
          <w:p w14:paraId="20A8C89B" w14:textId="77777777" w:rsidR="00305114" w:rsidRPr="00305114" w:rsidRDefault="00305114" w:rsidP="00305114">
            <w:pPr>
              <w:widowControl w:val="0"/>
              <w:spacing w:line="480" w:lineRule="auto"/>
              <w:rPr>
                <w:rFonts w:asciiTheme="majorBidi" w:eastAsia="Times New Roman" w:hAnsiTheme="majorBidi" w:cstheme="majorBidi"/>
                <w:sz w:val="24"/>
                <w:szCs w:val="24"/>
              </w:rPr>
            </w:pPr>
          </w:p>
        </w:tc>
        <w:tc>
          <w:tcPr>
            <w:tcW w:w="1620" w:type="dxa"/>
            <w:tcBorders>
              <w:left w:val="nil"/>
              <w:bottom w:val="single" w:sz="7" w:space="0" w:color="000000"/>
              <w:right w:val="nil"/>
            </w:tcBorders>
            <w:shd w:val="clear" w:color="auto" w:fill="auto"/>
            <w:tcMar>
              <w:top w:w="0" w:type="dxa"/>
              <w:left w:w="100" w:type="dxa"/>
              <w:bottom w:w="0" w:type="dxa"/>
              <w:right w:w="100" w:type="dxa"/>
            </w:tcMar>
          </w:tcPr>
          <w:p w14:paraId="0624B7A8" w14:textId="77777777" w:rsidR="00305114" w:rsidRPr="00305114" w:rsidRDefault="00305114" w:rsidP="00305114">
            <w:pPr>
              <w:spacing w:before="240"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CON</w:t>
            </w:r>
          </w:p>
        </w:tc>
        <w:tc>
          <w:tcPr>
            <w:tcW w:w="5520" w:type="dxa"/>
            <w:gridSpan w:val="2"/>
            <w:vMerge/>
            <w:tcBorders>
              <w:top w:val="nil"/>
              <w:left w:val="nil"/>
              <w:bottom w:val="single" w:sz="7" w:space="0" w:color="000000"/>
            </w:tcBorders>
            <w:shd w:val="clear" w:color="auto" w:fill="auto"/>
            <w:tcMar>
              <w:top w:w="100" w:type="dxa"/>
              <w:left w:w="100" w:type="dxa"/>
              <w:bottom w:w="100" w:type="dxa"/>
              <w:right w:w="100" w:type="dxa"/>
            </w:tcMar>
          </w:tcPr>
          <w:p w14:paraId="49A6573C" w14:textId="77777777" w:rsidR="00305114" w:rsidRPr="00305114" w:rsidRDefault="00305114" w:rsidP="00305114">
            <w:pPr>
              <w:spacing w:line="480" w:lineRule="auto"/>
              <w:rPr>
                <w:rFonts w:asciiTheme="majorBidi" w:eastAsia="Times New Roman" w:hAnsiTheme="majorBidi" w:cstheme="majorBidi"/>
                <w:sz w:val="24"/>
                <w:szCs w:val="24"/>
              </w:rPr>
            </w:pPr>
          </w:p>
        </w:tc>
      </w:tr>
    </w:tbl>
    <w:p w14:paraId="3D51CC2D" w14:textId="77777777" w:rsid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t>Note.</w:t>
      </w:r>
      <w:r w:rsidRPr="00305114">
        <w:rPr>
          <w:rFonts w:asciiTheme="majorBidi" w:eastAsia="Times New Roman" w:hAnsiTheme="majorBidi" w:cstheme="majorBidi"/>
          <w:sz w:val="24"/>
          <w:szCs w:val="24"/>
        </w:rPr>
        <w:t xml:space="preserve"> TP = True Positives. FP = False Positives. FN </w:t>
      </w:r>
      <w:r w:rsidR="00F14238" w:rsidRPr="008F4E90">
        <w:rPr>
          <w:rFonts w:asciiTheme="majorBidi" w:eastAsia="Times New Roman" w:hAnsiTheme="majorBidi" w:cstheme="majorBidi"/>
          <w:sz w:val="24"/>
          <w:szCs w:val="24"/>
        </w:rPr>
        <w:t>= False</w:t>
      </w:r>
      <w:r w:rsidRPr="00305114">
        <w:rPr>
          <w:rFonts w:asciiTheme="majorBidi" w:eastAsia="Times New Roman" w:hAnsiTheme="majorBidi" w:cstheme="majorBidi"/>
          <w:sz w:val="24"/>
          <w:szCs w:val="24"/>
        </w:rPr>
        <w:t xml:space="preserve"> Negatives. TN = True Negatives.</w:t>
      </w:r>
    </w:p>
    <w:p w14:paraId="42939B3B" w14:textId="2D85E9AB" w:rsidR="002A3D3D" w:rsidRPr="00305114" w:rsidRDefault="002A3D3D" w:rsidP="002A3D3D">
      <w:pPr>
        <w:spacing w:line="480" w:lineRule="auto"/>
        <w:jc w:val="center"/>
        <w:rPr>
          <w:rFonts w:asciiTheme="majorBidi" w:eastAsia="Times New Roman" w:hAnsiTheme="majorBidi" w:cstheme="majorBidi"/>
          <w:sz w:val="24"/>
          <w:szCs w:val="24"/>
        </w:rPr>
      </w:pPr>
      <m:oMath>
        <m:r>
          <w:rPr>
            <w:rFonts w:ascii="Cambria Math" w:hAnsi="Cambria Math"/>
            <w:color w:val="000000"/>
            <w:sz w:val="28"/>
            <w:szCs w:val="28"/>
          </w:rPr>
          <m:t>Sensitivity (True Positive Rate)</m:t>
        </m:r>
        <m:r>
          <m:rPr>
            <m:sty m:val="p"/>
          </m:rPr>
          <w:rPr>
            <w:rFonts w:ascii="Cambria Math" w:eastAsia="Times New Roman" w:hAnsi="Cambria Math" w:cs="Cambria Math"/>
            <w:color w:val="000000"/>
            <w:sz w:val="28"/>
            <w:szCs w:val="28"/>
            <w:lang w:val="en-US"/>
          </w:rPr>
          <m:t>=</m:t>
        </m:r>
        <m:f>
          <m:fPr>
            <m:ctrlPr>
              <w:rPr>
                <w:rFonts w:ascii="Cambria Math" w:eastAsia="Times New Roman" w:hAnsi="Cambria Math" w:cs="Times New Roman"/>
                <w:iCs/>
                <w:color w:val="000000"/>
                <w:sz w:val="28"/>
                <w:szCs w:val="28"/>
                <w:lang w:val="en-US"/>
              </w:rPr>
            </m:ctrlPr>
          </m:fPr>
          <m:num>
            <m:r>
              <w:rPr>
                <w:rFonts w:ascii="Cambria Math" w:hAnsi="Cambria Math"/>
                <w:color w:val="000000"/>
                <w:sz w:val="28"/>
                <w:szCs w:val="28"/>
              </w:rPr>
              <m:t>True Positives</m:t>
            </m:r>
          </m:num>
          <m:den>
            <m:r>
              <w:rPr>
                <w:rFonts w:ascii="Cambria Math" w:eastAsia="Times New Roman" w:hAnsi="Cambria Math" w:cs="Times New Roman"/>
                <w:color w:val="000000"/>
                <w:sz w:val="28"/>
                <w:szCs w:val="28"/>
                <w:lang w:val="en-US"/>
              </w:rPr>
              <m:t>True Positives+False Negatives</m:t>
            </m:r>
          </m:den>
        </m:f>
      </m:oMath>
      <w:r>
        <w:rPr>
          <w:rFonts w:ascii="Times New Roman" w:eastAsia="Times New Roman" w:hAnsi="Times New Roman" w:cs="Times New Roman"/>
          <w:i/>
          <w:iCs/>
          <w:color w:val="000000"/>
          <w:sz w:val="28"/>
          <w:szCs w:val="28"/>
          <w:lang w:val="en-US"/>
        </w:rPr>
        <w:t xml:space="preserve"> </w:t>
      </w:r>
      <w:r w:rsidRPr="00305114">
        <w:rPr>
          <w:rFonts w:asciiTheme="majorBidi" w:eastAsia="Times New Roman" w:hAnsiTheme="majorBidi" w:cstheme="majorBidi"/>
          <w:sz w:val="24"/>
          <w:szCs w:val="24"/>
        </w:rPr>
        <w:t xml:space="preserve">(Equation </w:t>
      </w:r>
      <w:r>
        <w:rPr>
          <w:rFonts w:asciiTheme="majorBidi" w:eastAsia="Times New Roman" w:hAnsiTheme="majorBidi" w:cstheme="majorBidi"/>
          <w:sz w:val="24"/>
          <w:szCs w:val="24"/>
        </w:rPr>
        <w:t>1</w:t>
      </w:r>
      <w:r w:rsidRPr="00305114">
        <w:rPr>
          <w:rFonts w:asciiTheme="majorBidi" w:eastAsia="Times New Roman" w:hAnsiTheme="majorBidi" w:cstheme="majorBidi"/>
          <w:sz w:val="24"/>
          <w:szCs w:val="24"/>
        </w:rPr>
        <w:t>)</w:t>
      </w:r>
    </w:p>
    <w:p w14:paraId="7FD0770A" w14:textId="33B7073E" w:rsidR="002A3D3D" w:rsidRPr="002A3D3D" w:rsidRDefault="002A3D3D" w:rsidP="002A3D3D">
      <w:pPr>
        <w:spacing w:before="240" w:after="240" w:line="480" w:lineRule="auto"/>
        <w:rPr>
          <w:rFonts w:ascii="Times New Roman" w:eastAsia="Times New Roman" w:hAnsi="Times New Roman" w:cs="Times New Roman"/>
          <w:i/>
          <w:iCs/>
          <w:color w:val="000000"/>
          <w:sz w:val="28"/>
          <w:szCs w:val="28"/>
        </w:rPr>
      </w:pPr>
    </w:p>
    <w:p w14:paraId="05620FD4" w14:textId="058B3001" w:rsidR="002A3D3D" w:rsidRPr="00305114" w:rsidRDefault="002A3D3D" w:rsidP="002A3D3D">
      <w:pPr>
        <w:spacing w:line="480" w:lineRule="auto"/>
        <w:jc w:val="center"/>
        <w:rPr>
          <w:rFonts w:asciiTheme="majorBidi" w:eastAsia="Times New Roman" w:hAnsiTheme="majorBidi" w:cstheme="majorBidi"/>
          <w:sz w:val="24"/>
          <w:szCs w:val="24"/>
        </w:rPr>
      </w:pPr>
      <m:oMath>
        <m:r>
          <w:rPr>
            <w:rFonts w:ascii="Cambria Math" w:hAnsi="Cambria Math"/>
            <w:color w:val="000000"/>
            <w:sz w:val="28"/>
            <w:szCs w:val="28"/>
          </w:rPr>
          <m:t>Specificity</m:t>
        </m:r>
        <m:d>
          <m:dPr>
            <m:ctrlPr>
              <w:rPr>
                <w:rFonts w:ascii="Cambria Math" w:hAnsi="Cambria Math"/>
                <w:i/>
                <w:iCs/>
                <w:color w:val="000000"/>
                <w:sz w:val="28"/>
                <w:szCs w:val="28"/>
              </w:rPr>
            </m:ctrlPr>
          </m:dPr>
          <m:e>
            <m:r>
              <w:rPr>
                <w:rFonts w:ascii="Cambria Math" w:hAnsi="Cambria Math"/>
                <w:color w:val="000000"/>
                <w:sz w:val="28"/>
                <w:szCs w:val="28"/>
              </w:rPr>
              <m:t>True Positive Rate</m:t>
            </m:r>
          </m:e>
        </m:d>
        <m:r>
          <m:rPr>
            <m:sty m:val="p"/>
          </m:rPr>
          <w:rPr>
            <w:rFonts w:ascii="Cambria Math" w:eastAsia="Times New Roman" w:hAnsi="Cambria Math" w:cs="Cambria Math"/>
            <w:color w:val="000000"/>
            <w:sz w:val="28"/>
            <w:szCs w:val="28"/>
            <w:lang w:val="en-US"/>
          </w:rPr>
          <m:t>=</m:t>
        </m:r>
        <m:f>
          <m:fPr>
            <m:ctrlPr>
              <w:rPr>
                <w:rFonts w:ascii="Cambria Math" w:eastAsia="Times New Roman" w:hAnsi="Cambria Math" w:cs="Times New Roman"/>
                <w:iCs/>
                <w:color w:val="000000"/>
                <w:sz w:val="28"/>
                <w:szCs w:val="28"/>
                <w:lang w:val="en-US"/>
              </w:rPr>
            </m:ctrlPr>
          </m:fPr>
          <m:num>
            <m:r>
              <w:rPr>
                <w:rFonts w:ascii="Cambria Math" w:hAnsi="Cambria Math"/>
                <w:color w:val="000000"/>
                <w:sz w:val="28"/>
                <w:szCs w:val="28"/>
              </w:rPr>
              <m:t>True Negatives</m:t>
            </m:r>
          </m:num>
          <m:den>
            <m:r>
              <w:rPr>
                <w:rFonts w:ascii="Cambria Math" w:eastAsia="Times New Roman" w:hAnsi="Cambria Math" w:cs="Times New Roman"/>
                <w:color w:val="000000"/>
                <w:sz w:val="28"/>
                <w:szCs w:val="28"/>
                <w:lang w:val="en-US"/>
              </w:rPr>
              <m:t>True Negatives+False Positives</m:t>
            </m:r>
          </m:den>
        </m:f>
        <m:r>
          <w:rPr>
            <w:rFonts w:ascii="Cambria Math" w:eastAsia="Times New Roman" w:hAnsi="Cambria Math" w:cs="Times New Roman"/>
            <w:color w:val="000000"/>
            <w:sz w:val="28"/>
            <w:szCs w:val="28"/>
            <w:lang w:val="en-US"/>
          </w:rPr>
          <m:t xml:space="preserve">  </m:t>
        </m:r>
      </m:oMath>
      <w:r w:rsidRPr="00305114">
        <w:rPr>
          <w:rFonts w:asciiTheme="majorBidi" w:eastAsia="Times New Roman" w:hAnsiTheme="majorBidi" w:cstheme="majorBidi"/>
          <w:sz w:val="24"/>
          <w:szCs w:val="24"/>
        </w:rPr>
        <w:t xml:space="preserve">(Equation </w:t>
      </w:r>
      <w:r>
        <w:rPr>
          <w:rFonts w:asciiTheme="majorBidi" w:eastAsia="Times New Roman" w:hAnsiTheme="majorBidi" w:cstheme="majorBidi"/>
          <w:sz w:val="24"/>
          <w:szCs w:val="24"/>
        </w:rPr>
        <w:t>2</w:t>
      </w:r>
      <w:r w:rsidRPr="00305114">
        <w:rPr>
          <w:rFonts w:asciiTheme="majorBidi" w:eastAsia="Times New Roman" w:hAnsiTheme="majorBidi" w:cstheme="majorBidi"/>
          <w:sz w:val="24"/>
          <w:szCs w:val="24"/>
        </w:rPr>
        <w:t>)</w:t>
      </w:r>
    </w:p>
    <w:p w14:paraId="7BF1A193" w14:textId="1E05EF2A" w:rsidR="002A3D3D" w:rsidRPr="002A3D3D" w:rsidRDefault="002A3D3D" w:rsidP="002A3D3D">
      <w:pPr>
        <w:spacing w:line="480" w:lineRule="auto"/>
        <w:rPr>
          <w:rFonts w:asciiTheme="majorBidi" w:eastAsia="Times New Roman" w:hAnsiTheme="majorBidi" w:cstheme="majorBidi"/>
          <w:iCs/>
          <w:color w:val="000000"/>
          <w:sz w:val="28"/>
          <w:szCs w:val="28"/>
        </w:rPr>
      </w:pPr>
    </w:p>
    <w:p w14:paraId="2ADF3804" w14:textId="77777777" w:rsidR="002A3D3D" w:rsidRPr="00305114" w:rsidRDefault="002A3D3D" w:rsidP="002A3D3D">
      <w:pPr>
        <w:spacing w:line="480" w:lineRule="auto"/>
        <w:rPr>
          <w:rFonts w:asciiTheme="majorBidi" w:eastAsia="Times New Roman" w:hAnsiTheme="majorBidi" w:cstheme="majorBidi"/>
          <w:sz w:val="24"/>
          <w:szCs w:val="24"/>
        </w:rPr>
      </w:pPr>
    </w:p>
    <w:p w14:paraId="0612B996" w14:textId="77777777" w:rsidR="00305114" w:rsidRPr="00305114" w:rsidRDefault="00305114" w:rsidP="00305114">
      <w:pPr>
        <w:spacing w:line="480" w:lineRule="auto"/>
        <w:ind w:firstLine="720"/>
        <w:rPr>
          <w:rFonts w:asciiTheme="majorBidi" w:eastAsia="Times New Roman" w:hAnsiTheme="majorBidi" w:cstheme="majorBidi"/>
          <w:b/>
          <w:sz w:val="24"/>
          <w:szCs w:val="24"/>
        </w:rPr>
      </w:pPr>
      <w:r w:rsidRPr="00305114">
        <w:rPr>
          <w:rFonts w:asciiTheme="majorBidi" w:eastAsia="Times New Roman" w:hAnsiTheme="majorBidi" w:cstheme="majorBidi"/>
          <w:sz w:val="24"/>
          <w:szCs w:val="24"/>
        </w:rPr>
        <w:t xml:space="preserve">To conduct significance testing, we employed a method described by </w:t>
      </w:r>
      <w:hyperlink r:id="rId581">
        <w:r w:rsidRPr="00305114">
          <w:rPr>
            <w:rFonts w:asciiTheme="majorBidi" w:eastAsia="Times New Roman" w:hAnsiTheme="majorBidi" w:cstheme="majorBidi"/>
            <w:sz w:val="24"/>
            <w:szCs w:val="24"/>
          </w:rPr>
          <w:t>(Pereira et al., 2009)</w:t>
        </w:r>
      </w:hyperlink>
      <w:r w:rsidRPr="00305114">
        <w:rPr>
          <w:rFonts w:asciiTheme="majorBidi" w:eastAsia="Times New Roman" w:hAnsiTheme="majorBidi" w:cstheme="majorBidi"/>
          <w:sz w:val="24"/>
          <w:szCs w:val="24"/>
        </w:rPr>
        <w:t xml:space="preserve">. We estimated the null distribution by calculating the accuracy score of the classifier on 1000 permutations of the dataset. These permutations preserved the features but shuffled the labels. This null distribution represented the hypothesis that there is no relationship between the features and labels. An empirical p-value was then computed as the percentage of permutations where the score obtained was greater than that obtained using the original data.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&lt; 0.05 indicates a significant difference in classification results than random chance.</w:t>
      </w:r>
    </w:p>
    <w:p w14:paraId="17665DCD"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First level Statistics – BOLD time series extraction and Entropy calculation</w:t>
      </w:r>
    </w:p>
    <w:p w14:paraId="4D293EB0"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primary objective of this study is to thoroughly examine the effectiveness of entropy as a measure for distinguishing individuals with ASC from neurotypical control subjects. The time series data was extracted from individual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-fMRI intracranial signals and voxel-wise calculations of multiscale sample entropy for both the ASC and control groups.</w:t>
      </w:r>
    </w:p>
    <w:p w14:paraId="4256CF23"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To compare the voxel-wise entropy across different research sites, we selected seven sites (NYU, SDSU, Stanford, Trinity, UM1&amp;2, USM, and Yale) with a typical sampling frequency of 0.5Hz. However, it is essential to note that the amplitude range of the </w:t>
      </w:r>
      <w:proofErr w:type="spellStart"/>
      <w:r w:rsidRPr="00305114">
        <w:rPr>
          <w:rFonts w:asciiTheme="majorBidi" w:eastAsia="Times New Roman" w:hAnsiTheme="majorBidi" w:cstheme="majorBidi"/>
          <w:sz w:val="24"/>
          <w:szCs w:val="24"/>
        </w:rPr>
        <w:t>preprocessed</w:t>
      </w:r>
      <w:proofErr w:type="spellEnd"/>
      <w:r w:rsidRPr="00305114">
        <w:rPr>
          <w:rFonts w:asciiTheme="majorBidi" w:eastAsia="Times New Roman" w:hAnsiTheme="majorBidi" w:cstheme="majorBidi"/>
          <w:sz w:val="24"/>
          <w:szCs w:val="24"/>
        </w:rPr>
        <w:t xml:space="preserv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data varied significantly among these sites. To mitigate the impact of this amplitude range and enable further voxel-wise analysis, a normalisation process was performed on the voxel-wise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signals prior to entropy calculation. Subsequently, multiscale sample entropy calculation was conducted on each voxel, generating raw sample entropy maps. </w:t>
      </w:r>
    </w:p>
    <w:p w14:paraId="17554C75"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lastRenderedPageBreak/>
        <w:t xml:space="preserve">Multiscale sample entropy map of each subject from different sites obtained from the </w:t>
      </w:r>
      <w:r w:rsidR="00E135A4" w:rsidRPr="008F4E90">
        <w:rPr>
          <w:rFonts w:asciiTheme="majorBidi" w:eastAsia="Times New Roman" w:hAnsiTheme="majorBidi" w:cstheme="majorBidi"/>
          <w:sz w:val="24"/>
          <w:szCs w:val="24"/>
        </w:rPr>
        <w:t>pre-processed</w:t>
      </w:r>
      <w:r w:rsidRPr="00305114">
        <w:rPr>
          <w:rFonts w:asciiTheme="majorBidi" w:eastAsia="Times New Roman" w:hAnsiTheme="majorBidi" w:cstheme="majorBidi"/>
          <w:sz w:val="24"/>
          <w:szCs w:val="24"/>
        </w:rPr>
        <w:t xml:space="preserve"> data in template space and spatially smoothed with a 6-mm FWHM Gaussian kernel within each brain mask, which was also warped and smoothed. </w:t>
      </w:r>
      <w:r w:rsidR="00E135A4" w:rsidRPr="008F4E90">
        <w:rPr>
          <w:rFonts w:asciiTheme="majorBidi" w:eastAsia="Times New Roman" w:hAnsiTheme="majorBidi" w:cstheme="majorBidi"/>
          <w:sz w:val="24"/>
          <w:szCs w:val="24"/>
        </w:rPr>
        <w:t>Pre-processed</w:t>
      </w:r>
      <w:r w:rsidRPr="00305114">
        <w:rPr>
          <w:rFonts w:asciiTheme="majorBidi" w:eastAsia="Times New Roman" w:hAnsiTheme="majorBidi" w:cstheme="majorBidi"/>
          <w:sz w:val="24"/>
          <w:szCs w:val="24"/>
        </w:rPr>
        <w:t xml:space="preserve">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data and the individual anatomical brain mask are read in by functions that come with the </w:t>
      </w:r>
      <w:r w:rsidRPr="00305114">
        <w:rPr>
          <w:rFonts w:asciiTheme="majorBidi" w:eastAsia="Times New Roman" w:hAnsiTheme="majorBidi" w:cstheme="majorBidi"/>
          <w:i/>
          <w:sz w:val="24"/>
          <w:szCs w:val="24"/>
        </w:rPr>
        <w:t>SPM</w:t>
      </w:r>
      <w:r w:rsidRPr="00305114">
        <w:rPr>
          <w:rFonts w:asciiTheme="majorBidi" w:eastAsia="Times New Roman" w:hAnsiTheme="majorBidi" w:cstheme="majorBidi"/>
          <w:sz w:val="24"/>
          <w:szCs w:val="24"/>
        </w:rPr>
        <w:t xml:space="preserve"> toolbox in </w:t>
      </w:r>
      <w:proofErr w:type="spellStart"/>
      <w:r w:rsidRPr="00305114">
        <w:rPr>
          <w:rFonts w:asciiTheme="majorBidi" w:eastAsia="Times New Roman" w:hAnsiTheme="majorBidi" w:cstheme="majorBidi"/>
          <w:i/>
          <w:sz w:val="24"/>
          <w:szCs w:val="24"/>
        </w:rPr>
        <w:t>Matlab</w:t>
      </w:r>
      <w:proofErr w:type="spellEnd"/>
      <w:r w:rsidRPr="00305114">
        <w:rPr>
          <w:rFonts w:asciiTheme="majorBidi" w:eastAsia="Times New Roman" w:hAnsiTheme="majorBidi" w:cstheme="majorBidi"/>
          <w:sz w:val="24"/>
          <w:szCs w:val="24"/>
        </w:rPr>
        <w:t xml:space="preserve">, including </w:t>
      </w:r>
      <w:proofErr w:type="spellStart"/>
      <w:r w:rsidRPr="00305114">
        <w:rPr>
          <w:rFonts w:asciiTheme="majorBidi" w:eastAsia="Times New Roman" w:hAnsiTheme="majorBidi" w:cstheme="majorBidi"/>
          <w:b/>
          <w:i/>
          <w:sz w:val="24"/>
          <w:szCs w:val="24"/>
        </w:rPr>
        <w:t>spm_vol</w:t>
      </w:r>
      <w:proofErr w:type="spellEnd"/>
      <w:r w:rsidRPr="00305114">
        <w:rPr>
          <w:rFonts w:asciiTheme="majorBidi" w:eastAsia="Times New Roman" w:hAnsiTheme="majorBidi" w:cstheme="majorBidi"/>
          <w:sz w:val="24"/>
          <w:szCs w:val="24"/>
        </w:rPr>
        <w:t xml:space="preserve"> and </w:t>
      </w:r>
      <w:proofErr w:type="spellStart"/>
      <w:r w:rsidRPr="00305114">
        <w:rPr>
          <w:rFonts w:asciiTheme="majorBidi" w:eastAsia="Times New Roman" w:hAnsiTheme="majorBidi" w:cstheme="majorBidi"/>
          <w:b/>
          <w:i/>
          <w:sz w:val="24"/>
          <w:szCs w:val="24"/>
        </w:rPr>
        <w:t>spm_read_vols</w:t>
      </w:r>
      <w:proofErr w:type="spellEnd"/>
      <w:r w:rsidRPr="00305114">
        <w:rPr>
          <w:rFonts w:asciiTheme="majorBidi" w:eastAsia="Times New Roman" w:hAnsiTheme="majorBidi" w:cstheme="majorBidi"/>
          <w:sz w:val="24"/>
          <w:szCs w:val="24"/>
        </w:rPr>
        <w:t xml:space="preserve">. After extracting the time series from each voxel within the mask, the multiscale sample entropy was computed, yielding five indices for each time scale factor. These indices were then transformed into a brain map format with the built-in function of </w:t>
      </w:r>
      <w:proofErr w:type="spellStart"/>
      <w:r w:rsidRPr="00305114">
        <w:rPr>
          <w:rFonts w:asciiTheme="majorBidi" w:eastAsia="Times New Roman" w:hAnsiTheme="majorBidi" w:cstheme="majorBidi"/>
          <w:b/>
          <w:i/>
          <w:sz w:val="24"/>
          <w:szCs w:val="24"/>
        </w:rPr>
        <w:t>spm_write_vol</w:t>
      </w:r>
      <w:proofErr w:type="spellEnd"/>
      <w:r w:rsidRPr="00305114">
        <w:rPr>
          <w:rFonts w:asciiTheme="majorBidi" w:eastAsia="Times New Roman" w:hAnsiTheme="majorBidi" w:cstheme="majorBidi"/>
          <w:b/>
          <w:sz w:val="24"/>
          <w:szCs w:val="24"/>
        </w:rPr>
        <w:t xml:space="preserve"> </w:t>
      </w:r>
      <w:r w:rsidRPr="00305114">
        <w:rPr>
          <w:rFonts w:asciiTheme="majorBidi" w:eastAsia="Times New Roman" w:hAnsiTheme="majorBidi" w:cstheme="majorBidi"/>
          <w:sz w:val="24"/>
          <w:szCs w:val="24"/>
        </w:rPr>
        <w:t xml:space="preserve">in the </w:t>
      </w:r>
      <w:r w:rsidRPr="00305114">
        <w:rPr>
          <w:rFonts w:asciiTheme="majorBidi" w:eastAsia="Times New Roman" w:hAnsiTheme="majorBidi" w:cstheme="majorBidi"/>
          <w:i/>
          <w:sz w:val="24"/>
          <w:szCs w:val="24"/>
        </w:rPr>
        <w:t>SPM</w:t>
      </w:r>
      <w:r w:rsidRPr="00305114">
        <w:rPr>
          <w:rFonts w:asciiTheme="majorBidi" w:eastAsia="Times New Roman" w:hAnsiTheme="majorBidi" w:cstheme="majorBidi"/>
          <w:sz w:val="24"/>
          <w:szCs w:val="24"/>
        </w:rPr>
        <w:t xml:space="preserve"> toolbox in </w:t>
      </w:r>
      <w:proofErr w:type="spellStart"/>
      <w:r w:rsidRPr="00305114">
        <w:rPr>
          <w:rFonts w:asciiTheme="majorBidi" w:eastAsia="Times New Roman" w:hAnsiTheme="majorBidi" w:cstheme="majorBidi"/>
          <w:i/>
          <w:sz w:val="24"/>
          <w:szCs w:val="24"/>
        </w:rPr>
        <w:t>Matlab</w:t>
      </w:r>
      <w:proofErr w:type="spellEnd"/>
      <w:r w:rsidRPr="00305114">
        <w:rPr>
          <w:rFonts w:asciiTheme="majorBidi" w:eastAsia="Times New Roman" w:hAnsiTheme="majorBidi" w:cstheme="majorBidi"/>
          <w:sz w:val="24"/>
          <w:szCs w:val="24"/>
        </w:rPr>
        <w:t xml:space="preserve">. Second-level statistical analysis was conducted with modified </w:t>
      </w:r>
      <w:proofErr w:type="spellStart"/>
      <w:r w:rsidRPr="00305114">
        <w:rPr>
          <w:rFonts w:asciiTheme="majorBidi" w:eastAsia="Times New Roman" w:hAnsiTheme="majorBidi" w:cstheme="majorBidi"/>
          <w:i/>
          <w:iCs/>
          <w:sz w:val="24"/>
          <w:szCs w:val="24"/>
        </w:rPr>
        <w:t>Matlab</w:t>
      </w:r>
      <w:proofErr w:type="spellEnd"/>
      <w:r w:rsidRPr="00305114">
        <w:rPr>
          <w:rFonts w:asciiTheme="majorBidi" w:eastAsia="Times New Roman" w:hAnsiTheme="majorBidi" w:cstheme="majorBidi"/>
          <w:sz w:val="24"/>
          <w:szCs w:val="24"/>
        </w:rPr>
        <w:t xml:space="preserve"> scripts sourced from the DPABI toolbox </w:t>
      </w:r>
      <w:hyperlink r:id="rId582">
        <w:r w:rsidRPr="00305114">
          <w:rPr>
            <w:rFonts w:asciiTheme="majorBidi" w:eastAsia="Times New Roman" w:hAnsiTheme="majorBidi" w:cstheme="majorBidi"/>
            <w:sz w:val="24"/>
            <w:szCs w:val="24"/>
          </w:rPr>
          <w:t>(Yan et al., 2016)</w:t>
        </w:r>
      </w:hyperlink>
      <w:r w:rsidRPr="00305114">
        <w:rPr>
          <w:rFonts w:asciiTheme="majorBidi" w:eastAsia="Times New Roman" w:hAnsiTheme="majorBidi" w:cstheme="majorBidi"/>
          <w:sz w:val="24"/>
          <w:szCs w:val="24"/>
        </w:rPr>
        <w:t xml:space="preserve">, publicly accessible through GitHub </w:t>
      </w:r>
      <w:hyperlink r:id="rId583" w:history="1">
        <w:r w:rsidR="004D3F34" w:rsidRPr="00E328B7">
          <w:rPr>
            <w:rStyle w:val="Hyperlink"/>
            <w:rFonts w:asciiTheme="majorBidi" w:eastAsia="Times New Roman" w:hAnsiTheme="majorBidi" w:cstheme="majorBidi"/>
            <w:sz w:val="24"/>
            <w:szCs w:val="24"/>
          </w:rPr>
          <w:t>https://github.com/Chaogan-Yan/DPABI</w:t>
        </w:r>
      </w:hyperlink>
      <w:r w:rsidRPr="00305114">
        <w:rPr>
          <w:rFonts w:asciiTheme="majorBidi" w:eastAsia="Times New Roman" w:hAnsiTheme="majorBidi" w:cstheme="majorBidi"/>
          <w:sz w:val="24"/>
          <w:szCs w:val="24"/>
        </w:rPr>
        <w:t>.</w:t>
      </w:r>
    </w:p>
    <w:p w14:paraId="32F3893F" w14:textId="4734244F" w:rsidR="0097647D" w:rsidRPr="001E0314" w:rsidRDefault="00305114" w:rsidP="001E03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complete data analysis process, encompassing tasks such as data input, time series extraction, multiscale sample entropy computation, generation of resultant entropy brain maps, and storage of outcomes for individual participants, was executed using the High-Performance Computing resources provided by the University of Sheffield's </w:t>
      </w:r>
      <w:proofErr w:type="spellStart"/>
      <w:r w:rsidRPr="00305114">
        <w:rPr>
          <w:rFonts w:asciiTheme="majorBidi" w:eastAsia="Times New Roman" w:hAnsiTheme="majorBidi" w:cstheme="majorBidi"/>
          <w:sz w:val="24"/>
          <w:szCs w:val="24"/>
        </w:rPr>
        <w:t>ShARC</w:t>
      </w:r>
      <w:proofErr w:type="spellEnd"/>
      <w:r w:rsidRPr="00305114">
        <w:rPr>
          <w:rFonts w:asciiTheme="majorBidi" w:eastAsia="Times New Roman" w:hAnsiTheme="majorBidi" w:cstheme="majorBidi"/>
          <w:sz w:val="24"/>
          <w:szCs w:val="24"/>
        </w:rPr>
        <w:t xml:space="preserve"> (Sheffield Advanced Research Computer) infrastructure.</w:t>
      </w:r>
      <w:r w:rsidR="004D3F34">
        <w:rPr>
          <w:rFonts w:asciiTheme="majorBidi" w:eastAsia="Times New Roman" w:hAnsiTheme="majorBidi" w:cstheme="majorBidi"/>
          <w:sz w:val="24"/>
          <w:szCs w:val="24"/>
        </w:rPr>
        <w:t xml:space="preserve"> My authored code employed in this study was available on GitHub: </w:t>
      </w:r>
      <w:hyperlink r:id="rId584" w:history="1">
        <w:r w:rsidR="0097647D" w:rsidRPr="00661AA1">
          <w:rPr>
            <w:rStyle w:val="Hyperlink"/>
            <w:rFonts w:asciiTheme="majorBidi" w:eastAsia="Times New Roman" w:hAnsiTheme="majorBidi" w:cstheme="majorBidi"/>
            <w:sz w:val="24"/>
            <w:szCs w:val="24"/>
          </w:rPr>
          <w:t xml:space="preserve">https://github.com/wenyixiao0058/fmristudy. </w:t>
        </w:r>
      </w:hyperlink>
      <w:r w:rsidR="0097647D">
        <w:rPr>
          <w:rFonts w:asciiTheme="majorBidi" w:eastAsia="Times New Roman" w:hAnsiTheme="majorBidi" w:cstheme="majorBidi"/>
          <w:sz w:val="24"/>
          <w:szCs w:val="24"/>
        </w:rPr>
        <w:t xml:space="preserve">Specifically, </w:t>
      </w:r>
      <w:r w:rsidR="001E0314">
        <w:rPr>
          <w:rFonts w:asciiTheme="minorEastAsia" w:eastAsiaTheme="minorEastAsia" w:hAnsiTheme="minorEastAsia" w:cstheme="majorBidi" w:hint="eastAsia"/>
          <w:sz w:val="24"/>
          <w:szCs w:val="24"/>
        </w:rPr>
        <w:t>f</w:t>
      </w:r>
      <w:r w:rsidR="001E0314" w:rsidRPr="001E0314">
        <w:rPr>
          <w:rFonts w:asciiTheme="majorBidi" w:eastAsia="Times New Roman" w:hAnsiTheme="majorBidi" w:cstheme="majorBidi"/>
          <w:sz w:val="24"/>
          <w:szCs w:val="24"/>
        </w:rPr>
        <w:t>or data input, extracting voxel-wise time series, and organizing output storage, check out the "</w:t>
      </w:r>
      <w:proofErr w:type="spellStart"/>
      <w:r w:rsidR="001E0314" w:rsidRPr="001E0314">
        <w:rPr>
          <w:rFonts w:asciiTheme="majorBidi" w:eastAsia="Times New Roman" w:hAnsiTheme="majorBidi" w:cstheme="majorBidi"/>
          <w:i/>
          <w:iCs/>
          <w:sz w:val="24"/>
          <w:szCs w:val="24"/>
        </w:rPr>
        <w:t>getfmriDat.m</w:t>
      </w:r>
      <w:proofErr w:type="spellEnd"/>
      <w:r w:rsidR="001E0314" w:rsidRPr="001E0314">
        <w:rPr>
          <w:rFonts w:asciiTheme="majorBidi" w:eastAsia="Times New Roman" w:hAnsiTheme="majorBidi" w:cstheme="majorBidi"/>
          <w:sz w:val="24"/>
          <w:szCs w:val="24"/>
        </w:rPr>
        <w:t>" and "</w:t>
      </w:r>
      <w:proofErr w:type="spellStart"/>
      <w:r w:rsidR="001E0314" w:rsidRPr="001E0314">
        <w:rPr>
          <w:rFonts w:asciiTheme="majorBidi" w:eastAsia="Times New Roman" w:hAnsiTheme="majorBidi" w:cstheme="majorBidi"/>
          <w:i/>
          <w:iCs/>
          <w:sz w:val="24"/>
          <w:szCs w:val="24"/>
        </w:rPr>
        <w:t>setfmriAggregate.m</w:t>
      </w:r>
      <w:proofErr w:type="spellEnd"/>
      <w:r w:rsidR="001E0314" w:rsidRPr="001E0314">
        <w:rPr>
          <w:rFonts w:asciiTheme="majorBidi" w:eastAsia="Times New Roman" w:hAnsiTheme="majorBidi" w:cstheme="majorBidi"/>
          <w:sz w:val="24"/>
          <w:szCs w:val="24"/>
        </w:rPr>
        <w:t>" files.</w:t>
      </w:r>
      <w:r w:rsidR="001E0314">
        <w:rPr>
          <w:rFonts w:asciiTheme="majorBidi" w:eastAsia="Times New Roman" w:hAnsiTheme="majorBidi" w:cstheme="majorBidi"/>
          <w:sz w:val="24"/>
          <w:szCs w:val="24"/>
        </w:rPr>
        <w:t xml:space="preserve"> To </w:t>
      </w:r>
      <w:r w:rsidR="001E0314" w:rsidRPr="001E0314">
        <w:rPr>
          <w:rFonts w:asciiTheme="majorBidi" w:eastAsia="Times New Roman" w:hAnsiTheme="majorBidi" w:cstheme="majorBidi"/>
          <w:sz w:val="24"/>
          <w:szCs w:val="24"/>
        </w:rPr>
        <w:t>perform multiscale sample entropy computations,</w:t>
      </w:r>
      <w:r w:rsidR="001E0314">
        <w:rPr>
          <w:rFonts w:asciiTheme="majorBidi" w:eastAsia="Times New Roman" w:hAnsiTheme="majorBidi" w:cstheme="majorBidi"/>
          <w:sz w:val="24"/>
          <w:szCs w:val="24"/>
        </w:rPr>
        <w:t xml:space="preserve"> </w:t>
      </w:r>
      <w:r w:rsidR="001E0314" w:rsidRPr="001E0314">
        <w:rPr>
          <w:rFonts w:asciiTheme="majorBidi" w:eastAsia="Times New Roman" w:hAnsiTheme="majorBidi" w:cstheme="majorBidi"/>
          <w:sz w:val="24"/>
          <w:szCs w:val="24"/>
        </w:rPr>
        <w:t xml:space="preserve">the relevant code </w:t>
      </w:r>
      <w:r w:rsidR="001E0314">
        <w:rPr>
          <w:rFonts w:asciiTheme="majorBidi" w:eastAsia="Times New Roman" w:hAnsiTheme="majorBidi" w:cstheme="majorBidi"/>
          <w:sz w:val="24"/>
          <w:szCs w:val="24"/>
        </w:rPr>
        <w:t xml:space="preserve">is available </w:t>
      </w:r>
      <w:r w:rsidR="001E0314" w:rsidRPr="001E0314">
        <w:rPr>
          <w:rFonts w:asciiTheme="majorBidi" w:eastAsia="Times New Roman" w:hAnsiTheme="majorBidi" w:cstheme="majorBidi"/>
          <w:sz w:val="24"/>
          <w:szCs w:val="24"/>
        </w:rPr>
        <w:t>in the "</w:t>
      </w:r>
      <w:r w:rsidR="001E0314" w:rsidRPr="001E0314">
        <w:rPr>
          <w:rFonts w:asciiTheme="majorBidi" w:eastAsia="Times New Roman" w:hAnsiTheme="majorBidi" w:cstheme="majorBidi"/>
          <w:i/>
          <w:iCs/>
          <w:sz w:val="24"/>
          <w:szCs w:val="24"/>
        </w:rPr>
        <w:t>multiscale_entropy4fmri.m</w:t>
      </w:r>
      <w:r w:rsidR="001E0314" w:rsidRPr="001E0314">
        <w:rPr>
          <w:rFonts w:asciiTheme="majorBidi" w:eastAsia="Times New Roman" w:hAnsiTheme="majorBidi" w:cstheme="majorBidi"/>
          <w:sz w:val="24"/>
          <w:szCs w:val="24"/>
        </w:rPr>
        <w:t>" file.</w:t>
      </w:r>
    </w:p>
    <w:p w14:paraId="70D3AC0D"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Entropy Calculation</w:t>
      </w:r>
    </w:p>
    <w:p w14:paraId="037C67D0"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In this study, the calculation of Sample Entropy was conducted using the </w:t>
      </w:r>
      <w:proofErr w:type="spellStart"/>
      <w:r w:rsidRPr="00305114">
        <w:rPr>
          <w:rFonts w:asciiTheme="majorBidi" w:eastAsia="Times New Roman" w:hAnsiTheme="majorBidi" w:cstheme="majorBidi"/>
          <w:i/>
          <w:sz w:val="24"/>
          <w:szCs w:val="24"/>
        </w:rPr>
        <w:t>Matlab</w:t>
      </w:r>
      <w:proofErr w:type="spellEnd"/>
      <w:r w:rsidRPr="00305114">
        <w:rPr>
          <w:rFonts w:asciiTheme="majorBidi" w:eastAsia="Times New Roman" w:hAnsiTheme="majorBidi" w:cstheme="majorBidi"/>
          <w:sz w:val="24"/>
          <w:szCs w:val="24"/>
        </w:rPr>
        <w:t xml:space="preserve"> script provided in the work of </w:t>
      </w:r>
      <w:hyperlink r:id="rId585">
        <w:r w:rsidRPr="00305114">
          <w:rPr>
            <w:rFonts w:asciiTheme="majorBidi" w:eastAsia="Times New Roman" w:hAnsiTheme="majorBidi" w:cstheme="majorBidi"/>
            <w:sz w:val="24"/>
            <w:szCs w:val="24"/>
          </w:rPr>
          <w:t>(Azami et al., 2017)</w:t>
        </w:r>
      </w:hyperlink>
      <w:r w:rsidRPr="00305114">
        <w:rPr>
          <w:rFonts w:asciiTheme="majorBidi" w:eastAsia="Times New Roman" w:hAnsiTheme="majorBidi" w:cstheme="majorBidi"/>
          <w:sz w:val="24"/>
          <w:szCs w:val="24"/>
        </w:rPr>
        <w:t>, which is also employed in the Chapter 2 EEG study.</w:t>
      </w:r>
    </w:p>
    <w:p w14:paraId="56A7380E" w14:textId="77777777" w:rsidR="00305114" w:rsidRPr="00305114" w:rsidRDefault="00305114" w:rsidP="00305114">
      <w:pPr>
        <w:spacing w:line="480" w:lineRule="auto"/>
        <w:rPr>
          <w:rFonts w:asciiTheme="majorBidi" w:eastAsia="Times New Roman" w:hAnsiTheme="majorBidi" w:cstheme="majorBidi"/>
          <w:b/>
          <w:i/>
          <w:sz w:val="24"/>
          <w:szCs w:val="24"/>
        </w:rPr>
      </w:pPr>
      <w:r w:rsidRPr="00305114">
        <w:rPr>
          <w:rFonts w:asciiTheme="majorBidi" w:eastAsia="Times New Roman" w:hAnsiTheme="majorBidi" w:cstheme="majorBidi"/>
          <w:b/>
          <w:i/>
          <w:sz w:val="24"/>
          <w:szCs w:val="24"/>
        </w:rPr>
        <w:t>Multi-Scale Entropy</w:t>
      </w:r>
    </w:p>
    <w:p w14:paraId="681E5257"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t xml:space="preserve"> </w:t>
      </w:r>
      <w:r w:rsidRPr="00305114">
        <w:rPr>
          <w:rFonts w:asciiTheme="majorBidi" w:eastAsia="Times New Roman" w:hAnsiTheme="majorBidi" w:cstheme="majorBidi"/>
          <w:sz w:val="24"/>
          <w:szCs w:val="24"/>
        </w:rPr>
        <w:t xml:space="preserve">          Multi-Scale sample entropy (MSE) computes the sample entropy on the original signal and on coarse-grained time series that are derived from the original signal. MSE calculation incorporates two </w:t>
      </w:r>
      <w:r w:rsidRPr="00305114">
        <w:rPr>
          <w:rFonts w:asciiTheme="majorBidi" w:eastAsia="Times New Roman" w:hAnsiTheme="majorBidi" w:cstheme="majorBidi"/>
          <w:sz w:val="24"/>
          <w:szCs w:val="24"/>
        </w:rPr>
        <w:lastRenderedPageBreak/>
        <w:t xml:space="preserve">procedures in each epoch and for each electrode independently. Firstly, the algorithm generates coarse-grained time series by progressively </w:t>
      </w:r>
      <w:proofErr w:type="spellStart"/>
      <w:r w:rsidRPr="00305114">
        <w:rPr>
          <w:rFonts w:asciiTheme="majorBidi" w:eastAsia="Times New Roman" w:hAnsiTheme="majorBidi" w:cstheme="majorBidi"/>
          <w:sz w:val="24"/>
          <w:szCs w:val="24"/>
        </w:rPr>
        <w:t>downsampling</w:t>
      </w:r>
      <w:proofErr w:type="spellEnd"/>
      <w:r w:rsidRPr="00305114">
        <w:rPr>
          <w:rFonts w:asciiTheme="majorBidi" w:eastAsia="Times New Roman" w:hAnsiTheme="majorBidi" w:cstheme="majorBidi"/>
          <w:sz w:val="24"/>
          <w:szCs w:val="24"/>
        </w:rPr>
        <w:t xml:space="preserve"> the time series</w:t>
      </w:r>
      <m:oMath>
        <m:d>
          <m:dPr>
            <m:begChr m:val="{"/>
            <m:endChr m:val="}"/>
            <m:ctrlPr>
              <w:rPr>
                <w:rFonts w:ascii="Cambria Math" w:eastAsia="Times New Roman" w:hAnsi="Cambria Math" w:cstheme="majorBidi"/>
                <w:sz w:val="24"/>
                <w:szCs w:val="24"/>
              </w:rPr>
            </m:ctrlPr>
          </m:dPr>
          <m:e>
            <m:r>
              <w:rPr>
                <w:rFonts w:ascii="Cambria Math" w:eastAsia="Arial" w:hAnsi="Cambria Math" w:cstheme="majorBidi"/>
              </w:rPr>
              <m:t>χ</m:t>
            </m:r>
            <m:r>
              <w:rPr>
                <w:rFonts w:ascii="Cambria Math" w:eastAsia="Times New Roman" w:hAnsi="Cambria Math" w:cstheme="majorBidi"/>
                <w:sz w:val="24"/>
                <w:szCs w:val="24"/>
              </w:rPr>
              <m:t>₁,χ₂,…χɴ</m:t>
            </m:r>
          </m:e>
        </m:d>
      </m:oMath>
      <w:r w:rsidRPr="00305114">
        <w:rPr>
          <w:rFonts w:asciiTheme="majorBidi" w:eastAsia="Times New Roman" w:hAnsiTheme="majorBidi" w:cstheme="majorBidi"/>
          <w:sz w:val="24"/>
          <w:szCs w:val="24"/>
        </w:rPr>
        <w:t xml:space="preserve">. As for time scale factor </w:t>
      </w:r>
      <w:r w:rsidRPr="00305114">
        <w:rPr>
          <w:rFonts w:ascii="Cambria Math" w:eastAsia="Times New Roman" w:hAnsi="Cambria Math" w:cs="Cambria Math"/>
          <w:sz w:val="24"/>
          <w:szCs w:val="24"/>
        </w:rPr>
        <w:t>𝜏</w:t>
      </w:r>
      <w:r w:rsidRPr="00305114">
        <w:rPr>
          <w:rFonts w:asciiTheme="majorBidi" w:eastAsia="Times New Roman" w:hAnsiTheme="majorBidi" w:cstheme="majorBidi"/>
          <w:sz w:val="24"/>
          <w:szCs w:val="24"/>
        </w:rPr>
        <w:t xml:space="preserve">, each element </w:t>
      </w:r>
      <m:oMath>
        <m:d>
          <m:dPr>
            <m:ctrlPr>
              <w:rPr>
                <w:rFonts w:ascii="Cambria Math" w:eastAsia="Times New Roman" w:hAnsi="Cambria Math" w:cstheme="majorBidi"/>
                <w:sz w:val="24"/>
                <w:szCs w:val="24"/>
              </w:rPr>
            </m:ctrlPr>
          </m:dPr>
          <m:e>
            <m:r>
              <w:rPr>
                <w:rFonts w:ascii="Cambria Math" w:eastAsia="Times New Roman" w:hAnsi="Cambria Math" w:cstheme="majorBidi"/>
                <w:sz w:val="24"/>
                <w:szCs w:val="24"/>
              </w:rPr>
              <m:t>i</m:t>
            </m:r>
          </m:e>
        </m:d>
      </m:oMath>
      <w:r w:rsidRPr="00305114">
        <w:rPr>
          <w:rFonts w:asciiTheme="majorBidi" w:eastAsia="Times New Roman" w:hAnsiTheme="majorBidi" w:cstheme="majorBidi"/>
          <w:sz w:val="24"/>
          <w:szCs w:val="24"/>
        </w:rPr>
        <w:t xml:space="preserve"> from the coarse-grained time series </w:t>
      </w:r>
      <m:oMath>
        <m:d>
          <m:dPr>
            <m:begChr m:val="{"/>
            <m:endChr m:val="}"/>
            <m:ctrlPr>
              <w:rPr>
                <w:rFonts w:ascii="Cambria Math" w:eastAsia="Times New Roman" w:hAnsi="Cambria Math" w:cstheme="majorBidi"/>
                <w:sz w:val="24"/>
                <w:szCs w:val="24"/>
              </w:rPr>
            </m:ctrlPr>
          </m:dPr>
          <m:e>
            <m:r>
              <m:rPr>
                <m:sty m:val="bi"/>
              </m:rPr>
              <w:rPr>
                <w:rFonts w:ascii="Cambria Math" w:eastAsia="Times New Roman" w:hAnsi="Cambria Math" w:cstheme="majorBidi"/>
                <w:sz w:val="24"/>
                <w:szCs w:val="24"/>
              </w:rPr>
              <m:t>Y</m:t>
            </m:r>
            <m:r>
              <w:rPr>
                <w:rFonts w:ascii="Cambria Math" w:eastAsia="Times New Roman" w:hAnsi="Cambria Math" w:cstheme="majorBidi"/>
                <w:sz w:val="24"/>
                <w:szCs w:val="24"/>
              </w:rPr>
              <m:t>τ</m:t>
            </m:r>
            <m:d>
              <m:dPr>
                <m:ctrlPr>
                  <w:rPr>
                    <w:rFonts w:ascii="Cambria Math" w:eastAsia="Times New Roman" w:hAnsi="Cambria Math" w:cstheme="majorBidi"/>
                    <w:sz w:val="24"/>
                    <w:szCs w:val="24"/>
                  </w:rPr>
                </m:ctrlPr>
              </m:dPr>
              <m:e>
                <m:r>
                  <w:rPr>
                    <w:rFonts w:ascii="Cambria Math" w:eastAsia="Times New Roman" w:hAnsi="Cambria Math" w:cstheme="majorBidi"/>
                    <w:sz w:val="24"/>
                    <w:szCs w:val="24"/>
                  </w:rPr>
                  <m:t>i</m:t>
                </m:r>
              </m:e>
            </m:d>
          </m:e>
        </m:d>
        <m:r>
          <w:rPr>
            <w:rFonts w:ascii="Cambria Math" w:eastAsia="Times New Roman" w:hAnsi="Cambria Math" w:cstheme="majorBidi"/>
            <w:sz w:val="24"/>
            <w:szCs w:val="24"/>
          </w:rPr>
          <m:t xml:space="preserve"> </m:t>
        </m:r>
      </m:oMath>
      <w:r w:rsidRPr="00305114">
        <w:rPr>
          <w:rFonts w:asciiTheme="majorBidi" w:eastAsia="Times New Roman" w:hAnsiTheme="majorBidi" w:cstheme="majorBidi"/>
          <w:sz w:val="24"/>
          <w:szCs w:val="24"/>
        </w:rPr>
        <w:t xml:space="preserve">is obtained by averaging </w:t>
      </w:r>
      <w:r w:rsidRPr="00305114">
        <w:rPr>
          <w:rFonts w:ascii="Cambria Math" w:eastAsia="Times New Roman" w:hAnsi="Cambria Math" w:cs="Cambria Math"/>
          <w:sz w:val="24"/>
          <w:szCs w:val="24"/>
        </w:rPr>
        <w:t>𝜏</w:t>
      </w:r>
      <w:r w:rsidRPr="00305114">
        <w:rPr>
          <w:rFonts w:asciiTheme="majorBidi" w:eastAsia="Times New Roman" w:hAnsiTheme="majorBidi" w:cstheme="majorBidi"/>
          <w:sz w:val="24"/>
          <w:szCs w:val="24"/>
        </w:rPr>
        <w:t xml:space="preserve"> consecutive data points, resulting in a time series with a length of exactly divisible by </w:t>
      </w:r>
      <w:r w:rsidRPr="00305114">
        <w:rPr>
          <w:rFonts w:ascii="Cambria Math" w:eastAsia="Times New Roman" w:hAnsi="Cambria Math" w:cs="Cambria Math"/>
          <w:sz w:val="24"/>
          <w:szCs w:val="24"/>
        </w:rPr>
        <w:t>𝜏</w:t>
      </w:r>
      <w:r w:rsidRPr="00305114">
        <w:rPr>
          <w:rFonts w:asciiTheme="majorBidi" w:eastAsia="Times New Roman" w:hAnsiTheme="majorBidi" w:cstheme="majorBidi"/>
          <w:sz w:val="24"/>
          <w:szCs w:val="24"/>
        </w:rPr>
        <w:t xml:space="preserve"> into the original length. </w:t>
      </w:r>
      <w:r w:rsidR="00A367A4" w:rsidRPr="00305114">
        <w:rPr>
          <w:rFonts w:asciiTheme="majorBidi" w:eastAsia="Times New Roman" w:hAnsiTheme="majorBidi" w:cstheme="majorBidi"/>
          <w:sz w:val="24"/>
          <w:szCs w:val="24"/>
        </w:rPr>
        <w:t>Specifically, the</w:t>
      </w:r>
      <w:r w:rsidRPr="00305114">
        <w:rPr>
          <w:rFonts w:asciiTheme="majorBidi" w:eastAsia="Times New Roman" w:hAnsiTheme="majorBidi" w:cstheme="majorBidi"/>
          <w:sz w:val="24"/>
          <w:szCs w:val="24"/>
        </w:rPr>
        <w:t xml:space="preserve"> time series associated with scale factor 1 is the original data and scale factor 2 is the average of consecutive pairs of data points and so forth for increasing scales. As such, the element of a coarse-grained time series </w:t>
      </w:r>
      <m:oMath>
        <m:r>
          <w:rPr>
            <w:rFonts w:ascii="Cambria Math" w:eastAsia="Times New Roman" w:hAnsi="Cambria Math" w:cstheme="majorBidi"/>
            <w:sz w:val="24"/>
            <w:szCs w:val="24"/>
          </w:rPr>
          <m:t>i</m:t>
        </m:r>
      </m:oMath>
      <w:r w:rsidRPr="00305114">
        <w:rPr>
          <w:rFonts w:asciiTheme="majorBidi" w:eastAsia="Times New Roman" w:hAnsiTheme="majorBidi" w:cstheme="majorBidi"/>
          <w:sz w:val="24"/>
          <w:szCs w:val="24"/>
        </w:rPr>
        <w:t xml:space="preserve"> is calculated according to:</w:t>
      </w:r>
    </w:p>
    <w:p w14:paraId="6E49CAF7" w14:textId="292C8A80" w:rsidR="00305114" w:rsidRPr="00305114" w:rsidRDefault="00000000" w:rsidP="00305114">
      <w:pPr>
        <w:spacing w:line="480" w:lineRule="auto"/>
        <w:jc w:val="center"/>
        <w:rPr>
          <w:rFonts w:asciiTheme="majorBidi" w:eastAsia="Times New Roman" w:hAnsiTheme="majorBidi" w:cstheme="majorBidi"/>
          <w:sz w:val="24"/>
          <w:szCs w:val="24"/>
        </w:rPr>
      </w:pPr>
      <m:oMath>
        <m:d>
          <m:dPr>
            <m:begChr m:val="{"/>
            <m:endChr m:val="}"/>
            <m:ctrlPr>
              <w:rPr>
                <w:rFonts w:ascii="Cambria Math" w:eastAsia="Times New Roman" w:hAnsi="Cambria Math" w:cstheme="majorBidi"/>
                <w:sz w:val="24"/>
                <w:szCs w:val="24"/>
              </w:rPr>
            </m:ctrlPr>
          </m:dPr>
          <m:e>
            <m:r>
              <m:rPr>
                <m:sty m:val="bi"/>
              </m:rPr>
              <w:rPr>
                <w:rFonts w:ascii="Cambria Math" w:eastAsia="Times New Roman" w:hAnsi="Cambria Math" w:cstheme="majorBidi"/>
                <w:sz w:val="24"/>
                <w:szCs w:val="24"/>
              </w:rPr>
              <m:t>Y</m:t>
            </m:r>
            <m:r>
              <w:rPr>
                <w:rFonts w:ascii="Cambria Math" w:eastAsia="Times New Roman" w:hAnsi="Cambria Math" w:cstheme="majorBidi"/>
                <w:sz w:val="24"/>
                <w:szCs w:val="24"/>
              </w:rPr>
              <m:t>τ</m:t>
            </m:r>
            <m:d>
              <m:dPr>
                <m:ctrlPr>
                  <w:rPr>
                    <w:rFonts w:ascii="Cambria Math" w:eastAsia="Times New Roman" w:hAnsi="Cambria Math" w:cstheme="majorBidi"/>
                    <w:sz w:val="24"/>
                    <w:szCs w:val="24"/>
                  </w:rPr>
                </m:ctrlPr>
              </m:dPr>
              <m:e>
                <m:r>
                  <w:rPr>
                    <w:rFonts w:ascii="Cambria Math" w:eastAsia="Times New Roman" w:hAnsi="Cambria Math" w:cstheme="majorBidi"/>
                    <w:sz w:val="24"/>
                    <w:szCs w:val="24"/>
                  </w:rPr>
                  <m:t>i</m:t>
                </m:r>
              </m:e>
            </m:d>
          </m:e>
        </m:d>
        <m: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τ</m:t>
            </m:r>
          </m:den>
        </m:f>
        <m:nary>
          <m:naryPr>
            <m:chr m:val="∑"/>
            <m:ctrlPr>
              <w:rPr>
                <w:rFonts w:ascii="Cambria Math" w:eastAsia="Times New Roman" w:hAnsi="Cambria Math" w:cstheme="majorBidi"/>
                <w:sz w:val="24"/>
                <w:szCs w:val="24"/>
              </w:rPr>
            </m:ctrlPr>
          </m:naryPr>
          <m:sub>
            <m:r>
              <w:rPr>
                <w:rFonts w:ascii="Cambria Math" w:eastAsia="Times New Roman" w:hAnsi="Cambria Math" w:cstheme="majorBidi"/>
                <w:sz w:val="24"/>
                <w:szCs w:val="24"/>
              </w:rPr>
              <m:t>i=1</m:t>
            </m:r>
          </m:sub>
          <m:sup>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N</m:t>
                </m:r>
              </m:num>
              <m:den>
                <m:r>
                  <w:rPr>
                    <w:rFonts w:ascii="Cambria Math" w:eastAsia="Times New Roman" w:hAnsi="Cambria Math" w:cstheme="majorBidi"/>
                    <w:sz w:val="24"/>
                    <w:szCs w:val="24"/>
                  </w:rPr>
                  <m:t>τ</m:t>
                </m:r>
              </m:den>
            </m:f>
          </m:sup>
          <m:e/>
        </m:nary>
        <m:d>
          <m:dPr>
            <m:ctrlPr>
              <w:rPr>
                <w:rFonts w:ascii="Cambria Math" w:eastAsia="Times New Roman" w:hAnsi="Cambria Math" w:cstheme="majorBidi"/>
                <w:sz w:val="24"/>
                <w:szCs w:val="24"/>
              </w:rPr>
            </m:ctrlPr>
          </m:dPr>
          <m:e>
            <m:r>
              <w:rPr>
                <w:rFonts w:ascii="Cambria Math" w:eastAsia="Times New Roman" w:hAnsi="Cambria Math" w:cstheme="majorBidi"/>
                <w:sz w:val="24"/>
                <w:szCs w:val="24"/>
              </w:rPr>
              <m:t>χ</m:t>
            </m:r>
            <m:sSub>
              <m:sSubPr>
                <m:ctrlPr>
                  <w:rPr>
                    <w:rFonts w:ascii="Cambria Math" w:eastAsia="Times New Roman" w:hAnsi="Cambria Math" w:cstheme="majorBidi"/>
                    <w:sz w:val="24"/>
                    <w:szCs w:val="24"/>
                    <w:vertAlign w:val="subscript"/>
                  </w:rPr>
                </m:ctrlPr>
              </m:sSubPr>
              <m:e/>
              <m:sub>
                <m:r>
                  <w:rPr>
                    <w:rFonts w:ascii="Cambria Math" w:eastAsia="Times New Roman" w:hAnsi="Cambria Math" w:cstheme="majorBidi"/>
                    <w:sz w:val="24"/>
                    <w:szCs w:val="24"/>
                    <w:vertAlign w:val="subscript"/>
                  </w:rPr>
                  <m:t>((i-1)*τ +1)</m:t>
                </m:r>
              </m:sub>
            </m:sSub>
            <m:r>
              <w:rPr>
                <w:rFonts w:ascii="Cambria Math" w:eastAsia="Times New Roman" w:hAnsi="Cambria Math" w:cstheme="majorBidi"/>
                <w:sz w:val="24"/>
                <w:szCs w:val="24"/>
              </w:rPr>
              <m:t>: χ</m:t>
            </m:r>
            <m:sSub>
              <m:sSubPr>
                <m:ctrlPr>
                  <w:rPr>
                    <w:rFonts w:ascii="Cambria Math" w:eastAsia="Times New Roman" w:hAnsi="Cambria Math" w:cstheme="majorBidi"/>
                    <w:sz w:val="24"/>
                    <w:szCs w:val="24"/>
                    <w:vertAlign w:val="subscript"/>
                  </w:rPr>
                </m:ctrlPr>
              </m:sSubPr>
              <m:e/>
              <m:sub>
                <m:r>
                  <w:rPr>
                    <w:rFonts w:ascii="Cambria Math" w:eastAsia="Times New Roman" w:hAnsi="Cambria Math" w:cstheme="majorBidi"/>
                    <w:sz w:val="24"/>
                    <w:szCs w:val="24"/>
                    <w:vertAlign w:val="subscript"/>
                  </w:rPr>
                  <m:t>(i*τ)</m:t>
                </m:r>
              </m:sub>
            </m:sSub>
          </m:e>
        </m:d>
      </m:oMath>
      <w:r w:rsidR="00305114" w:rsidRPr="00305114">
        <w:rPr>
          <w:rFonts w:asciiTheme="majorBidi" w:eastAsia="Times New Roman" w:hAnsiTheme="majorBidi" w:cstheme="majorBidi"/>
          <w:sz w:val="24"/>
          <w:szCs w:val="24"/>
        </w:rPr>
        <w:t xml:space="preserve">  </w:t>
      </w:r>
      <w:r w:rsidR="00305114" w:rsidRPr="00305114">
        <w:rPr>
          <w:rFonts w:asciiTheme="majorBidi" w:eastAsia="Times New Roman" w:hAnsiTheme="majorBidi" w:cstheme="majorBidi"/>
          <w:sz w:val="24"/>
          <w:szCs w:val="24"/>
        </w:rPr>
        <w:tab/>
        <w:t xml:space="preserve">(Equation </w:t>
      </w:r>
      <w:r w:rsidR="002A3D3D">
        <w:rPr>
          <w:rFonts w:asciiTheme="majorBidi" w:eastAsia="Times New Roman" w:hAnsiTheme="majorBidi" w:cstheme="majorBidi"/>
          <w:sz w:val="24"/>
          <w:szCs w:val="24"/>
        </w:rPr>
        <w:t>3</w:t>
      </w:r>
      <w:r w:rsidR="00305114" w:rsidRPr="00305114">
        <w:rPr>
          <w:rFonts w:asciiTheme="majorBidi" w:eastAsia="Times New Roman" w:hAnsiTheme="majorBidi" w:cstheme="majorBidi"/>
          <w:sz w:val="24"/>
          <w:szCs w:val="24"/>
        </w:rPr>
        <w:t>)</w:t>
      </w:r>
    </w:p>
    <w:p w14:paraId="1FFC4D22" w14:textId="24FB3A4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where </w:t>
      </w:r>
      <m:oMath>
        <m:r>
          <w:rPr>
            <w:rFonts w:ascii="Cambria Math" w:eastAsia="Times New Roman" w:hAnsi="Cambria Math" w:cstheme="majorBidi"/>
            <w:sz w:val="24"/>
            <w:szCs w:val="24"/>
          </w:rPr>
          <m:t>N</m:t>
        </m:r>
      </m:oMath>
      <w:r w:rsidRPr="00305114">
        <w:rPr>
          <w:rFonts w:asciiTheme="majorBidi" w:eastAsia="Times New Roman" w:hAnsiTheme="majorBidi" w:cstheme="majorBidi"/>
          <w:sz w:val="24"/>
          <w:szCs w:val="24"/>
        </w:rPr>
        <w:t xml:space="preserve"> is the length of the original signal. Second, the algorithm computes the sample entropy for each coarse-grained time series. Sample entropy is defined by the negative natural logarithm of the conditional probability that a time series of length </w:t>
      </w:r>
      <m:oMath>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N</m:t>
            </m:r>
          </m:num>
          <m:den>
            <m:r>
              <w:rPr>
                <w:rFonts w:ascii="Cambria Math" w:eastAsia="Times New Roman" w:hAnsi="Cambria Math" w:cstheme="majorBidi"/>
                <w:sz w:val="24"/>
                <w:szCs w:val="24"/>
              </w:rPr>
              <m:t>τ</m:t>
            </m:r>
          </m:den>
        </m:f>
      </m:oMath>
      <w:r w:rsidRPr="00305114">
        <w:rPr>
          <w:rFonts w:asciiTheme="majorBidi" w:eastAsia="Times New Roman" w:hAnsiTheme="majorBidi" w:cstheme="majorBidi"/>
          <w:sz w:val="24"/>
          <w:szCs w:val="24"/>
        </w:rPr>
        <w:t xml:space="preserve">, having repeated itself within a tolerance </w:t>
      </w:r>
      <m:oMath>
        <m:r>
          <w:rPr>
            <w:rFonts w:ascii="Cambria Math" w:eastAsia="Arial" w:hAnsi="Cambria Math" w:cstheme="majorBidi"/>
          </w:rPr>
          <m:t>γ</m:t>
        </m:r>
      </m:oMath>
      <w:r w:rsidRPr="00305114">
        <w:rPr>
          <w:rFonts w:asciiTheme="majorBidi" w:eastAsia="Times New Roman" w:hAnsiTheme="majorBidi" w:cstheme="majorBidi"/>
          <w:sz w:val="24"/>
          <w:szCs w:val="24"/>
        </w:rPr>
        <w:t xml:space="preserve">(similarity threshold) for </w:t>
      </w:r>
      <m:oMath>
        <m:r>
          <w:rPr>
            <w:rFonts w:ascii="Cambria Math" w:eastAsia="Times New Roman" w:hAnsi="Cambria Math" w:cstheme="majorBidi"/>
            <w:sz w:val="24"/>
            <w:szCs w:val="24"/>
          </w:rPr>
          <m:t>m</m:t>
        </m:r>
      </m:oMath>
      <w:r w:rsidRPr="00305114">
        <w:rPr>
          <w:rFonts w:asciiTheme="majorBidi" w:eastAsia="Times New Roman" w:hAnsiTheme="majorBidi" w:cstheme="majorBidi"/>
          <w:sz w:val="24"/>
          <w:szCs w:val="24"/>
        </w:rPr>
        <w:t xml:space="preserve"> points (the length of sequences to be compared), will also repeat itself for </w:t>
      </w:r>
      <m:oMath>
        <m:r>
          <w:rPr>
            <w:rFonts w:ascii="Cambria Math" w:eastAsia="Times New Roman" w:hAnsi="Cambria Math" w:cstheme="majorBidi"/>
            <w:sz w:val="24"/>
            <w:szCs w:val="24"/>
          </w:rPr>
          <m:t>m+1</m:t>
        </m:r>
      </m:oMath>
      <w:r w:rsidRPr="00305114">
        <w:rPr>
          <w:rFonts w:asciiTheme="majorBidi" w:eastAsia="Times New Roman" w:hAnsiTheme="majorBidi" w:cstheme="majorBidi"/>
          <w:sz w:val="24"/>
          <w:szCs w:val="24"/>
        </w:rPr>
        <w:t xml:space="preserve"> points, without allowing self-matches. The pattern length </w:t>
      </w:r>
      <m:oMath>
        <m:r>
          <w:rPr>
            <w:rFonts w:ascii="Cambria Math" w:eastAsia="Times New Roman" w:hAnsi="Cambria Math" w:cstheme="majorBidi"/>
            <w:sz w:val="24"/>
            <w:szCs w:val="24"/>
          </w:rPr>
          <m:t>m</m:t>
        </m:r>
      </m:oMath>
      <w:r w:rsidRPr="00305114">
        <w:rPr>
          <w:rFonts w:asciiTheme="majorBidi" w:eastAsia="Times New Roman" w:hAnsiTheme="majorBidi" w:cstheme="majorBidi"/>
          <w:sz w:val="24"/>
          <w:szCs w:val="24"/>
        </w:rPr>
        <w:t xml:space="preserve"> was fixed to 2 and the similarity factor </w:t>
      </w:r>
      <m:oMath>
        <m:r>
          <w:rPr>
            <w:rFonts w:ascii="Cambria Math" w:eastAsia="Arial" w:hAnsi="Cambria Math" w:cstheme="majorBidi"/>
          </w:rPr>
          <m:t>γ</m:t>
        </m:r>
      </m:oMath>
      <w:r w:rsidRPr="00305114">
        <w:rPr>
          <w:rFonts w:asciiTheme="majorBidi" w:eastAsia="Gungsuh" w:hAnsiTheme="majorBidi" w:cstheme="majorBidi"/>
          <w:sz w:val="24"/>
          <w:szCs w:val="24"/>
        </w:rPr>
        <w:t xml:space="preserve"> was set to 0.60 * standard deviation of the time series in this study; that is, data points </w:t>
      </w:r>
      <w:r w:rsidR="00D429BB" w:rsidRPr="00305114">
        <w:rPr>
          <w:rFonts w:asciiTheme="majorBidi" w:eastAsia="Gungsuh" w:hAnsiTheme="majorBidi" w:cstheme="majorBidi"/>
          <w:sz w:val="24"/>
          <w:szCs w:val="24"/>
        </w:rPr>
        <w:t>were</w:t>
      </w:r>
      <w:r w:rsidRPr="00305114">
        <w:rPr>
          <w:rFonts w:asciiTheme="majorBidi" w:eastAsia="Gungsuh" w:hAnsiTheme="majorBidi" w:cstheme="majorBidi"/>
          <w:sz w:val="24"/>
          <w:szCs w:val="24"/>
        </w:rPr>
        <w:t xml:space="preserve"> indistinguishable if the absolute amplitude difference between them was ≤ 60% of the standard deviation of the time series. </w:t>
      </w:r>
    </w:p>
    <w:p w14:paraId="2D27DE4E" w14:textId="10173545"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Before the SE calculation, </w:t>
      </w:r>
      <w:proofErr w:type="spellStart"/>
      <w:r w:rsidR="00D429BB" w:rsidRPr="00305114">
        <w:rPr>
          <w:rFonts w:asciiTheme="majorBidi" w:eastAsia="Times New Roman" w:hAnsiTheme="majorBidi" w:cstheme="majorBidi"/>
          <w:sz w:val="24"/>
          <w:szCs w:val="24"/>
        </w:rPr>
        <w:t>all</w:t>
      </w:r>
      <w:r w:rsidR="00D429BB">
        <w:rPr>
          <w:rFonts w:asciiTheme="majorBidi" w:eastAsia="Times New Roman" w:hAnsiTheme="majorBidi" w:cstheme="majorBidi"/>
          <w:sz w:val="24"/>
          <w:szCs w:val="24"/>
        </w:rPr>
        <w:t xml:space="preserve"> </w:t>
      </w:r>
      <w:r w:rsidR="00D429BB" w:rsidRPr="00305114">
        <w:rPr>
          <w:rFonts w:asciiTheme="majorBidi" w:eastAsia="Times New Roman" w:hAnsiTheme="majorBidi" w:cstheme="majorBidi"/>
          <w:sz w:val="24"/>
          <w:szCs w:val="24"/>
        </w:rPr>
        <w:t>time</w:t>
      </w:r>
      <w:proofErr w:type="spellEnd"/>
      <w:r w:rsidRPr="00305114">
        <w:rPr>
          <w:rFonts w:asciiTheme="majorBidi" w:eastAsia="Times New Roman" w:hAnsiTheme="majorBidi" w:cstheme="majorBidi"/>
          <w:sz w:val="24"/>
          <w:szCs w:val="24"/>
        </w:rPr>
        <w:t xml:space="preserve"> series were centred and normalised to standard deviation 1 to avoid the bias of varying range of amplitude across channels and datasets. SE is proposed to calculate the distance between any pairwise elements and count the number of times when this distance is under the threshold </w:t>
      </w:r>
      <m:oMath>
        <m:r>
          <w:rPr>
            <w:rFonts w:ascii="Cambria Math" w:eastAsia="Arial" w:hAnsi="Cambria Math" w:cstheme="majorBidi"/>
          </w:rPr>
          <m:t>γ</m:t>
        </m:r>
      </m:oMath>
      <w:r w:rsidRPr="00305114">
        <w:rPr>
          <w:rFonts w:asciiTheme="majorBidi" w:eastAsia="Times New Roman" w:hAnsiTheme="majorBidi" w:cstheme="majorBidi"/>
          <w:sz w:val="24"/>
          <w:szCs w:val="24"/>
        </w:rPr>
        <w:t xml:space="preserve">. To do this, for a time series with </w:t>
      </w:r>
      <m:oMath>
        <m:r>
          <w:rPr>
            <w:rFonts w:ascii="Cambria Math" w:eastAsia="Times New Roman" w:hAnsi="Cambria Math" w:cstheme="majorBidi"/>
            <w:sz w:val="24"/>
            <w:szCs w:val="24"/>
          </w:rPr>
          <m:t>N</m:t>
        </m:r>
      </m:oMath>
      <w:r w:rsidRPr="00305114">
        <w:rPr>
          <w:rFonts w:asciiTheme="majorBidi" w:eastAsia="Times New Roman" w:hAnsiTheme="majorBidi" w:cstheme="majorBidi"/>
          <w:sz w:val="24"/>
          <w:szCs w:val="24"/>
        </w:rPr>
        <w:t xml:space="preserve"> elements, forms a </w:t>
      </w:r>
      <m:oMath>
        <m:r>
          <w:rPr>
            <w:rFonts w:ascii="Cambria Math" w:eastAsia="Times New Roman" w:hAnsi="Cambria Math" w:cstheme="majorBidi"/>
            <w:sz w:val="24"/>
            <w:szCs w:val="24"/>
          </w:rPr>
          <m:t>(N- m+1)</m:t>
        </m:r>
      </m:oMath>
      <w:r w:rsidRPr="00305114">
        <w:rPr>
          <w:rFonts w:asciiTheme="majorBidi" w:eastAsia="Times New Roman" w:hAnsiTheme="majorBidi" w:cstheme="majorBidi"/>
          <w:sz w:val="24"/>
          <w:szCs w:val="24"/>
        </w:rPr>
        <w:t xml:space="preserve"> vectors </w:t>
      </w:r>
      <m:oMath>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(i)</m:t>
        </m:r>
      </m:oMath>
      <w:r w:rsidRPr="00305114">
        <w:rPr>
          <w:rFonts w:asciiTheme="majorBidi" w:eastAsia="Times New Roman" w:hAnsiTheme="majorBidi" w:cstheme="majorBidi"/>
          <w:sz w:val="24"/>
          <w:szCs w:val="24"/>
        </w:rPr>
        <w:t xml:space="preserve"> </w:t>
      </w:r>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1&lt;i&lt;N- m+1</m:t>
            </m:r>
          </m:e>
        </m:d>
      </m:oMath>
      <w:r w:rsidRPr="00305114">
        <w:rPr>
          <w:rFonts w:asciiTheme="majorBidi" w:eastAsia="Times New Roman" w:hAnsiTheme="majorBidi" w:cstheme="majorBidi"/>
          <w:sz w:val="24"/>
          <w:szCs w:val="24"/>
        </w:rPr>
        <w:t xml:space="preserve">,where  </w:t>
      </w:r>
      <m:oMath>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(i)=χ(i+(m-1))</m:t>
        </m:r>
      </m:oMath>
      <w:r w:rsidRPr="00305114">
        <w:rPr>
          <w:rFonts w:asciiTheme="majorBidi" w:eastAsia="Times New Roman" w:hAnsiTheme="majorBidi" w:cstheme="majorBidi"/>
          <w:sz w:val="24"/>
          <w:szCs w:val="24"/>
        </w:rPr>
        <w:t xml:space="preserve"> is the vector </w:t>
      </w:r>
      <m:oMath>
        <m:r>
          <w:rPr>
            <w:rFonts w:ascii="Cambria Math" w:eastAsia="Times New Roman" w:hAnsi="Cambria Math" w:cstheme="majorBidi"/>
            <w:sz w:val="24"/>
            <w:szCs w:val="24"/>
          </w:rPr>
          <m:t>m</m:t>
        </m:r>
      </m:oMath>
      <w:r w:rsidRPr="00305114">
        <w:rPr>
          <w:rFonts w:asciiTheme="majorBidi" w:eastAsia="Times New Roman" w:hAnsiTheme="majorBidi" w:cstheme="majorBidi"/>
          <w:sz w:val="24"/>
          <w:szCs w:val="24"/>
        </w:rPr>
        <w:t xml:space="preserve"> points from </w:t>
      </w:r>
      <m:oMath>
        <m:sSub>
          <m:sSubPr>
            <m:ctrlPr>
              <w:rPr>
                <w:rFonts w:ascii="Cambria Math" w:eastAsia="Times New Roman" w:hAnsi="Cambria Math" w:cstheme="majorBidi"/>
                <w:sz w:val="24"/>
                <w:szCs w:val="24"/>
              </w:rPr>
            </m:ctrlPr>
          </m:sSubPr>
          <m:e>
            <m:r>
              <w:rPr>
                <w:rFonts w:ascii="Cambria Math" w:eastAsia="Arial" w:hAnsi="Cambria Math" w:cstheme="majorBidi"/>
              </w:rPr>
              <m:t>χ</m:t>
            </m:r>
          </m:e>
          <m:sub>
            <m:r>
              <w:rPr>
                <w:rFonts w:ascii="Cambria Math" w:eastAsia="Times New Roman" w:hAnsi="Cambria Math" w:cstheme="majorBidi"/>
                <w:sz w:val="24"/>
                <w:szCs w:val="24"/>
              </w:rPr>
              <m:t>(i)</m:t>
            </m:r>
          </m:sub>
        </m:sSub>
      </m:oMath>
      <w:r w:rsidRPr="00305114">
        <w:rPr>
          <w:rFonts w:asciiTheme="majorBidi" w:eastAsia="Times New Roman" w:hAnsiTheme="majorBidi" w:cstheme="majorBidi"/>
          <w:sz w:val="24"/>
          <w:szCs w:val="24"/>
        </w:rPr>
        <w:t xml:space="preserve">to </w:t>
      </w:r>
      <m:oMath>
        <m:sSub>
          <m:sSubPr>
            <m:ctrlPr>
              <w:rPr>
                <w:rFonts w:ascii="Cambria Math" w:eastAsia="Times New Roman" w:hAnsi="Cambria Math" w:cstheme="majorBidi"/>
                <w:sz w:val="24"/>
                <w:szCs w:val="24"/>
              </w:rPr>
            </m:ctrlPr>
          </m:sSubPr>
          <m:e>
            <m:r>
              <w:rPr>
                <w:rFonts w:ascii="Cambria Math" w:eastAsia="Arial" w:hAnsi="Cambria Math" w:cstheme="majorBidi"/>
              </w:rPr>
              <m:t>χ</m:t>
            </m:r>
          </m:e>
          <m:sub>
            <m:r>
              <w:rPr>
                <w:rFonts w:ascii="Cambria Math" w:eastAsia="Times New Roman" w:hAnsi="Cambria Math" w:cstheme="majorBidi"/>
                <w:sz w:val="24"/>
                <w:szCs w:val="24"/>
              </w:rPr>
              <m:t>(i +(m-1))</m:t>
            </m:r>
          </m:sub>
        </m:sSub>
      </m:oMath>
      <w:r w:rsidRPr="00305114">
        <w:rPr>
          <w:rFonts w:asciiTheme="majorBidi" w:eastAsia="Times New Roman" w:hAnsiTheme="majorBidi" w:cstheme="majorBidi"/>
          <w:sz w:val="24"/>
          <w:szCs w:val="24"/>
        </w:rPr>
        <w:t xml:space="preserve">. Then the built-in </w:t>
      </w:r>
      <w:proofErr w:type="spellStart"/>
      <w:r w:rsidRPr="00305114">
        <w:rPr>
          <w:rFonts w:asciiTheme="majorBidi" w:eastAsia="Times New Roman" w:hAnsiTheme="majorBidi" w:cstheme="majorBidi"/>
          <w:sz w:val="24"/>
          <w:szCs w:val="24"/>
        </w:rPr>
        <w:t>matlab</w:t>
      </w:r>
      <w:proofErr w:type="spellEnd"/>
      <w:r w:rsidRPr="00305114">
        <w:rPr>
          <w:rFonts w:asciiTheme="majorBidi" w:eastAsia="Times New Roman" w:hAnsiTheme="majorBidi" w:cstheme="majorBidi"/>
          <w:sz w:val="24"/>
          <w:szCs w:val="24"/>
        </w:rPr>
        <w:t xml:space="preserve"> function </w:t>
      </w:r>
      <w:proofErr w:type="spellStart"/>
      <w:r w:rsidRPr="00305114">
        <w:rPr>
          <w:rFonts w:asciiTheme="majorBidi" w:eastAsia="Times New Roman" w:hAnsiTheme="majorBidi" w:cstheme="majorBidi"/>
          <w:i/>
          <w:sz w:val="24"/>
          <w:szCs w:val="24"/>
        </w:rPr>
        <w:t>pdist</w:t>
      </w:r>
      <w:proofErr w:type="spellEnd"/>
      <w:r w:rsidRPr="00305114">
        <w:rPr>
          <w:rFonts w:asciiTheme="majorBidi" w:eastAsia="Times New Roman" w:hAnsiTheme="majorBidi" w:cstheme="majorBidi"/>
          <w:sz w:val="24"/>
          <w:szCs w:val="24"/>
        </w:rPr>
        <w:t xml:space="preserve"> is used to determine the pairwise Chebyshev distance </w:t>
      </w:r>
      <m:oMath>
        <m:r>
          <w:rPr>
            <w:rFonts w:ascii="Cambria Math" w:eastAsia="Times New Roman" w:hAnsi="Cambria Math" w:cstheme="majorBidi"/>
            <w:sz w:val="24"/>
            <w:szCs w:val="24"/>
          </w:rPr>
          <m:t>d</m:t>
        </m:r>
        <m:d>
          <m:dPr>
            <m:begChr m:val="["/>
            <m:endChr m:val="]"/>
            <m:ctrlPr>
              <w:rPr>
                <w:rFonts w:ascii="Cambria Math" w:eastAsia="Times New Roman" w:hAnsi="Cambria Math" w:cstheme="majorBidi"/>
                <w:sz w:val="24"/>
                <w:szCs w:val="24"/>
              </w:rPr>
            </m:ctrlPr>
          </m:dPr>
          <m:e>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(i) -</m:t>
            </m:r>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(j)</m:t>
            </m:r>
          </m:e>
        </m:d>
        <m:d>
          <m:dPr>
            <m:ctrlPr>
              <w:rPr>
                <w:rFonts w:ascii="Cambria Math" w:eastAsia="Times New Roman" w:hAnsi="Cambria Math" w:cstheme="majorBidi"/>
                <w:sz w:val="24"/>
                <w:szCs w:val="24"/>
              </w:rPr>
            </m:ctrlPr>
          </m:dPr>
          <m:e>
            <m:r>
              <w:rPr>
                <w:rFonts w:ascii="Cambria Math" w:eastAsia="Times New Roman" w:hAnsi="Cambria Math" w:cstheme="majorBidi"/>
                <w:sz w:val="24"/>
                <w:szCs w:val="24"/>
              </w:rPr>
              <m:t>i≠j</m:t>
            </m:r>
          </m:e>
        </m:d>
        <m:r>
          <w:rPr>
            <w:rFonts w:ascii="Cambria Math" w:eastAsia="Times New Roman" w:hAnsi="Cambria Math" w:cstheme="majorBidi"/>
            <w:sz w:val="24"/>
            <w:szCs w:val="24"/>
          </w:rPr>
          <m:t>=max</m:t>
        </m:r>
        <m:d>
          <m:dPr>
            <m:begChr m:val="{"/>
            <m:endChr m:val="}"/>
            <m:ctrlPr>
              <w:rPr>
                <w:rFonts w:ascii="Cambria Math" w:eastAsia="Times New Roman" w:hAnsi="Cambria Math" w:cstheme="majorBidi"/>
                <w:sz w:val="24"/>
                <w:szCs w:val="24"/>
              </w:rPr>
            </m:ctrlPr>
          </m:dPr>
          <m:e>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(i)-</m:t>
            </m:r>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(j)|</m:t>
            </m:r>
          </m:e>
        </m:d>
      </m:oMath>
      <w:r w:rsidRPr="00305114">
        <w:rPr>
          <w:rFonts w:asciiTheme="majorBidi" w:eastAsia="Times New Roman" w:hAnsiTheme="majorBidi" w:cstheme="majorBidi"/>
          <w:sz w:val="24"/>
          <w:szCs w:val="24"/>
        </w:rPr>
        <w:t>, then it is extended to the</w:t>
      </w:r>
      <m:oMath>
        <m:r>
          <w:rPr>
            <w:rFonts w:ascii="Cambria Math" w:eastAsia="Times New Roman" w:hAnsi="Cambria Math" w:cstheme="majorBidi"/>
            <w:sz w:val="24"/>
            <w:szCs w:val="24"/>
          </w:rPr>
          <m:t xml:space="preserve"> m+1</m:t>
        </m:r>
      </m:oMath>
      <w:r w:rsidRPr="00305114">
        <w:rPr>
          <w:rFonts w:asciiTheme="majorBidi" w:eastAsia="Times New Roman" w:hAnsiTheme="majorBidi" w:cstheme="majorBidi"/>
          <w:sz w:val="24"/>
          <w:szCs w:val="24"/>
        </w:rPr>
        <w:t xml:space="preserve">. The number of thresholded pairwise distances are counted respectively. The quantity </w:t>
      </w:r>
      <w:r w:rsidR="00E135A4" w:rsidRPr="008F4E90">
        <w:rPr>
          <w:rFonts w:asciiTheme="majorBidi" w:eastAsia="Times New Roman" w:hAnsiTheme="majorBidi" w:cstheme="majorBidi"/>
          <w:sz w:val="24"/>
          <w:szCs w:val="24"/>
        </w:rPr>
        <w:t>is</w:t>
      </w:r>
      <w:r w:rsidRPr="00305114">
        <w:rPr>
          <w:rFonts w:asciiTheme="majorBidi" w:eastAsia="Times New Roman" w:hAnsiTheme="majorBidi" w:cstheme="majorBidi"/>
          <w:sz w:val="24"/>
          <w:szCs w:val="24"/>
        </w:rPr>
        <w:t>:</w:t>
      </w:r>
    </w:p>
    <w:p w14:paraId="6D881EB7" w14:textId="77777777" w:rsidR="00305114" w:rsidRPr="00305114" w:rsidRDefault="00000000" w:rsidP="00305114">
      <w:pPr>
        <w:spacing w:line="480" w:lineRule="auto"/>
        <w:jc w:val="center"/>
        <w:rPr>
          <w:rFonts w:asciiTheme="majorBidi" w:eastAsia="Times New Roman" w:hAnsiTheme="majorBidi" w:cstheme="majorBidi"/>
          <w:sz w:val="24"/>
          <w:szCs w:val="24"/>
        </w:rPr>
      </w:pPr>
      <m:oMath>
        <m:sSubSup>
          <m:sSubSupPr>
            <m:ctrlPr>
              <w:rPr>
                <w:rFonts w:ascii="Cambria Math" w:eastAsia="Times New Roman" w:hAnsi="Cambria Math" w:cstheme="majorBidi"/>
                <w:sz w:val="24"/>
                <w:szCs w:val="24"/>
              </w:rPr>
            </m:ctrlPr>
          </m:sSubSupPr>
          <m:e>
            <m:r>
              <w:rPr>
                <w:rFonts w:ascii="Cambria Math" w:eastAsia="Times New Roman" w:hAnsi="Cambria Math" w:cstheme="majorBidi"/>
                <w:sz w:val="24"/>
                <w:szCs w:val="24"/>
              </w:rPr>
              <m:t>A</m:t>
            </m:r>
          </m:e>
          <m:sub>
            <m:r>
              <w:rPr>
                <w:rFonts w:ascii="Cambria Math" w:eastAsia="Times New Roman" w:hAnsi="Cambria Math" w:cstheme="majorBidi"/>
                <w:sz w:val="24"/>
                <w:szCs w:val="24"/>
              </w:rPr>
              <m:t>i</m:t>
            </m:r>
          </m:sub>
          <m:sup>
            <m:r>
              <w:rPr>
                <w:rFonts w:ascii="Cambria Math" w:eastAsia="Times New Roman" w:hAnsi="Cambria Math" w:cstheme="majorBidi"/>
                <w:sz w:val="24"/>
                <w:szCs w:val="24"/>
              </w:rPr>
              <m:t>m</m:t>
            </m:r>
          </m:sup>
        </m:sSubSup>
        <m:r>
          <w:rPr>
            <w:rFonts w:ascii="Cambria Math" w:eastAsia="Times New Roman" w:hAnsi="Cambria Math" w:cstheme="majorBidi"/>
            <w:sz w:val="24"/>
            <w:szCs w:val="24"/>
          </w:rPr>
          <m:t>(γ)=</m:t>
        </m:r>
        <m:nary>
          <m:naryPr>
            <m:chr m:val="∑"/>
            <m:ctrlPr>
              <w:rPr>
                <w:rFonts w:ascii="Cambria Math" w:eastAsia="Times New Roman" w:hAnsi="Cambria Math" w:cstheme="majorBidi"/>
                <w:sz w:val="24"/>
                <w:szCs w:val="24"/>
              </w:rPr>
            </m:ctrlPr>
          </m:naryPr>
          <m:sub>
            <m:r>
              <w:rPr>
                <w:rFonts w:ascii="Cambria Math" w:eastAsia="Times New Roman" w:hAnsi="Cambria Math" w:cstheme="majorBidi"/>
                <w:sz w:val="24"/>
                <w:szCs w:val="24"/>
              </w:rPr>
              <m:t>i=1</m:t>
            </m:r>
            <m:d>
              <m:dPr>
                <m:ctrlPr>
                  <w:rPr>
                    <w:rFonts w:ascii="Cambria Math" w:eastAsia="Times New Roman" w:hAnsi="Cambria Math" w:cstheme="majorBidi"/>
                    <w:sz w:val="24"/>
                    <w:szCs w:val="24"/>
                  </w:rPr>
                </m:ctrlPr>
              </m:dPr>
              <m:e>
                <m:r>
                  <w:rPr>
                    <w:rFonts w:ascii="Cambria Math" w:eastAsia="Times New Roman" w:hAnsi="Cambria Math" w:cstheme="majorBidi"/>
                    <w:sz w:val="24"/>
                    <w:szCs w:val="24"/>
                  </w:rPr>
                  <m:t>i≠j</m:t>
                </m:r>
              </m:e>
            </m:d>
          </m:sub>
          <m:sup>
            <m:r>
              <w:rPr>
                <w:rFonts w:ascii="Cambria Math" w:eastAsia="Times New Roman" w:hAnsi="Cambria Math" w:cstheme="majorBidi"/>
                <w:sz w:val="24"/>
                <w:szCs w:val="24"/>
              </w:rPr>
              <m:t>N-m</m:t>
            </m:r>
          </m:sup>
          <m:e/>
        </m:nary>
        <m:r>
          <w:rPr>
            <w:rFonts w:ascii="Cambria Math" w:eastAsia="Times New Roman" w:hAnsi="Cambria Math" w:cstheme="majorBidi"/>
            <w:sz w:val="24"/>
            <w:szCs w:val="24"/>
          </w:rPr>
          <m:t>(d</m:t>
        </m:r>
        <m:d>
          <m:dPr>
            <m:begChr m:val="["/>
            <m:endChr m:val="]"/>
            <m:ctrlPr>
              <w:rPr>
                <w:rFonts w:ascii="Cambria Math" w:eastAsia="Times New Roman" w:hAnsi="Cambria Math" w:cstheme="majorBidi"/>
                <w:sz w:val="24"/>
                <w:szCs w:val="24"/>
              </w:rPr>
            </m:ctrlPr>
          </m:dPr>
          <m:e>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(i) -</m:t>
            </m:r>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m:t>
                </m:r>
              </m:sub>
            </m:sSub>
            <m:r>
              <w:rPr>
                <w:rFonts w:ascii="Cambria Math" w:eastAsia="Times New Roman" w:hAnsi="Cambria Math" w:cstheme="majorBidi"/>
                <w:sz w:val="24"/>
                <w:szCs w:val="24"/>
              </w:rPr>
              <m:t xml:space="preserve"> (j)</m:t>
            </m:r>
          </m:e>
        </m:d>
        <m:r>
          <w:rPr>
            <w:rFonts w:ascii="Cambria Math" w:eastAsia="Times New Roman" w:hAnsi="Cambria Math" w:cstheme="majorBidi"/>
            <w:sz w:val="24"/>
            <w:szCs w:val="24"/>
          </w:rPr>
          <m:t>&lt;γ)</m:t>
        </m:r>
      </m:oMath>
      <w:r w:rsidR="00305114" w:rsidRPr="00305114">
        <w:rPr>
          <w:rFonts w:asciiTheme="majorBidi" w:eastAsia="Times New Roman" w:hAnsiTheme="majorBidi" w:cstheme="majorBidi"/>
          <w:sz w:val="24"/>
          <w:szCs w:val="24"/>
        </w:rPr>
        <w:t xml:space="preserve"> and</w:t>
      </w:r>
      <m:oMath>
        <m:sSubSup>
          <m:sSubSupPr>
            <m:ctrlPr>
              <w:rPr>
                <w:rFonts w:ascii="Cambria Math" w:eastAsia="Times New Roman" w:hAnsi="Cambria Math" w:cstheme="majorBidi"/>
                <w:sz w:val="24"/>
                <w:szCs w:val="24"/>
              </w:rPr>
            </m:ctrlPr>
          </m:sSubSupPr>
          <m:e>
            <m:r>
              <w:rPr>
                <w:rFonts w:ascii="Cambria Math" w:eastAsia="Times New Roman" w:hAnsi="Cambria Math" w:cstheme="majorBidi"/>
                <w:sz w:val="24"/>
                <w:szCs w:val="24"/>
              </w:rPr>
              <m:t xml:space="preserve"> B</m:t>
            </m:r>
          </m:e>
          <m:sub>
            <m:r>
              <w:rPr>
                <w:rFonts w:ascii="Cambria Math" w:eastAsia="Times New Roman" w:hAnsi="Cambria Math" w:cstheme="majorBidi"/>
                <w:sz w:val="24"/>
                <w:szCs w:val="24"/>
              </w:rPr>
              <m:t>i</m:t>
            </m:r>
          </m:sub>
          <m:sup>
            <m:r>
              <w:rPr>
                <w:rFonts w:ascii="Cambria Math" w:eastAsia="Times New Roman" w:hAnsi="Cambria Math" w:cstheme="majorBidi"/>
                <w:sz w:val="24"/>
                <w:szCs w:val="24"/>
              </w:rPr>
              <m:t>m+1</m:t>
            </m:r>
          </m:sup>
        </m:sSubSup>
        <m:r>
          <w:rPr>
            <w:rFonts w:ascii="Cambria Math" w:eastAsia="Times New Roman" w:hAnsi="Cambria Math" w:cstheme="majorBidi"/>
            <w:sz w:val="24"/>
            <w:szCs w:val="24"/>
          </w:rPr>
          <m:t>(γ)=</m:t>
        </m:r>
        <m:nary>
          <m:naryPr>
            <m:chr m:val="∑"/>
            <m:ctrlPr>
              <w:rPr>
                <w:rFonts w:ascii="Cambria Math" w:eastAsia="Times New Roman" w:hAnsi="Cambria Math" w:cstheme="majorBidi"/>
                <w:sz w:val="24"/>
                <w:szCs w:val="24"/>
              </w:rPr>
            </m:ctrlPr>
          </m:naryPr>
          <m:sub>
            <m:r>
              <w:rPr>
                <w:rFonts w:ascii="Cambria Math" w:eastAsia="Times New Roman" w:hAnsi="Cambria Math" w:cstheme="majorBidi"/>
                <w:sz w:val="24"/>
                <w:szCs w:val="24"/>
              </w:rPr>
              <m:t>i=1</m:t>
            </m:r>
            <m:d>
              <m:dPr>
                <m:ctrlPr>
                  <w:rPr>
                    <w:rFonts w:ascii="Cambria Math" w:eastAsia="Times New Roman" w:hAnsi="Cambria Math" w:cstheme="majorBidi"/>
                    <w:sz w:val="24"/>
                    <w:szCs w:val="24"/>
                  </w:rPr>
                </m:ctrlPr>
              </m:dPr>
              <m:e>
                <m:r>
                  <w:rPr>
                    <w:rFonts w:ascii="Cambria Math" w:eastAsia="Times New Roman" w:hAnsi="Cambria Math" w:cstheme="majorBidi"/>
                    <w:sz w:val="24"/>
                    <w:szCs w:val="24"/>
                  </w:rPr>
                  <m:t>i≠j</m:t>
                </m:r>
              </m:e>
            </m:d>
          </m:sub>
          <m:sup>
            <m:r>
              <w:rPr>
                <w:rFonts w:ascii="Cambria Math" w:eastAsia="Times New Roman" w:hAnsi="Cambria Math" w:cstheme="majorBidi"/>
                <w:sz w:val="24"/>
                <w:szCs w:val="24"/>
              </w:rPr>
              <m:t>N-m+1</m:t>
            </m:r>
          </m:sup>
          <m:e/>
        </m:nary>
        <m:r>
          <w:rPr>
            <w:rFonts w:ascii="Cambria Math" w:eastAsia="Times New Roman" w:hAnsi="Cambria Math" w:cstheme="majorBidi"/>
            <w:sz w:val="24"/>
            <w:szCs w:val="24"/>
          </w:rPr>
          <m:t>(d</m:t>
        </m:r>
        <m:d>
          <m:dPr>
            <m:begChr m:val="["/>
            <m:endChr m:val="]"/>
            <m:ctrlPr>
              <w:rPr>
                <w:rFonts w:ascii="Cambria Math" w:eastAsia="Times New Roman" w:hAnsi="Cambria Math" w:cstheme="majorBidi"/>
                <w:sz w:val="24"/>
                <w:szCs w:val="24"/>
              </w:rPr>
            </m:ctrlPr>
          </m:dPr>
          <m:e>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m+1</m:t>
                </m:r>
              </m:sub>
            </m:sSub>
            <m:r>
              <w:rPr>
                <w:rFonts w:ascii="Cambria Math" w:eastAsia="Times New Roman" w:hAnsi="Cambria Math" w:cstheme="majorBidi"/>
                <w:sz w:val="24"/>
                <w:szCs w:val="24"/>
              </w:rPr>
              <m:t xml:space="preserve"> (i) -</m:t>
            </m:r>
            <m:sSub>
              <m:sSubPr>
                <m:ctrlPr>
                  <w:rPr>
                    <w:rFonts w:ascii="Cambria Math" w:eastAsia="Times New Roman" w:hAnsi="Cambria Math" w:cstheme="majorBidi"/>
                    <w:sz w:val="24"/>
                    <w:szCs w:val="24"/>
                  </w:rPr>
                </m:ctrlPr>
              </m:sSubPr>
              <m:e>
                <m:r>
                  <w:rPr>
                    <w:rFonts w:ascii="Cambria Math" w:eastAsia="Times New Roman" w:hAnsi="Cambria Math" w:cstheme="majorBidi"/>
                    <w:sz w:val="24"/>
                    <w:szCs w:val="24"/>
                  </w:rPr>
                  <m:t>U</m:t>
                </m:r>
              </m:e>
              <m:sub>
                <m:r>
                  <w:rPr>
                    <w:rFonts w:ascii="Cambria Math" w:eastAsia="Times New Roman" w:hAnsi="Cambria Math" w:cstheme="majorBidi"/>
                    <w:sz w:val="24"/>
                    <w:szCs w:val="24"/>
                  </w:rPr>
                  <m:t>m+1</m:t>
                </m:r>
              </m:sub>
            </m:sSub>
            <m:r>
              <w:rPr>
                <w:rFonts w:ascii="Cambria Math" w:eastAsia="Times New Roman" w:hAnsi="Cambria Math" w:cstheme="majorBidi"/>
                <w:sz w:val="24"/>
                <w:szCs w:val="24"/>
              </w:rPr>
              <m:t xml:space="preserve"> (j)</m:t>
            </m:r>
          </m:e>
        </m:d>
        <m:r>
          <w:rPr>
            <w:rFonts w:ascii="Cambria Math" w:eastAsia="Times New Roman" w:hAnsi="Cambria Math" w:cstheme="majorBidi"/>
            <w:sz w:val="24"/>
            <w:szCs w:val="24"/>
          </w:rPr>
          <m:t>&lt;γ)</m:t>
        </m:r>
      </m:oMath>
      <w:r w:rsidR="00305114" w:rsidRPr="00305114">
        <w:rPr>
          <w:rFonts w:asciiTheme="majorBidi" w:eastAsia="Times New Roman" w:hAnsiTheme="majorBidi" w:cstheme="majorBidi"/>
          <w:sz w:val="24"/>
          <w:szCs w:val="24"/>
        </w:rPr>
        <w:t xml:space="preserve"> </w:t>
      </w:r>
    </w:p>
    <w:p w14:paraId="1A0F3E28" w14:textId="56797B1D"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(Equation </w:t>
      </w:r>
      <w:r w:rsidR="002A3D3D">
        <w:rPr>
          <w:rFonts w:asciiTheme="majorBidi" w:eastAsia="Times New Roman" w:hAnsiTheme="majorBidi" w:cstheme="majorBidi"/>
          <w:sz w:val="24"/>
          <w:szCs w:val="24"/>
        </w:rPr>
        <w:t>4</w:t>
      </w:r>
      <w:r w:rsidRPr="00305114">
        <w:rPr>
          <w:rFonts w:asciiTheme="majorBidi" w:eastAsia="Times New Roman" w:hAnsiTheme="majorBidi" w:cstheme="majorBidi"/>
          <w:sz w:val="24"/>
          <w:szCs w:val="24"/>
        </w:rPr>
        <w:t>)</w:t>
      </w:r>
    </w:p>
    <w:p w14:paraId="55D038C1" w14:textId="77777777" w:rsidR="00305114" w:rsidRPr="00305114" w:rsidRDefault="00305114" w:rsidP="00305114">
      <w:pPr>
        <w:spacing w:line="480" w:lineRule="auto"/>
        <w:rPr>
          <w:rFonts w:asciiTheme="majorBidi" w:eastAsia="Times New Roman" w:hAnsiTheme="majorBidi" w:cstheme="majorBidi"/>
          <w:sz w:val="24"/>
          <w:szCs w:val="24"/>
        </w:rPr>
      </w:pPr>
    </w:p>
    <w:p w14:paraId="301E351B"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and sample entropy equation is:</w:t>
      </w:r>
    </w:p>
    <w:p w14:paraId="11E8235B" w14:textId="5A38B78D" w:rsidR="00305114" w:rsidRPr="00305114" w:rsidRDefault="00305114" w:rsidP="00305114">
      <w:pPr>
        <w:spacing w:line="480" w:lineRule="auto"/>
        <w:jc w:val="center"/>
        <w:rPr>
          <w:rFonts w:asciiTheme="majorBidi" w:eastAsia="Times New Roman" w:hAnsiTheme="majorBidi" w:cstheme="majorBidi"/>
          <w:sz w:val="24"/>
          <w:szCs w:val="24"/>
        </w:rPr>
      </w:pPr>
      <m:oMath>
        <m:r>
          <w:rPr>
            <w:rFonts w:ascii="Cambria Math" w:eastAsia="Times New Roman" w:hAnsi="Cambria Math" w:cstheme="majorBidi"/>
            <w:sz w:val="24"/>
            <w:szCs w:val="24"/>
          </w:rPr>
          <m:t>Sample Entropy(m, γ, N) = -</m:t>
        </m:r>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N-m+1</m:t>
            </m:r>
          </m:num>
          <m:den>
            <m:r>
              <w:rPr>
                <w:rFonts w:ascii="Cambria Math" w:eastAsia="Times New Roman" w:hAnsi="Cambria Math" w:cstheme="majorBidi"/>
                <w:sz w:val="24"/>
                <w:szCs w:val="24"/>
              </w:rPr>
              <m:t>N-m-1</m:t>
            </m:r>
          </m:den>
        </m:f>
        <m:r>
          <w:rPr>
            <w:rFonts w:ascii="Cambria Math" w:eastAsia="Times New Roman" w:hAnsi="Cambria Math" w:cstheme="majorBidi"/>
            <w:sz w:val="24"/>
            <w:szCs w:val="24"/>
          </w:rPr>
          <m:t>*log(</m:t>
        </m:r>
        <m:f>
          <m:fPr>
            <m:ctrlPr>
              <w:rPr>
                <w:rFonts w:ascii="Cambria Math" w:eastAsia="Times New Roman" w:hAnsi="Cambria Math" w:cstheme="majorBidi"/>
                <w:sz w:val="24"/>
                <w:szCs w:val="24"/>
                <w:shd w:val="clear" w:color="auto" w:fill="F7F7F8"/>
              </w:rPr>
            </m:ctrlPr>
          </m:fPr>
          <m:num>
            <m:r>
              <w:rPr>
                <w:rFonts w:ascii="Cambria Math" w:eastAsia="Times New Roman" w:hAnsi="Cambria Math" w:cstheme="majorBidi"/>
                <w:sz w:val="24"/>
                <w:szCs w:val="24"/>
              </w:rPr>
              <m:t>A</m:t>
            </m:r>
            <m:r>
              <w:rPr>
                <w:rFonts w:ascii="Cambria Math" w:eastAsia="Times New Roman" w:hAnsi="Cambria Math" w:cstheme="majorBidi"/>
                <w:sz w:val="24"/>
                <w:szCs w:val="24"/>
                <w:shd w:val="clear" w:color="auto" w:fill="F7F7F8"/>
              </w:rPr>
              <m:t>(m, τ)</m:t>
            </m:r>
          </m:num>
          <m:den>
            <m:r>
              <w:rPr>
                <w:rFonts w:ascii="Cambria Math" w:eastAsia="Times New Roman" w:hAnsi="Cambria Math" w:cstheme="majorBidi"/>
                <w:sz w:val="24"/>
                <w:szCs w:val="24"/>
              </w:rPr>
              <m:t>B</m:t>
            </m:r>
            <m:r>
              <w:rPr>
                <w:rFonts w:ascii="Cambria Math" w:eastAsia="Times New Roman" w:hAnsi="Cambria Math" w:cstheme="majorBidi"/>
                <w:sz w:val="24"/>
                <w:szCs w:val="24"/>
                <w:shd w:val="clear" w:color="auto" w:fill="F7F7F8"/>
              </w:rPr>
              <m:t>(m+1, τ)</m:t>
            </m:r>
          </m:den>
        </m:f>
        <m:r>
          <w:rPr>
            <w:rFonts w:ascii="Cambria Math" w:eastAsia="Times New Roman" w:hAnsi="Cambria Math" w:cstheme="majorBidi"/>
            <w:sz w:val="24"/>
            <w:szCs w:val="24"/>
          </w:rPr>
          <m:t>)</m:t>
        </m:r>
      </m:oMath>
      <w:r w:rsidRPr="00305114">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ab/>
        <w:t xml:space="preserve">(Equation </w:t>
      </w:r>
      <w:r w:rsidR="002A3D3D">
        <w:rPr>
          <w:rFonts w:asciiTheme="majorBidi" w:eastAsia="Times New Roman" w:hAnsiTheme="majorBidi" w:cstheme="majorBidi"/>
          <w:sz w:val="24"/>
          <w:szCs w:val="24"/>
        </w:rPr>
        <w:t>5</w:t>
      </w:r>
      <w:r w:rsidRPr="00305114">
        <w:rPr>
          <w:rFonts w:asciiTheme="majorBidi" w:eastAsia="Times New Roman" w:hAnsiTheme="majorBidi" w:cstheme="majorBidi"/>
          <w:sz w:val="24"/>
          <w:szCs w:val="24"/>
        </w:rPr>
        <w:t>)</w:t>
      </w:r>
    </w:p>
    <w:p w14:paraId="11A105AC" w14:textId="77777777" w:rsidR="00305114" w:rsidRPr="00305114" w:rsidRDefault="00305114" w:rsidP="00305114">
      <w:pPr>
        <w:spacing w:line="480" w:lineRule="auto"/>
        <w:rPr>
          <w:rFonts w:asciiTheme="majorBidi" w:eastAsia="Times New Roman" w:hAnsiTheme="majorBidi" w:cstheme="majorBidi"/>
          <w:b/>
          <w:i/>
          <w:sz w:val="24"/>
          <w:szCs w:val="24"/>
        </w:rPr>
      </w:pPr>
      <w:r w:rsidRPr="00305114">
        <w:rPr>
          <w:rFonts w:asciiTheme="majorBidi" w:eastAsia="Times New Roman" w:hAnsiTheme="majorBidi" w:cstheme="majorBidi"/>
          <w:b/>
          <w:i/>
          <w:sz w:val="24"/>
          <w:szCs w:val="24"/>
        </w:rPr>
        <w:t>Second level Statistics (Group level Analysis)</w:t>
      </w:r>
    </w:p>
    <w:p w14:paraId="69634005"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 xml:space="preserve">Univariate Statistics </w:t>
      </w:r>
    </w:p>
    <w:p w14:paraId="1F9BE3EC"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At the second level of statistical analysis, the two-sample t-test was applied among the autism and control groups, resulting in a T-statistics map demonstrating voxel</w:t>
      </w:r>
      <w:r w:rsidR="00F14238" w:rsidRPr="008F4E90">
        <w:rPr>
          <w:rFonts w:asciiTheme="majorBidi" w:eastAsia="Times New Roman" w:hAnsiTheme="majorBidi" w:cstheme="majorBidi"/>
          <w:sz w:val="24"/>
          <w:szCs w:val="24"/>
        </w:rPr>
        <w:t>-</w:t>
      </w:r>
      <w:r w:rsidRPr="00305114">
        <w:rPr>
          <w:rFonts w:asciiTheme="majorBidi" w:eastAsia="Times New Roman" w:hAnsiTheme="majorBidi" w:cstheme="majorBidi"/>
          <w:sz w:val="24"/>
          <w:szCs w:val="24"/>
        </w:rPr>
        <w:t xml:space="preserve">wise t values. The null hypothesis is that there is no difference in the Sample Entropy value obtained in each voxel between groups. When inferring the fMRI spatial content, hundreds of thousands of t-tests were conducted for each voxel simultaneously, which inflates the false positives. </w:t>
      </w:r>
    </w:p>
    <w:p w14:paraId="3A83A1FC"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Bonferroni correction is too harsh as it considers these t-tests independent, which is different for fMRI inference as these t-tests are related to their neighbouring test. To better correct the multiple comparison problems raised by a mass of t-tests conducted in this voxel</w:t>
      </w:r>
      <w:r w:rsidR="00A367A4">
        <w:rPr>
          <w:rFonts w:asciiTheme="majorBidi" w:eastAsia="Times New Roman" w:hAnsiTheme="majorBidi" w:cstheme="majorBidi"/>
          <w:sz w:val="24"/>
          <w:szCs w:val="24"/>
        </w:rPr>
        <w:t>-</w:t>
      </w:r>
      <w:r w:rsidRPr="00305114">
        <w:rPr>
          <w:rFonts w:asciiTheme="majorBidi" w:eastAsia="Times New Roman" w:hAnsiTheme="majorBidi" w:cstheme="majorBidi"/>
          <w:sz w:val="24"/>
          <w:szCs w:val="24"/>
        </w:rPr>
        <w:t xml:space="preserve">wise study, a permutation test with Threshold-Free Cluster Enhancement (TFCE) was applied to achieve a balance between test-retest reliability and family-wise error rate (under 5%) as well as cluster-based inference which assesses the surprising spatial extent (i.e., the size of cluster connected by voxels). This step was achieved by the DPARSF toolbox integrating PALM(Permutation Analysis of Linear Models) </w:t>
      </w:r>
      <w:hyperlink r:id="rId586">
        <w:r w:rsidRPr="00305114">
          <w:rPr>
            <w:rFonts w:asciiTheme="majorBidi" w:eastAsia="Times New Roman" w:hAnsiTheme="majorBidi" w:cstheme="majorBidi"/>
            <w:sz w:val="24"/>
            <w:szCs w:val="24"/>
          </w:rPr>
          <w:t>(Winkler et al., 2016)</w:t>
        </w:r>
      </w:hyperlink>
      <w:r w:rsidRPr="00305114">
        <w:rPr>
          <w:rFonts w:asciiTheme="majorBidi" w:eastAsia="Times New Roman" w:hAnsiTheme="majorBidi" w:cstheme="majorBidi"/>
          <w:sz w:val="24"/>
          <w:szCs w:val="24"/>
        </w:rPr>
        <w:t xml:space="preserve">. The number of permutations was set at 5000 with the acceleration method of no acceleration (few permutations), which is recommended for spatial statistics. </w:t>
      </w:r>
    </w:p>
    <w:p w14:paraId="66EA24CD"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investigation also revealed that inconsistent individual masks used for calculating brain entropy maps could lead to false positive findings from the voxel-wise two-sample t-test. This is due to the situation where one mask contains a value while another does not. The voxel-wise t-test combines all </w:t>
      </w:r>
      <w:r w:rsidRPr="00305114">
        <w:rPr>
          <w:rFonts w:asciiTheme="majorBidi" w:eastAsia="Times New Roman" w:hAnsiTheme="majorBidi" w:cstheme="majorBidi"/>
          <w:sz w:val="24"/>
          <w:szCs w:val="24"/>
        </w:rPr>
        <w:lastRenderedPageBreak/>
        <w:t xml:space="preserve">brain entropy maps based on various individual masks and then contrasts these values with the empty voxels in the differences between masks. Consequently, this procedure can yield false positive results in these specific voxels, usually at the edge of the cortex. To counter this issue, it is advisable to employ a uniform mask that remains identical across participants, groups, and sites. </w:t>
      </w:r>
    </w:p>
    <w:p w14:paraId="3F92A7A9"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One sample voxel-wise t</w:t>
      </w:r>
      <w:r w:rsidR="004D3F34">
        <w:rPr>
          <w:rFonts w:asciiTheme="majorBidi" w:eastAsia="Times New Roman" w:hAnsiTheme="majorBidi" w:cstheme="majorBidi"/>
          <w:b/>
          <w:i/>
          <w:sz w:val="24"/>
          <w:szCs w:val="24"/>
        </w:rPr>
        <w:t>-</w:t>
      </w:r>
      <w:r w:rsidRPr="00305114">
        <w:rPr>
          <w:rFonts w:asciiTheme="majorBidi" w:eastAsia="Times New Roman" w:hAnsiTheme="majorBidi" w:cstheme="majorBidi"/>
          <w:b/>
          <w:i/>
          <w:sz w:val="24"/>
          <w:szCs w:val="24"/>
        </w:rPr>
        <w:t>test within each diagnosis group</w:t>
      </w:r>
    </w:p>
    <w:p w14:paraId="7836DA67"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To reduce the global effects of variability across participants, as done in many other temporal analyses in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study </w:t>
      </w:r>
      <w:hyperlink r:id="rId587">
        <w:r w:rsidRPr="00305114">
          <w:rPr>
            <w:rFonts w:asciiTheme="majorBidi" w:eastAsia="Times New Roman" w:hAnsiTheme="majorBidi" w:cstheme="majorBidi"/>
            <w:sz w:val="24"/>
            <w:szCs w:val="24"/>
          </w:rPr>
          <w:t>(Li et al. 2021)</w:t>
        </w:r>
      </w:hyperlink>
      <w:r w:rsidRPr="00305114">
        <w:rPr>
          <w:rFonts w:asciiTheme="majorBidi" w:eastAsia="Times New Roman" w:hAnsiTheme="majorBidi" w:cstheme="majorBidi"/>
          <w:sz w:val="24"/>
          <w:szCs w:val="24"/>
        </w:rPr>
        <w:t xml:space="preserve">, the entropy of each voxel was divided by the global mean entropy value for each subject, resulting in a relative entropy. The global mean entropy value was calculated for each participant within a group mask obtained by selecting a threshold of 90% on the mean map of all subjects. The relative entropy value </w:t>
      </w:r>
      <w:r w:rsidR="004D3F34" w:rsidRPr="00305114">
        <w:rPr>
          <w:rFonts w:asciiTheme="majorBidi" w:eastAsia="Times New Roman" w:hAnsiTheme="majorBidi" w:cstheme="majorBidi"/>
          <w:sz w:val="24"/>
          <w:szCs w:val="24"/>
        </w:rPr>
        <w:t>in each</w:t>
      </w:r>
      <w:r w:rsidRPr="00305114">
        <w:rPr>
          <w:rFonts w:asciiTheme="majorBidi" w:eastAsia="Times New Roman" w:hAnsiTheme="majorBidi" w:cstheme="majorBidi"/>
          <w:sz w:val="24"/>
          <w:szCs w:val="24"/>
        </w:rPr>
        <w:t xml:space="preserve"> voxel reflects the degree of its raw entropy value relative to the average entropy value of the whole brain. Here we used ‘</w:t>
      </w:r>
      <w:proofErr w:type="spellStart"/>
      <w:r w:rsidRPr="00305114">
        <w:rPr>
          <w:rFonts w:asciiTheme="majorBidi" w:eastAsia="Times New Roman" w:hAnsiTheme="majorBidi" w:cstheme="majorBidi"/>
          <w:sz w:val="24"/>
          <w:szCs w:val="24"/>
        </w:rPr>
        <w:t>smentropy</w:t>
      </w:r>
      <w:proofErr w:type="spellEnd"/>
      <w:r w:rsidRPr="00305114">
        <w:rPr>
          <w:rFonts w:asciiTheme="majorBidi" w:eastAsia="Times New Roman" w:hAnsiTheme="majorBidi" w:cstheme="majorBidi"/>
          <w:sz w:val="24"/>
          <w:szCs w:val="24"/>
        </w:rPr>
        <w:t>’ to denote this relative entropy for the further one-sample t test, which compares these voxel-wise relative entropy with 1 to see how the entropy varies about the whole-brain mean.</w:t>
      </w:r>
    </w:p>
    <w:p w14:paraId="6B65A3B7"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In the present work, voxel-wise one-sample t test was applied to examine the relative sample entropy throughout the brain with the function </w:t>
      </w:r>
      <w:r w:rsidRPr="00305114">
        <w:rPr>
          <w:rFonts w:asciiTheme="majorBidi" w:eastAsia="Times New Roman" w:hAnsiTheme="majorBidi" w:cstheme="majorBidi"/>
          <w:b/>
          <w:i/>
          <w:sz w:val="24"/>
          <w:szCs w:val="24"/>
        </w:rPr>
        <w:t>y_TTest1_Image</w:t>
      </w:r>
      <w:r w:rsidRPr="00305114">
        <w:rPr>
          <w:rFonts w:asciiTheme="majorBidi" w:eastAsia="Times New Roman" w:hAnsiTheme="majorBidi" w:cstheme="majorBidi"/>
          <w:sz w:val="24"/>
          <w:szCs w:val="24"/>
        </w:rPr>
        <w:t xml:space="preserve"> (</w:t>
      </w:r>
      <w:hyperlink r:id="rId588">
        <w:r w:rsidRPr="00305114">
          <w:rPr>
            <w:rFonts w:asciiTheme="majorBidi" w:eastAsia="Times New Roman" w:hAnsiTheme="majorBidi" w:cstheme="majorBidi"/>
            <w:sz w:val="24"/>
            <w:szCs w:val="24"/>
          </w:rPr>
          <w:t>https://github.com/Chaogan-Yan/DPABI</w:t>
        </w:r>
      </w:hyperlink>
      <w:r w:rsidRPr="00305114">
        <w:rPr>
          <w:rFonts w:asciiTheme="majorBidi" w:eastAsia="Times New Roman" w:hAnsiTheme="majorBidi" w:cstheme="majorBidi"/>
          <w:sz w:val="24"/>
          <w:szCs w:val="24"/>
        </w:rPr>
        <w:t xml:space="preserve">) at each time scale (1-5) respectively. The input files are the individual relative entropy maps compared to the value 1 to examine its relative global entropy at both ASC and Control group respectively. The Figure 4  is the Z statistical maps transformed from the original t statistical maps (TFCE-corrected) with the function </w:t>
      </w:r>
      <w:proofErr w:type="spellStart"/>
      <w:r w:rsidRPr="00305114">
        <w:rPr>
          <w:rFonts w:asciiTheme="majorBidi" w:eastAsia="Times New Roman" w:hAnsiTheme="majorBidi" w:cstheme="majorBidi"/>
          <w:b/>
          <w:i/>
          <w:sz w:val="24"/>
          <w:szCs w:val="24"/>
        </w:rPr>
        <w:t>y_TFRtoZ</w:t>
      </w:r>
      <w:proofErr w:type="spellEnd"/>
      <w:r w:rsidRPr="00305114">
        <w:rPr>
          <w:rFonts w:asciiTheme="majorBidi" w:eastAsia="Times New Roman" w:hAnsiTheme="majorBidi" w:cstheme="majorBidi"/>
          <w:b/>
          <w:i/>
          <w:sz w:val="24"/>
          <w:szCs w:val="24"/>
        </w:rPr>
        <w:t xml:space="preserve"> </w:t>
      </w:r>
      <w:r w:rsidRPr="00305114">
        <w:rPr>
          <w:rFonts w:asciiTheme="majorBidi" w:eastAsia="Times New Roman" w:hAnsiTheme="majorBidi" w:cstheme="majorBidi"/>
          <w:sz w:val="24"/>
          <w:szCs w:val="24"/>
        </w:rPr>
        <w:t>(</w:t>
      </w:r>
      <w:hyperlink r:id="rId589">
        <w:r w:rsidRPr="00305114">
          <w:rPr>
            <w:rFonts w:asciiTheme="majorBidi" w:eastAsia="Times New Roman" w:hAnsiTheme="majorBidi" w:cstheme="majorBidi"/>
            <w:sz w:val="24"/>
            <w:szCs w:val="24"/>
          </w:rPr>
          <w:t>https://github.com/Chaogan-Yan/DPABI</w:t>
        </w:r>
      </w:hyperlink>
      <w:r w:rsidRPr="00305114">
        <w:rPr>
          <w:rFonts w:asciiTheme="majorBidi" w:eastAsia="Times New Roman" w:hAnsiTheme="majorBidi" w:cstheme="majorBidi"/>
          <w:sz w:val="24"/>
          <w:szCs w:val="24"/>
        </w:rPr>
        <w:t>) and displayed</w:t>
      </w:r>
      <w:r w:rsidRPr="00305114">
        <w:rPr>
          <w:rFonts w:asciiTheme="majorBidi" w:eastAsia="Times New Roman" w:hAnsiTheme="majorBidi" w:cstheme="majorBidi"/>
          <w:b/>
          <w:sz w:val="24"/>
          <w:szCs w:val="24"/>
        </w:rPr>
        <w:t xml:space="preserve"> </w:t>
      </w:r>
      <w:r w:rsidRPr="00305114">
        <w:rPr>
          <w:rFonts w:asciiTheme="majorBidi" w:eastAsia="Times New Roman" w:hAnsiTheme="majorBidi" w:cstheme="majorBidi"/>
          <w:sz w:val="24"/>
          <w:szCs w:val="24"/>
        </w:rPr>
        <w:t xml:space="preserve">using the </w:t>
      </w:r>
      <w:proofErr w:type="spellStart"/>
      <w:r w:rsidRPr="00305114">
        <w:rPr>
          <w:rFonts w:asciiTheme="majorBidi" w:eastAsia="Times New Roman" w:hAnsiTheme="majorBidi" w:cstheme="majorBidi"/>
          <w:sz w:val="24"/>
          <w:szCs w:val="24"/>
        </w:rPr>
        <w:t>MRIcroGL</w:t>
      </w:r>
      <w:proofErr w:type="spellEnd"/>
      <w:r w:rsidRPr="00305114">
        <w:rPr>
          <w:rFonts w:asciiTheme="majorBidi" w:eastAsia="Times New Roman" w:hAnsiTheme="majorBidi" w:cstheme="majorBidi"/>
          <w:sz w:val="24"/>
          <w:szCs w:val="24"/>
        </w:rPr>
        <w:t xml:space="preserve"> </w:t>
      </w:r>
      <w:hyperlink r:id="rId590">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Rorden</w:t>
        </w:r>
        <w:proofErr w:type="spellEnd"/>
        <w:r w:rsidRPr="00305114">
          <w:rPr>
            <w:rFonts w:asciiTheme="majorBidi" w:eastAsia="Times New Roman" w:hAnsiTheme="majorBidi" w:cstheme="majorBidi"/>
            <w:sz w:val="24"/>
            <w:szCs w:val="24"/>
          </w:rPr>
          <w:t xml:space="preserve"> and Brett 2000)</w:t>
        </w:r>
      </w:hyperlink>
      <w:r w:rsidRPr="00305114">
        <w:rPr>
          <w:rFonts w:asciiTheme="majorBidi" w:eastAsia="Times New Roman" w:hAnsiTheme="majorBidi" w:cstheme="majorBidi"/>
          <w:sz w:val="24"/>
          <w:szCs w:val="24"/>
        </w:rPr>
        <w:t xml:space="preserve">. The reference coordinates of the visualisation </w:t>
      </w:r>
      <w:r w:rsidR="004D3F34" w:rsidRPr="00305114">
        <w:rPr>
          <w:rFonts w:asciiTheme="majorBidi" w:eastAsia="Times New Roman" w:hAnsiTheme="majorBidi" w:cstheme="majorBidi"/>
          <w:sz w:val="24"/>
          <w:szCs w:val="24"/>
        </w:rPr>
        <w:t>are</w:t>
      </w:r>
      <w:r w:rsidRPr="00305114">
        <w:rPr>
          <w:rFonts w:asciiTheme="majorBidi" w:eastAsia="Times New Roman" w:hAnsiTheme="majorBidi" w:cstheme="majorBidi"/>
          <w:sz w:val="24"/>
          <w:szCs w:val="24"/>
        </w:rPr>
        <w:t xml:space="preserve"> (0.196167 * 2.06932 *26.3201 mm</w:t>
      </w:r>
      <w:r w:rsidR="004D3F34" w:rsidRPr="00305114">
        <w:rPr>
          <w:rFonts w:asciiTheme="majorBidi" w:eastAsia="Times New Roman" w:hAnsiTheme="majorBidi" w:cstheme="majorBidi"/>
          <w:sz w:val="24"/>
          <w:szCs w:val="24"/>
        </w:rPr>
        <w:t>). The</w:t>
      </w:r>
      <w:r w:rsidRPr="00305114">
        <w:rPr>
          <w:rFonts w:asciiTheme="majorBidi" w:eastAsia="Times New Roman" w:hAnsiTheme="majorBidi" w:cstheme="majorBidi"/>
          <w:sz w:val="24"/>
          <w:szCs w:val="24"/>
        </w:rPr>
        <w:t xml:space="preserve"> yellow-to-red area represents the significant greater relative magnitude to the global mean, which relates to the relatively higher entropy through the whole brain; while the green-to-blue area represents the significant smaller relative magnitude to the global mean, which relates to the relatively lower entropy through the whole </w:t>
      </w:r>
      <w:r w:rsidR="00A367A4" w:rsidRPr="00305114">
        <w:rPr>
          <w:rFonts w:asciiTheme="majorBidi" w:eastAsia="Times New Roman" w:hAnsiTheme="majorBidi" w:cstheme="majorBidi"/>
          <w:sz w:val="24"/>
          <w:szCs w:val="24"/>
        </w:rPr>
        <w:t>brain. The</w:t>
      </w:r>
      <w:r w:rsidRPr="00305114">
        <w:rPr>
          <w:rFonts w:asciiTheme="majorBidi" w:eastAsia="Times New Roman" w:hAnsiTheme="majorBidi" w:cstheme="majorBidi"/>
          <w:sz w:val="24"/>
          <w:szCs w:val="24"/>
        </w:rPr>
        <w:t xml:space="preserve"> </w:t>
      </w:r>
      <w:r w:rsidR="004D3F34" w:rsidRPr="00305114">
        <w:rPr>
          <w:rFonts w:asciiTheme="majorBidi" w:eastAsia="Times New Roman" w:hAnsiTheme="majorBidi" w:cstheme="majorBidi"/>
          <w:sz w:val="24"/>
          <w:szCs w:val="24"/>
        </w:rPr>
        <w:t>two-sample</w:t>
      </w:r>
      <w:r w:rsidRPr="00305114">
        <w:rPr>
          <w:rFonts w:asciiTheme="majorBidi" w:eastAsia="Times New Roman" w:hAnsiTheme="majorBidi" w:cstheme="majorBidi"/>
          <w:sz w:val="24"/>
          <w:szCs w:val="24"/>
        </w:rPr>
        <w:t xml:space="preserve"> t test on the global mean between groups show that there is no significant difference on raw sample entropy for each </w:t>
      </w:r>
      <w:r w:rsidR="004D3F34" w:rsidRPr="00305114">
        <w:rPr>
          <w:rFonts w:asciiTheme="majorBidi" w:eastAsia="Times New Roman" w:hAnsiTheme="majorBidi" w:cstheme="majorBidi"/>
          <w:sz w:val="24"/>
          <w:szCs w:val="24"/>
        </w:rPr>
        <w:t xml:space="preserve">scale </w:t>
      </w:r>
      <w:r w:rsidR="004D3F34" w:rsidRPr="00305114">
        <w:rPr>
          <w:rFonts w:asciiTheme="majorBidi" w:eastAsia="Times New Roman" w:hAnsiTheme="majorBidi" w:cstheme="majorBidi"/>
          <w:sz w:val="24"/>
          <w:szCs w:val="24"/>
        </w:rPr>
        <w:lastRenderedPageBreak/>
        <w:t>(</w:t>
      </w:r>
      <w:r w:rsidRPr="00305114">
        <w:rPr>
          <w:rFonts w:asciiTheme="majorBidi" w:eastAsia="Times New Roman" w:hAnsiTheme="majorBidi" w:cstheme="majorBidi"/>
          <w:sz w:val="24"/>
          <w:szCs w:val="24"/>
        </w:rPr>
        <w:t xml:space="preserve">Scale 1: </w:t>
      </w:r>
      <w:r w:rsidRPr="00305114">
        <w:rPr>
          <w:rFonts w:asciiTheme="majorBidi" w:eastAsia="Times New Roman" w:hAnsiTheme="majorBidi" w:cstheme="majorBidi"/>
          <w:i/>
          <w:sz w:val="24"/>
          <w:szCs w:val="24"/>
        </w:rPr>
        <w:t>t</w:t>
      </w:r>
      <w:r w:rsidRPr="00305114">
        <w:rPr>
          <w:rFonts w:asciiTheme="majorBidi" w:eastAsia="Times New Roman" w:hAnsiTheme="majorBidi" w:cstheme="majorBidi"/>
          <w:sz w:val="24"/>
          <w:szCs w:val="24"/>
        </w:rPr>
        <w:t xml:space="preserve"> =-1.111,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=0.267; Scale 2: </w:t>
      </w:r>
      <w:r w:rsidRPr="00305114">
        <w:rPr>
          <w:rFonts w:asciiTheme="majorBidi" w:eastAsia="Times New Roman" w:hAnsiTheme="majorBidi" w:cstheme="majorBidi"/>
          <w:i/>
          <w:sz w:val="24"/>
          <w:szCs w:val="24"/>
        </w:rPr>
        <w:t>t</w:t>
      </w:r>
      <w:r w:rsidRPr="00305114">
        <w:rPr>
          <w:rFonts w:asciiTheme="majorBidi" w:eastAsia="Times New Roman" w:hAnsiTheme="majorBidi" w:cstheme="majorBidi"/>
          <w:sz w:val="24"/>
          <w:szCs w:val="24"/>
        </w:rPr>
        <w:t xml:space="preserve"> =-2.532,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=0.0117; Scale 3: </w:t>
      </w:r>
      <w:r w:rsidRPr="00305114">
        <w:rPr>
          <w:rFonts w:asciiTheme="majorBidi" w:eastAsia="Times New Roman" w:hAnsiTheme="majorBidi" w:cstheme="majorBidi"/>
          <w:i/>
          <w:sz w:val="24"/>
          <w:szCs w:val="24"/>
        </w:rPr>
        <w:t>t</w:t>
      </w:r>
      <w:r w:rsidRPr="00305114">
        <w:rPr>
          <w:rFonts w:asciiTheme="majorBidi" w:eastAsia="Times New Roman" w:hAnsiTheme="majorBidi" w:cstheme="majorBidi"/>
          <w:sz w:val="24"/>
          <w:szCs w:val="24"/>
        </w:rPr>
        <w:t xml:space="preserve"> =-1.691,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=0.092; Scale 4: </w:t>
      </w:r>
      <w:r w:rsidRPr="00305114">
        <w:rPr>
          <w:rFonts w:asciiTheme="majorBidi" w:eastAsia="Times New Roman" w:hAnsiTheme="majorBidi" w:cstheme="majorBidi"/>
          <w:i/>
          <w:sz w:val="24"/>
          <w:szCs w:val="24"/>
        </w:rPr>
        <w:t>t</w:t>
      </w:r>
      <w:r w:rsidRPr="00305114">
        <w:rPr>
          <w:rFonts w:asciiTheme="majorBidi" w:eastAsia="Times New Roman" w:hAnsiTheme="majorBidi" w:cstheme="majorBidi"/>
          <w:sz w:val="24"/>
          <w:szCs w:val="24"/>
        </w:rPr>
        <w:t xml:space="preserve"> =-0.925,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=0.355; Scale 5: </w:t>
      </w:r>
      <w:r w:rsidRPr="00305114">
        <w:rPr>
          <w:rFonts w:asciiTheme="majorBidi" w:eastAsia="Times New Roman" w:hAnsiTheme="majorBidi" w:cstheme="majorBidi"/>
          <w:i/>
          <w:sz w:val="24"/>
          <w:szCs w:val="24"/>
        </w:rPr>
        <w:t>t</w:t>
      </w:r>
      <w:r w:rsidRPr="00305114">
        <w:rPr>
          <w:rFonts w:asciiTheme="majorBidi" w:eastAsia="Times New Roman" w:hAnsiTheme="majorBidi" w:cstheme="majorBidi"/>
          <w:sz w:val="24"/>
          <w:szCs w:val="24"/>
        </w:rPr>
        <w:t xml:space="preserve"> =-0.748,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=0.455). This facilitates a comparative assessment of the relative entropy map across the diagnosis groups under investigation.</w:t>
      </w:r>
    </w:p>
    <w:p w14:paraId="35469EE3" w14:textId="77777777" w:rsidR="00305114" w:rsidRPr="00305114" w:rsidRDefault="00305114" w:rsidP="00305114">
      <w:pPr>
        <w:spacing w:line="480" w:lineRule="auto"/>
        <w:rPr>
          <w:rFonts w:asciiTheme="majorBidi" w:eastAsia="Times New Roman" w:hAnsiTheme="majorBidi" w:cstheme="majorBidi"/>
          <w:b/>
          <w:i/>
          <w:sz w:val="24"/>
          <w:szCs w:val="24"/>
        </w:rPr>
      </w:pPr>
      <w:r w:rsidRPr="00305114">
        <w:rPr>
          <w:rFonts w:asciiTheme="majorBidi" w:eastAsia="Times New Roman" w:hAnsiTheme="majorBidi" w:cstheme="majorBidi"/>
          <w:b/>
          <w:i/>
          <w:sz w:val="24"/>
          <w:szCs w:val="24"/>
        </w:rPr>
        <w:t xml:space="preserve">Two-sample voxel-wise </w:t>
      </w:r>
      <w:proofErr w:type="spellStart"/>
      <w:r w:rsidRPr="00305114">
        <w:rPr>
          <w:rFonts w:asciiTheme="majorBidi" w:eastAsia="Times New Roman" w:hAnsiTheme="majorBidi" w:cstheme="majorBidi"/>
          <w:b/>
          <w:i/>
          <w:sz w:val="24"/>
          <w:szCs w:val="24"/>
        </w:rPr>
        <w:t>t</w:t>
      </w:r>
      <w:proofErr w:type="spellEnd"/>
      <w:r w:rsidRPr="00305114">
        <w:rPr>
          <w:rFonts w:asciiTheme="majorBidi" w:eastAsia="Times New Roman" w:hAnsiTheme="majorBidi" w:cstheme="majorBidi"/>
          <w:b/>
          <w:i/>
          <w:sz w:val="24"/>
          <w:szCs w:val="24"/>
        </w:rPr>
        <w:t xml:space="preserve"> test across diagnosis groups</w:t>
      </w:r>
    </w:p>
    <w:p w14:paraId="714A4A98"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The input files were the individual entropy maps standardised by subtracting the overall average and dividing by the standard deviation. This method provides two key advantages: 1) it helps alleviate the influence of overall variability within the brain when conducting voxel-wise group-level analysis; 2) it restores the multiscale sample entropy profile of the fMRI signal, and its validity was confirmed in the pilot test in the general introduction (Chapter 1). Furthermore, it effectively discriminates between grey and white matter by capturing their distinct nonlinear characteristics through standardised multiscale sample entropy.</w:t>
      </w:r>
    </w:p>
    <w:p w14:paraId="4A1CAB25"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Voxel-wise mixed-effect analysis and voxel-wise two-sample t-tests were conducted to perform the univariate group-level analysis. These analyses utilised the functions </w:t>
      </w:r>
      <w:proofErr w:type="spellStart"/>
      <w:r w:rsidRPr="00305114">
        <w:rPr>
          <w:rFonts w:asciiTheme="majorBidi" w:eastAsia="Times New Roman" w:hAnsiTheme="majorBidi" w:cstheme="majorBidi"/>
          <w:b/>
          <w:i/>
          <w:sz w:val="24"/>
          <w:szCs w:val="24"/>
        </w:rPr>
        <w:t>y_MixedEffectsAnalysis_Image</w:t>
      </w:r>
      <w:proofErr w:type="spellEnd"/>
      <w:r w:rsidRPr="00305114">
        <w:rPr>
          <w:rFonts w:asciiTheme="majorBidi" w:eastAsia="Times New Roman" w:hAnsiTheme="majorBidi" w:cstheme="majorBidi"/>
          <w:sz w:val="24"/>
          <w:szCs w:val="24"/>
        </w:rPr>
        <w:t xml:space="preserve"> and </w:t>
      </w:r>
      <w:r w:rsidRPr="00305114">
        <w:rPr>
          <w:rFonts w:asciiTheme="majorBidi" w:eastAsia="Times New Roman" w:hAnsiTheme="majorBidi" w:cstheme="majorBidi"/>
          <w:b/>
          <w:i/>
          <w:sz w:val="24"/>
          <w:szCs w:val="24"/>
        </w:rPr>
        <w:t>y_TTest2_Image</w:t>
      </w:r>
      <w:r w:rsidRPr="00305114">
        <w:rPr>
          <w:rFonts w:asciiTheme="majorBidi" w:eastAsia="Times New Roman" w:hAnsiTheme="majorBidi" w:cstheme="majorBidi"/>
          <w:sz w:val="24"/>
          <w:szCs w:val="24"/>
        </w:rPr>
        <w:t xml:space="preserve"> from the DPABI toolbox </w:t>
      </w:r>
      <w:hyperlink r:id="rId591">
        <w:r w:rsidRPr="00305114">
          <w:rPr>
            <w:rFonts w:asciiTheme="majorBidi" w:eastAsia="Times New Roman" w:hAnsiTheme="majorBidi" w:cstheme="majorBidi"/>
            <w:sz w:val="24"/>
            <w:szCs w:val="24"/>
          </w:rPr>
          <w:t>(Yan et al., 2016)</w:t>
        </w:r>
      </w:hyperlink>
      <w:r w:rsidRPr="00305114">
        <w:rPr>
          <w:rFonts w:asciiTheme="majorBidi" w:eastAsia="Times New Roman" w:hAnsiTheme="majorBidi" w:cstheme="majorBidi"/>
          <w:sz w:val="24"/>
          <w:szCs w:val="24"/>
        </w:rPr>
        <w:t xml:space="preserve"> and are publicly accessible at (</w:t>
      </w:r>
      <w:hyperlink r:id="rId592">
        <w:r w:rsidRPr="00305114">
          <w:rPr>
            <w:rFonts w:asciiTheme="majorBidi" w:eastAsia="Times New Roman" w:hAnsiTheme="majorBidi" w:cstheme="majorBidi"/>
            <w:sz w:val="24"/>
            <w:szCs w:val="24"/>
          </w:rPr>
          <w:t>https://github.com/Chaogan-Yan/DPABI</w:t>
        </w:r>
      </w:hyperlink>
      <w:r w:rsidRPr="00305114">
        <w:rPr>
          <w:rFonts w:asciiTheme="majorBidi" w:eastAsia="Times New Roman" w:hAnsiTheme="majorBidi" w:cstheme="majorBidi"/>
          <w:sz w:val="24"/>
          <w:szCs w:val="24"/>
        </w:rPr>
        <w:t xml:space="preserve">). The voxel-wise mixed effect analysis was performed to understand better the changing pattern in brain complexity across the multiple time scale factors at ASC and neurotypical control groups. The voxel-wise two-sample t-test was performed to examine the group difference at each scale. Statistical analysis was all corrected for the multiple comparisons problem by the permutation test with Threshold-Free Cluster Enhancement (TFCE) </w:t>
      </w:r>
      <w:hyperlink r:id="rId593">
        <w:r w:rsidRPr="00305114">
          <w:rPr>
            <w:rFonts w:asciiTheme="majorBidi" w:eastAsia="Times New Roman" w:hAnsiTheme="majorBidi" w:cstheme="majorBidi"/>
            <w:sz w:val="24"/>
            <w:szCs w:val="24"/>
          </w:rPr>
          <w:t>(Smith &amp; Nichols, 2009)</w:t>
        </w:r>
      </w:hyperlink>
      <w:r w:rsidRPr="00305114">
        <w:rPr>
          <w:rFonts w:asciiTheme="majorBidi" w:eastAsia="Times New Roman" w:hAnsiTheme="majorBidi" w:cstheme="majorBidi"/>
          <w:sz w:val="24"/>
          <w:szCs w:val="24"/>
        </w:rPr>
        <w:t>.</w:t>
      </w:r>
    </w:p>
    <w:p w14:paraId="48DE8315"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b/>
          <w:sz w:val="24"/>
          <w:szCs w:val="24"/>
        </w:rPr>
        <w:t xml:space="preserve">Multivariate Statistics </w:t>
      </w:r>
    </w:p>
    <w:p w14:paraId="1B5791E6"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Feature Selection for ASC/CON Classification</w:t>
      </w:r>
    </w:p>
    <w:p w14:paraId="0984F328" w14:textId="0074D390" w:rsidR="00E135A4" w:rsidRDefault="00305114" w:rsidP="004D3F3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After generating standardised sample entropy maps from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data for each subject per time scale (i.e., 1-5), the Harvard-oxford cortical atlas was used to define the ROIs. The Harvard-oxford cortical atlas is a well-established anatomical parcellation of the brain into 48 ROIs per hemisphere, excluding the cerebellar lobules. Mean values of standardised sample entropy were calculated for each </w:t>
      </w:r>
      <w:r w:rsidRPr="00305114">
        <w:rPr>
          <w:rFonts w:asciiTheme="majorBidi" w:eastAsia="Times New Roman" w:hAnsiTheme="majorBidi" w:cstheme="majorBidi"/>
          <w:sz w:val="24"/>
          <w:szCs w:val="24"/>
        </w:rPr>
        <w:lastRenderedPageBreak/>
        <w:t>ROI and used to create a feature (ROI) vector, i.e., R[1, …, 96], for each time scale factor. Those features are listed in Table. The total number of features is 480 (i.e., 96*5). The SFFS strategy used the sequential floating feature selection toolbox(</w:t>
      </w:r>
      <w:hyperlink r:id="rId594">
        <w:r w:rsidRPr="00305114">
          <w:rPr>
            <w:rFonts w:asciiTheme="majorBidi" w:eastAsia="Times New Roman" w:hAnsiTheme="majorBidi" w:cstheme="majorBidi"/>
            <w:sz w:val="24"/>
            <w:szCs w:val="24"/>
          </w:rPr>
          <w:t>http://splab.cz/en/download/software/software-pro-sekvencni-selekci-priznaku</w:t>
        </w:r>
      </w:hyperlink>
      <w:r w:rsidRPr="00305114">
        <w:rPr>
          <w:rFonts w:asciiTheme="majorBidi" w:eastAsia="Times New Roman" w:hAnsiTheme="majorBidi" w:cstheme="majorBidi"/>
          <w:sz w:val="24"/>
          <w:szCs w:val="24"/>
        </w:rPr>
        <w:t xml:space="preserve">). The linear SVM was performed using the </w:t>
      </w:r>
      <w:r w:rsidRPr="00305114">
        <w:rPr>
          <w:rFonts w:asciiTheme="majorBidi" w:eastAsia="Times New Roman" w:hAnsiTheme="majorBidi" w:cstheme="majorBidi"/>
          <w:i/>
          <w:sz w:val="24"/>
          <w:szCs w:val="24"/>
        </w:rPr>
        <w:t>Scikit-learn</w:t>
      </w:r>
      <w:r w:rsidRPr="00305114">
        <w:rPr>
          <w:rFonts w:asciiTheme="majorBidi" w:eastAsia="Times New Roman" w:hAnsiTheme="majorBidi" w:cstheme="majorBidi"/>
          <w:sz w:val="24"/>
          <w:szCs w:val="24"/>
        </w:rPr>
        <w:t xml:space="preserve"> in Python </w:t>
      </w:r>
      <w:hyperlink r:id="rId595">
        <w:r w:rsidRPr="00305114">
          <w:rPr>
            <w:rFonts w:asciiTheme="majorBidi" w:eastAsia="Times New Roman" w:hAnsiTheme="majorBidi" w:cstheme="majorBidi"/>
            <w:sz w:val="24"/>
            <w:szCs w:val="24"/>
          </w:rPr>
          <w:t>(Pedregosa et al., 2011)</w:t>
        </w:r>
      </w:hyperlink>
      <w:r w:rsidRPr="00305114">
        <w:rPr>
          <w:rFonts w:asciiTheme="majorBidi" w:eastAsia="Times New Roman" w:hAnsiTheme="majorBidi" w:cstheme="majorBidi"/>
          <w:sz w:val="24"/>
          <w:szCs w:val="24"/>
        </w:rPr>
        <w:t xml:space="preserve">. </w:t>
      </w:r>
      <w:r w:rsidR="00A647BE" w:rsidRPr="00A647BE">
        <w:rPr>
          <w:rFonts w:asciiTheme="majorBidi" w:eastAsia="Times New Roman" w:hAnsiTheme="majorBidi" w:cstheme="majorBidi"/>
          <w:sz w:val="24"/>
          <w:szCs w:val="24"/>
        </w:rPr>
        <w:t>This entire procedure was executed using a custom script available at the following GitHub repository: https://github.com/wenyixiao0058/fmristudy.git, specifically referring to the "svm_fmri.py" script.</w:t>
      </w:r>
    </w:p>
    <w:p w14:paraId="4C710DC3" w14:textId="77777777" w:rsidR="004D3F34" w:rsidRDefault="004D3F34" w:rsidP="004D3F34">
      <w:pPr>
        <w:spacing w:line="480" w:lineRule="auto"/>
        <w:ind w:firstLine="720"/>
        <w:rPr>
          <w:rFonts w:asciiTheme="majorBidi" w:eastAsia="Times New Roman" w:hAnsiTheme="majorBidi" w:cstheme="majorBidi"/>
          <w:sz w:val="24"/>
          <w:szCs w:val="24"/>
        </w:rPr>
      </w:pPr>
    </w:p>
    <w:p w14:paraId="7D2470CD" w14:textId="77777777" w:rsidR="004D3F34" w:rsidRPr="00305114" w:rsidRDefault="004D3F34" w:rsidP="007D1376">
      <w:pPr>
        <w:spacing w:line="480" w:lineRule="auto"/>
        <w:rPr>
          <w:rFonts w:asciiTheme="majorBidi" w:eastAsia="Times New Roman" w:hAnsiTheme="majorBidi" w:cstheme="majorBidi"/>
          <w:sz w:val="24"/>
          <w:szCs w:val="24"/>
        </w:rPr>
      </w:pPr>
    </w:p>
    <w:p w14:paraId="7A08708A" w14:textId="77777777" w:rsidR="00305114" w:rsidRPr="00305114" w:rsidRDefault="00305114" w:rsidP="00305114">
      <w:pPr>
        <w:spacing w:line="480" w:lineRule="auto"/>
        <w:jc w:val="center"/>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Results</w:t>
      </w:r>
    </w:p>
    <w:p w14:paraId="30D258F1"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Voxel-wise one sample t test result</w:t>
      </w:r>
    </w:p>
    <w:p w14:paraId="10AAE44E"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The one-sample test output from a sub-dataset with 0.5Hz sampling rate at eye open condition is depicted in Figure 4. Voxel-wise, one sample t-test was performed without any covariates. Based on visual inspection of the descriptive entropy map, different brain tissues gain different ranges of entropy value. The relative higher entropy mainly lies in the white matter, while the grey matter shows a relatively lower entropy. Entropy reversal occurs since scale 2, where grey matter exhibits lower entropy while white matter demonstrates a higher entropy.</w:t>
      </w:r>
    </w:p>
    <w:p w14:paraId="07053425"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6DAE1E92"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4BD7AA8B"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2BB678BB"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1242566F"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15FA9228"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48C5B3FD"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6396D83C"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2CF26225"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69ABF1F1"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046D95DA"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7B1A83DD"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4341B3EA"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4A9FF0F3"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74EB650E"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0590AE92"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1A85BA7C" w14:textId="77777777" w:rsidR="00F14238" w:rsidRPr="008F4E90" w:rsidRDefault="00F14238" w:rsidP="004D3F34">
      <w:pPr>
        <w:spacing w:line="480" w:lineRule="auto"/>
        <w:rPr>
          <w:rFonts w:asciiTheme="majorBidi" w:eastAsia="Times New Roman" w:hAnsiTheme="majorBidi" w:cstheme="majorBidi"/>
          <w:sz w:val="24"/>
          <w:szCs w:val="24"/>
        </w:rPr>
      </w:pPr>
    </w:p>
    <w:p w14:paraId="174FD74E"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F</w:t>
      </w:r>
      <w:r w:rsidR="003C001C">
        <w:rPr>
          <w:rFonts w:asciiTheme="majorBidi" w:eastAsia="Times New Roman" w:hAnsiTheme="majorBidi" w:cstheme="majorBidi"/>
          <w:b/>
          <w:sz w:val="24"/>
          <w:szCs w:val="24"/>
        </w:rPr>
        <w:t>igure</w:t>
      </w:r>
      <w:r w:rsidRPr="00305114">
        <w:rPr>
          <w:rFonts w:asciiTheme="majorBidi" w:eastAsia="Times New Roman" w:hAnsiTheme="majorBidi" w:cstheme="majorBidi"/>
          <w:b/>
          <w:sz w:val="24"/>
          <w:szCs w:val="24"/>
        </w:rPr>
        <w:t xml:space="preserve"> 4</w:t>
      </w:r>
    </w:p>
    <w:p w14:paraId="6D037DE9" w14:textId="77777777" w:rsidR="004D3F34" w:rsidRDefault="00E135A4" w:rsidP="004D3F3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noProof/>
          <w:sz w:val="24"/>
          <w:szCs w:val="24"/>
        </w:rPr>
        <w:lastRenderedPageBreak/>
        <w:drawing>
          <wp:anchor distT="0" distB="0" distL="114300" distR="114300" simplePos="0" relativeHeight="251667456" behindDoc="0" locked="0" layoutInCell="1" allowOverlap="1" wp14:anchorId="7D4CA75C" wp14:editId="00B730D3">
            <wp:simplePos x="0" y="0"/>
            <wp:positionH relativeFrom="margin">
              <wp:posOffset>374015</wp:posOffset>
            </wp:positionH>
            <wp:positionV relativeFrom="paragraph">
              <wp:posOffset>415290</wp:posOffset>
            </wp:positionV>
            <wp:extent cx="5762625" cy="7372350"/>
            <wp:effectExtent l="0" t="0" r="9525" b="0"/>
            <wp:wrapTopAndBottom/>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596" cstate="print">
                      <a:extLst>
                        <a:ext uri="{28A0092B-C50C-407E-A947-70E740481C1C}">
                          <a14:useLocalDpi xmlns:a14="http://schemas.microsoft.com/office/drawing/2010/main" val="0"/>
                        </a:ext>
                      </a:extLst>
                    </a:blip>
                    <a:srcRect t="4819" b="5876"/>
                    <a:stretch/>
                  </pic:blipFill>
                  <pic:spPr bwMode="auto">
                    <a:xfrm>
                      <a:off x="0" y="0"/>
                      <a:ext cx="5762625" cy="737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114" w:rsidRPr="00305114">
        <w:rPr>
          <w:rFonts w:asciiTheme="majorBidi" w:eastAsia="Times New Roman" w:hAnsiTheme="majorBidi" w:cstheme="majorBidi"/>
          <w:i/>
          <w:sz w:val="24"/>
          <w:szCs w:val="24"/>
        </w:rPr>
        <w:t xml:space="preserve">Within the brain variability in sample entropy for each voxel, time scale factor and diagnosis group. </w:t>
      </w:r>
    </w:p>
    <w:p w14:paraId="3A0244C9" w14:textId="77777777" w:rsidR="004D3F34" w:rsidRPr="004D3F34" w:rsidRDefault="004D3F34" w:rsidP="004D3F3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Note</w:t>
      </w:r>
      <w:r w:rsidRPr="00305114">
        <w:rPr>
          <w:rFonts w:asciiTheme="majorBidi" w:eastAsia="Times New Roman" w:hAnsiTheme="majorBidi" w:cstheme="majorBidi"/>
          <w:sz w:val="24"/>
          <w:szCs w:val="24"/>
        </w:rPr>
        <w:t>. Hot colours indicate greater-than-average sample entropy value of a given contrast (i.e., relative</w:t>
      </w:r>
      <w:r>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 xml:space="preserve">sample entropy value </w:t>
      </w:r>
      <w:proofErr w:type="spellStart"/>
      <w:r w:rsidRPr="00305114">
        <w:rPr>
          <w:rFonts w:asciiTheme="majorBidi" w:eastAsia="Times New Roman" w:hAnsiTheme="majorBidi" w:cstheme="majorBidi"/>
          <w:sz w:val="24"/>
          <w:szCs w:val="24"/>
        </w:rPr>
        <w:t>v.s</w:t>
      </w:r>
      <w:proofErr w:type="spellEnd"/>
      <w:r w:rsidRPr="00305114">
        <w:rPr>
          <w:rFonts w:asciiTheme="majorBidi" w:eastAsia="Times New Roman" w:hAnsiTheme="majorBidi" w:cstheme="majorBidi"/>
          <w:sz w:val="24"/>
          <w:szCs w:val="24"/>
        </w:rPr>
        <w:t xml:space="preserve">. 1), corrected by permutation test with threshold-free cluster enhancement, with voxel level: </w:t>
      </w:r>
      <w:r w:rsidRPr="007D1376">
        <w:rPr>
          <w:rFonts w:asciiTheme="majorBidi" w:eastAsia="Times New Roman" w:hAnsiTheme="majorBidi" w:cstheme="majorBidi"/>
          <w:i/>
          <w:iCs/>
          <w:sz w:val="24"/>
          <w:szCs w:val="24"/>
        </w:rPr>
        <w:t>p</w:t>
      </w:r>
      <w:r w:rsidRPr="00305114">
        <w:rPr>
          <w:rFonts w:asciiTheme="majorBidi" w:eastAsia="Times New Roman" w:hAnsiTheme="majorBidi" w:cstheme="majorBidi"/>
          <w:sz w:val="24"/>
          <w:szCs w:val="24"/>
        </w:rPr>
        <w:t xml:space="preserve"> &lt; .05. </w:t>
      </w:r>
    </w:p>
    <w:p w14:paraId="0415B7A7" w14:textId="77777777" w:rsidR="00305114" w:rsidRPr="008F4E90" w:rsidRDefault="00305114" w:rsidP="004D3F3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lastRenderedPageBreak/>
        <w:t xml:space="preserve">Entropy was extracted across seven cortical networks to visualise the time scale changes in brain complexity. The 7 cortical network identified by </w:t>
      </w:r>
      <w:hyperlink r:id="rId597">
        <w:r w:rsidRPr="00305114">
          <w:rPr>
            <w:rFonts w:asciiTheme="majorBidi" w:eastAsia="Times New Roman" w:hAnsiTheme="majorBidi" w:cstheme="majorBidi"/>
            <w:sz w:val="24"/>
            <w:szCs w:val="24"/>
          </w:rPr>
          <w:t>(Yeo et al. 2011)</w:t>
        </w:r>
      </w:hyperlink>
      <w:r w:rsidRPr="00305114">
        <w:rPr>
          <w:rFonts w:asciiTheme="majorBidi" w:eastAsia="Times New Roman" w:hAnsiTheme="majorBidi" w:cstheme="majorBidi"/>
          <w:sz w:val="24"/>
          <w:szCs w:val="24"/>
        </w:rPr>
        <w:t xml:space="preserve"> consisting of 1)Visual </w:t>
      </w:r>
      <w:r w:rsidR="004D3F34" w:rsidRPr="00305114">
        <w:rPr>
          <w:rFonts w:asciiTheme="majorBidi" w:eastAsia="Times New Roman" w:hAnsiTheme="majorBidi" w:cstheme="majorBidi"/>
          <w:sz w:val="24"/>
          <w:szCs w:val="24"/>
        </w:rPr>
        <w:t>network: This</w:t>
      </w:r>
      <w:r w:rsidRPr="00305114">
        <w:rPr>
          <w:rFonts w:asciiTheme="majorBidi" w:eastAsia="Times New Roman" w:hAnsiTheme="majorBidi" w:cstheme="majorBidi"/>
          <w:sz w:val="24"/>
          <w:szCs w:val="24"/>
        </w:rPr>
        <w:t xml:space="preserve"> network includes areas of the occipital and parietal lobes involved in processing visual information.2)</w:t>
      </w:r>
      <w:proofErr w:type="spellStart"/>
      <w:r w:rsidRPr="00305114">
        <w:rPr>
          <w:rFonts w:asciiTheme="majorBidi" w:eastAsia="Times New Roman" w:hAnsiTheme="majorBidi" w:cstheme="majorBidi"/>
          <w:sz w:val="24"/>
          <w:szCs w:val="24"/>
        </w:rPr>
        <w:t>Somatomotor</w:t>
      </w:r>
      <w:proofErr w:type="spellEnd"/>
      <w:r w:rsidRPr="00305114">
        <w:rPr>
          <w:rFonts w:asciiTheme="majorBidi" w:eastAsia="Times New Roman" w:hAnsiTheme="majorBidi" w:cstheme="majorBidi"/>
          <w:sz w:val="24"/>
          <w:szCs w:val="24"/>
        </w:rPr>
        <w:t xml:space="preserve"> network: This network includes areas of the frontal and parietal lobes involved in controlling movement and sensation.3)Dorsal attention network: This network includes areas of the parietal and frontal lobes involved in the control of spatial attention.4)Ventral attention network: This network includes areas of the frontal and parietal lobes involved in the control of non-spatial attention.5)Limbic network: This network includes areas of the medial temporal lobe, cingulate cortex, and insula involved in emotional processing and memory.6)Frontoparietal network: This network includes areas of the frontal and parietal lobes involved in cognitive control and decision making.7)Default mode network: This network includes areas of the medial prefrontal cortex and posterior cingulate cortex involved in self-referential thinking and mind-wandering. Mask downloaded from </w:t>
      </w:r>
      <w:hyperlink r:id="rId598">
        <w:r w:rsidRPr="00305114">
          <w:rPr>
            <w:rFonts w:asciiTheme="majorBidi" w:eastAsia="Times New Roman" w:hAnsiTheme="majorBidi" w:cstheme="majorBidi"/>
            <w:sz w:val="24"/>
            <w:szCs w:val="24"/>
          </w:rPr>
          <w:t>https://surfer.nmr.mgh.harvard.edu/fswiki/CorticalParcellation_Yeo2011</w:t>
        </w:r>
      </w:hyperlink>
      <w:r w:rsidRPr="00305114">
        <w:rPr>
          <w:rFonts w:asciiTheme="majorBidi" w:eastAsia="Times New Roman" w:hAnsiTheme="majorBidi" w:cstheme="majorBidi"/>
          <w:sz w:val="24"/>
          <w:szCs w:val="24"/>
        </w:rPr>
        <w:t xml:space="preserve"> projected into MNI152 space and resliced into 3mm isotropic space and extracted the overlap between the network masks and group mask. Then, these seven cortical network masks and the white matter mask were applied to extract the relative sample entropy from each participant in both ASC and neurotypical control groups. Relative sample entropy for each cortical network and white matter visualised in the box plot (Figure 5).</w:t>
      </w:r>
    </w:p>
    <w:p w14:paraId="503332F8" w14:textId="77777777" w:rsidR="00F14238" w:rsidRPr="008F4E90" w:rsidRDefault="00F14238" w:rsidP="00305114">
      <w:pPr>
        <w:spacing w:line="480" w:lineRule="auto"/>
        <w:ind w:firstLine="720"/>
        <w:rPr>
          <w:rFonts w:asciiTheme="majorBidi" w:eastAsia="Times New Roman" w:hAnsiTheme="majorBidi" w:cstheme="majorBidi"/>
          <w:sz w:val="24"/>
          <w:szCs w:val="24"/>
        </w:rPr>
      </w:pPr>
    </w:p>
    <w:p w14:paraId="573741DD" w14:textId="77777777" w:rsidR="00F14238" w:rsidRPr="008F4E90" w:rsidRDefault="00F14238" w:rsidP="00305114">
      <w:pPr>
        <w:spacing w:line="480" w:lineRule="auto"/>
        <w:ind w:firstLine="720"/>
        <w:rPr>
          <w:rFonts w:asciiTheme="majorBidi" w:eastAsia="Times New Roman" w:hAnsiTheme="majorBidi" w:cstheme="majorBidi"/>
          <w:sz w:val="24"/>
          <w:szCs w:val="24"/>
        </w:rPr>
      </w:pPr>
    </w:p>
    <w:p w14:paraId="7DE69918" w14:textId="77777777" w:rsidR="00F14238" w:rsidRPr="008F4E90" w:rsidRDefault="00F14238" w:rsidP="00305114">
      <w:pPr>
        <w:spacing w:line="480" w:lineRule="auto"/>
        <w:ind w:firstLine="720"/>
        <w:rPr>
          <w:rFonts w:asciiTheme="majorBidi" w:eastAsia="Times New Roman" w:hAnsiTheme="majorBidi" w:cstheme="majorBidi"/>
          <w:sz w:val="24"/>
          <w:szCs w:val="24"/>
        </w:rPr>
      </w:pPr>
    </w:p>
    <w:p w14:paraId="128C1772" w14:textId="77777777" w:rsidR="00F14238" w:rsidRPr="008F4E90" w:rsidRDefault="00F14238" w:rsidP="00305114">
      <w:pPr>
        <w:spacing w:line="480" w:lineRule="auto"/>
        <w:ind w:firstLine="720"/>
        <w:rPr>
          <w:rFonts w:asciiTheme="majorBidi" w:eastAsia="Times New Roman" w:hAnsiTheme="majorBidi" w:cstheme="majorBidi"/>
          <w:sz w:val="24"/>
          <w:szCs w:val="24"/>
        </w:rPr>
      </w:pPr>
    </w:p>
    <w:p w14:paraId="236C2F48" w14:textId="77777777" w:rsidR="00F14238" w:rsidRPr="00305114" w:rsidRDefault="00F14238" w:rsidP="00305114">
      <w:pPr>
        <w:spacing w:line="480" w:lineRule="auto"/>
        <w:ind w:firstLine="720"/>
        <w:rPr>
          <w:rFonts w:asciiTheme="majorBidi" w:eastAsia="Times New Roman" w:hAnsiTheme="majorBidi" w:cstheme="majorBidi"/>
          <w:sz w:val="24"/>
          <w:szCs w:val="24"/>
        </w:rPr>
      </w:pPr>
    </w:p>
    <w:p w14:paraId="085E9FD9"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Figure 5</w:t>
      </w:r>
    </w:p>
    <w:p w14:paraId="3126EE45" w14:textId="77777777" w:rsidR="00305114" w:rsidRPr="00305114" w:rsidRDefault="00E135A4" w:rsidP="00305114">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lastRenderedPageBreak/>
        <w:drawing>
          <wp:anchor distT="0" distB="0" distL="114300" distR="114300" simplePos="0" relativeHeight="251669504" behindDoc="0" locked="0" layoutInCell="1" allowOverlap="1" wp14:anchorId="7DF97DD6" wp14:editId="675D722D">
            <wp:simplePos x="0" y="0"/>
            <wp:positionH relativeFrom="margin">
              <wp:posOffset>373380</wp:posOffset>
            </wp:positionH>
            <wp:positionV relativeFrom="paragraph">
              <wp:posOffset>300990</wp:posOffset>
            </wp:positionV>
            <wp:extent cx="5781675" cy="2209800"/>
            <wp:effectExtent l="0" t="0" r="9525" b="0"/>
            <wp:wrapTopAndBottom/>
            <wp:docPr id="85" name="Picture 8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a:xfrm>
                      <a:off x="0" y="0"/>
                      <a:ext cx="5781675" cy="2209800"/>
                    </a:xfrm>
                    <a:prstGeom prst="rect">
                      <a:avLst/>
                    </a:prstGeom>
                    <a:ln/>
                  </pic:spPr>
                </pic:pic>
              </a:graphicData>
            </a:graphic>
            <wp14:sizeRelH relativeFrom="margin">
              <wp14:pctWidth>0</wp14:pctWidth>
            </wp14:sizeRelH>
            <wp14:sizeRelV relativeFrom="margin">
              <wp14:pctHeight>0</wp14:pctHeight>
            </wp14:sizeRelV>
          </wp:anchor>
        </w:drawing>
      </w:r>
      <w:r w:rsidR="00305114" w:rsidRPr="00305114">
        <w:rPr>
          <w:rFonts w:asciiTheme="majorBidi" w:eastAsia="Times New Roman" w:hAnsiTheme="majorBidi" w:cstheme="majorBidi"/>
          <w:i/>
          <w:sz w:val="24"/>
          <w:szCs w:val="24"/>
        </w:rPr>
        <w:t xml:space="preserve">Averaged relative sample entropy for the eyes-open dataset. </w:t>
      </w:r>
    </w:p>
    <w:p w14:paraId="3D8FADE0" w14:textId="77777777" w:rsidR="00E135A4" w:rsidRPr="008F4E90" w:rsidRDefault="00E135A4" w:rsidP="00E135A4">
      <w:pPr>
        <w:spacing w:line="480" w:lineRule="auto"/>
        <w:rPr>
          <w:rFonts w:asciiTheme="majorBidi" w:eastAsia="Times New Roman" w:hAnsiTheme="majorBidi" w:cstheme="majorBidi"/>
          <w:sz w:val="24"/>
          <w:szCs w:val="24"/>
        </w:rPr>
      </w:pPr>
    </w:p>
    <w:p w14:paraId="4C0E37ED" w14:textId="77777777" w:rsidR="00E135A4" w:rsidRPr="008F4E90" w:rsidRDefault="00E135A4" w:rsidP="00E135A4">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Visual = Visual Network; SM =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DA = Dorsal Attention Network; VA = Ventral Attention Network; Limbic = Limbic Network; FP = Frontoparietal Network; DMN = Default Mode Network; WM = White Matter.</w:t>
      </w:r>
    </w:p>
    <w:p w14:paraId="588458DC" w14:textId="77777777" w:rsidR="00305114" w:rsidRPr="00305114" w:rsidRDefault="00305114" w:rsidP="00E135A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b/>
          <w:i/>
          <w:sz w:val="24"/>
          <w:szCs w:val="24"/>
        </w:rPr>
        <w:t>Voxel-wise two sample t test result: Group Level Statistical Analysis</w:t>
      </w:r>
    </w:p>
    <w:p w14:paraId="6851E0FD" w14:textId="77777777" w:rsid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 normalisation process was applied to standardise the sample entropy values and mitigate the impact of individual differences. Precisely, the sample entropy of each voxel was adjusted by subtracting the global mean and dividing it by the standard deviation. This adjustment was performed within the individual brain mask, excluding background and non-brain tissue signals. Consequently, a standardised whole-brain sample entropy map was generated and utilised in subsequent group-level analysis.</w:t>
      </w:r>
    </w:p>
    <w:p w14:paraId="2831276C" w14:textId="77777777" w:rsidR="00A367A4" w:rsidRDefault="00A367A4" w:rsidP="00305114">
      <w:pPr>
        <w:spacing w:line="480" w:lineRule="auto"/>
        <w:ind w:firstLine="720"/>
        <w:rPr>
          <w:rFonts w:asciiTheme="majorBidi" w:eastAsia="Times New Roman" w:hAnsiTheme="majorBidi" w:cstheme="majorBidi"/>
          <w:sz w:val="24"/>
          <w:szCs w:val="24"/>
        </w:rPr>
      </w:pPr>
    </w:p>
    <w:p w14:paraId="00C22817" w14:textId="77777777" w:rsidR="00A367A4" w:rsidRDefault="00A367A4" w:rsidP="00305114">
      <w:pPr>
        <w:spacing w:line="480" w:lineRule="auto"/>
        <w:ind w:firstLine="720"/>
        <w:rPr>
          <w:rFonts w:asciiTheme="majorBidi" w:eastAsia="Times New Roman" w:hAnsiTheme="majorBidi" w:cstheme="majorBidi"/>
          <w:sz w:val="24"/>
          <w:szCs w:val="24"/>
        </w:rPr>
      </w:pPr>
    </w:p>
    <w:p w14:paraId="3388A344" w14:textId="77777777" w:rsidR="00A367A4" w:rsidRDefault="00A367A4" w:rsidP="00305114">
      <w:pPr>
        <w:spacing w:line="480" w:lineRule="auto"/>
        <w:ind w:firstLine="720"/>
        <w:rPr>
          <w:rFonts w:asciiTheme="majorBidi" w:eastAsia="Times New Roman" w:hAnsiTheme="majorBidi" w:cstheme="majorBidi"/>
          <w:sz w:val="24"/>
          <w:szCs w:val="24"/>
        </w:rPr>
      </w:pPr>
    </w:p>
    <w:p w14:paraId="1BEC484A" w14:textId="77777777" w:rsidR="00A367A4" w:rsidRDefault="00A367A4" w:rsidP="00305114">
      <w:pPr>
        <w:spacing w:line="480" w:lineRule="auto"/>
        <w:ind w:firstLine="720"/>
        <w:rPr>
          <w:rFonts w:asciiTheme="majorBidi" w:eastAsia="Times New Roman" w:hAnsiTheme="majorBidi" w:cstheme="majorBidi"/>
          <w:sz w:val="24"/>
          <w:szCs w:val="24"/>
        </w:rPr>
      </w:pPr>
    </w:p>
    <w:p w14:paraId="529E0307" w14:textId="77777777" w:rsidR="00A367A4" w:rsidRDefault="00A367A4" w:rsidP="00305114">
      <w:pPr>
        <w:spacing w:line="480" w:lineRule="auto"/>
        <w:ind w:firstLine="720"/>
        <w:rPr>
          <w:rFonts w:asciiTheme="majorBidi" w:eastAsia="Times New Roman" w:hAnsiTheme="majorBidi" w:cstheme="majorBidi"/>
          <w:sz w:val="24"/>
          <w:szCs w:val="24"/>
        </w:rPr>
      </w:pPr>
    </w:p>
    <w:p w14:paraId="12E71852" w14:textId="77777777" w:rsidR="00A367A4" w:rsidRDefault="00A367A4" w:rsidP="00305114">
      <w:pPr>
        <w:spacing w:line="480" w:lineRule="auto"/>
        <w:ind w:firstLine="720"/>
        <w:rPr>
          <w:rFonts w:asciiTheme="majorBidi" w:eastAsia="Times New Roman" w:hAnsiTheme="majorBidi" w:cstheme="majorBidi"/>
          <w:sz w:val="24"/>
          <w:szCs w:val="24"/>
        </w:rPr>
      </w:pPr>
    </w:p>
    <w:p w14:paraId="469CCBD1" w14:textId="77777777" w:rsidR="00A367A4" w:rsidRDefault="00A367A4" w:rsidP="00305114">
      <w:pPr>
        <w:spacing w:line="480" w:lineRule="auto"/>
        <w:ind w:firstLine="720"/>
        <w:rPr>
          <w:rFonts w:asciiTheme="majorBidi" w:eastAsia="Times New Roman" w:hAnsiTheme="majorBidi" w:cstheme="majorBidi"/>
          <w:sz w:val="24"/>
          <w:szCs w:val="24"/>
        </w:rPr>
      </w:pPr>
    </w:p>
    <w:p w14:paraId="0843FC74" w14:textId="77777777" w:rsidR="00A367A4" w:rsidRPr="00A367A4" w:rsidRDefault="00A367A4" w:rsidP="00A367A4">
      <w:pPr>
        <w:spacing w:line="480" w:lineRule="auto"/>
        <w:rPr>
          <w:rFonts w:asciiTheme="majorBidi" w:eastAsia="Times New Roman" w:hAnsiTheme="majorBidi" w:cstheme="majorBidi"/>
          <w:b/>
          <w:bCs/>
          <w:sz w:val="24"/>
          <w:szCs w:val="24"/>
        </w:rPr>
      </w:pPr>
      <w:r w:rsidRPr="00A367A4">
        <w:rPr>
          <w:rFonts w:asciiTheme="majorBidi" w:eastAsia="Times New Roman" w:hAnsiTheme="majorBidi" w:cstheme="majorBidi"/>
          <w:b/>
          <w:bCs/>
          <w:sz w:val="24"/>
          <w:szCs w:val="24"/>
        </w:rPr>
        <w:t>Figure 6</w:t>
      </w:r>
    </w:p>
    <w:p w14:paraId="3338945B" w14:textId="77777777" w:rsidR="00A367A4" w:rsidRDefault="00A367A4" w:rsidP="00A367A4">
      <w:pPr>
        <w:spacing w:line="480" w:lineRule="auto"/>
        <w:rPr>
          <w:rFonts w:asciiTheme="majorBidi" w:eastAsia="Times New Roman" w:hAnsiTheme="majorBidi" w:cstheme="majorBidi"/>
          <w:i/>
          <w:iCs/>
          <w:sz w:val="24"/>
          <w:szCs w:val="24"/>
        </w:rPr>
      </w:pPr>
      <w:r>
        <w:rPr>
          <w:rFonts w:asciiTheme="majorBidi" w:eastAsia="Times New Roman" w:hAnsiTheme="majorBidi" w:cstheme="majorBidi"/>
          <w:i/>
          <w:iCs/>
          <w:noProof/>
          <w:sz w:val="24"/>
          <w:szCs w:val="24"/>
        </w:rPr>
        <w:lastRenderedPageBreak/>
        <w:drawing>
          <wp:anchor distT="0" distB="0" distL="114300" distR="114300" simplePos="0" relativeHeight="251677696" behindDoc="0" locked="0" layoutInCell="1" allowOverlap="1" wp14:anchorId="06F22243" wp14:editId="121905C3">
            <wp:simplePos x="0" y="0"/>
            <wp:positionH relativeFrom="column">
              <wp:posOffset>440690</wp:posOffset>
            </wp:positionH>
            <wp:positionV relativeFrom="paragraph">
              <wp:posOffset>710565</wp:posOffset>
            </wp:positionV>
            <wp:extent cx="5677535" cy="76962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677535" cy="7696200"/>
                    </a:xfrm>
                    <a:prstGeom prst="rect">
                      <a:avLst/>
                    </a:prstGeom>
                    <a:noFill/>
                  </pic:spPr>
                </pic:pic>
              </a:graphicData>
            </a:graphic>
            <wp14:sizeRelH relativeFrom="margin">
              <wp14:pctWidth>0</wp14:pctWidth>
            </wp14:sizeRelH>
            <wp14:sizeRelV relativeFrom="margin">
              <wp14:pctHeight>0</wp14:pctHeight>
            </wp14:sizeRelV>
          </wp:anchor>
        </w:drawing>
      </w:r>
      <w:r w:rsidRPr="00A367A4">
        <w:rPr>
          <w:rFonts w:asciiTheme="majorBidi" w:eastAsia="Times New Roman" w:hAnsiTheme="majorBidi" w:cstheme="majorBidi"/>
          <w:i/>
          <w:iCs/>
          <w:sz w:val="24"/>
          <w:szCs w:val="24"/>
        </w:rPr>
        <w:t>Diagnosis group contrasts for each voxel and time scale factor, corrected by permutation test with threshold-free cluster enhancement, with voxel level: p &lt; .05.</w:t>
      </w:r>
    </w:p>
    <w:p w14:paraId="1CA032F7" w14:textId="789DE9F3" w:rsidR="00305114" w:rsidRPr="00305114" w:rsidRDefault="00305114" w:rsidP="00A367A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lastRenderedPageBreak/>
        <w:t xml:space="preserve">Note. </w:t>
      </w:r>
      <w:r w:rsidRPr="00305114">
        <w:rPr>
          <w:rFonts w:asciiTheme="majorBidi" w:eastAsia="Times New Roman" w:hAnsiTheme="majorBidi" w:cstheme="majorBidi"/>
          <w:sz w:val="24"/>
          <w:szCs w:val="24"/>
        </w:rPr>
        <w:t xml:space="preserve">Hot colours indicate greater sample entropy value in the ASC group of a given contrast (i.e., ASC </w:t>
      </w:r>
      <w:proofErr w:type="spellStart"/>
      <w:r w:rsidRPr="00305114">
        <w:rPr>
          <w:rFonts w:asciiTheme="majorBidi" w:eastAsia="Times New Roman" w:hAnsiTheme="majorBidi" w:cstheme="majorBidi"/>
          <w:sz w:val="24"/>
          <w:szCs w:val="24"/>
        </w:rPr>
        <w:t>v.s</w:t>
      </w:r>
      <w:proofErr w:type="spellEnd"/>
      <w:r w:rsidRPr="00305114">
        <w:rPr>
          <w:rFonts w:asciiTheme="majorBidi" w:eastAsia="Times New Roman" w:hAnsiTheme="majorBidi" w:cstheme="majorBidi"/>
          <w:sz w:val="24"/>
          <w:szCs w:val="24"/>
        </w:rPr>
        <w:t>. CON), corrected by permutation test with threshold-free cluster enhancement, with voxel level: p &lt; .05. Additionally, corresponding descriptive data plots display bilaterally. Purple represents individuals with ASC, while green represents CON.</w:t>
      </w:r>
      <w:r w:rsidR="007D1376">
        <w:rPr>
          <w:rFonts w:asciiTheme="majorBidi" w:eastAsia="Times New Roman" w:hAnsiTheme="majorBidi" w:cstheme="majorBidi"/>
          <w:sz w:val="24"/>
          <w:szCs w:val="24"/>
        </w:rPr>
        <w:t xml:space="preserve"> T value indicates t statistics</w:t>
      </w:r>
      <w:r w:rsidR="001256EE">
        <w:rPr>
          <w:rFonts w:asciiTheme="majorBidi" w:eastAsia="Times New Roman" w:hAnsiTheme="majorBidi" w:cstheme="majorBidi"/>
          <w:sz w:val="24"/>
          <w:szCs w:val="24"/>
        </w:rPr>
        <w:t xml:space="preserve"> obtained from the voxel-wise two sample t test.</w:t>
      </w:r>
    </w:p>
    <w:p w14:paraId="48CFE148" w14:textId="77777777" w:rsidR="00305114" w:rsidRPr="00305114" w:rsidRDefault="00305114" w:rsidP="001256EE">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In Figure 6, the middle panel (A-E(ii)) displays a sagittal slice extracted from the standardised MNI brain template. The details of the significant clusters at each scale factor are illustrated in Table 5. All the significant cluster reports are provided by CUI Xu's </w:t>
      </w:r>
      <w:proofErr w:type="spellStart"/>
      <w:r w:rsidRPr="00305114">
        <w:rPr>
          <w:rFonts w:asciiTheme="majorBidi" w:eastAsia="Times New Roman" w:hAnsiTheme="majorBidi" w:cstheme="majorBidi"/>
          <w:sz w:val="24"/>
          <w:szCs w:val="24"/>
        </w:rPr>
        <w:t>xjview</w:t>
      </w:r>
      <w:proofErr w:type="spellEnd"/>
      <w:r w:rsidR="00F14238" w:rsidRPr="008F4E90">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w:t>
      </w:r>
      <w:hyperlink r:id="rId601">
        <w:r w:rsidRPr="00305114">
          <w:rPr>
            <w:rFonts w:asciiTheme="majorBidi" w:eastAsia="Times New Roman" w:hAnsiTheme="majorBidi" w:cstheme="majorBidi"/>
            <w:sz w:val="24"/>
            <w:szCs w:val="24"/>
          </w:rPr>
          <w:t>http://www.alivelearn.net/xjview/</w:t>
        </w:r>
      </w:hyperlink>
      <w:r w:rsidRPr="00305114">
        <w:rPr>
          <w:rFonts w:asciiTheme="majorBidi" w:eastAsia="Times New Roman" w:hAnsiTheme="majorBidi" w:cstheme="majorBidi"/>
          <w:sz w:val="24"/>
          <w:szCs w:val="24"/>
        </w:rPr>
        <w:t xml:space="preserve">). </w:t>
      </w:r>
    </w:p>
    <w:p w14:paraId="6A025FCB" w14:textId="439A86DE"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 xml:space="preserve">Table </w:t>
      </w:r>
      <w:r w:rsidR="0010427A">
        <w:rPr>
          <w:rFonts w:asciiTheme="majorBidi" w:eastAsia="Times New Roman" w:hAnsiTheme="majorBidi" w:cstheme="majorBidi"/>
          <w:b/>
          <w:sz w:val="24"/>
          <w:szCs w:val="24"/>
        </w:rPr>
        <w:t>7</w:t>
      </w:r>
    </w:p>
    <w:p w14:paraId="7821EA60" w14:textId="77777777" w:rsidR="00305114" w:rsidRPr="008F4E90" w:rsidRDefault="00305114" w:rsidP="00AB462D">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Information of the significant cluster obtained from voxel-wise two-sample t test at each time scale factor (p &lt; .05, corrected by TFCE with permutation test)</w:t>
      </w:r>
    </w:p>
    <w:tbl>
      <w:tblPr>
        <w:tblW w:w="0" w:type="auto"/>
        <w:tblCellMar>
          <w:top w:w="15" w:type="dxa"/>
          <w:left w:w="15" w:type="dxa"/>
          <w:bottom w:w="15" w:type="dxa"/>
          <w:right w:w="15" w:type="dxa"/>
        </w:tblCellMar>
        <w:tblLook w:val="04A0" w:firstRow="1" w:lastRow="0" w:firstColumn="1" w:lastColumn="0" w:noHBand="0" w:noVBand="1"/>
      </w:tblPr>
      <w:tblGrid>
        <w:gridCol w:w="1553"/>
        <w:gridCol w:w="2598"/>
        <w:gridCol w:w="1945"/>
        <w:gridCol w:w="2291"/>
        <w:gridCol w:w="1804"/>
      </w:tblGrid>
      <w:tr w:rsidR="008F4E90" w:rsidRPr="008F4E90" w14:paraId="7436DBEC" w14:textId="77777777" w:rsidTr="00AB462D">
        <w:trPr>
          <w:trHeight w:val="2377"/>
        </w:trPr>
        <w:tc>
          <w:tcPr>
            <w:tcW w:w="1552"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482959D7"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b/>
                <w:bCs/>
                <w:sz w:val="24"/>
                <w:szCs w:val="24"/>
              </w:rPr>
              <w:t>Scale</w:t>
            </w:r>
          </w:p>
        </w:tc>
        <w:tc>
          <w:tcPr>
            <w:tcW w:w="2598"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75685569"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b/>
                <w:bCs/>
                <w:sz w:val="24"/>
                <w:szCs w:val="24"/>
              </w:rPr>
              <w:t>Brain Region</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3EA181D9"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b/>
                <w:bCs/>
                <w:sz w:val="24"/>
                <w:szCs w:val="24"/>
              </w:rPr>
              <w:t>MNI Coordinates</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54FF4077"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b/>
                <w:bCs/>
                <w:sz w:val="24"/>
                <w:szCs w:val="24"/>
              </w:rPr>
              <w:t>Peak Intensity t-value</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5F58FEE1"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b/>
                <w:bCs/>
                <w:sz w:val="24"/>
                <w:szCs w:val="24"/>
              </w:rPr>
              <w:t>Volume (Voxels)</w:t>
            </w:r>
          </w:p>
        </w:tc>
      </w:tr>
      <w:tr w:rsidR="008F4E90" w:rsidRPr="008F4E90" w14:paraId="6A3A2EDC" w14:textId="77777777" w:rsidTr="00AB462D">
        <w:tc>
          <w:tcPr>
            <w:tcW w:w="1552"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79FD2EF"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w:t>
            </w:r>
          </w:p>
        </w:tc>
        <w:tc>
          <w:tcPr>
            <w:tcW w:w="2598"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96C11BC"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 xml:space="preserve">Right </w:t>
            </w:r>
            <w:proofErr w:type="spellStart"/>
            <w:r w:rsidRPr="00AB462D">
              <w:rPr>
                <w:rFonts w:asciiTheme="majorBidi" w:eastAsia="Times New Roman" w:hAnsiTheme="majorBidi" w:cstheme="majorBidi"/>
                <w:sz w:val="24"/>
                <w:szCs w:val="24"/>
              </w:rPr>
              <w:t>Precuneus</w:t>
            </w:r>
            <w:proofErr w:type="spellEnd"/>
            <w:r w:rsidRPr="00AB462D">
              <w:rPr>
                <w:rFonts w:asciiTheme="majorBidi" w:eastAsia="Times New Roman" w:hAnsiTheme="majorBidi" w:cstheme="majorBidi"/>
                <w:sz w:val="24"/>
                <w:szCs w:val="24"/>
              </w:rPr>
              <w:t xml:space="preserve"> Cortex (PCUN)</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1F13D53"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9, -54, 18</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ECA85CD"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5.29038</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A7BCB7C"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429</w:t>
            </w:r>
          </w:p>
        </w:tc>
      </w:tr>
      <w:tr w:rsidR="008F4E90" w:rsidRPr="008F4E90" w14:paraId="3A0FFF2F" w14:textId="77777777" w:rsidTr="00AB462D">
        <w:tc>
          <w:tcPr>
            <w:tcW w:w="1552"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5248D74"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2</w:t>
            </w:r>
          </w:p>
        </w:tc>
        <w:tc>
          <w:tcPr>
            <w:tcW w:w="2598"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6538BAE"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E228BAB"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E5509E6"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F6969E2"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w:t>
            </w:r>
          </w:p>
        </w:tc>
      </w:tr>
      <w:tr w:rsidR="008F4E90" w:rsidRPr="008F4E90" w14:paraId="48237271" w14:textId="77777777" w:rsidTr="00AB462D">
        <w:tc>
          <w:tcPr>
            <w:tcW w:w="1552"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2BD8020"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lastRenderedPageBreak/>
              <w:t>3</w:t>
            </w:r>
          </w:p>
        </w:tc>
        <w:tc>
          <w:tcPr>
            <w:tcW w:w="2598"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AE8FB22"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Left Medial Frontal Cortex (</w:t>
            </w:r>
            <w:proofErr w:type="spellStart"/>
            <w:r w:rsidRPr="00AB462D">
              <w:rPr>
                <w:rFonts w:asciiTheme="majorBidi" w:eastAsia="Times New Roman" w:hAnsiTheme="majorBidi" w:cstheme="majorBidi"/>
                <w:sz w:val="24"/>
                <w:szCs w:val="24"/>
              </w:rPr>
              <w:t>mLFC</w:t>
            </w:r>
            <w:proofErr w:type="spellEnd"/>
            <w:r w:rsidRPr="00AB462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6F700F9"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-9, 33, -3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CED1E15"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-4.7452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FA7EC5C"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131</w:t>
            </w:r>
          </w:p>
        </w:tc>
      </w:tr>
      <w:tr w:rsidR="008F4E90" w:rsidRPr="008F4E90" w14:paraId="6B3CED54" w14:textId="77777777" w:rsidTr="00AB462D">
        <w:tc>
          <w:tcPr>
            <w:tcW w:w="1552"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2EA3DE8"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3</w:t>
            </w:r>
          </w:p>
        </w:tc>
        <w:tc>
          <w:tcPr>
            <w:tcW w:w="2598"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F55B37D"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lang w:val="it-IT"/>
              </w:rPr>
            </w:pPr>
            <w:r w:rsidRPr="00AB462D">
              <w:rPr>
                <w:rFonts w:asciiTheme="majorBidi" w:eastAsia="Times New Roman" w:hAnsiTheme="majorBidi" w:cstheme="majorBidi"/>
                <w:sz w:val="24"/>
                <w:szCs w:val="24"/>
                <w:lang w:val="it-IT"/>
              </w:rPr>
              <w:t>Left Intracalcarine Cortex (L-ICC)</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5D3A3D1"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-9, -84, 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34067DC"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3.795</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8DD4215"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66</w:t>
            </w:r>
          </w:p>
        </w:tc>
      </w:tr>
      <w:tr w:rsidR="008F4E90" w:rsidRPr="008F4E90" w14:paraId="07AF4BF2" w14:textId="77777777" w:rsidTr="00AB462D">
        <w:tc>
          <w:tcPr>
            <w:tcW w:w="1552"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B699738"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4</w:t>
            </w:r>
          </w:p>
        </w:tc>
        <w:tc>
          <w:tcPr>
            <w:tcW w:w="2598"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CDB01CE"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Left Paracingulate Gyrus (L-PCG)</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8E11A19"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-12, 48, -3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EB2F7E4"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-4.1392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2DCB242"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112</w:t>
            </w:r>
          </w:p>
        </w:tc>
      </w:tr>
      <w:tr w:rsidR="008F4E90" w:rsidRPr="008F4E90" w14:paraId="15081267" w14:textId="77777777" w:rsidTr="00AB462D">
        <w:tc>
          <w:tcPr>
            <w:tcW w:w="1552"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B013EB4"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4</w:t>
            </w:r>
          </w:p>
        </w:tc>
        <w:tc>
          <w:tcPr>
            <w:tcW w:w="2598"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9CF7DA5"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lang w:val="it-IT"/>
              </w:rPr>
            </w:pPr>
            <w:r w:rsidRPr="00AB462D">
              <w:rPr>
                <w:rFonts w:asciiTheme="majorBidi" w:eastAsia="Times New Roman" w:hAnsiTheme="majorBidi" w:cstheme="majorBidi"/>
                <w:sz w:val="24"/>
                <w:szCs w:val="24"/>
                <w:lang w:val="it-IT"/>
              </w:rPr>
              <w:t>Left Intracalcarine Cortex (L-ICC)</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813FF55"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-15, -75, 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23711EE"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3.5987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5B7BE31"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100</w:t>
            </w:r>
          </w:p>
        </w:tc>
      </w:tr>
      <w:tr w:rsidR="008F4E90" w:rsidRPr="008F4E90" w14:paraId="0BC0AA80" w14:textId="77777777" w:rsidTr="00AB462D">
        <w:tc>
          <w:tcPr>
            <w:tcW w:w="1552"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1B6C086"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5</w:t>
            </w:r>
          </w:p>
        </w:tc>
        <w:tc>
          <w:tcPr>
            <w:tcW w:w="2598"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B04BCFC"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Left Paracingulate Gyrus (L-PCG)</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FD2BD07"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-12, 45, -6</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2AA9932"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-4.3071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5C40355"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112</w:t>
            </w:r>
          </w:p>
        </w:tc>
      </w:tr>
      <w:tr w:rsidR="008F4E90" w:rsidRPr="008F4E90" w14:paraId="07C44306" w14:textId="77777777" w:rsidTr="00AB462D">
        <w:tc>
          <w:tcPr>
            <w:tcW w:w="1552"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7959A313"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5</w:t>
            </w:r>
          </w:p>
        </w:tc>
        <w:tc>
          <w:tcPr>
            <w:tcW w:w="2598"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7ED2010A"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lang w:val="it-IT"/>
              </w:rPr>
            </w:pPr>
            <w:r w:rsidRPr="00AB462D">
              <w:rPr>
                <w:rFonts w:asciiTheme="majorBidi" w:eastAsia="Times New Roman" w:hAnsiTheme="majorBidi" w:cstheme="majorBidi"/>
                <w:sz w:val="24"/>
                <w:szCs w:val="24"/>
                <w:lang w:val="it-IT"/>
              </w:rPr>
              <w:t>Left Intracalcarine Cortex (L-ICC)</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597EE7A0"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-9, -72, 3</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7488BCDD"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4.3867</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3CC25F06" w14:textId="77777777" w:rsidR="00AB462D" w:rsidRPr="00AB462D" w:rsidRDefault="00AB462D" w:rsidP="00AB462D">
            <w:pPr>
              <w:spacing w:before="380" w:after="380" w:line="480" w:lineRule="auto"/>
              <w:jc w:val="center"/>
              <w:rPr>
                <w:rFonts w:asciiTheme="majorBidi" w:eastAsia="Times New Roman" w:hAnsiTheme="majorBidi" w:cstheme="majorBidi"/>
                <w:sz w:val="24"/>
                <w:szCs w:val="24"/>
              </w:rPr>
            </w:pPr>
            <w:r w:rsidRPr="00AB462D">
              <w:rPr>
                <w:rFonts w:asciiTheme="majorBidi" w:eastAsia="Times New Roman" w:hAnsiTheme="majorBidi" w:cstheme="majorBidi"/>
                <w:sz w:val="24"/>
                <w:szCs w:val="24"/>
              </w:rPr>
              <w:t>346</w:t>
            </w:r>
          </w:p>
        </w:tc>
      </w:tr>
    </w:tbl>
    <w:p w14:paraId="0F4BE87E" w14:textId="77777777" w:rsidR="00AB462D" w:rsidRPr="008F4E90" w:rsidRDefault="00AB462D" w:rsidP="00305114">
      <w:pPr>
        <w:spacing w:line="480" w:lineRule="auto"/>
        <w:ind w:firstLine="720"/>
        <w:rPr>
          <w:rFonts w:asciiTheme="majorBidi" w:eastAsia="Times New Roman" w:hAnsiTheme="majorBidi" w:cstheme="majorBidi"/>
          <w:sz w:val="24"/>
          <w:szCs w:val="24"/>
        </w:rPr>
      </w:pPr>
    </w:p>
    <w:p w14:paraId="6E22DCCC"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Significant group difference at scale 1 was observed in the right </w:t>
      </w:r>
      <w:proofErr w:type="spellStart"/>
      <w:r w:rsidRPr="00305114">
        <w:rPr>
          <w:rFonts w:asciiTheme="majorBidi" w:eastAsia="Times New Roman" w:hAnsiTheme="majorBidi" w:cstheme="majorBidi"/>
          <w:sz w:val="24"/>
          <w:szCs w:val="24"/>
        </w:rPr>
        <w:t>precuneus</w:t>
      </w:r>
      <w:proofErr w:type="spellEnd"/>
      <w:r w:rsidRPr="00305114">
        <w:rPr>
          <w:rFonts w:asciiTheme="majorBidi" w:eastAsia="Times New Roman" w:hAnsiTheme="majorBidi" w:cstheme="majorBidi"/>
          <w:sz w:val="24"/>
          <w:szCs w:val="24"/>
        </w:rPr>
        <w:t xml:space="preserve"> cortex (PCUN, MNI coordinates: 9, -54, 18), which revealed a peak intensity</w:t>
      </w:r>
      <w:r w:rsidRPr="00305114">
        <w:rPr>
          <w:rFonts w:asciiTheme="majorBidi" w:eastAsia="Times New Roman" w:hAnsiTheme="majorBidi" w:cstheme="majorBidi"/>
          <w:i/>
          <w:sz w:val="24"/>
          <w:szCs w:val="24"/>
        </w:rPr>
        <w:t xml:space="preserve"> </w:t>
      </w:r>
      <w:r w:rsidRPr="00305114">
        <w:rPr>
          <w:rFonts w:asciiTheme="majorBidi" w:eastAsia="Times New Roman" w:hAnsiTheme="majorBidi" w:cstheme="majorBidi"/>
          <w:sz w:val="24"/>
          <w:szCs w:val="24"/>
        </w:rPr>
        <w:t>(</w:t>
      </w:r>
      <w:r w:rsidRPr="00305114">
        <w:rPr>
          <w:rFonts w:asciiTheme="majorBidi" w:eastAsia="Times New Roman" w:hAnsiTheme="majorBidi" w:cstheme="majorBidi"/>
          <w:i/>
          <w:sz w:val="24"/>
          <w:szCs w:val="24"/>
        </w:rPr>
        <w:t>t =</w:t>
      </w:r>
      <w:r w:rsidRPr="00305114">
        <w:rPr>
          <w:rFonts w:asciiTheme="majorBidi" w:eastAsia="Times New Roman" w:hAnsiTheme="majorBidi" w:cstheme="majorBidi"/>
          <w:sz w:val="24"/>
          <w:szCs w:val="24"/>
        </w:rPr>
        <w:t xml:space="preserve">5.29038,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&lt;0.05, TFCE corrected). The </w:t>
      </w:r>
      <w:r w:rsidRPr="00305114">
        <w:rPr>
          <w:rFonts w:asciiTheme="majorBidi" w:eastAsia="Times New Roman" w:hAnsiTheme="majorBidi" w:cstheme="majorBidi"/>
          <w:sz w:val="24"/>
          <w:szCs w:val="24"/>
        </w:rPr>
        <w:lastRenderedPageBreak/>
        <w:t xml:space="preserve">PCUN cluster encompassed a volume of 216 cubic millimetres and comprised 429 voxels. There was no significant group difference found after correction at the scale 2. </w:t>
      </w:r>
    </w:p>
    <w:p w14:paraId="4A7D72B3"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At scale 3, a significant group difference was observed in the left medial frontal cortex (</w:t>
      </w:r>
      <w:proofErr w:type="spellStart"/>
      <w:r w:rsidRPr="00305114">
        <w:rPr>
          <w:rFonts w:asciiTheme="majorBidi" w:eastAsia="Times New Roman" w:hAnsiTheme="majorBidi" w:cstheme="majorBidi"/>
          <w:sz w:val="24"/>
          <w:szCs w:val="24"/>
        </w:rPr>
        <w:t>mLFC</w:t>
      </w:r>
      <w:proofErr w:type="spellEnd"/>
      <w:r w:rsidRPr="00305114">
        <w:rPr>
          <w:rFonts w:asciiTheme="majorBidi" w:eastAsia="Times New Roman" w:hAnsiTheme="majorBidi" w:cstheme="majorBidi"/>
          <w:sz w:val="24"/>
          <w:szCs w:val="24"/>
        </w:rPr>
        <w:t>, MNI coordinates: -9, 33, -3) with a peak intensity t-value of -4.7452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&lt; 0.05, TFCE corrected). The </w:t>
      </w:r>
      <w:proofErr w:type="spellStart"/>
      <w:r w:rsidRPr="00305114">
        <w:rPr>
          <w:rFonts w:asciiTheme="majorBidi" w:eastAsia="Times New Roman" w:hAnsiTheme="majorBidi" w:cstheme="majorBidi"/>
          <w:sz w:val="24"/>
          <w:szCs w:val="24"/>
        </w:rPr>
        <w:t>mLFC</w:t>
      </w:r>
      <w:proofErr w:type="spellEnd"/>
      <w:r w:rsidRPr="00305114">
        <w:rPr>
          <w:rFonts w:asciiTheme="majorBidi" w:eastAsia="Times New Roman" w:hAnsiTheme="majorBidi" w:cstheme="majorBidi"/>
          <w:sz w:val="24"/>
          <w:szCs w:val="24"/>
        </w:rPr>
        <w:t xml:space="preserve"> cluster comprised 131 voxels. Additionally, in the left intra-calcarine cortex (L-ICC; MNI coordinates: -9, -84, 0), a significant group difference was observed with a peak intensity t-value of 3.795 (</w:t>
      </w:r>
      <w:r w:rsidRPr="00305114">
        <w:rPr>
          <w:rFonts w:asciiTheme="majorBidi" w:eastAsia="Times New Roman" w:hAnsiTheme="majorBidi" w:cstheme="majorBidi"/>
          <w:i/>
          <w:sz w:val="24"/>
          <w:szCs w:val="24"/>
        </w:rPr>
        <w:t xml:space="preserve">p </w:t>
      </w:r>
      <w:r w:rsidRPr="00305114">
        <w:rPr>
          <w:rFonts w:asciiTheme="majorBidi" w:eastAsia="Times New Roman" w:hAnsiTheme="majorBidi" w:cstheme="majorBidi"/>
          <w:sz w:val="24"/>
          <w:szCs w:val="24"/>
        </w:rPr>
        <w:t>&lt; 0.05, TFCE corrected). This cluster encompassed 66 voxels.</w:t>
      </w:r>
    </w:p>
    <w:p w14:paraId="49A608C8"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Similarly, at scale 4, a significant group difference was found in the left paracingulate gyrus (MNI coordinates: -12, 48, -3) with a peak intensity t-value of -4.1392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&lt; 0.05, TFCE corrected). The left paracingulate gyrus cluster consisted of 112 voxels. Additionally, in the left intra-calcarine cortex (L-ICC; MNI coordinates: -15, -75, 3), a significant group difference was observed with a peak intensity t-value of 3.5987 (</w:t>
      </w:r>
      <w:r w:rsidRPr="00305114">
        <w:rPr>
          <w:rFonts w:asciiTheme="majorBidi" w:eastAsia="Times New Roman" w:hAnsiTheme="majorBidi" w:cstheme="majorBidi"/>
          <w:i/>
          <w:sz w:val="24"/>
          <w:szCs w:val="24"/>
        </w:rPr>
        <w:t xml:space="preserve">p </w:t>
      </w:r>
      <w:r w:rsidRPr="00305114">
        <w:rPr>
          <w:rFonts w:asciiTheme="majorBidi" w:eastAsia="Times New Roman" w:hAnsiTheme="majorBidi" w:cstheme="majorBidi"/>
          <w:sz w:val="24"/>
          <w:szCs w:val="24"/>
        </w:rPr>
        <w:t>&lt; 0.05, TFCE corrected). This cluster encompassed 100 voxels.</w:t>
      </w:r>
    </w:p>
    <w:p w14:paraId="01ABACA3" w14:textId="77777777" w:rsidR="00305114" w:rsidRPr="008F4E90"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Likewise, at scale 5, a significant group difference was observed in both the left paracingulate gyrus (MNI coordinates: -12, 45, -6) and the left intra-calcarine </w:t>
      </w:r>
      <w:r w:rsidR="00894065" w:rsidRPr="00305114">
        <w:rPr>
          <w:rFonts w:asciiTheme="majorBidi" w:eastAsia="Times New Roman" w:hAnsiTheme="majorBidi" w:cstheme="majorBidi"/>
          <w:sz w:val="24"/>
          <w:szCs w:val="24"/>
        </w:rPr>
        <w:t>cortex (</w:t>
      </w:r>
      <w:r w:rsidRPr="00305114">
        <w:rPr>
          <w:rFonts w:asciiTheme="majorBidi" w:eastAsia="Times New Roman" w:hAnsiTheme="majorBidi" w:cstheme="majorBidi"/>
          <w:sz w:val="24"/>
          <w:szCs w:val="24"/>
        </w:rPr>
        <w:t>MNI coordinates: -9, -72, 3). The left paracingulate gyrus cluster exhibited a peak intensity t-value of -4.3071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&lt; 0.05, TFCE corrected) and encompassed 112 voxels. The left intra-calcarine cortex cluster had a peak intensity t-value of 4.3867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&lt; 0.05, TFCE corrected) and consisted of 346 voxels. These overlapping results across scales 3 to 5 suggest consistent and robust group differences in these specific brain regions, indicating a potential disparity in brain complexity.</w:t>
      </w:r>
    </w:p>
    <w:p w14:paraId="320AA3BC" w14:textId="77777777" w:rsidR="00AB462D" w:rsidRPr="008F4E90" w:rsidRDefault="00AB462D" w:rsidP="00305114">
      <w:pPr>
        <w:spacing w:line="480" w:lineRule="auto"/>
        <w:ind w:firstLine="720"/>
        <w:rPr>
          <w:rFonts w:asciiTheme="majorBidi" w:eastAsia="Times New Roman" w:hAnsiTheme="majorBidi" w:cstheme="majorBidi"/>
          <w:sz w:val="24"/>
          <w:szCs w:val="24"/>
        </w:rPr>
      </w:pPr>
    </w:p>
    <w:p w14:paraId="5D3837D1" w14:textId="77777777" w:rsidR="00AB462D" w:rsidRPr="008F4E90" w:rsidRDefault="00AB462D" w:rsidP="00305114">
      <w:pPr>
        <w:spacing w:line="480" w:lineRule="auto"/>
        <w:ind w:firstLine="720"/>
        <w:rPr>
          <w:rFonts w:asciiTheme="majorBidi" w:eastAsia="Times New Roman" w:hAnsiTheme="majorBidi" w:cstheme="majorBidi"/>
          <w:sz w:val="24"/>
          <w:szCs w:val="24"/>
        </w:rPr>
      </w:pPr>
    </w:p>
    <w:p w14:paraId="50C23992" w14:textId="77777777" w:rsidR="00AB462D" w:rsidRPr="008F4E90" w:rsidRDefault="00AB462D" w:rsidP="00305114">
      <w:pPr>
        <w:spacing w:line="480" w:lineRule="auto"/>
        <w:ind w:firstLine="720"/>
        <w:rPr>
          <w:rFonts w:asciiTheme="majorBidi" w:eastAsia="Times New Roman" w:hAnsiTheme="majorBidi" w:cstheme="majorBidi"/>
          <w:sz w:val="24"/>
          <w:szCs w:val="24"/>
        </w:rPr>
      </w:pPr>
    </w:p>
    <w:p w14:paraId="46277E6A" w14:textId="77777777" w:rsidR="00AB462D" w:rsidRPr="008F4E90" w:rsidRDefault="00AB462D" w:rsidP="00305114">
      <w:pPr>
        <w:spacing w:line="480" w:lineRule="auto"/>
        <w:ind w:firstLine="720"/>
        <w:rPr>
          <w:rFonts w:asciiTheme="majorBidi" w:eastAsia="Times New Roman" w:hAnsiTheme="majorBidi" w:cstheme="majorBidi"/>
          <w:sz w:val="24"/>
          <w:szCs w:val="24"/>
        </w:rPr>
      </w:pPr>
    </w:p>
    <w:p w14:paraId="74298351" w14:textId="77777777" w:rsidR="00AB462D" w:rsidRPr="008F4E90" w:rsidRDefault="00AB462D" w:rsidP="00305114">
      <w:pPr>
        <w:spacing w:line="480" w:lineRule="auto"/>
        <w:ind w:firstLine="720"/>
        <w:rPr>
          <w:rFonts w:asciiTheme="majorBidi" w:eastAsia="Times New Roman" w:hAnsiTheme="majorBidi" w:cstheme="majorBidi"/>
          <w:sz w:val="24"/>
          <w:szCs w:val="24"/>
        </w:rPr>
      </w:pPr>
    </w:p>
    <w:p w14:paraId="7B9BBA02" w14:textId="77777777" w:rsidR="001256EE" w:rsidRPr="00305114" w:rsidRDefault="001256EE" w:rsidP="001256EE">
      <w:pPr>
        <w:spacing w:line="480" w:lineRule="auto"/>
        <w:rPr>
          <w:rFonts w:asciiTheme="majorBidi" w:eastAsia="Times New Roman" w:hAnsiTheme="majorBidi" w:cstheme="majorBidi"/>
          <w:sz w:val="24"/>
          <w:szCs w:val="24"/>
        </w:rPr>
      </w:pPr>
    </w:p>
    <w:p w14:paraId="3DBDC1EB" w14:textId="77777777" w:rsidR="00AB462D" w:rsidRPr="00305114" w:rsidRDefault="00305114" w:rsidP="00AB462D">
      <w:pPr>
        <w:spacing w:line="480" w:lineRule="auto"/>
        <w:rPr>
          <w:rFonts w:asciiTheme="majorBidi" w:eastAsia="Times New Roman" w:hAnsiTheme="majorBidi" w:cstheme="majorBidi"/>
          <w:b/>
          <w:i/>
          <w:sz w:val="24"/>
          <w:szCs w:val="24"/>
        </w:rPr>
      </w:pPr>
      <w:r w:rsidRPr="00305114">
        <w:rPr>
          <w:rFonts w:asciiTheme="majorBidi" w:eastAsia="Times New Roman" w:hAnsiTheme="majorBidi" w:cstheme="majorBidi"/>
          <w:b/>
          <w:i/>
          <w:sz w:val="24"/>
          <w:szCs w:val="24"/>
        </w:rPr>
        <w:lastRenderedPageBreak/>
        <w:t>Results from Voxel-wise Mixed Effect Analysis</w:t>
      </w:r>
    </w:p>
    <w:p w14:paraId="33C51D47"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F</w:t>
      </w:r>
      <w:r w:rsidR="00894065">
        <w:rPr>
          <w:rFonts w:asciiTheme="majorBidi" w:eastAsia="Times New Roman" w:hAnsiTheme="majorBidi" w:cstheme="majorBidi"/>
          <w:b/>
          <w:sz w:val="24"/>
          <w:szCs w:val="24"/>
        </w:rPr>
        <w:t>igure</w:t>
      </w:r>
      <w:r w:rsidRPr="00305114">
        <w:rPr>
          <w:rFonts w:asciiTheme="majorBidi" w:eastAsia="Times New Roman" w:hAnsiTheme="majorBidi" w:cstheme="majorBidi"/>
          <w:b/>
          <w:sz w:val="24"/>
          <w:szCs w:val="24"/>
        </w:rPr>
        <w:t xml:space="preserve"> 7</w:t>
      </w:r>
    </w:p>
    <w:p w14:paraId="2C00FC85" w14:textId="77777777" w:rsidR="00305114" w:rsidRPr="00305114" w:rsidRDefault="00AB462D" w:rsidP="00AB462D">
      <w:pPr>
        <w:spacing w:line="480" w:lineRule="auto"/>
        <w:rPr>
          <w:rFonts w:asciiTheme="majorBidi" w:eastAsia="Times New Roman" w:hAnsiTheme="majorBidi" w:cstheme="majorBidi"/>
          <w:b/>
          <w:i/>
          <w:sz w:val="24"/>
          <w:szCs w:val="24"/>
        </w:rPr>
      </w:pPr>
      <w:r w:rsidRPr="00305114">
        <w:rPr>
          <w:rFonts w:asciiTheme="majorBidi" w:eastAsia="Times New Roman" w:hAnsiTheme="majorBidi" w:cstheme="majorBidi"/>
          <w:b/>
          <w:noProof/>
          <w:sz w:val="24"/>
          <w:szCs w:val="24"/>
        </w:rPr>
        <w:drawing>
          <wp:anchor distT="0" distB="0" distL="114300" distR="114300" simplePos="0" relativeHeight="251663360" behindDoc="0" locked="0" layoutInCell="1" allowOverlap="1" wp14:anchorId="64FEBDC3" wp14:editId="1BC2DD53">
            <wp:simplePos x="0" y="0"/>
            <wp:positionH relativeFrom="margin">
              <wp:posOffset>782955</wp:posOffset>
            </wp:positionH>
            <wp:positionV relativeFrom="paragraph">
              <wp:posOffset>693420</wp:posOffset>
            </wp:positionV>
            <wp:extent cx="5229225" cy="7277100"/>
            <wp:effectExtent l="0" t="0" r="9525" b="0"/>
            <wp:wrapTopAndBottom/>
            <wp:docPr id="73" name="Picture 73"/>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02">
                      <a:extLst>
                        <a:ext uri="{28A0092B-C50C-407E-A947-70E740481C1C}">
                          <a14:useLocalDpi xmlns:a14="http://schemas.microsoft.com/office/drawing/2010/main" val="0"/>
                        </a:ext>
                      </a:extLst>
                    </a:blip>
                    <a:srcRect l="10689" t="14771" r="6880" b="1406"/>
                    <a:stretch>
                      <a:fillRect/>
                    </a:stretch>
                  </pic:blipFill>
                  <pic:spPr>
                    <a:xfrm>
                      <a:off x="0" y="0"/>
                      <a:ext cx="5229225" cy="7277100"/>
                    </a:xfrm>
                    <a:prstGeom prst="rect">
                      <a:avLst/>
                    </a:prstGeom>
                    <a:ln/>
                  </pic:spPr>
                </pic:pic>
              </a:graphicData>
            </a:graphic>
          </wp:anchor>
        </w:drawing>
      </w:r>
      <w:r w:rsidR="00305114" w:rsidRPr="00305114">
        <w:rPr>
          <w:rFonts w:asciiTheme="majorBidi" w:eastAsia="Times New Roman" w:hAnsiTheme="majorBidi" w:cstheme="majorBidi"/>
          <w:i/>
          <w:sz w:val="24"/>
          <w:szCs w:val="24"/>
        </w:rPr>
        <w:t>Significant clusters resulting from voxel-wise mixed effect analysis, corrected by permutation test with threshold-free cluster enhancement, with voxel level: p &lt; .05.</w:t>
      </w:r>
    </w:p>
    <w:p w14:paraId="3CE437FC" w14:textId="1B5A49FE"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lastRenderedPageBreak/>
        <w:t xml:space="preserve">Note. </w:t>
      </w:r>
      <w:r w:rsidRPr="00305114">
        <w:rPr>
          <w:rFonts w:asciiTheme="majorBidi" w:eastAsia="Times New Roman" w:hAnsiTheme="majorBidi" w:cstheme="majorBidi"/>
          <w:sz w:val="24"/>
          <w:szCs w:val="24"/>
        </w:rPr>
        <w:t xml:space="preserve">Main group effect represents the contrast of the diagnosis group (i.e., ASC </w:t>
      </w:r>
      <w:proofErr w:type="spellStart"/>
      <w:r w:rsidRPr="00305114">
        <w:rPr>
          <w:rFonts w:asciiTheme="majorBidi" w:eastAsia="Times New Roman" w:hAnsiTheme="majorBidi" w:cstheme="majorBidi"/>
          <w:sz w:val="24"/>
          <w:szCs w:val="24"/>
        </w:rPr>
        <w:t>v.s</w:t>
      </w:r>
      <w:proofErr w:type="spellEnd"/>
      <w:r w:rsidRPr="00305114">
        <w:rPr>
          <w:rFonts w:asciiTheme="majorBidi" w:eastAsia="Times New Roman" w:hAnsiTheme="majorBidi" w:cstheme="majorBidi"/>
          <w:sz w:val="24"/>
          <w:szCs w:val="24"/>
        </w:rPr>
        <w:t>. CON) and displays at A(</w:t>
      </w:r>
      <w:proofErr w:type="spellStart"/>
      <w:r w:rsidRPr="00305114">
        <w:rPr>
          <w:rFonts w:asciiTheme="majorBidi" w:eastAsia="Times New Roman" w:hAnsiTheme="majorBidi" w:cstheme="majorBidi"/>
          <w:sz w:val="24"/>
          <w:szCs w:val="24"/>
        </w:rPr>
        <w:t>i</w:t>
      </w:r>
      <w:proofErr w:type="spellEnd"/>
      <w:r w:rsidRPr="00305114">
        <w:rPr>
          <w:rFonts w:asciiTheme="majorBidi" w:eastAsia="Times New Roman" w:hAnsiTheme="majorBidi" w:cstheme="majorBidi"/>
          <w:sz w:val="24"/>
          <w:szCs w:val="24"/>
        </w:rPr>
        <w:t>) and A(ii) at two sagittal views. Hot colours indicate greater MSE across time scales in ASC compared to the CON. The interaction effect investigated is the diagnosis group X time scale and displays at B(</w:t>
      </w:r>
      <w:proofErr w:type="spellStart"/>
      <w:r w:rsidRPr="00305114">
        <w:rPr>
          <w:rFonts w:asciiTheme="majorBidi" w:eastAsia="Times New Roman" w:hAnsiTheme="majorBidi" w:cstheme="majorBidi"/>
          <w:sz w:val="24"/>
          <w:szCs w:val="24"/>
        </w:rPr>
        <w:t>i</w:t>
      </w:r>
      <w:proofErr w:type="spellEnd"/>
      <w:r w:rsidRPr="00305114">
        <w:rPr>
          <w:rFonts w:asciiTheme="majorBidi" w:eastAsia="Times New Roman" w:hAnsiTheme="majorBidi" w:cstheme="majorBidi"/>
          <w:sz w:val="24"/>
          <w:szCs w:val="24"/>
        </w:rPr>
        <w:t>) and B(ii) at two sagittal views. Hot colours indicate greater MSE in ASC of a given contrast (i.e., Contrast = (ASC at scale 5 - ASC at scale 1) - (CON at scale 5 - CON at scale 1)).  Additionally, B(iii) demonstrates that the multiscale sample entropy within the significant cluster across time scales. Purple represents ASC while green represents CON.</w:t>
      </w:r>
      <w:r w:rsidR="007D1376">
        <w:rPr>
          <w:rFonts w:asciiTheme="majorBidi" w:eastAsia="Times New Roman" w:hAnsiTheme="majorBidi" w:cstheme="majorBidi"/>
          <w:sz w:val="24"/>
          <w:szCs w:val="24"/>
        </w:rPr>
        <w:t xml:space="preserve"> T value indicates t statistics.</w:t>
      </w:r>
    </w:p>
    <w:p w14:paraId="1A4484D5"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In the voxel-wise mixed effect analysis, a significant main effect of the group was observed in three brain regions. First, in the left middle frontal gyrus (MNI coordinates: -24, 60, 12), a peak intensity t-value of -4.5012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&lt;0.05, TFCE corrected) was found, with 27 voxels showing a significant difference between the groups. Second, in the left cuneus (MNI coordinates: -9, -72, 3), a peak intensity t-value of 4.5197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&lt;0.05, TFCE corrected) was observed, with 245 voxels. Last, in the right posterior cingulate (MNI coordinates: 6, -54, 24), a peak intensity t-value of 3.5441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&lt;0.05, TFCE corrected) was found, with 22 voxels. </w:t>
      </w:r>
    </w:p>
    <w:p w14:paraId="51A8A164"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Furthermore, a significant interaction effect between the group and time scale was detected at the right </w:t>
      </w:r>
      <w:proofErr w:type="spellStart"/>
      <w:r w:rsidRPr="00305114">
        <w:rPr>
          <w:rFonts w:asciiTheme="majorBidi" w:eastAsia="Times New Roman" w:hAnsiTheme="majorBidi" w:cstheme="majorBidi"/>
          <w:sz w:val="24"/>
          <w:szCs w:val="24"/>
        </w:rPr>
        <w:t>precuneus</w:t>
      </w:r>
      <w:proofErr w:type="spellEnd"/>
      <w:r w:rsidR="00B71272" w:rsidRPr="008F4E90">
        <w:rPr>
          <w:rFonts w:asciiTheme="majorBidi" w:eastAsia="Times New Roman" w:hAnsiTheme="majorBidi" w:cstheme="majorBidi"/>
          <w:sz w:val="24"/>
          <w:szCs w:val="24"/>
        </w:rPr>
        <w:t xml:space="preserve"> </w:t>
      </w:r>
      <w:r w:rsidRPr="00305114">
        <w:rPr>
          <w:rFonts w:asciiTheme="majorBidi" w:eastAsia="Times New Roman" w:hAnsiTheme="majorBidi" w:cstheme="majorBidi"/>
          <w:sz w:val="24"/>
          <w:szCs w:val="24"/>
        </w:rPr>
        <w:t>(MNI coordinates: 9, -54,18), a peak intensity t-value of 5.4419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&lt;0.05, TFCE corrected), indicating that the impact of the group differs depending on the levels of the scale variable. </w:t>
      </w:r>
    </w:p>
    <w:p w14:paraId="4D445424"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Multivariate statistics</w:t>
      </w:r>
    </w:p>
    <w:p w14:paraId="515CC89C"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Specific ROI selected by SFFS</w:t>
      </w:r>
    </w:p>
    <w:p w14:paraId="6F88F936"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The ROI (i.e., features) selected by SFFS were listed and plotted using the </w:t>
      </w:r>
      <w:proofErr w:type="spellStart"/>
      <w:r w:rsidRPr="00305114">
        <w:rPr>
          <w:rFonts w:asciiTheme="majorBidi" w:eastAsia="Times New Roman" w:hAnsiTheme="majorBidi" w:cstheme="majorBidi"/>
          <w:i/>
          <w:sz w:val="24"/>
          <w:szCs w:val="24"/>
        </w:rPr>
        <w:t>ggsegHO</w:t>
      </w:r>
      <w:proofErr w:type="spellEnd"/>
      <w:r w:rsidRPr="00305114">
        <w:rPr>
          <w:rFonts w:asciiTheme="majorBidi" w:eastAsia="Times New Roman" w:hAnsiTheme="majorBidi" w:cstheme="majorBidi"/>
          <w:sz w:val="24"/>
          <w:szCs w:val="24"/>
        </w:rPr>
        <w:t xml:space="preserve"> package in R </w:t>
      </w:r>
      <w:hyperlink r:id="rId603">
        <w:r w:rsidRPr="00305114">
          <w:rPr>
            <w:rFonts w:asciiTheme="majorBidi" w:eastAsia="Times New Roman" w:hAnsiTheme="majorBidi" w:cstheme="majorBidi"/>
            <w:sz w:val="24"/>
            <w:szCs w:val="24"/>
          </w:rPr>
          <w:t>(Makris et al., 2006</w:t>
        </w:r>
      </w:hyperlink>
      <w:hyperlink r:id="rId604">
        <w:r w:rsidRPr="00305114">
          <w:rPr>
            <w:rFonts w:asciiTheme="majorBidi" w:eastAsia="Times New Roman" w:hAnsiTheme="majorBidi" w:cstheme="majorBidi"/>
            <w:sz w:val="24"/>
            <w:szCs w:val="24"/>
          </w:rPr>
          <w:t xml:space="preserve">; </w:t>
        </w:r>
      </w:hyperlink>
      <w:hyperlink r:id="rId605">
        <w:r w:rsidRPr="00305114">
          <w:rPr>
            <w:rFonts w:asciiTheme="majorBidi" w:eastAsia="Times New Roman" w:hAnsiTheme="majorBidi" w:cstheme="majorBidi"/>
            <w:sz w:val="24"/>
            <w:szCs w:val="24"/>
          </w:rPr>
          <w:t>Mowinckel &amp; Vidal-Piñeiro, 2020)</w:t>
        </w:r>
      </w:hyperlink>
      <w:r w:rsidRPr="00305114">
        <w:rPr>
          <w:rFonts w:asciiTheme="majorBidi" w:eastAsia="Times New Roman" w:hAnsiTheme="majorBidi" w:cstheme="majorBidi"/>
          <w:sz w:val="24"/>
          <w:szCs w:val="24"/>
        </w:rPr>
        <w:t xml:space="preserve">, as depicted in Figure 8. In our SFFS results, the features are left cingulate gyrus posterior part and left temporal fusiform cortex anterior part at scale 1; left superior temporal gyrus anterior part; right supramarginal gyrus posterior part and left frontal orbital cortex at scale 2; right inferior temporal gyrus posterior part at scale 3; right inferior frontal gyrus </w:t>
      </w:r>
      <w:proofErr w:type="spellStart"/>
      <w:r w:rsidRPr="00305114">
        <w:rPr>
          <w:rFonts w:asciiTheme="majorBidi" w:eastAsia="Times New Roman" w:hAnsiTheme="majorBidi" w:cstheme="majorBidi"/>
          <w:sz w:val="24"/>
          <w:szCs w:val="24"/>
        </w:rPr>
        <w:t>parstriangularis</w:t>
      </w:r>
      <w:proofErr w:type="spellEnd"/>
      <w:r w:rsidRPr="00305114">
        <w:rPr>
          <w:rFonts w:asciiTheme="majorBidi" w:eastAsia="Times New Roman" w:hAnsiTheme="majorBidi" w:cstheme="majorBidi"/>
          <w:sz w:val="24"/>
          <w:szCs w:val="24"/>
        </w:rPr>
        <w:t xml:space="preserve"> at scale 4 and right middle frontal gyrus at scale 5.</w:t>
      </w:r>
    </w:p>
    <w:p w14:paraId="74CD8613"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lastRenderedPageBreak/>
        <w:t>F</w:t>
      </w:r>
      <w:r w:rsidR="00E135A4" w:rsidRPr="008F4E90">
        <w:rPr>
          <w:rFonts w:asciiTheme="majorBidi" w:eastAsia="Times New Roman" w:hAnsiTheme="majorBidi" w:cstheme="majorBidi"/>
          <w:b/>
          <w:sz w:val="24"/>
          <w:szCs w:val="24"/>
        </w:rPr>
        <w:t>igure</w:t>
      </w:r>
      <w:r w:rsidRPr="00305114">
        <w:rPr>
          <w:rFonts w:asciiTheme="majorBidi" w:eastAsia="Times New Roman" w:hAnsiTheme="majorBidi" w:cstheme="majorBidi"/>
          <w:b/>
          <w:sz w:val="24"/>
          <w:szCs w:val="24"/>
        </w:rPr>
        <w:t xml:space="preserve"> 8</w:t>
      </w:r>
    </w:p>
    <w:p w14:paraId="0B9D71AE" w14:textId="77777777" w:rsidR="00305114" w:rsidRPr="00305114" w:rsidRDefault="00AB462D"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noProof/>
          <w:sz w:val="24"/>
          <w:szCs w:val="24"/>
        </w:rPr>
        <w:drawing>
          <wp:anchor distT="0" distB="0" distL="114300" distR="114300" simplePos="0" relativeHeight="251664384" behindDoc="0" locked="0" layoutInCell="1" allowOverlap="1" wp14:anchorId="1DB179D1" wp14:editId="03AC3699">
            <wp:simplePos x="0" y="0"/>
            <wp:positionH relativeFrom="margin">
              <wp:align>right</wp:align>
            </wp:positionH>
            <wp:positionV relativeFrom="paragraph">
              <wp:posOffset>758190</wp:posOffset>
            </wp:positionV>
            <wp:extent cx="6772275" cy="1057275"/>
            <wp:effectExtent l="0" t="0" r="9525" b="9525"/>
            <wp:wrapTopAndBottom/>
            <wp:docPr id="74" name="Picture 74"/>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a:xfrm>
                      <a:off x="0" y="0"/>
                      <a:ext cx="6772275" cy="1057275"/>
                    </a:xfrm>
                    <a:prstGeom prst="rect">
                      <a:avLst/>
                    </a:prstGeom>
                    <a:ln/>
                  </pic:spPr>
                </pic:pic>
              </a:graphicData>
            </a:graphic>
            <wp14:sizeRelH relativeFrom="page">
              <wp14:pctWidth>0</wp14:pctWidth>
            </wp14:sizeRelH>
            <wp14:sizeRelV relativeFrom="page">
              <wp14:pctHeight>0</wp14:pctHeight>
            </wp14:sizeRelV>
          </wp:anchor>
        </w:drawing>
      </w:r>
      <w:r w:rsidR="00305114" w:rsidRPr="00305114">
        <w:rPr>
          <w:rFonts w:asciiTheme="majorBidi" w:eastAsia="Times New Roman" w:hAnsiTheme="majorBidi" w:cstheme="majorBidi"/>
          <w:i/>
          <w:sz w:val="24"/>
          <w:szCs w:val="24"/>
        </w:rPr>
        <w:t>Specific Harvard-oxford cortical atlas that were selected from SFFS to distinguish between individuals with and without ASC</w:t>
      </w:r>
    </w:p>
    <w:p w14:paraId="321ECD8B" w14:textId="77777777" w:rsidR="00AB462D" w:rsidRPr="008F4E90" w:rsidRDefault="00AB462D" w:rsidP="00305114">
      <w:pPr>
        <w:spacing w:line="480" w:lineRule="auto"/>
        <w:rPr>
          <w:rFonts w:asciiTheme="majorBidi" w:eastAsia="Times New Roman" w:hAnsiTheme="majorBidi" w:cstheme="majorBidi"/>
          <w:i/>
          <w:sz w:val="24"/>
          <w:szCs w:val="24"/>
        </w:rPr>
      </w:pPr>
    </w:p>
    <w:p w14:paraId="62C02336"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t>Note.</w:t>
      </w:r>
      <w:r w:rsidRPr="00305114">
        <w:rPr>
          <w:rFonts w:asciiTheme="majorBidi" w:eastAsia="Times New Roman" w:hAnsiTheme="majorBidi" w:cstheme="majorBidi"/>
          <w:sz w:val="24"/>
          <w:szCs w:val="24"/>
        </w:rPr>
        <w:t xml:space="preserve"> The performance of these regions </w:t>
      </w:r>
      <w:r w:rsidR="00AB462D" w:rsidRPr="008F4E90">
        <w:rPr>
          <w:rFonts w:asciiTheme="majorBidi" w:eastAsia="Times New Roman" w:hAnsiTheme="majorBidi" w:cstheme="majorBidi"/>
          <w:sz w:val="24"/>
          <w:szCs w:val="24"/>
        </w:rPr>
        <w:t>was</w:t>
      </w:r>
      <w:r w:rsidRPr="00305114">
        <w:rPr>
          <w:rFonts w:asciiTheme="majorBidi" w:eastAsia="Times New Roman" w:hAnsiTheme="majorBidi" w:cstheme="majorBidi"/>
          <w:sz w:val="24"/>
          <w:szCs w:val="24"/>
        </w:rPr>
        <w:t xml:space="preserve"> further evaluated by the linear SVM classifier. Brain positions were organised from left to right as follows: left lateral, left medial, right medial, and right lateral.</w:t>
      </w:r>
    </w:p>
    <w:p w14:paraId="0013C708"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i/>
          <w:sz w:val="24"/>
          <w:szCs w:val="24"/>
        </w:rPr>
        <w:t>Machine learning Classification of different models</w:t>
      </w:r>
    </w:p>
    <w:p w14:paraId="11C72D6A"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This study aimed to determine if features extracted using multiscale sample entropy, selected from univariate and multivariate models, could effectively distinguish individuals with ASC from control subjects using machine learning techniques. Specifically, a linear Support Vector Machine (SVM) classifier with significant clusters and Sequential Forward Floating Selection (SFFS) feature selection was used.</w:t>
      </w:r>
    </w:p>
    <w:p w14:paraId="2125F522"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Through this analysis, it has been found that the multivariate model, which consisted of a subset of brain regions selected by SFFS, achieved the highest classification accuracy of 68% in identifying individuals with ASC. This model also demonstrated a well-balanced overall performance. The brain regions identified by SFFS as the most distinguishing between ASC and non-ASC individuals in terms of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MSE are displayed in Figure 8. </w:t>
      </w:r>
    </w:p>
    <w:p w14:paraId="4839CE45"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6CAB082D" w14:textId="77777777" w:rsidR="00305114" w:rsidRPr="008F4E90" w:rsidRDefault="00305114" w:rsidP="00305114">
      <w:pPr>
        <w:spacing w:line="480" w:lineRule="auto"/>
        <w:rPr>
          <w:rFonts w:asciiTheme="majorBidi" w:eastAsia="Times New Roman" w:hAnsiTheme="majorBidi" w:cstheme="majorBidi"/>
          <w:sz w:val="24"/>
          <w:szCs w:val="24"/>
        </w:rPr>
      </w:pPr>
    </w:p>
    <w:p w14:paraId="7865A1C0" w14:textId="5F005B11" w:rsidR="00AB462D" w:rsidRPr="008F4E90" w:rsidRDefault="00AB462D" w:rsidP="002A3D3D">
      <w:pPr>
        <w:spacing w:line="480" w:lineRule="auto"/>
        <w:rPr>
          <w:rFonts w:asciiTheme="majorBidi" w:eastAsia="Times New Roman" w:hAnsiTheme="majorBidi" w:cstheme="majorBidi"/>
          <w:sz w:val="24"/>
          <w:szCs w:val="24"/>
        </w:rPr>
      </w:pPr>
    </w:p>
    <w:p w14:paraId="6DFB493E" w14:textId="77777777" w:rsidR="00AB462D" w:rsidRPr="00305114" w:rsidRDefault="00AB462D" w:rsidP="00305114">
      <w:pPr>
        <w:spacing w:line="480" w:lineRule="auto"/>
        <w:rPr>
          <w:rFonts w:asciiTheme="majorBidi" w:eastAsia="Times New Roman" w:hAnsiTheme="majorBidi" w:cstheme="majorBidi"/>
          <w:sz w:val="24"/>
          <w:szCs w:val="24"/>
        </w:rPr>
      </w:pPr>
    </w:p>
    <w:p w14:paraId="5C35D186" w14:textId="034A3266"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lastRenderedPageBreak/>
        <w:t xml:space="preserve">Table </w:t>
      </w:r>
      <w:r w:rsidR="0010427A">
        <w:rPr>
          <w:rFonts w:asciiTheme="majorBidi" w:eastAsia="Times New Roman" w:hAnsiTheme="majorBidi" w:cstheme="majorBidi"/>
          <w:b/>
          <w:sz w:val="24"/>
          <w:szCs w:val="24"/>
        </w:rPr>
        <w:t>8</w:t>
      </w:r>
    </w:p>
    <w:p w14:paraId="17B3E137"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Classification Performance of MSE in Different Sets</w:t>
      </w:r>
    </w:p>
    <w:tbl>
      <w:tblPr>
        <w:tblW w:w="10206" w:type="dxa"/>
        <w:tblBorders>
          <w:top w:val="nil"/>
          <w:left w:val="nil"/>
          <w:bottom w:val="nil"/>
          <w:right w:val="nil"/>
          <w:insideH w:val="nil"/>
          <w:insideV w:val="nil"/>
        </w:tblBorders>
        <w:tblLayout w:type="fixed"/>
        <w:tblLook w:val="0600" w:firstRow="0" w:lastRow="0" w:firstColumn="0" w:lastColumn="0" w:noHBand="1" w:noVBand="1"/>
      </w:tblPr>
      <w:tblGrid>
        <w:gridCol w:w="1276"/>
        <w:gridCol w:w="977"/>
        <w:gridCol w:w="1215"/>
        <w:gridCol w:w="1065"/>
        <w:gridCol w:w="1005"/>
        <w:gridCol w:w="240"/>
        <w:gridCol w:w="1110"/>
        <w:gridCol w:w="1140"/>
        <w:gridCol w:w="1065"/>
        <w:gridCol w:w="1113"/>
      </w:tblGrid>
      <w:tr w:rsidR="008F4E90" w:rsidRPr="008F4E90" w14:paraId="4A1C21EA" w14:textId="77777777" w:rsidTr="00AB462D">
        <w:trPr>
          <w:trHeight w:val="435"/>
        </w:trPr>
        <w:tc>
          <w:tcPr>
            <w:tcW w:w="1276" w:type="dxa"/>
            <w:vMerge w:val="restart"/>
            <w:tcBorders>
              <w:top w:val="single" w:sz="7" w:space="0" w:color="000000"/>
              <w:left w:val="nil"/>
              <w:bottom w:val="single" w:sz="7" w:space="0" w:color="000000"/>
              <w:right w:val="nil"/>
            </w:tcBorders>
            <w:tcMar>
              <w:top w:w="0" w:type="dxa"/>
              <w:left w:w="100" w:type="dxa"/>
              <w:bottom w:w="0" w:type="dxa"/>
              <w:right w:w="100" w:type="dxa"/>
            </w:tcMar>
          </w:tcPr>
          <w:p w14:paraId="6AD3C528"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Rs-fMRI features</w:t>
            </w:r>
          </w:p>
        </w:tc>
        <w:tc>
          <w:tcPr>
            <w:tcW w:w="4262" w:type="dxa"/>
            <w:gridSpan w:val="4"/>
            <w:tcBorders>
              <w:top w:val="single" w:sz="7" w:space="0" w:color="000000"/>
              <w:left w:val="nil"/>
              <w:bottom w:val="single" w:sz="7" w:space="0" w:color="000000"/>
              <w:right w:val="nil"/>
            </w:tcBorders>
            <w:tcMar>
              <w:top w:w="0" w:type="dxa"/>
              <w:left w:w="100" w:type="dxa"/>
              <w:bottom w:w="0" w:type="dxa"/>
              <w:right w:w="100" w:type="dxa"/>
            </w:tcMar>
          </w:tcPr>
          <w:p w14:paraId="593F88FD"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All Regions</w:t>
            </w:r>
          </w:p>
        </w:tc>
        <w:tc>
          <w:tcPr>
            <w:tcW w:w="240" w:type="dxa"/>
            <w:vMerge w:val="restart"/>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75773CAE"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w:t>
            </w:r>
          </w:p>
        </w:tc>
        <w:tc>
          <w:tcPr>
            <w:tcW w:w="4428" w:type="dxa"/>
            <w:gridSpan w:val="4"/>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7A5FD931"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Region sets by SFFS</w:t>
            </w:r>
          </w:p>
        </w:tc>
      </w:tr>
      <w:tr w:rsidR="008F4E90" w:rsidRPr="008F4E90" w14:paraId="31E1AD8C" w14:textId="77777777" w:rsidTr="00AB462D">
        <w:trPr>
          <w:trHeight w:val="435"/>
        </w:trPr>
        <w:tc>
          <w:tcPr>
            <w:tcW w:w="1276" w:type="dxa"/>
            <w:vMerge/>
            <w:tcBorders>
              <w:top w:val="single" w:sz="7" w:space="0" w:color="000000"/>
              <w:left w:val="nil"/>
              <w:bottom w:val="single" w:sz="7" w:space="0" w:color="000000"/>
              <w:right w:val="nil"/>
            </w:tcBorders>
            <w:shd w:val="clear" w:color="auto" w:fill="auto"/>
            <w:tcMar>
              <w:top w:w="100" w:type="dxa"/>
              <w:left w:w="100" w:type="dxa"/>
              <w:bottom w:w="100" w:type="dxa"/>
              <w:right w:w="100" w:type="dxa"/>
            </w:tcMar>
          </w:tcPr>
          <w:p w14:paraId="344DE440" w14:textId="77777777" w:rsidR="00305114" w:rsidRPr="00305114" w:rsidRDefault="00305114" w:rsidP="00305114">
            <w:pPr>
              <w:spacing w:line="480" w:lineRule="auto"/>
              <w:ind w:left="140" w:right="140"/>
              <w:rPr>
                <w:rFonts w:asciiTheme="majorBidi" w:eastAsia="Times New Roman" w:hAnsiTheme="majorBidi" w:cstheme="majorBidi"/>
                <w:sz w:val="24"/>
                <w:szCs w:val="24"/>
              </w:rPr>
            </w:pPr>
          </w:p>
        </w:tc>
        <w:tc>
          <w:tcPr>
            <w:tcW w:w="977" w:type="dxa"/>
            <w:tcBorders>
              <w:top w:val="nil"/>
              <w:left w:val="nil"/>
              <w:bottom w:val="single" w:sz="7" w:space="0" w:color="000000"/>
              <w:right w:val="nil"/>
            </w:tcBorders>
            <w:shd w:val="clear" w:color="auto" w:fill="auto"/>
            <w:tcMar>
              <w:top w:w="0" w:type="dxa"/>
              <w:left w:w="100" w:type="dxa"/>
              <w:bottom w:w="0" w:type="dxa"/>
              <w:right w:w="100" w:type="dxa"/>
            </w:tcMar>
          </w:tcPr>
          <w:p w14:paraId="2B3A47B7"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CA</w:t>
            </w:r>
          </w:p>
        </w:tc>
        <w:tc>
          <w:tcPr>
            <w:tcW w:w="1215" w:type="dxa"/>
            <w:tcBorders>
              <w:top w:val="nil"/>
              <w:left w:val="nil"/>
              <w:bottom w:val="single" w:sz="7" w:space="0" w:color="000000"/>
              <w:right w:val="nil"/>
            </w:tcBorders>
            <w:shd w:val="clear" w:color="auto" w:fill="auto"/>
            <w:tcMar>
              <w:top w:w="0" w:type="dxa"/>
              <w:left w:w="100" w:type="dxa"/>
              <w:bottom w:w="0" w:type="dxa"/>
              <w:right w:w="100" w:type="dxa"/>
            </w:tcMar>
          </w:tcPr>
          <w:p w14:paraId="75DDF07F"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CM</w:t>
            </w:r>
          </w:p>
        </w:tc>
        <w:tc>
          <w:tcPr>
            <w:tcW w:w="1065" w:type="dxa"/>
            <w:tcBorders>
              <w:top w:val="nil"/>
              <w:left w:val="nil"/>
              <w:bottom w:val="single" w:sz="7" w:space="0" w:color="000000"/>
              <w:right w:val="nil"/>
            </w:tcBorders>
            <w:shd w:val="clear" w:color="auto" w:fill="auto"/>
            <w:tcMar>
              <w:top w:w="0" w:type="dxa"/>
              <w:left w:w="100" w:type="dxa"/>
              <w:bottom w:w="0" w:type="dxa"/>
              <w:right w:w="100" w:type="dxa"/>
            </w:tcMar>
          </w:tcPr>
          <w:p w14:paraId="5E60411B"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Sen</w:t>
            </w:r>
          </w:p>
        </w:tc>
        <w:tc>
          <w:tcPr>
            <w:tcW w:w="1005" w:type="dxa"/>
            <w:tcBorders>
              <w:top w:val="nil"/>
              <w:left w:val="nil"/>
              <w:bottom w:val="single" w:sz="7" w:space="0" w:color="000000"/>
              <w:right w:val="nil"/>
            </w:tcBorders>
            <w:shd w:val="clear" w:color="auto" w:fill="auto"/>
            <w:tcMar>
              <w:top w:w="0" w:type="dxa"/>
              <w:left w:w="100" w:type="dxa"/>
              <w:bottom w:w="0" w:type="dxa"/>
              <w:right w:w="100" w:type="dxa"/>
            </w:tcMar>
          </w:tcPr>
          <w:p w14:paraId="2DAE8426"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Spe</w:t>
            </w:r>
          </w:p>
        </w:tc>
        <w:tc>
          <w:tcPr>
            <w:tcW w:w="240" w:type="dxa"/>
            <w:vMerge/>
            <w:tcBorders>
              <w:top w:val="single" w:sz="7" w:space="0" w:color="000000"/>
              <w:left w:val="nil"/>
              <w:bottom w:val="single" w:sz="7" w:space="0" w:color="000000"/>
              <w:right w:val="nil"/>
            </w:tcBorders>
            <w:shd w:val="clear" w:color="auto" w:fill="auto"/>
            <w:tcMar>
              <w:top w:w="100" w:type="dxa"/>
              <w:left w:w="100" w:type="dxa"/>
              <w:bottom w:w="100" w:type="dxa"/>
              <w:right w:w="100" w:type="dxa"/>
            </w:tcMar>
          </w:tcPr>
          <w:p w14:paraId="1B106965" w14:textId="77777777" w:rsidR="00305114" w:rsidRPr="00305114" w:rsidRDefault="00305114" w:rsidP="00305114">
            <w:pPr>
              <w:spacing w:line="480" w:lineRule="auto"/>
              <w:ind w:left="140" w:right="140"/>
              <w:rPr>
                <w:rFonts w:asciiTheme="majorBidi" w:eastAsia="Times New Roman" w:hAnsiTheme="majorBidi" w:cstheme="majorBidi"/>
                <w:sz w:val="24"/>
                <w:szCs w:val="24"/>
              </w:rPr>
            </w:pPr>
          </w:p>
        </w:tc>
        <w:tc>
          <w:tcPr>
            <w:tcW w:w="1110" w:type="dxa"/>
            <w:tcBorders>
              <w:top w:val="nil"/>
              <w:left w:val="nil"/>
              <w:bottom w:val="single" w:sz="7" w:space="0" w:color="000000"/>
              <w:right w:val="nil"/>
            </w:tcBorders>
            <w:shd w:val="clear" w:color="auto" w:fill="auto"/>
            <w:tcMar>
              <w:top w:w="0" w:type="dxa"/>
              <w:left w:w="100" w:type="dxa"/>
              <w:bottom w:w="0" w:type="dxa"/>
              <w:right w:w="100" w:type="dxa"/>
            </w:tcMar>
          </w:tcPr>
          <w:p w14:paraId="5FA7F505"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CA</w:t>
            </w:r>
          </w:p>
        </w:tc>
        <w:tc>
          <w:tcPr>
            <w:tcW w:w="1140" w:type="dxa"/>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496FBCE6"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CM</w:t>
            </w:r>
          </w:p>
        </w:tc>
        <w:tc>
          <w:tcPr>
            <w:tcW w:w="1065" w:type="dxa"/>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5EAE959A"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Sen</w:t>
            </w:r>
          </w:p>
        </w:tc>
        <w:tc>
          <w:tcPr>
            <w:tcW w:w="1113" w:type="dxa"/>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6AAE0AD0"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Spe</w:t>
            </w:r>
          </w:p>
        </w:tc>
      </w:tr>
      <w:tr w:rsidR="008F4E90" w:rsidRPr="008F4E90" w14:paraId="03B98669" w14:textId="77777777" w:rsidTr="00AB462D">
        <w:trPr>
          <w:trHeight w:val="825"/>
        </w:trPr>
        <w:tc>
          <w:tcPr>
            <w:tcW w:w="1276" w:type="dxa"/>
            <w:tcBorders>
              <w:top w:val="nil"/>
              <w:left w:val="nil"/>
              <w:bottom w:val="single" w:sz="7" w:space="0" w:color="000000"/>
              <w:right w:val="nil"/>
            </w:tcBorders>
            <w:shd w:val="clear" w:color="auto" w:fill="auto"/>
            <w:tcMar>
              <w:top w:w="0" w:type="dxa"/>
              <w:left w:w="100" w:type="dxa"/>
              <w:bottom w:w="0" w:type="dxa"/>
              <w:right w:w="100" w:type="dxa"/>
            </w:tcMar>
          </w:tcPr>
          <w:p w14:paraId="39CBA17C"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MSE </w:t>
            </w:r>
          </w:p>
        </w:tc>
        <w:tc>
          <w:tcPr>
            <w:tcW w:w="977" w:type="dxa"/>
            <w:tcBorders>
              <w:top w:val="nil"/>
              <w:left w:val="nil"/>
              <w:bottom w:val="single" w:sz="7" w:space="0" w:color="000000"/>
              <w:right w:val="nil"/>
            </w:tcBorders>
            <w:shd w:val="clear" w:color="auto" w:fill="auto"/>
            <w:tcMar>
              <w:top w:w="0" w:type="dxa"/>
              <w:left w:w="100" w:type="dxa"/>
              <w:bottom w:w="0" w:type="dxa"/>
              <w:right w:w="100" w:type="dxa"/>
            </w:tcMar>
          </w:tcPr>
          <w:p w14:paraId="53FEF2C7"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56%</w:t>
            </w:r>
          </w:p>
        </w:tc>
        <w:tc>
          <w:tcPr>
            <w:tcW w:w="1215" w:type="dxa"/>
            <w:tcBorders>
              <w:top w:val="nil"/>
              <w:left w:val="nil"/>
              <w:bottom w:val="single" w:sz="7" w:space="0" w:color="000000"/>
              <w:right w:val="nil"/>
            </w:tcBorders>
            <w:shd w:val="clear" w:color="auto" w:fill="auto"/>
            <w:tcMar>
              <w:top w:w="0" w:type="dxa"/>
              <w:left w:w="100" w:type="dxa"/>
              <w:bottom w:w="0" w:type="dxa"/>
              <w:right w:w="100" w:type="dxa"/>
            </w:tcMar>
          </w:tcPr>
          <w:p w14:paraId="76B4A93C" w14:textId="77777777" w:rsidR="00305114" w:rsidRPr="00305114" w:rsidRDefault="00000000" w:rsidP="00305114">
            <w:pPr>
              <w:spacing w:line="480" w:lineRule="auto"/>
              <w:ind w:left="140" w:right="140"/>
              <w:rPr>
                <w:rFonts w:asciiTheme="majorBidi" w:eastAsia="Times New Roman" w:hAnsiTheme="majorBidi" w:cstheme="majorBidi"/>
                <w:sz w:val="24"/>
                <w:szCs w:val="24"/>
              </w:rPr>
            </w:pPr>
            <m:oMathPara>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157 22</m:t>
                    </m:r>
                  </m:e>
                </m:d>
                <m:r>
                  <m:rPr>
                    <m:sty m:val="p"/>
                  </m:rPr>
                  <w:rPr>
                    <w:rFonts w:asciiTheme="majorBidi" w:eastAsia="Times New Roman" w:hAnsiTheme="majorBidi" w:cstheme="majorBidi"/>
                    <w:sz w:val="24"/>
                    <w:szCs w:val="24"/>
                  </w:rPr>
                  <w:br/>
                </m:r>
              </m:oMath>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23 195</m:t>
                    </m:r>
                  </m:e>
                </m:d>
              </m:oMath>
            </m:oMathPara>
          </w:p>
        </w:tc>
        <w:tc>
          <w:tcPr>
            <w:tcW w:w="1065" w:type="dxa"/>
            <w:tcBorders>
              <w:top w:val="nil"/>
              <w:left w:val="nil"/>
              <w:bottom w:val="single" w:sz="7" w:space="0" w:color="000000"/>
              <w:right w:val="nil"/>
            </w:tcBorders>
            <w:shd w:val="clear" w:color="auto" w:fill="auto"/>
            <w:tcMar>
              <w:top w:w="0" w:type="dxa"/>
              <w:left w:w="100" w:type="dxa"/>
              <w:bottom w:w="0" w:type="dxa"/>
              <w:right w:w="100" w:type="dxa"/>
            </w:tcMar>
          </w:tcPr>
          <w:p w14:paraId="0BCD670C"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88%</w:t>
            </w:r>
          </w:p>
        </w:tc>
        <w:tc>
          <w:tcPr>
            <w:tcW w:w="1005" w:type="dxa"/>
            <w:tcBorders>
              <w:top w:val="nil"/>
              <w:left w:val="nil"/>
              <w:bottom w:val="single" w:sz="7" w:space="0" w:color="000000"/>
              <w:right w:val="nil"/>
            </w:tcBorders>
            <w:shd w:val="clear" w:color="auto" w:fill="auto"/>
            <w:tcMar>
              <w:top w:w="0" w:type="dxa"/>
              <w:left w:w="100" w:type="dxa"/>
              <w:bottom w:w="0" w:type="dxa"/>
              <w:right w:w="100" w:type="dxa"/>
            </w:tcMar>
          </w:tcPr>
          <w:p w14:paraId="61F701C3"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89%</w:t>
            </w:r>
          </w:p>
        </w:tc>
        <w:tc>
          <w:tcPr>
            <w:tcW w:w="240" w:type="dxa"/>
            <w:vMerge/>
            <w:tcBorders>
              <w:top w:val="single" w:sz="7" w:space="0" w:color="000000"/>
              <w:left w:val="nil"/>
              <w:bottom w:val="single" w:sz="7" w:space="0" w:color="000000"/>
              <w:right w:val="nil"/>
            </w:tcBorders>
            <w:shd w:val="clear" w:color="auto" w:fill="auto"/>
            <w:tcMar>
              <w:top w:w="100" w:type="dxa"/>
              <w:left w:w="100" w:type="dxa"/>
              <w:bottom w:w="100" w:type="dxa"/>
              <w:right w:w="100" w:type="dxa"/>
            </w:tcMar>
          </w:tcPr>
          <w:p w14:paraId="5C0B7DD7" w14:textId="77777777" w:rsidR="00305114" w:rsidRPr="00305114" w:rsidRDefault="00305114" w:rsidP="00305114">
            <w:pPr>
              <w:spacing w:line="480" w:lineRule="auto"/>
              <w:ind w:left="140" w:right="140"/>
              <w:rPr>
                <w:rFonts w:asciiTheme="majorBidi" w:eastAsia="Times New Roman" w:hAnsiTheme="majorBidi" w:cstheme="majorBidi"/>
                <w:sz w:val="24"/>
                <w:szCs w:val="24"/>
              </w:rPr>
            </w:pPr>
          </w:p>
        </w:tc>
        <w:tc>
          <w:tcPr>
            <w:tcW w:w="1110" w:type="dxa"/>
            <w:tcBorders>
              <w:top w:val="nil"/>
              <w:left w:val="nil"/>
              <w:bottom w:val="single" w:sz="7" w:space="0" w:color="000000"/>
              <w:right w:val="nil"/>
            </w:tcBorders>
            <w:shd w:val="clear" w:color="auto" w:fill="auto"/>
            <w:tcMar>
              <w:top w:w="0" w:type="dxa"/>
              <w:left w:w="100" w:type="dxa"/>
              <w:bottom w:w="0" w:type="dxa"/>
              <w:right w:w="100" w:type="dxa"/>
            </w:tcMar>
          </w:tcPr>
          <w:p w14:paraId="3FE77F71"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68%</w:t>
            </w:r>
          </w:p>
        </w:tc>
        <w:tc>
          <w:tcPr>
            <w:tcW w:w="1140" w:type="dxa"/>
            <w:tcBorders>
              <w:top w:val="nil"/>
              <w:left w:val="nil"/>
              <w:bottom w:val="single" w:sz="7" w:space="0" w:color="000000"/>
              <w:right w:val="nil"/>
            </w:tcBorders>
            <w:shd w:val="clear" w:color="auto" w:fill="auto"/>
            <w:tcMar>
              <w:top w:w="0" w:type="dxa"/>
              <w:left w:w="100" w:type="dxa"/>
              <w:bottom w:w="0" w:type="dxa"/>
              <w:right w:w="100" w:type="dxa"/>
            </w:tcMar>
          </w:tcPr>
          <w:p w14:paraId="2F10DFD4" w14:textId="77777777" w:rsidR="00305114" w:rsidRPr="00305114" w:rsidRDefault="00000000" w:rsidP="00305114">
            <w:pPr>
              <w:spacing w:line="480" w:lineRule="auto"/>
              <w:ind w:left="140" w:right="140"/>
              <w:rPr>
                <w:rFonts w:asciiTheme="majorBidi" w:eastAsia="Times New Roman" w:hAnsiTheme="majorBidi" w:cstheme="majorBidi"/>
                <w:sz w:val="24"/>
                <w:szCs w:val="24"/>
              </w:rPr>
            </w:pPr>
            <m:oMathPara>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125 54</m:t>
                    </m:r>
                  </m:e>
                </m:d>
                <m:r>
                  <m:rPr>
                    <m:sty m:val="p"/>
                  </m:rPr>
                  <w:rPr>
                    <w:rFonts w:asciiTheme="majorBidi" w:eastAsia="Times New Roman" w:hAnsiTheme="majorBidi" w:cstheme="majorBidi"/>
                    <w:sz w:val="24"/>
                    <w:szCs w:val="24"/>
                  </w:rPr>
                  <w:br/>
                </m:r>
              </m:oMath>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54 164</m:t>
                    </m:r>
                  </m:e>
                </m:d>
              </m:oMath>
            </m:oMathPara>
          </w:p>
        </w:tc>
        <w:tc>
          <w:tcPr>
            <w:tcW w:w="1065" w:type="dxa"/>
            <w:tcBorders>
              <w:top w:val="nil"/>
              <w:left w:val="nil"/>
              <w:bottom w:val="single" w:sz="7" w:space="0" w:color="000000"/>
              <w:right w:val="nil"/>
            </w:tcBorders>
            <w:shd w:val="clear" w:color="auto" w:fill="auto"/>
            <w:tcMar>
              <w:top w:w="0" w:type="dxa"/>
              <w:left w:w="100" w:type="dxa"/>
              <w:bottom w:w="0" w:type="dxa"/>
              <w:right w:w="100" w:type="dxa"/>
            </w:tcMar>
          </w:tcPr>
          <w:p w14:paraId="35679053"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70%</w:t>
            </w:r>
          </w:p>
        </w:tc>
        <w:tc>
          <w:tcPr>
            <w:tcW w:w="1113" w:type="dxa"/>
            <w:tcBorders>
              <w:top w:val="nil"/>
              <w:left w:val="nil"/>
              <w:bottom w:val="single" w:sz="7" w:space="0" w:color="000000"/>
              <w:right w:val="nil"/>
            </w:tcBorders>
            <w:shd w:val="clear" w:color="auto" w:fill="auto"/>
            <w:tcMar>
              <w:top w:w="0" w:type="dxa"/>
              <w:left w:w="100" w:type="dxa"/>
              <w:bottom w:w="0" w:type="dxa"/>
              <w:right w:w="100" w:type="dxa"/>
            </w:tcMar>
          </w:tcPr>
          <w:p w14:paraId="61187E7E" w14:textId="77777777" w:rsidR="00305114" w:rsidRPr="00305114" w:rsidRDefault="00305114" w:rsidP="00305114">
            <w:pPr>
              <w:spacing w:before="240" w:line="480" w:lineRule="auto"/>
              <w:ind w:left="140" w:right="140"/>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75%</w:t>
            </w:r>
          </w:p>
        </w:tc>
      </w:tr>
    </w:tbl>
    <w:p w14:paraId="7F662D6D" w14:textId="77777777" w:rsidR="00305114" w:rsidRDefault="00305114" w:rsidP="00305114">
      <w:pPr>
        <w:spacing w:before="240" w:after="240"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lang w:val="fr-FR"/>
        </w:rPr>
        <w:t xml:space="preserve"> </w:t>
      </w:r>
      <w:r w:rsidRPr="00305114">
        <w:rPr>
          <w:rFonts w:asciiTheme="majorBidi" w:eastAsia="Times New Roman" w:hAnsiTheme="majorBidi" w:cstheme="majorBidi"/>
          <w:i/>
          <w:sz w:val="24"/>
          <w:szCs w:val="24"/>
          <w:lang w:val="fr-FR"/>
        </w:rPr>
        <w:t>Note</w:t>
      </w:r>
      <w:r w:rsidRPr="00305114">
        <w:rPr>
          <w:rFonts w:asciiTheme="majorBidi" w:eastAsia="Times New Roman" w:hAnsiTheme="majorBidi" w:cstheme="majorBidi"/>
          <w:sz w:val="24"/>
          <w:szCs w:val="24"/>
          <w:lang w:val="fr-FR"/>
        </w:rPr>
        <w:t xml:space="preserve">. MSE = </w:t>
      </w:r>
      <w:proofErr w:type="spellStart"/>
      <w:r w:rsidRPr="00305114">
        <w:rPr>
          <w:rFonts w:asciiTheme="majorBidi" w:eastAsia="Times New Roman" w:hAnsiTheme="majorBidi" w:cstheme="majorBidi"/>
          <w:sz w:val="24"/>
          <w:szCs w:val="24"/>
          <w:lang w:val="fr-FR"/>
        </w:rPr>
        <w:t>Multiscale</w:t>
      </w:r>
      <w:proofErr w:type="spellEnd"/>
      <w:r w:rsidRPr="00305114">
        <w:rPr>
          <w:rFonts w:asciiTheme="majorBidi" w:eastAsia="Times New Roman" w:hAnsiTheme="majorBidi" w:cstheme="majorBidi"/>
          <w:sz w:val="24"/>
          <w:szCs w:val="24"/>
          <w:lang w:val="fr-FR"/>
        </w:rPr>
        <w:t xml:space="preserve"> </w:t>
      </w:r>
      <w:proofErr w:type="spellStart"/>
      <w:r w:rsidRPr="00305114">
        <w:rPr>
          <w:rFonts w:asciiTheme="majorBidi" w:eastAsia="Times New Roman" w:hAnsiTheme="majorBidi" w:cstheme="majorBidi"/>
          <w:sz w:val="24"/>
          <w:szCs w:val="24"/>
          <w:lang w:val="fr-FR"/>
        </w:rPr>
        <w:t>Sample</w:t>
      </w:r>
      <w:proofErr w:type="spellEnd"/>
      <w:r w:rsidRPr="00305114">
        <w:rPr>
          <w:rFonts w:asciiTheme="majorBidi" w:eastAsia="Times New Roman" w:hAnsiTheme="majorBidi" w:cstheme="majorBidi"/>
          <w:sz w:val="24"/>
          <w:szCs w:val="24"/>
          <w:lang w:val="fr-FR"/>
        </w:rPr>
        <w:t xml:space="preserve"> </w:t>
      </w:r>
      <w:proofErr w:type="spellStart"/>
      <w:r w:rsidRPr="00305114">
        <w:rPr>
          <w:rFonts w:asciiTheme="majorBidi" w:eastAsia="Times New Roman" w:hAnsiTheme="majorBidi" w:cstheme="majorBidi"/>
          <w:sz w:val="24"/>
          <w:szCs w:val="24"/>
          <w:lang w:val="fr-FR"/>
        </w:rPr>
        <w:t>Entropy</w:t>
      </w:r>
      <w:proofErr w:type="spellEnd"/>
      <w:r w:rsidRPr="00305114">
        <w:rPr>
          <w:rFonts w:asciiTheme="majorBidi" w:eastAsia="Times New Roman" w:hAnsiTheme="majorBidi" w:cstheme="majorBidi"/>
          <w:sz w:val="24"/>
          <w:szCs w:val="24"/>
          <w:lang w:val="fr-FR"/>
        </w:rPr>
        <w:t xml:space="preserve">. CA = Classification </w:t>
      </w:r>
      <w:proofErr w:type="spellStart"/>
      <w:r w:rsidRPr="00305114">
        <w:rPr>
          <w:rFonts w:asciiTheme="majorBidi" w:eastAsia="Times New Roman" w:hAnsiTheme="majorBidi" w:cstheme="majorBidi"/>
          <w:sz w:val="24"/>
          <w:szCs w:val="24"/>
          <w:lang w:val="fr-FR"/>
        </w:rPr>
        <w:t>Accuracy</w:t>
      </w:r>
      <w:proofErr w:type="spellEnd"/>
      <w:r w:rsidRPr="00305114">
        <w:rPr>
          <w:rFonts w:asciiTheme="majorBidi" w:eastAsia="Times New Roman" w:hAnsiTheme="majorBidi" w:cstheme="majorBidi"/>
          <w:sz w:val="24"/>
          <w:szCs w:val="24"/>
          <w:lang w:val="fr-FR"/>
        </w:rPr>
        <w:t xml:space="preserve">. CM = Confusion Matrix. </w:t>
      </w:r>
      <w:r w:rsidRPr="00305114">
        <w:rPr>
          <w:rFonts w:asciiTheme="majorBidi" w:eastAsia="Times New Roman" w:hAnsiTheme="majorBidi" w:cstheme="majorBidi"/>
          <w:sz w:val="24"/>
          <w:szCs w:val="24"/>
        </w:rPr>
        <w:t xml:space="preserve">Sen = Sensitivity. </w:t>
      </w:r>
      <w:proofErr w:type="spellStart"/>
      <w:r w:rsidRPr="00305114">
        <w:rPr>
          <w:rFonts w:asciiTheme="majorBidi" w:eastAsia="Times New Roman" w:hAnsiTheme="majorBidi" w:cstheme="majorBidi"/>
          <w:sz w:val="24"/>
          <w:szCs w:val="24"/>
        </w:rPr>
        <w:t>Spen</w:t>
      </w:r>
      <w:proofErr w:type="spellEnd"/>
      <w:r w:rsidRPr="00305114">
        <w:rPr>
          <w:rFonts w:asciiTheme="majorBidi" w:eastAsia="Times New Roman" w:hAnsiTheme="majorBidi" w:cstheme="majorBidi"/>
          <w:sz w:val="24"/>
          <w:szCs w:val="24"/>
        </w:rPr>
        <w:t xml:space="preserve"> = Specificity. All Regions = This model includes all brain atlas as features. Region sets by SFFS = This model examines the features selected by Sequential Forward Floating Selection.</w:t>
      </w:r>
    </w:p>
    <w:p w14:paraId="3EFCA6FE" w14:textId="305F9AB3" w:rsidR="0010427A" w:rsidRPr="0010427A" w:rsidRDefault="00730AFD" w:rsidP="00730AFD">
      <w:pPr>
        <w:spacing w:before="240" w:after="240" w:line="480" w:lineRule="auto"/>
        <w:ind w:firstLine="720"/>
        <w:rPr>
          <w:rFonts w:asciiTheme="majorBidi" w:eastAsia="Times New Roman" w:hAnsiTheme="majorBidi" w:cstheme="majorBidi"/>
          <w:sz w:val="24"/>
          <w:szCs w:val="24"/>
        </w:rPr>
      </w:pPr>
      <w:r w:rsidRPr="002A3D3D">
        <w:rPr>
          <w:rFonts w:asciiTheme="majorBidi" w:eastAsia="Times New Roman" w:hAnsiTheme="majorBidi" w:cstheme="majorBidi"/>
          <w:sz w:val="24"/>
          <w:szCs w:val="24"/>
        </w:rPr>
        <w:t xml:space="preserve">In this study, I used cross-validation with the </w:t>
      </w:r>
      <w:proofErr w:type="spellStart"/>
      <w:r w:rsidRPr="002A3D3D">
        <w:rPr>
          <w:rFonts w:asciiTheme="majorBidi" w:eastAsia="Times New Roman" w:hAnsiTheme="majorBidi" w:cstheme="majorBidi"/>
          <w:i/>
          <w:iCs/>
          <w:sz w:val="24"/>
          <w:szCs w:val="24"/>
        </w:rPr>
        <w:t>ShuffleSplit</w:t>
      </w:r>
      <w:proofErr w:type="spellEnd"/>
      <w:r w:rsidRPr="002A3D3D">
        <w:rPr>
          <w:rFonts w:asciiTheme="majorBidi" w:eastAsia="Times New Roman" w:hAnsiTheme="majorBidi" w:cstheme="majorBidi"/>
          <w:sz w:val="24"/>
          <w:szCs w:val="24"/>
        </w:rPr>
        <w:t xml:space="preserve"> method to evaluate the accuracy of a </w:t>
      </w:r>
      <w:r w:rsidRPr="002A3D3D">
        <w:rPr>
          <w:rFonts w:asciiTheme="majorBidi" w:eastAsia="Times New Roman" w:hAnsiTheme="majorBidi" w:cstheme="majorBidi"/>
          <w:i/>
          <w:iCs/>
          <w:sz w:val="24"/>
          <w:szCs w:val="24"/>
        </w:rPr>
        <w:t xml:space="preserve">Support Vector Machine (SVM) </w:t>
      </w:r>
      <w:r w:rsidRPr="002A3D3D">
        <w:rPr>
          <w:rFonts w:asciiTheme="majorBidi" w:eastAsia="Times New Roman" w:hAnsiTheme="majorBidi" w:cstheme="majorBidi"/>
          <w:sz w:val="24"/>
          <w:szCs w:val="24"/>
        </w:rPr>
        <w:t xml:space="preserve">model. The accuracy is calculated using the </w:t>
      </w:r>
      <w:proofErr w:type="spellStart"/>
      <w:r w:rsidRPr="002A3D3D">
        <w:rPr>
          <w:rFonts w:asciiTheme="majorBidi" w:eastAsia="Times New Roman" w:hAnsiTheme="majorBidi" w:cstheme="majorBidi"/>
          <w:i/>
          <w:iCs/>
          <w:sz w:val="24"/>
          <w:szCs w:val="24"/>
        </w:rPr>
        <w:t>cross_val_score</w:t>
      </w:r>
      <w:proofErr w:type="spellEnd"/>
      <w:r w:rsidRPr="002A3D3D">
        <w:rPr>
          <w:rFonts w:asciiTheme="majorBidi" w:eastAsia="Times New Roman" w:hAnsiTheme="majorBidi" w:cstheme="majorBidi"/>
          <w:sz w:val="24"/>
          <w:szCs w:val="24"/>
        </w:rPr>
        <w:t xml:space="preserve"> method from scikit-learn. The formula for accuracy is straightforward:</w:t>
      </w:r>
      <w:r>
        <w:rPr>
          <w:rFonts w:asciiTheme="majorBidi" w:eastAsia="Times New Roman" w:hAnsiTheme="majorBidi" w:cstheme="majorBidi"/>
          <w:sz w:val="24"/>
          <w:szCs w:val="24"/>
        </w:rPr>
        <w:t xml:space="preserve"> </w:t>
      </w:r>
      <m:oMath>
        <m:r>
          <w:rPr>
            <w:rFonts w:ascii="Cambria Math" w:eastAsia="Times New Roman" w:hAnsi="Cambria Math" w:cstheme="majorBidi"/>
            <w:sz w:val="24"/>
            <w:szCs w:val="24"/>
          </w:rPr>
          <m:t>Accuracy</m:t>
        </m:r>
        <m:r>
          <m:rPr>
            <m:sty m:val="p"/>
          </m:rPr>
          <w:rPr>
            <w:rFonts w:ascii="Cambria Math" w:eastAsia="Times New Roman" w:hAnsi="Cambria Math" w:cs="Cambria Math"/>
            <w:sz w:val="24"/>
            <w:szCs w:val="24"/>
          </w:rPr>
          <m:t>=</m:t>
        </m:r>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Number of Correct Predictions</m:t>
            </m:r>
          </m:num>
          <m:den>
            <m:r>
              <w:rPr>
                <w:rFonts w:ascii="Cambria Math" w:hAnsi="Cambria Math"/>
                <w:color w:val="000000"/>
                <w:sz w:val="24"/>
                <w:szCs w:val="24"/>
              </w:rPr>
              <m:t>Total Number of Predictions</m:t>
            </m:r>
          </m:den>
        </m:f>
      </m:oMath>
      <w:r w:rsidRPr="002A3D3D">
        <w:rPr>
          <w:rFonts w:asciiTheme="majorBidi" w:eastAsia="Times New Roman" w:hAnsiTheme="majorBidi" w:cstheme="majorBidi"/>
          <w:sz w:val="24"/>
          <w:szCs w:val="24"/>
        </w:rPr>
        <w:t xml:space="preserve">. In the context of cross-validation, this formula is applied to each fold, and the </w:t>
      </w:r>
      <w:proofErr w:type="spellStart"/>
      <w:r w:rsidRPr="002A3D3D">
        <w:rPr>
          <w:rFonts w:asciiTheme="majorBidi" w:eastAsia="Times New Roman" w:hAnsiTheme="majorBidi" w:cstheme="majorBidi"/>
          <w:i/>
          <w:iCs/>
          <w:sz w:val="24"/>
          <w:szCs w:val="24"/>
        </w:rPr>
        <w:t>cross_val_score</w:t>
      </w:r>
      <w:proofErr w:type="spellEnd"/>
      <w:r w:rsidRPr="002A3D3D">
        <w:rPr>
          <w:rFonts w:asciiTheme="majorBidi" w:eastAsia="Times New Roman" w:hAnsiTheme="majorBidi" w:cstheme="majorBidi"/>
          <w:sz w:val="24"/>
          <w:szCs w:val="24"/>
        </w:rPr>
        <w:t xml:space="preserve"> method from scikit-learn returns an array of accuracy scores for each fold. The mean and standard deviation of these accuracy scores is often calculated to provide an estimate of the average accuracy and its variability across different folds</w:t>
      </w:r>
      <w:r>
        <w:rPr>
          <w:rFonts w:asciiTheme="majorBidi" w:eastAsia="Times New Roman" w:hAnsiTheme="majorBidi" w:cstheme="majorBidi"/>
          <w:sz w:val="24"/>
          <w:szCs w:val="24"/>
        </w:rPr>
        <w:t>.</w:t>
      </w:r>
    </w:p>
    <w:p w14:paraId="0DE9B326" w14:textId="77777777" w:rsidR="00305114" w:rsidRPr="00305114" w:rsidRDefault="00305114" w:rsidP="00305114">
      <w:pPr>
        <w:spacing w:before="240" w:after="240"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Additionally, it has been assessed the stability of the multivariate model using a permutation test and found it to be the most stable (classification accuracy = 0.68,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&lt; 0.0001), followed closely by the univariate model (classification accuracy = 0.63,</w:t>
      </w:r>
      <w:r w:rsidRPr="00305114">
        <w:rPr>
          <w:rFonts w:asciiTheme="majorBidi" w:eastAsia="Times New Roman" w:hAnsiTheme="majorBidi" w:cstheme="majorBidi"/>
          <w:i/>
          <w:sz w:val="24"/>
          <w:szCs w:val="24"/>
        </w:rPr>
        <w:t xml:space="preserve"> p</w:t>
      </w:r>
      <w:r w:rsidRPr="00305114">
        <w:rPr>
          <w:rFonts w:asciiTheme="majorBidi" w:eastAsia="Times New Roman" w:hAnsiTheme="majorBidi" w:cstheme="majorBidi"/>
          <w:sz w:val="24"/>
          <w:szCs w:val="24"/>
        </w:rPr>
        <w:t xml:space="preserve"> &lt; 0.0001), and the original model (classification accuracy = 0.56,</w:t>
      </w:r>
      <w:r w:rsidRPr="00305114">
        <w:rPr>
          <w:rFonts w:asciiTheme="majorBidi" w:eastAsia="Times New Roman" w:hAnsiTheme="majorBidi" w:cstheme="majorBidi"/>
          <w:i/>
          <w:sz w:val="24"/>
          <w:szCs w:val="24"/>
        </w:rPr>
        <w:t xml:space="preserve"> p</w:t>
      </w:r>
      <w:r w:rsidRPr="00305114">
        <w:rPr>
          <w:rFonts w:asciiTheme="majorBidi" w:eastAsia="Times New Roman" w:hAnsiTheme="majorBidi" w:cstheme="majorBidi"/>
          <w:sz w:val="24"/>
          <w:szCs w:val="24"/>
        </w:rPr>
        <w:t xml:space="preserve"> = 0.027) (See in Figure 9). These scores significantly outperformed those obtained using permuted data, indicating a low likelihood of achieving such good results by chance. This provides </w:t>
      </w:r>
      <w:r w:rsidRPr="00305114">
        <w:rPr>
          <w:rFonts w:asciiTheme="majorBidi" w:eastAsia="Times New Roman" w:hAnsiTheme="majorBidi" w:cstheme="majorBidi"/>
          <w:sz w:val="24"/>
          <w:szCs w:val="24"/>
        </w:rPr>
        <w:lastRenderedPageBreak/>
        <w:t xml:space="preserve">evidence that the model with MSE feature candidates contains real feature dependency compared to the random data model (classification accuracy = 0.51, </w:t>
      </w:r>
      <w:r w:rsidRPr="00305114">
        <w:rPr>
          <w:rFonts w:asciiTheme="majorBidi" w:eastAsia="Times New Roman" w:hAnsiTheme="majorBidi" w:cstheme="majorBidi"/>
          <w:i/>
          <w:sz w:val="24"/>
          <w:szCs w:val="24"/>
        </w:rPr>
        <w:t>p</w:t>
      </w:r>
      <w:r w:rsidRPr="00305114">
        <w:rPr>
          <w:rFonts w:asciiTheme="majorBidi" w:eastAsia="Times New Roman" w:hAnsiTheme="majorBidi" w:cstheme="majorBidi"/>
          <w:sz w:val="24"/>
          <w:szCs w:val="24"/>
        </w:rPr>
        <w:t xml:space="preserve"> = 0.435), and both the univariate and multivariate models effectively utilised this information to achieve good outcomes.</w:t>
      </w:r>
    </w:p>
    <w:p w14:paraId="598A78B8" w14:textId="77777777" w:rsidR="00305114" w:rsidRPr="00305114" w:rsidRDefault="00305114" w:rsidP="00305114">
      <w:pPr>
        <w:spacing w:before="240" w:after="240" w:line="480" w:lineRule="auto"/>
        <w:ind w:firstLine="720"/>
        <w:rPr>
          <w:rFonts w:asciiTheme="majorBidi" w:eastAsia="Times New Roman" w:hAnsiTheme="majorBidi" w:cstheme="majorBidi"/>
          <w:sz w:val="24"/>
          <w:szCs w:val="24"/>
        </w:rPr>
      </w:pPr>
    </w:p>
    <w:p w14:paraId="3046025C" w14:textId="77777777" w:rsidR="00305114" w:rsidRPr="00305114" w:rsidRDefault="00305114" w:rsidP="00305114">
      <w:pPr>
        <w:spacing w:before="240" w:after="240" w:line="480" w:lineRule="auto"/>
        <w:ind w:firstLine="720"/>
        <w:rPr>
          <w:rFonts w:asciiTheme="majorBidi" w:eastAsia="Times New Roman" w:hAnsiTheme="majorBidi" w:cstheme="majorBidi"/>
          <w:sz w:val="24"/>
          <w:szCs w:val="24"/>
        </w:rPr>
      </w:pPr>
    </w:p>
    <w:p w14:paraId="08D56342" w14:textId="77777777" w:rsidR="00305114" w:rsidRPr="00305114" w:rsidRDefault="00305114" w:rsidP="00305114">
      <w:pPr>
        <w:spacing w:before="240" w:after="240" w:line="480" w:lineRule="auto"/>
        <w:rPr>
          <w:rFonts w:asciiTheme="majorBidi" w:eastAsia="Times New Roman" w:hAnsiTheme="majorBidi" w:cstheme="majorBidi"/>
          <w:sz w:val="24"/>
          <w:szCs w:val="24"/>
        </w:rPr>
      </w:pPr>
    </w:p>
    <w:p w14:paraId="7D4D9AAA" w14:textId="77777777" w:rsidR="00305114" w:rsidRPr="00305114" w:rsidRDefault="00E135A4" w:rsidP="00305114">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Figure</w:t>
      </w:r>
      <w:r w:rsidR="00305114" w:rsidRPr="00305114">
        <w:rPr>
          <w:rFonts w:asciiTheme="majorBidi" w:eastAsia="Times New Roman" w:hAnsiTheme="majorBidi" w:cstheme="majorBidi"/>
          <w:b/>
          <w:sz w:val="24"/>
          <w:szCs w:val="24"/>
        </w:rPr>
        <w:t xml:space="preserve"> 9</w:t>
      </w:r>
    </w:p>
    <w:p w14:paraId="253354BC" w14:textId="77777777" w:rsidR="00305114" w:rsidRPr="00305114" w:rsidRDefault="00B71272"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noProof/>
          <w:sz w:val="24"/>
          <w:szCs w:val="24"/>
        </w:rPr>
        <w:drawing>
          <wp:anchor distT="0" distB="0" distL="114300" distR="114300" simplePos="0" relativeHeight="251665408" behindDoc="0" locked="0" layoutInCell="1" allowOverlap="1" wp14:anchorId="24DD810B" wp14:editId="60AC466E">
            <wp:simplePos x="0" y="0"/>
            <wp:positionH relativeFrom="margin">
              <wp:posOffset>-140335</wp:posOffset>
            </wp:positionH>
            <wp:positionV relativeFrom="paragraph">
              <wp:posOffset>653415</wp:posOffset>
            </wp:positionV>
            <wp:extent cx="6724650" cy="4257675"/>
            <wp:effectExtent l="0" t="0" r="0" b="9525"/>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07">
                      <a:extLst>
                        <a:ext uri="{28A0092B-C50C-407E-A947-70E740481C1C}">
                          <a14:useLocalDpi xmlns:a14="http://schemas.microsoft.com/office/drawing/2010/main" val="0"/>
                        </a:ext>
                      </a:extLst>
                    </a:blip>
                    <a:srcRect l="2332" t="9988" r="3682" b="47968"/>
                    <a:stretch>
                      <a:fillRect/>
                    </a:stretch>
                  </pic:blipFill>
                  <pic:spPr>
                    <a:xfrm>
                      <a:off x="0" y="0"/>
                      <a:ext cx="6724650" cy="4257675"/>
                    </a:xfrm>
                    <a:prstGeom prst="rect">
                      <a:avLst/>
                    </a:prstGeom>
                    <a:ln/>
                  </pic:spPr>
                </pic:pic>
              </a:graphicData>
            </a:graphic>
            <wp14:sizeRelH relativeFrom="margin">
              <wp14:pctWidth>0</wp14:pctWidth>
            </wp14:sizeRelH>
            <wp14:sizeRelV relativeFrom="margin">
              <wp14:pctHeight>0</wp14:pctHeight>
            </wp14:sizeRelV>
          </wp:anchor>
        </w:drawing>
      </w:r>
      <w:r w:rsidR="00305114" w:rsidRPr="00305114">
        <w:rPr>
          <w:rFonts w:asciiTheme="majorBidi" w:eastAsia="Times New Roman" w:hAnsiTheme="majorBidi" w:cstheme="majorBidi"/>
          <w:i/>
          <w:sz w:val="24"/>
          <w:szCs w:val="24"/>
        </w:rPr>
        <w:t>Empirical distributions of accuracy of the classifier generated via 1000 times of random label permutations for different models.</w:t>
      </w:r>
    </w:p>
    <w:p w14:paraId="3D467635"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i/>
          <w:sz w:val="24"/>
          <w:szCs w:val="24"/>
        </w:rPr>
        <w:t xml:space="preserve">Note. </w:t>
      </w:r>
      <w:r w:rsidRPr="00305114">
        <w:rPr>
          <w:rFonts w:asciiTheme="majorBidi" w:eastAsia="Times New Roman" w:hAnsiTheme="majorBidi" w:cstheme="majorBidi"/>
          <w:sz w:val="24"/>
          <w:szCs w:val="24"/>
        </w:rPr>
        <w:t xml:space="preserve">Random data represents random surrogate data with the same number of samples and features as the original dataset, original region sets containing all features and region sets selected by significant clusters </w:t>
      </w:r>
      <w:r w:rsidRPr="00305114">
        <w:rPr>
          <w:rFonts w:asciiTheme="majorBidi" w:eastAsia="Times New Roman" w:hAnsiTheme="majorBidi" w:cstheme="majorBidi"/>
          <w:sz w:val="24"/>
          <w:szCs w:val="24"/>
        </w:rPr>
        <w:lastRenderedPageBreak/>
        <w:t>(i.e., the Univariate Model) and SFFS (i.e., the Multivariate Model). The red line shows the actual classification accuracy.</w:t>
      </w:r>
    </w:p>
    <w:p w14:paraId="533194C9" w14:textId="77777777" w:rsidR="00305114" w:rsidRPr="00305114" w:rsidRDefault="00305114" w:rsidP="00305114">
      <w:pPr>
        <w:spacing w:line="480" w:lineRule="auto"/>
        <w:rPr>
          <w:rFonts w:asciiTheme="majorBidi" w:eastAsia="Times New Roman" w:hAnsiTheme="majorBidi" w:cstheme="majorBidi"/>
          <w:b/>
          <w:i/>
          <w:sz w:val="24"/>
          <w:szCs w:val="24"/>
        </w:rPr>
      </w:pPr>
      <w:r w:rsidRPr="00305114">
        <w:rPr>
          <w:rFonts w:asciiTheme="majorBidi" w:eastAsia="Times New Roman" w:hAnsiTheme="majorBidi" w:cstheme="majorBidi"/>
          <w:b/>
          <w:i/>
          <w:sz w:val="24"/>
          <w:szCs w:val="24"/>
        </w:rPr>
        <w:t>Correlation between the significant clusters (obtained from the voxel-wise two sample t test) / features selected by the SFFS and ADOS score of individuals with ASC</w:t>
      </w:r>
    </w:p>
    <w:p w14:paraId="3025D270" w14:textId="77777777" w:rsidR="00305114" w:rsidRPr="00305114" w:rsidRDefault="00AB462D" w:rsidP="00305114">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To</w:t>
      </w:r>
      <w:r w:rsidR="00305114" w:rsidRPr="00305114">
        <w:rPr>
          <w:rFonts w:asciiTheme="majorBidi" w:eastAsia="Times New Roman" w:hAnsiTheme="majorBidi" w:cstheme="majorBidi"/>
          <w:sz w:val="24"/>
          <w:szCs w:val="24"/>
        </w:rPr>
        <w:t xml:space="preserve"> investigate the potential relationship between the selected neurophysiological biomarkers and the clinical traits of individuals with ASC, a subsequent correlation analysis was performed. This analysis aimed to explore how these identified features may be associated with the ADOS score in the ASC population. The study included 108 ASC participants from three sites (i.e., the NYU, SDSU and USM sites), for whom ADOS total scores were available (Table 7). The sample entropy of each significant cluster and the features selected using the SFFS method were extracted for the correlation test with the ADOS score using Pearson's correlation coefficient. However, the results indicated no significant correlation between the sample entropy and the ADOS score in this cohort (Table 8). </w:t>
      </w:r>
    </w:p>
    <w:p w14:paraId="3606F059"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 xml:space="preserve">Table 7 </w:t>
      </w:r>
    </w:p>
    <w:p w14:paraId="433F621F"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 xml:space="preserve">Available Samples with ADOS Scores across Different Sites </w:t>
      </w:r>
    </w:p>
    <w:tbl>
      <w:tblPr>
        <w:tblW w:w="9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760"/>
        <w:gridCol w:w="4110"/>
      </w:tblGrid>
      <w:tr w:rsidR="008F4E90" w:rsidRPr="008F4E90" w14:paraId="6E9C4615" w14:textId="77777777" w:rsidTr="00ED0B86">
        <w:tc>
          <w:tcPr>
            <w:tcW w:w="2235" w:type="dxa"/>
            <w:tcBorders>
              <w:left w:val="single" w:sz="8" w:space="0" w:color="FFFFFF"/>
              <w:right w:val="single" w:sz="8" w:space="0" w:color="FFFFFF"/>
            </w:tcBorders>
            <w:shd w:val="clear" w:color="auto" w:fill="auto"/>
            <w:tcMar>
              <w:top w:w="100" w:type="dxa"/>
              <w:left w:w="100" w:type="dxa"/>
              <w:bottom w:w="100" w:type="dxa"/>
              <w:right w:w="100" w:type="dxa"/>
            </w:tcMar>
          </w:tcPr>
          <w:p w14:paraId="71A4064B"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Site</w:t>
            </w:r>
          </w:p>
        </w:tc>
        <w:tc>
          <w:tcPr>
            <w:tcW w:w="2760" w:type="dxa"/>
            <w:tcBorders>
              <w:left w:val="single" w:sz="8" w:space="0" w:color="FFFFFF"/>
              <w:right w:val="single" w:sz="8" w:space="0" w:color="FFFFFF"/>
            </w:tcBorders>
            <w:shd w:val="clear" w:color="auto" w:fill="auto"/>
            <w:tcMar>
              <w:top w:w="100" w:type="dxa"/>
              <w:left w:w="100" w:type="dxa"/>
              <w:bottom w:w="100" w:type="dxa"/>
              <w:right w:w="100" w:type="dxa"/>
            </w:tcMar>
          </w:tcPr>
          <w:p w14:paraId="3C924C94"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Sample Size</w:t>
            </w:r>
          </w:p>
        </w:tc>
        <w:tc>
          <w:tcPr>
            <w:tcW w:w="4110" w:type="dxa"/>
            <w:tcBorders>
              <w:left w:val="single" w:sz="8" w:space="0" w:color="FFFFFF"/>
              <w:right w:val="single" w:sz="8" w:space="0" w:color="FFFFFF"/>
            </w:tcBorders>
            <w:shd w:val="clear" w:color="auto" w:fill="auto"/>
            <w:tcMar>
              <w:top w:w="100" w:type="dxa"/>
              <w:left w:w="100" w:type="dxa"/>
              <w:bottom w:w="100" w:type="dxa"/>
              <w:right w:w="100" w:type="dxa"/>
            </w:tcMar>
          </w:tcPr>
          <w:p w14:paraId="5390A1CE"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ADOS </w:t>
            </w:r>
          </w:p>
        </w:tc>
      </w:tr>
      <w:tr w:rsidR="008F4E90" w:rsidRPr="008F4E90" w14:paraId="25764382" w14:textId="77777777" w:rsidTr="00ED0B86">
        <w:tc>
          <w:tcPr>
            <w:tcW w:w="22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398332"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NYU</w:t>
            </w:r>
          </w:p>
        </w:tc>
        <w:tc>
          <w:tcPr>
            <w:tcW w:w="27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6B00D6"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60</w:t>
            </w:r>
          </w:p>
        </w:tc>
        <w:tc>
          <w:tcPr>
            <w:tcW w:w="41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0BEC55"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11.433(4.323)</w:t>
            </w:r>
          </w:p>
        </w:tc>
      </w:tr>
      <w:tr w:rsidR="008F4E90" w:rsidRPr="008F4E90" w14:paraId="02AB1717" w14:textId="77777777" w:rsidTr="00ED0B86">
        <w:tc>
          <w:tcPr>
            <w:tcW w:w="22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08A8C5"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SDSU</w:t>
            </w:r>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3F5F89"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11</w:t>
            </w:r>
          </w:p>
        </w:tc>
        <w:tc>
          <w:tcPr>
            <w:tcW w:w="41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410009"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10.545(4.321)</w:t>
            </w:r>
          </w:p>
        </w:tc>
      </w:tr>
      <w:tr w:rsidR="008F4E90" w:rsidRPr="008F4E90" w14:paraId="15A120DA" w14:textId="77777777" w:rsidTr="00ED0B86">
        <w:tc>
          <w:tcPr>
            <w:tcW w:w="22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8A17B35"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USM</w:t>
            </w:r>
          </w:p>
        </w:tc>
        <w:tc>
          <w:tcPr>
            <w:tcW w:w="27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600A6C0"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37</w:t>
            </w:r>
          </w:p>
        </w:tc>
        <w:tc>
          <w:tcPr>
            <w:tcW w:w="411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20A0651"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12.838(3.023)</w:t>
            </w:r>
          </w:p>
        </w:tc>
      </w:tr>
    </w:tbl>
    <w:p w14:paraId="61761359" w14:textId="77777777" w:rsidR="00305114" w:rsidRPr="00305114" w:rsidRDefault="00305114" w:rsidP="00305114">
      <w:pPr>
        <w:spacing w:line="480" w:lineRule="auto"/>
        <w:rPr>
          <w:rFonts w:asciiTheme="majorBidi" w:eastAsia="Times New Roman" w:hAnsiTheme="majorBidi" w:cstheme="majorBidi"/>
          <w:sz w:val="24"/>
          <w:szCs w:val="24"/>
          <w:lang w:val="it-IT"/>
        </w:rPr>
      </w:pPr>
      <w:r w:rsidRPr="00305114">
        <w:rPr>
          <w:rFonts w:asciiTheme="majorBidi" w:eastAsia="Times New Roman" w:hAnsiTheme="majorBidi" w:cstheme="majorBidi"/>
          <w:i/>
          <w:sz w:val="24"/>
          <w:szCs w:val="24"/>
          <w:lang w:val="it-IT"/>
        </w:rPr>
        <w:t xml:space="preserve">Note. </w:t>
      </w:r>
      <w:r w:rsidRPr="00305114">
        <w:rPr>
          <w:rFonts w:asciiTheme="majorBidi" w:eastAsia="Times New Roman" w:hAnsiTheme="majorBidi" w:cstheme="majorBidi"/>
          <w:sz w:val="24"/>
          <w:szCs w:val="24"/>
          <w:lang w:val="it-IT"/>
        </w:rPr>
        <w:t xml:space="preserve">NYU = NYU Langone Medical Center. </w:t>
      </w:r>
    </w:p>
    <w:p w14:paraId="09D13A77"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SDSU = San Diego State University. </w:t>
      </w:r>
    </w:p>
    <w:p w14:paraId="3ABCA7BF" w14:textId="77777777" w:rsidR="00305114" w:rsidRPr="00305114"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USM = University of Utah School of Medicine. </w:t>
      </w:r>
    </w:p>
    <w:p w14:paraId="727C0CEC" w14:textId="77777777" w:rsidR="00305114" w:rsidRPr="008F4E90" w:rsidRDefault="00305114" w:rsidP="00305114">
      <w:pPr>
        <w:spacing w:line="480" w:lineRule="auto"/>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Numeric values indicate mean and (standard deviation)</w:t>
      </w:r>
    </w:p>
    <w:p w14:paraId="1C089EF7" w14:textId="77777777" w:rsidR="00AB462D" w:rsidRPr="008F4E90" w:rsidRDefault="00AB462D" w:rsidP="00305114">
      <w:pPr>
        <w:spacing w:line="480" w:lineRule="auto"/>
        <w:rPr>
          <w:rFonts w:asciiTheme="majorBidi" w:eastAsia="Times New Roman" w:hAnsiTheme="majorBidi" w:cstheme="majorBidi"/>
          <w:sz w:val="24"/>
          <w:szCs w:val="24"/>
        </w:rPr>
      </w:pPr>
    </w:p>
    <w:p w14:paraId="11C72C7F" w14:textId="77777777" w:rsidR="00AB462D" w:rsidRPr="008F4E90" w:rsidRDefault="00AB462D" w:rsidP="00305114">
      <w:pPr>
        <w:spacing w:line="480" w:lineRule="auto"/>
        <w:rPr>
          <w:rFonts w:asciiTheme="majorBidi" w:eastAsia="Times New Roman" w:hAnsiTheme="majorBidi" w:cstheme="majorBidi"/>
          <w:sz w:val="24"/>
          <w:szCs w:val="24"/>
        </w:rPr>
      </w:pPr>
    </w:p>
    <w:p w14:paraId="2102B18C" w14:textId="77777777" w:rsidR="00AB462D" w:rsidRPr="008F4E90" w:rsidRDefault="00AB462D" w:rsidP="00305114">
      <w:pPr>
        <w:spacing w:line="480" w:lineRule="auto"/>
        <w:rPr>
          <w:rFonts w:asciiTheme="majorBidi" w:eastAsia="Times New Roman" w:hAnsiTheme="majorBidi" w:cstheme="majorBidi"/>
          <w:sz w:val="24"/>
          <w:szCs w:val="24"/>
        </w:rPr>
      </w:pPr>
    </w:p>
    <w:p w14:paraId="7F61FE2E" w14:textId="77777777" w:rsidR="00AB462D" w:rsidRPr="008F4E90" w:rsidRDefault="00AB462D" w:rsidP="00305114">
      <w:pPr>
        <w:spacing w:line="480" w:lineRule="auto"/>
        <w:rPr>
          <w:rFonts w:asciiTheme="majorBidi" w:eastAsia="Times New Roman" w:hAnsiTheme="majorBidi" w:cstheme="majorBidi"/>
          <w:sz w:val="24"/>
          <w:szCs w:val="24"/>
        </w:rPr>
      </w:pPr>
    </w:p>
    <w:p w14:paraId="6D611EFF" w14:textId="77777777" w:rsidR="00AB462D" w:rsidRPr="008F4E90" w:rsidRDefault="00AB462D" w:rsidP="00305114">
      <w:pPr>
        <w:spacing w:line="480" w:lineRule="auto"/>
        <w:rPr>
          <w:rFonts w:asciiTheme="majorBidi" w:eastAsia="Times New Roman" w:hAnsiTheme="majorBidi" w:cstheme="majorBidi"/>
          <w:sz w:val="24"/>
          <w:szCs w:val="24"/>
        </w:rPr>
      </w:pPr>
    </w:p>
    <w:p w14:paraId="41EF193E" w14:textId="77777777" w:rsidR="00AB462D" w:rsidRPr="008F4E90" w:rsidRDefault="00AB462D" w:rsidP="00305114">
      <w:pPr>
        <w:spacing w:line="480" w:lineRule="auto"/>
        <w:rPr>
          <w:rFonts w:asciiTheme="majorBidi" w:eastAsia="Times New Roman" w:hAnsiTheme="majorBidi" w:cstheme="majorBidi"/>
          <w:sz w:val="24"/>
          <w:szCs w:val="24"/>
        </w:rPr>
      </w:pPr>
    </w:p>
    <w:p w14:paraId="0CA83C10" w14:textId="77777777" w:rsidR="00AB462D" w:rsidRPr="008F4E90" w:rsidRDefault="00AB462D" w:rsidP="00305114">
      <w:pPr>
        <w:spacing w:line="480" w:lineRule="auto"/>
        <w:rPr>
          <w:rFonts w:asciiTheme="majorBidi" w:eastAsia="Times New Roman" w:hAnsiTheme="majorBidi" w:cstheme="majorBidi"/>
          <w:sz w:val="24"/>
          <w:szCs w:val="24"/>
        </w:rPr>
      </w:pPr>
    </w:p>
    <w:p w14:paraId="2D14F1CE" w14:textId="77777777" w:rsidR="00AB462D" w:rsidRPr="008F4E90" w:rsidRDefault="00AB462D" w:rsidP="00305114">
      <w:pPr>
        <w:spacing w:line="480" w:lineRule="auto"/>
        <w:rPr>
          <w:rFonts w:asciiTheme="majorBidi" w:eastAsia="Times New Roman" w:hAnsiTheme="majorBidi" w:cstheme="majorBidi"/>
          <w:sz w:val="24"/>
          <w:szCs w:val="24"/>
        </w:rPr>
      </w:pPr>
    </w:p>
    <w:p w14:paraId="178D23F6" w14:textId="77777777" w:rsidR="00AB462D" w:rsidRPr="008F4E90" w:rsidRDefault="00AB462D" w:rsidP="00305114">
      <w:pPr>
        <w:spacing w:line="480" w:lineRule="auto"/>
        <w:rPr>
          <w:rFonts w:asciiTheme="majorBidi" w:eastAsia="Times New Roman" w:hAnsiTheme="majorBidi" w:cstheme="majorBidi"/>
          <w:sz w:val="24"/>
          <w:szCs w:val="24"/>
        </w:rPr>
      </w:pPr>
    </w:p>
    <w:p w14:paraId="1CA949B8" w14:textId="77777777" w:rsidR="00AB462D" w:rsidRPr="00305114" w:rsidRDefault="00AB462D" w:rsidP="00305114">
      <w:pPr>
        <w:spacing w:line="480" w:lineRule="auto"/>
        <w:rPr>
          <w:rFonts w:asciiTheme="majorBidi" w:eastAsia="Times New Roman" w:hAnsiTheme="majorBidi" w:cstheme="majorBidi"/>
          <w:sz w:val="24"/>
          <w:szCs w:val="24"/>
        </w:rPr>
      </w:pPr>
    </w:p>
    <w:p w14:paraId="257DD7E9"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Table 8</w:t>
      </w:r>
    </w:p>
    <w:p w14:paraId="67D0C4BB" w14:textId="77777777" w:rsidR="00305114" w:rsidRPr="00305114" w:rsidRDefault="00305114" w:rsidP="00305114">
      <w:pPr>
        <w:spacing w:line="480" w:lineRule="auto"/>
        <w:rPr>
          <w:rFonts w:asciiTheme="majorBidi" w:eastAsia="Times New Roman" w:hAnsiTheme="majorBidi" w:cstheme="majorBidi"/>
          <w:i/>
          <w:sz w:val="24"/>
          <w:szCs w:val="24"/>
        </w:rPr>
      </w:pPr>
      <w:r w:rsidRPr="00305114">
        <w:rPr>
          <w:rFonts w:asciiTheme="majorBidi" w:eastAsia="Times New Roman" w:hAnsiTheme="majorBidi" w:cstheme="majorBidi"/>
          <w:i/>
          <w:sz w:val="24"/>
          <w:szCs w:val="24"/>
        </w:rPr>
        <w:t>Correlation Analysis of ADOS Scores with Brain Regions Using Univariate and Multivariate Methods</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830"/>
        <w:gridCol w:w="2100"/>
        <w:gridCol w:w="930"/>
        <w:gridCol w:w="1545"/>
        <w:gridCol w:w="960"/>
      </w:tblGrid>
      <w:tr w:rsidR="008F4E90" w:rsidRPr="008F4E90" w14:paraId="31C33AFF" w14:textId="77777777" w:rsidTr="00ED0B86">
        <w:tc>
          <w:tcPr>
            <w:tcW w:w="1650" w:type="dxa"/>
            <w:tcBorders>
              <w:left w:val="single" w:sz="8" w:space="0" w:color="FFFFFF"/>
              <w:right w:val="single" w:sz="8" w:space="0" w:color="FFFFFF"/>
            </w:tcBorders>
            <w:shd w:val="clear" w:color="auto" w:fill="auto"/>
            <w:tcMar>
              <w:top w:w="100" w:type="dxa"/>
              <w:left w:w="100" w:type="dxa"/>
              <w:bottom w:w="100" w:type="dxa"/>
              <w:right w:w="100" w:type="dxa"/>
            </w:tcMar>
          </w:tcPr>
          <w:p w14:paraId="4F1837E3"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Method</w:t>
            </w:r>
          </w:p>
        </w:tc>
        <w:tc>
          <w:tcPr>
            <w:tcW w:w="1830" w:type="dxa"/>
            <w:tcBorders>
              <w:left w:val="single" w:sz="8" w:space="0" w:color="FFFFFF"/>
              <w:right w:val="single" w:sz="8" w:space="0" w:color="FFFFFF"/>
            </w:tcBorders>
            <w:shd w:val="clear" w:color="auto" w:fill="auto"/>
            <w:tcMar>
              <w:top w:w="100" w:type="dxa"/>
              <w:left w:w="100" w:type="dxa"/>
              <w:bottom w:w="100" w:type="dxa"/>
              <w:right w:w="100" w:type="dxa"/>
            </w:tcMar>
          </w:tcPr>
          <w:p w14:paraId="6F24E644"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left w:val="single" w:sz="8" w:space="0" w:color="FFFFFF"/>
              <w:right w:val="single" w:sz="8" w:space="0" w:color="FFFFFF"/>
            </w:tcBorders>
            <w:shd w:val="clear" w:color="auto" w:fill="auto"/>
            <w:tcMar>
              <w:top w:w="100" w:type="dxa"/>
              <w:left w:w="100" w:type="dxa"/>
              <w:bottom w:w="100" w:type="dxa"/>
              <w:right w:w="100" w:type="dxa"/>
            </w:tcMar>
          </w:tcPr>
          <w:p w14:paraId="75A2A0A2"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930" w:type="dxa"/>
            <w:tcBorders>
              <w:left w:val="single" w:sz="8" w:space="0" w:color="FFFFFF"/>
              <w:right w:val="single" w:sz="8" w:space="0" w:color="FFFFFF"/>
            </w:tcBorders>
            <w:shd w:val="clear" w:color="auto" w:fill="auto"/>
            <w:tcMar>
              <w:top w:w="100" w:type="dxa"/>
              <w:left w:w="100" w:type="dxa"/>
              <w:bottom w:w="100" w:type="dxa"/>
              <w:right w:w="100" w:type="dxa"/>
            </w:tcMar>
          </w:tcPr>
          <w:p w14:paraId="7AF95046"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Time scale</w:t>
            </w:r>
          </w:p>
        </w:tc>
        <w:tc>
          <w:tcPr>
            <w:tcW w:w="1545" w:type="dxa"/>
            <w:tcBorders>
              <w:left w:val="single" w:sz="8" w:space="0" w:color="FFFFFF"/>
              <w:right w:val="single" w:sz="8" w:space="0" w:color="FFFFFF"/>
            </w:tcBorders>
            <w:shd w:val="clear" w:color="auto" w:fill="auto"/>
            <w:tcMar>
              <w:top w:w="100" w:type="dxa"/>
              <w:left w:w="100" w:type="dxa"/>
              <w:bottom w:w="100" w:type="dxa"/>
              <w:right w:w="100" w:type="dxa"/>
            </w:tcMar>
          </w:tcPr>
          <w:p w14:paraId="49897D26"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Correlation coefficient with ADOS</w:t>
            </w:r>
          </w:p>
        </w:tc>
        <w:tc>
          <w:tcPr>
            <w:tcW w:w="960" w:type="dxa"/>
            <w:tcBorders>
              <w:left w:val="single" w:sz="8" w:space="0" w:color="FFFFFF"/>
              <w:right w:val="single" w:sz="8" w:space="0" w:color="FFFFFF"/>
            </w:tcBorders>
            <w:shd w:val="clear" w:color="auto" w:fill="auto"/>
            <w:tcMar>
              <w:top w:w="100" w:type="dxa"/>
              <w:left w:w="100" w:type="dxa"/>
              <w:bottom w:w="100" w:type="dxa"/>
              <w:right w:w="100" w:type="dxa"/>
            </w:tcMar>
          </w:tcPr>
          <w:p w14:paraId="3A92EE0D"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P value</w:t>
            </w:r>
          </w:p>
        </w:tc>
      </w:tr>
      <w:tr w:rsidR="008F4E90" w:rsidRPr="008F4E90" w14:paraId="6B4FD9FC" w14:textId="77777777" w:rsidTr="00ED0B86">
        <w:tc>
          <w:tcPr>
            <w:tcW w:w="16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BB0D0C"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Univariate Method</w:t>
            </w:r>
          </w:p>
        </w:tc>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F058FC"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Specific positions selected from the voxel-wise two sample t test</w:t>
            </w:r>
          </w:p>
        </w:tc>
        <w:tc>
          <w:tcPr>
            <w:tcW w:w="21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9263EF"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right </w:t>
            </w:r>
            <w:proofErr w:type="spellStart"/>
            <w:r w:rsidRPr="00305114">
              <w:rPr>
                <w:rFonts w:asciiTheme="majorBidi" w:eastAsia="Times New Roman" w:hAnsiTheme="majorBidi" w:cstheme="majorBidi"/>
                <w:sz w:val="24"/>
                <w:szCs w:val="24"/>
              </w:rPr>
              <w:t>precuneus</w:t>
            </w:r>
            <w:proofErr w:type="spellEnd"/>
            <w:r w:rsidRPr="00305114">
              <w:rPr>
                <w:rFonts w:asciiTheme="majorBidi" w:eastAsia="Times New Roman" w:hAnsiTheme="majorBidi" w:cstheme="majorBidi"/>
                <w:sz w:val="24"/>
                <w:szCs w:val="24"/>
              </w:rPr>
              <w:t xml:space="preserve"> cortex</w:t>
            </w:r>
          </w:p>
        </w:tc>
        <w:tc>
          <w:tcPr>
            <w:tcW w:w="9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109DFE"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w:t>
            </w:r>
          </w:p>
        </w:tc>
        <w:tc>
          <w:tcPr>
            <w:tcW w:w="154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89EEC5"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0.061</w:t>
            </w:r>
          </w:p>
        </w:tc>
        <w:tc>
          <w:tcPr>
            <w:tcW w:w="9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99B8B4"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0.533</w:t>
            </w:r>
          </w:p>
        </w:tc>
      </w:tr>
      <w:tr w:rsidR="008F4E90" w:rsidRPr="008F4E90" w14:paraId="0E24A891" w14:textId="77777777" w:rsidTr="00ED0B86">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6A777A"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7688EC"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6F741E"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left medial frontal cortex</w:t>
            </w:r>
          </w:p>
        </w:tc>
        <w:tc>
          <w:tcPr>
            <w:tcW w:w="9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C66715"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6D75B6"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0.0621</w:t>
            </w:r>
          </w:p>
        </w:tc>
        <w:tc>
          <w:tcPr>
            <w:tcW w:w="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497BF1"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0.523</w:t>
            </w:r>
          </w:p>
        </w:tc>
      </w:tr>
      <w:tr w:rsidR="008F4E90" w:rsidRPr="008F4E90" w14:paraId="09114662" w14:textId="77777777" w:rsidTr="00ED0B86">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637840"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090439"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F3B16E"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left intra-calcarine cortex</w:t>
            </w:r>
          </w:p>
        </w:tc>
        <w:tc>
          <w:tcPr>
            <w:tcW w:w="9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EAC80B"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0903DF"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-0.118</w:t>
            </w:r>
          </w:p>
        </w:tc>
        <w:tc>
          <w:tcPr>
            <w:tcW w:w="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E64C7D"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0.226</w:t>
            </w:r>
          </w:p>
        </w:tc>
      </w:tr>
      <w:tr w:rsidR="008F4E90" w:rsidRPr="008F4E90" w14:paraId="7C714B56" w14:textId="77777777" w:rsidTr="00ED0B86">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C5D173"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011D4B"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CD8B1B"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left paracingulate gyrus</w:t>
            </w:r>
          </w:p>
        </w:tc>
        <w:tc>
          <w:tcPr>
            <w:tcW w:w="9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5E61E1"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4</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DDAAC3"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0.0621</w:t>
            </w:r>
          </w:p>
        </w:tc>
        <w:tc>
          <w:tcPr>
            <w:tcW w:w="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ECD342"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0.523</w:t>
            </w:r>
          </w:p>
        </w:tc>
      </w:tr>
      <w:tr w:rsidR="008F4E90" w:rsidRPr="008F4E90" w14:paraId="4ED4E483" w14:textId="77777777" w:rsidTr="00ED0B86">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642392"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B55F4C"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15B67B"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left intra-calcarine cortex </w:t>
            </w:r>
          </w:p>
        </w:tc>
        <w:tc>
          <w:tcPr>
            <w:tcW w:w="9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067EA7"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4</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358AB5"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-0.127</w:t>
            </w:r>
          </w:p>
        </w:tc>
        <w:tc>
          <w:tcPr>
            <w:tcW w:w="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172AE1"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0.190</w:t>
            </w:r>
          </w:p>
        </w:tc>
      </w:tr>
      <w:tr w:rsidR="008F4E90" w:rsidRPr="008F4E90" w14:paraId="3EE7ED9A" w14:textId="77777777" w:rsidTr="00ED0B86">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4F4949"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BB4B3C"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423535"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left paracingulate gyrus</w:t>
            </w:r>
          </w:p>
        </w:tc>
        <w:tc>
          <w:tcPr>
            <w:tcW w:w="9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000833"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5</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474D1D"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0.002</w:t>
            </w:r>
          </w:p>
        </w:tc>
        <w:tc>
          <w:tcPr>
            <w:tcW w:w="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664168"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0.987</w:t>
            </w:r>
          </w:p>
        </w:tc>
      </w:tr>
      <w:tr w:rsidR="008F4E90" w:rsidRPr="008F4E90" w14:paraId="0204A14A" w14:textId="77777777" w:rsidTr="00ED0B86">
        <w:tc>
          <w:tcPr>
            <w:tcW w:w="16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92F6F9"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1999FB"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34FEC2" w14:textId="77777777" w:rsidR="00305114" w:rsidRPr="00305114" w:rsidRDefault="00305114" w:rsidP="00305114">
            <w:pP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left intra-calcarine cortex </w:t>
            </w:r>
          </w:p>
        </w:tc>
        <w:tc>
          <w:tcPr>
            <w:tcW w:w="9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1E4ABD"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5</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2634F0"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-0.101</w:t>
            </w:r>
          </w:p>
        </w:tc>
        <w:tc>
          <w:tcPr>
            <w:tcW w:w="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C9B3D5"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0.296</w:t>
            </w:r>
          </w:p>
        </w:tc>
      </w:tr>
      <w:tr w:rsidR="008F4E90" w:rsidRPr="008F4E90" w14:paraId="73BD4E61" w14:textId="77777777" w:rsidTr="00020949">
        <w:tc>
          <w:tcPr>
            <w:tcW w:w="1650" w:type="dxa"/>
            <w:tcBorders>
              <w:top w:val="single" w:sz="8" w:space="0" w:color="FFFFFF"/>
              <w:left w:val="single" w:sz="8" w:space="0" w:color="FFFFFF"/>
              <w:bottom w:val="nil"/>
              <w:right w:val="single" w:sz="8" w:space="0" w:color="FFFFFF"/>
            </w:tcBorders>
            <w:shd w:val="clear" w:color="auto" w:fill="auto"/>
            <w:tcMar>
              <w:top w:w="100" w:type="dxa"/>
              <w:left w:w="100" w:type="dxa"/>
              <w:bottom w:w="100" w:type="dxa"/>
              <w:right w:w="100" w:type="dxa"/>
            </w:tcMar>
          </w:tcPr>
          <w:p w14:paraId="06AC3C20"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Multivariate Method</w:t>
            </w:r>
          </w:p>
        </w:tc>
        <w:tc>
          <w:tcPr>
            <w:tcW w:w="1830" w:type="dxa"/>
            <w:tcBorders>
              <w:top w:val="single" w:sz="8" w:space="0" w:color="FFFFFF"/>
              <w:left w:val="single" w:sz="8" w:space="0" w:color="FFFFFF"/>
              <w:bottom w:val="nil"/>
              <w:right w:val="single" w:sz="8" w:space="0" w:color="FFFFFF"/>
            </w:tcBorders>
            <w:shd w:val="clear" w:color="auto" w:fill="auto"/>
            <w:tcMar>
              <w:top w:w="100" w:type="dxa"/>
              <w:left w:w="100" w:type="dxa"/>
              <w:bottom w:w="100" w:type="dxa"/>
              <w:right w:w="100" w:type="dxa"/>
            </w:tcMar>
          </w:tcPr>
          <w:p w14:paraId="188B397F"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Specific Atlas selected from the SFFS</w:t>
            </w:r>
          </w:p>
        </w:tc>
        <w:tc>
          <w:tcPr>
            <w:tcW w:w="2100" w:type="dxa"/>
            <w:tcBorders>
              <w:top w:val="single" w:sz="8" w:space="0" w:color="FFFFFF"/>
              <w:left w:val="single" w:sz="8" w:space="0" w:color="FFFFFF"/>
              <w:bottom w:val="nil"/>
              <w:right w:val="single" w:sz="8" w:space="0" w:color="FFFFFF"/>
            </w:tcBorders>
            <w:shd w:val="clear" w:color="auto" w:fill="auto"/>
            <w:tcMar>
              <w:top w:w="100" w:type="dxa"/>
              <w:left w:w="100" w:type="dxa"/>
              <w:bottom w:w="100" w:type="dxa"/>
              <w:right w:w="100" w:type="dxa"/>
            </w:tcMar>
          </w:tcPr>
          <w:p w14:paraId="30298B81"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CingulateGyrusposterior_L</w:t>
            </w:r>
            <w:proofErr w:type="spellEnd"/>
          </w:p>
        </w:tc>
        <w:tc>
          <w:tcPr>
            <w:tcW w:w="930" w:type="dxa"/>
            <w:tcBorders>
              <w:top w:val="single" w:sz="8" w:space="0" w:color="FFFFFF"/>
              <w:left w:val="single" w:sz="8" w:space="0" w:color="FFFFFF"/>
              <w:bottom w:val="nil"/>
              <w:right w:val="single" w:sz="8" w:space="0" w:color="FFFFFF"/>
            </w:tcBorders>
            <w:shd w:val="clear" w:color="auto" w:fill="auto"/>
            <w:tcMar>
              <w:top w:w="100" w:type="dxa"/>
              <w:left w:w="100" w:type="dxa"/>
              <w:bottom w:w="100" w:type="dxa"/>
              <w:right w:w="100" w:type="dxa"/>
            </w:tcMar>
          </w:tcPr>
          <w:p w14:paraId="44D99E4E"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w:t>
            </w:r>
          </w:p>
        </w:tc>
        <w:tc>
          <w:tcPr>
            <w:tcW w:w="1545" w:type="dxa"/>
            <w:tcBorders>
              <w:top w:val="single" w:sz="8" w:space="0" w:color="FFFFFF"/>
              <w:left w:val="single" w:sz="8" w:space="0" w:color="FFFFFF"/>
              <w:bottom w:val="nil"/>
              <w:right w:val="single" w:sz="8" w:space="0" w:color="FFFFFF"/>
            </w:tcBorders>
            <w:shd w:val="clear" w:color="auto" w:fill="auto"/>
            <w:tcMar>
              <w:top w:w="100" w:type="dxa"/>
              <w:left w:w="100" w:type="dxa"/>
              <w:bottom w:w="100" w:type="dxa"/>
              <w:right w:w="100" w:type="dxa"/>
            </w:tcMar>
          </w:tcPr>
          <w:p w14:paraId="6B9AEEA3"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-0.151</w:t>
            </w:r>
          </w:p>
        </w:tc>
        <w:tc>
          <w:tcPr>
            <w:tcW w:w="960" w:type="dxa"/>
            <w:tcBorders>
              <w:top w:val="single" w:sz="8" w:space="0" w:color="FFFFFF"/>
              <w:left w:val="single" w:sz="8" w:space="0" w:color="FFFFFF"/>
              <w:bottom w:val="nil"/>
              <w:right w:val="single" w:sz="8" w:space="0" w:color="FFFFFF"/>
            </w:tcBorders>
            <w:shd w:val="clear" w:color="auto" w:fill="auto"/>
            <w:tcMar>
              <w:top w:w="100" w:type="dxa"/>
              <w:left w:w="100" w:type="dxa"/>
              <w:bottom w:w="100" w:type="dxa"/>
              <w:right w:w="100" w:type="dxa"/>
            </w:tcMar>
          </w:tcPr>
          <w:p w14:paraId="31C1D2B6"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0.118</w:t>
            </w:r>
          </w:p>
        </w:tc>
      </w:tr>
      <w:tr w:rsidR="008F4E90" w:rsidRPr="008F4E90" w14:paraId="2DF06B9E" w14:textId="77777777" w:rsidTr="00020949">
        <w:tc>
          <w:tcPr>
            <w:tcW w:w="1650" w:type="dxa"/>
            <w:tcBorders>
              <w:top w:val="nil"/>
              <w:left w:val="nil"/>
              <w:bottom w:val="nil"/>
              <w:right w:val="nil"/>
            </w:tcBorders>
            <w:shd w:val="clear" w:color="auto" w:fill="auto"/>
            <w:tcMar>
              <w:top w:w="100" w:type="dxa"/>
              <w:left w:w="100" w:type="dxa"/>
              <w:bottom w:w="100" w:type="dxa"/>
              <w:right w:w="100" w:type="dxa"/>
            </w:tcMar>
          </w:tcPr>
          <w:p w14:paraId="4074DD45"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5E59679F"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nil"/>
              <w:left w:val="nil"/>
              <w:bottom w:val="nil"/>
              <w:right w:val="nil"/>
            </w:tcBorders>
            <w:shd w:val="clear" w:color="auto" w:fill="auto"/>
            <w:tcMar>
              <w:top w:w="100" w:type="dxa"/>
              <w:left w:w="100" w:type="dxa"/>
              <w:bottom w:w="100" w:type="dxa"/>
              <w:right w:w="100" w:type="dxa"/>
            </w:tcMar>
          </w:tcPr>
          <w:p w14:paraId="26E92A83"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TemporalFusiformCortexanterior_L</w:t>
            </w:r>
            <w:proofErr w:type="spellEnd"/>
          </w:p>
        </w:tc>
        <w:tc>
          <w:tcPr>
            <w:tcW w:w="930" w:type="dxa"/>
            <w:tcBorders>
              <w:top w:val="nil"/>
              <w:left w:val="nil"/>
              <w:bottom w:val="nil"/>
              <w:right w:val="nil"/>
            </w:tcBorders>
            <w:shd w:val="clear" w:color="auto" w:fill="auto"/>
            <w:tcMar>
              <w:top w:w="100" w:type="dxa"/>
              <w:left w:w="100" w:type="dxa"/>
              <w:bottom w:w="100" w:type="dxa"/>
              <w:right w:w="100" w:type="dxa"/>
            </w:tcMar>
          </w:tcPr>
          <w:p w14:paraId="5A109EB5"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1</w:t>
            </w:r>
          </w:p>
        </w:tc>
        <w:tc>
          <w:tcPr>
            <w:tcW w:w="1545" w:type="dxa"/>
            <w:tcBorders>
              <w:top w:val="nil"/>
              <w:left w:val="nil"/>
              <w:bottom w:val="nil"/>
              <w:right w:val="nil"/>
            </w:tcBorders>
            <w:shd w:val="clear" w:color="auto" w:fill="auto"/>
            <w:tcMar>
              <w:top w:w="100" w:type="dxa"/>
              <w:left w:w="100" w:type="dxa"/>
              <w:bottom w:w="100" w:type="dxa"/>
              <w:right w:w="100" w:type="dxa"/>
            </w:tcMar>
          </w:tcPr>
          <w:p w14:paraId="4AA56BA8"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-0.128</w:t>
            </w:r>
          </w:p>
        </w:tc>
        <w:tc>
          <w:tcPr>
            <w:tcW w:w="960" w:type="dxa"/>
            <w:tcBorders>
              <w:top w:val="nil"/>
              <w:left w:val="nil"/>
              <w:bottom w:val="nil"/>
              <w:right w:val="nil"/>
            </w:tcBorders>
            <w:shd w:val="clear" w:color="auto" w:fill="auto"/>
            <w:tcMar>
              <w:top w:w="100" w:type="dxa"/>
              <w:left w:w="100" w:type="dxa"/>
              <w:bottom w:w="100" w:type="dxa"/>
              <w:right w:w="100" w:type="dxa"/>
            </w:tcMar>
          </w:tcPr>
          <w:p w14:paraId="471FE712"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0.186</w:t>
            </w:r>
          </w:p>
        </w:tc>
      </w:tr>
      <w:tr w:rsidR="008F4E90" w:rsidRPr="008F4E90" w14:paraId="0463DA71" w14:textId="77777777" w:rsidTr="00020949">
        <w:tc>
          <w:tcPr>
            <w:tcW w:w="1650" w:type="dxa"/>
            <w:tcBorders>
              <w:top w:val="nil"/>
              <w:left w:val="nil"/>
              <w:bottom w:val="nil"/>
              <w:right w:val="nil"/>
            </w:tcBorders>
            <w:shd w:val="clear" w:color="auto" w:fill="auto"/>
            <w:tcMar>
              <w:top w:w="100" w:type="dxa"/>
              <w:left w:w="100" w:type="dxa"/>
              <w:bottom w:w="100" w:type="dxa"/>
              <w:right w:w="100" w:type="dxa"/>
            </w:tcMar>
          </w:tcPr>
          <w:p w14:paraId="7B5D4A36" w14:textId="77777777" w:rsidR="00305114" w:rsidRPr="00305114" w:rsidRDefault="00305114" w:rsidP="00305114">
            <w:pPr>
              <w:widowControl w:val="0"/>
              <w:pBdr>
                <w:top w:val="nil"/>
                <w:left w:val="nil"/>
                <w:bottom w:val="nil"/>
                <w:right w:val="nil"/>
                <w:between w:val="nil"/>
              </w:pBdr>
              <w:spacing w:line="480" w:lineRule="auto"/>
              <w:jc w:val="center"/>
              <w:rPr>
                <w:rFonts w:asciiTheme="majorBidi" w:eastAsia="Times New Roman" w:hAnsiTheme="majorBidi" w:cstheme="majorBidi"/>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44F4F433"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nil"/>
              <w:left w:val="nil"/>
              <w:bottom w:val="nil"/>
              <w:right w:val="nil"/>
            </w:tcBorders>
            <w:shd w:val="clear" w:color="auto" w:fill="auto"/>
            <w:tcMar>
              <w:top w:w="100" w:type="dxa"/>
              <w:left w:w="100" w:type="dxa"/>
              <w:bottom w:w="100" w:type="dxa"/>
              <w:right w:w="100" w:type="dxa"/>
            </w:tcMar>
          </w:tcPr>
          <w:p w14:paraId="044928AA"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FrontalOrbitalCortex_L</w:t>
            </w:r>
            <w:proofErr w:type="spellEnd"/>
          </w:p>
        </w:tc>
        <w:tc>
          <w:tcPr>
            <w:tcW w:w="930" w:type="dxa"/>
            <w:tcBorders>
              <w:top w:val="nil"/>
              <w:left w:val="nil"/>
              <w:bottom w:val="nil"/>
              <w:right w:val="nil"/>
            </w:tcBorders>
            <w:shd w:val="clear" w:color="auto" w:fill="auto"/>
            <w:tcMar>
              <w:top w:w="100" w:type="dxa"/>
              <w:left w:w="100" w:type="dxa"/>
              <w:bottom w:w="100" w:type="dxa"/>
              <w:right w:w="100" w:type="dxa"/>
            </w:tcMar>
          </w:tcPr>
          <w:p w14:paraId="05A9B6F6"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w:t>
            </w:r>
          </w:p>
        </w:tc>
        <w:tc>
          <w:tcPr>
            <w:tcW w:w="1545" w:type="dxa"/>
            <w:tcBorders>
              <w:top w:val="nil"/>
              <w:left w:val="nil"/>
              <w:bottom w:val="nil"/>
              <w:right w:val="nil"/>
            </w:tcBorders>
            <w:shd w:val="clear" w:color="auto" w:fill="auto"/>
            <w:tcMar>
              <w:top w:w="100" w:type="dxa"/>
              <w:left w:w="100" w:type="dxa"/>
              <w:bottom w:w="100" w:type="dxa"/>
              <w:right w:w="100" w:type="dxa"/>
            </w:tcMar>
          </w:tcPr>
          <w:p w14:paraId="5ADCAD7E"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-0.075</w:t>
            </w:r>
          </w:p>
        </w:tc>
        <w:tc>
          <w:tcPr>
            <w:tcW w:w="960" w:type="dxa"/>
            <w:tcBorders>
              <w:top w:val="nil"/>
              <w:left w:val="nil"/>
              <w:bottom w:val="nil"/>
              <w:right w:val="nil"/>
            </w:tcBorders>
            <w:shd w:val="clear" w:color="auto" w:fill="auto"/>
            <w:tcMar>
              <w:top w:w="100" w:type="dxa"/>
              <w:left w:w="100" w:type="dxa"/>
              <w:bottom w:w="100" w:type="dxa"/>
              <w:right w:w="100" w:type="dxa"/>
            </w:tcMar>
          </w:tcPr>
          <w:p w14:paraId="5EF8A878"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0.440</w:t>
            </w:r>
          </w:p>
        </w:tc>
      </w:tr>
      <w:tr w:rsidR="008F4E90" w:rsidRPr="008F4E90" w14:paraId="4B839396" w14:textId="77777777" w:rsidTr="00020949">
        <w:tc>
          <w:tcPr>
            <w:tcW w:w="1650" w:type="dxa"/>
            <w:tcBorders>
              <w:top w:val="nil"/>
              <w:left w:val="nil"/>
              <w:bottom w:val="nil"/>
              <w:right w:val="nil"/>
            </w:tcBorders>
            <w:shd w:val="clear" w:color="auto" w:fill="auto"/>
            <w:tcMar>
              <w:top w:w="100" w:type="dxa"/>
              <w:left w:w="100" w:type="dxa"/>
              <w:bottom w:w="100" w:type="dxa"/>
              <w:right w:w="100" w:type="dxa"/>
            </w:tcMar>
          </w:tcPr>
          <w:p w14:paraId="05BFC22C" w14:textId="77777777" w:rsidR="00305114" w:rsidRPr="00305114" w:rsidRDefault="00305114" w:rsidP="00305114">
            <w:pPr>
              <w:spacing w:line="480" w:lineRule="auto"/>
              <w:jc w:val="center"/>
              <w:rPr>
                <w:rFonts w:asciiTheme="majorBidi" w:eastAsia="Times New Roman" w:hAnsiTheme="majorBidi" w:cstheme="majorBidi"/>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2888D067"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nil"/>
              <w:left w:val="nil"/>
              <w:bottom w:val="nil"/>
              <w:right w:val="nil"/>
            </w:tcBorders>
            <w:shd w:val="clear" w:color="auto" w:fill="auto"/>
            <w:tcMar>
              <w:top w:w="100" w:type="dxa"/>
              <w:left w:w="100" w:type="dxa"/>
              <w:bottom w:w="100" w:type="dxa"/>
              <w:right w:w="100" w:type="dxa"/>
            </w:tcMar>
          </w:tcPr>
          <w:p w14:paraId="23AFBEA9"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SuperiorTemporalGyrusanterior_L</w:t>
            </w:r>
            <w:proofErr w:type="spellEnd"/>
          </w:p>
        </w:tc>
        <w:tc>
          <w:tcPr>
            <w:tcW w:w="930" w:type="dxa"/>
            <w:tcBorders>
              <w:top w:val="nil"/>
              <w:left w:val="nil"/>
              <w:bottom w:val="nil"/>
              <w:right w:val="nil"/>
            </w:tcBorders>
            <w:shd w:val="clear" w:color="auto" w:fill="auto"/>
            <w:tcMar>
              <w:top w:w="100" w:type="dxa"/>
              <w:left w:w="100" w:type="dxa"/>
              <w:bottom w:w="100" w:type="dxa"/>
              <w:right w:w="100" w:type="dxa"/>
            </w:tcMar>
          </w:tcPr>
          <w:p w14:paraId="28321890"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w:t>
            </w:r>
          </w:p>
        </w:tc>
        <w:tc>
          <w:tcPr>
            <w:tcW w:w="1545" w:type="dxa"/>
            <w:tcBorders>
              <w:top w:val="nil"/>
              <w:left w:val="nil"/>
              <w:bottom w:val="nil"/>
              <w:right w:val="nil"/>
            </w:tcBorders>
            <w:shd w:val="clear" w:color="auto" w:fill="auto"/>
            <w:tcMar>
              <w:top w:w="100" w:type="dxa"/>
              <w:left w:w="100" w:type="dxa"/>
              <w:bottom w:w="100" w:type="dxa"/>
              <w:right w:w="100" w:type="dxa"/>
            </w:tcMar>
          </w:tcPr>
          <w:p w14:paraId="24E50483"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0.176</w:t>
            </w:r>
          </w:p>
        </w:tc>
        <w:tc>
          <w:tcPr>
            <w:tcW w:w="960" w:type="dxa"/>
            <w:tcBorders>
              <w:top w:val="nil"/>
              <w:left w:val="nil"/>
              <w:bottom w:val="nil"/>
              <w:right w:val="nil"/>
            </w:tcBorders>
            <w:shd w:val="clear" w:color="auto" w:fill="auto"/>
            <w:tcMar>
              <w:top w:w="100" w:type="dxa"/>
              <w:left w:w="100" w:type="dxa"/>
              <w:bottom w:w="100" w:type="dxa"/>
              <w:right w:w="100" w:type="dxa"/>
            </w:tcMar>
          </w:tcPr>
          <w:p w14:paraId="00EAD1E9"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0.067</w:t>
            </w:r>
          </w:p>
        </w:tc>
      </w:tr>
      <w:tr w:rsidR="008F4E90" w:rsidRPr="008F4E90" w14:paraId="113278F3" w14:textId="77777777" w:rsidTr="00020949">
        <w:tc>
          <w:tcPr>
            <w:tcW w:w="1650" w:type="dxa"/>
            <w:tcBorders>
              <w:top w:val="nil"/>
              <w:left w:val="nil"/>
              <w:bottom w:val="nil"/>
              <w:right w:val="nil"/>
            </w:tcBorders>
            <w:shd w:val="clear" w:color="auto" w:fill="auto"/>
            <w:tcMar>
              <w:top w:w="100" w:type="dxa"/>
              <w:left w:w="100" w:type="dxa"/>
              <w:bottom w:w="100" w:type="dxa"/>
              <w:right w:w="100" w:type="dxa"/>
            </w:tcMar>
          </w:tcPr>
          <w:p w14:paraId="11C1C753" w14:textId="77777777" w:rsidR="00305114" w:rsidRPr="00305114" w:rsidRDefault="00305114" w:rsidP="00305114">
            <w:pPr>
              <w:spacing w:line="480" w:lineRule="auto"/>
              <w:jc w:val="center"/>
              <w:rPr>
                <w:rFonts w:asciiTheme="majorBidi" w:eastAsia="Times New Roman" w:hAnsiTheme="majorBidi" w:cstheme="majorBidi"/>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52087452"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nil"/>
              <w:left w:val="nil"/>
              <w:bottom w:val="nil"/>
              <w:right w:val="nil"/>
            </w:tcBorders>
            <w:shd w:val="clear" w:color="auto" w:fill="auto"/>
            <w:tcMar>
              <w:top w:w="100" w:type="dxa"/>
              <w:left w:w="100" w:type="dxa"/>
              <w:bottom w:w="100" w:type="dxa"/>
              <w:right w:w="100" w:type="dxa"/>
            </w:tcMar>
          </w:tcPr>
          <w:p w14:paraId="29635E55"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SupramarginalGyrusposterior_R</w:t>
            </w:r>
            <w:proofErr w:type="spellEnd"/>
          </w:p>
        </w:tc>
        <w:tc>
          <w:tcPr>
            <w:tcW w:w="930" w:type="dxa"/>
            <w:tcBorders>
              <w:top w:val="nil"/>
              <w:left w:val="nil"/>
              <w:bottom w:val="nil"/>
              <w:right w:val="nil"/>
            </w:tcBorders>
            <w:shd w:val="clear" w:color="auto" w:fill="auto"/>
            <w:tcMar>
              <w:top w:w="100" w:type="dxa"/>
              <w:left w:w="100" w:type="dxa"/>
              <w:bottom w:w="100" w:type="dxa"/>
              <w:right w:w="100" w:type="dxa"/>
            </w:tcMar>
          </w:tcPr>
          <w:p w14:paraId="6426B5F9"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2</w:t>
            </w:r>
          </w:p>
        </w:tc>
        <w:tc>
          <w:tcPr>
            <w:tcW w:w="1545" w:type="dxa"/>
            <w:tcBorders>
              <w:top w:val="nil"/>
              <w:left w:val="nil"/>
              <w:bottom w:val="nil"/>
              <w:right w:val="nil"/>
            </w:tcBorders>
            <w:shd w:val="clear" w:color="auto" w:fill="auto"/>
            <w:tcMar>
              <w:top w:w="100" w:type="dxa"/>
              <w:left w:w="100" w:type="dxa"/>
              <w:bottom w:w="100" w:type="dxa"/>
              <w:right w:w="100" w:type="dxa"/>
            </w:tcMar>
          </w:tcPr>
          <w:p w14:paraId="3C1FFC28"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 -0.039</w:t>
            </w:r>
          </w:p>
        </w:tc>
        <w:tc>
          <w:tcPr>
            <w:tcW w:w="960" w:type="dxa"/>
            <w:tcBorders>
              <w:top w:val="nil"/>
              <w:left w:val="nil"/>
              <w:bottom w:val="nil"/>
              <w:right w:val="nil"/>
            </w:tcBorders>
            <w:shd w:val="clear" w:color="auto" w:fill="auto"/>
            <w:tcMar>
              <w:top w:w="100" w:type="dxa"/>
              <w:left w:w="100" w:type="dxa"/>
              <w:bottom w:w="100" w:type="dxa"/>
              <w:right w:w="100" w:type="dxa"/>
            </w:tcMar>
          </w:tcPr>
          <w:p w14:paraId="3219572F"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0.694</w:t>
            </w:r>
          </w:p>
        </w:tc>
      </w:tr>
      <w:tr w:rsidR="008F4E90" w:rsidRPr="008F4E90" w14:paraId="3D9E7527" w14:textId="77777777" w:rsidTr="00020949">
        <w:tc>
          <w:tcPr>
            <w:tcW w:w="1650" w:type="dxa"/>
            <w:tcBorders>
              <w:top w:val="nil"/>
              <w:left w:val="nil"/>
              <w:bottom w:val="nil"/>
              <w:right w:val="nil"/>
            </w:tcBorders>
            <w:shd w:val="clear" w:color="auto" w:fill="auto"/>
            <w:tcMar>
              <w:top w:w="100" w:type="dxa"/>
              <w:left w:w="100" w:type="dxa"/>
              <w:bottom w:w="100" w:type="dxa"/>
              <w:right w:w="100" w:type="dxa"/>
            </w:tcMar>
          </w:tcPr>
          <w:p w14:paraId="5856B1B5" w14:textId="77777777" w:rsidR="00305114" w:rsidRPr="00305114" w:rsidRDefault="00305114" w:rsidP="00305114">
            <w:pPr>
              <w:spacing w:line="480" w:lineRule="auto"/>
              <w:jc w:val="center"/>
              <w:rPr>
                <w:rFonts w:asciiTheme="majorBidi" w:eastAsia="Times New Roman" w:hAnsiTheme="majorBidi" w:cstheme="majorBidi"/>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10EC45C6"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nil"/>
              <w:left w:val="nil"/>
              <w:bottom w:val="nil"/>
              <w:right w:val="nil"/>
            </w:tcBorders>
            <w:shd w:val="clear" w:color="auto" w:fill="auto"/>
            <w:tcMar>
              <w:top w:w="100" w:type="dxa"/>
              <w:left w:w="100" w:type="dxa"/>
              <w:bottom w:w="100" w:type="dxa"/>
              <w:right w:w="100" w:type="dxa"/>
            </w:tcMar>
          </w:tcPr>
          <w:p w14:paraId="533D6850"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InferiorTemporalGyrusposterior_R</w:t>
            </w:r>
            <w:proofErr w:type="spellEnd"/>
          </w:p>
        </w:tc>
        <w:tc>
          <w:tcPr>
            <w:tcW w:w="930" w:type="dxa"/>
            <w:tcBorders>
              <w:top w:val="nil"/>
              <w:left w:val="nil"/>
              <w:bottom w:val="nil"/>
              <w:right w:val="nil"/>
            </w:tcBorders>
            <w:shd w:val="clear" w:color="auto" w:fill="auto"/>
            <w:tcMar>
              <w:top w:w="100" w:type="dxa"/>
              <w:left w:w="100" w:type="dxa"/>
              <w:bottom w:w="100" w:type="dxa"/>
              <w:right w:w="100" w:type="dxa"/>
            </w:tcMar>
          </w:tcPr>
          <w:p w14:paraId="75D7A56B"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3</w:t>
            </w:r>
          </w:p>
        </w:tc>
        <w:tc>
          <w:tcPr>
            <w:tcW w:w="1545" w:type="dxa"/>
            <w:tcBorders>
              <w:top w:val="nil"/>
              <w:left w:val="nil"/>
              <w:bottom w:val="nil"/>
              <w:right w:val="nil"/>
            </w:tcBorders>
            <w:shd w:val="clear" w:color="auto" w:fill="auto"/>
            <w:tcMar>
              <w:top w:w="100" w:type="dxa"/>
              <w:left w:w="100" w:type="dxa"/>
              <w:bottom w:w="100" w:type="dxa"/>
              <w:right w:w="100" w:type="dxa"/>
            </w:tcMar>
          </w:tcPr>
          <w:p w14:paraId="6CF1EA56"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0.0434</w:t>
            </w:r>
          </w:p>
        </w:tc>
        <w:tc>
          <w:tcPr>
            <w:tcW w:w="960" w:type="dxa"/>
            <w:tcBorders>
              <w:top w:val="nil"/>
              <w:left w:val="nil"/>
              <w:bottom w:val="nil"/>
              <w:right w:val="nil"/>
            </w:tcBorders>
            <w:shd w:val="clear" w:color="auto" w:fill="auto"/>
            <w:tcMar>
              <w:top w:w="100" w:type="dxa"/>
              <w:left w:w="100" w:type="dxa"/>
              <w:bottom w:w="100" w:type="dxa"/>
              <w:right w:w="100" w:type="dxa"/>
            </w:tcMar>
          </w:tcPr>
          <w:p w14:paraId="17B7D7CF"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0.656</w:t>
            </w:r>
          </w:p>
          <w:p w14:paraId="02DEEFB4"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r>
      <w:tr w:rsidR="008F4E90" w:rsidRPr="008F4E90" w14:paraId="27CDDF03" w14:textId="77777777" w:rsidTr="00020949">
        <w:tc>
          <w:tcPr>
            <w:tcW w:w="1650" w:type="dxa"/>
            <w:tcBorders>
              <w:top w:val="nil"/>
              <w:left w:val="nil"/>
              <w:bottom w:val="nil"/>
              <w:right w:val="nil"/>
            </w:tcBorders>
            <w:shd w:val="clear" w:color="auto" w:fill="auto"/>
            <w:tcMar>
              <w:top w:w="100" w:type="dxa"/>
              <w:left w:w="100" w:type="dxa"/>
              <w:bottom w:w="100" w:type="dxa"/>
              <w:right w:w="100" w:type="dxa"/>
            </w:tcMar>
          </w:tcPr>
          <w:p w14:paraId="03012BD2" w14:textId="77777777" w:rsidR="00305114" w:rsidRPr="00305114" w:rsidRDefault="00305114" w:rsidP="00305114">
            <w:pPr>
              <w:spacing w:line="480" w:lineRule="auto"/>
              <w:jc w:val="center"/>
              <w:rPr>
                <w:rFonts w:asciiTheme="majorBidi" w:eastAsia="Times New Roman" w:hAnsiTheme="majorBidi" w:cstheme="majorBidi"/>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5EFAC8D1"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nil"/>
              <w:left w:val="nil"/>
              <w:bottom w:val="nil"/>
              <w:right w:val="nil"/>
            </w:tcBorders>
            <w:shd w:val="clear" w:color="auto" w:fill="auto"/>
            <w:tcMar>
              <w:top w:w="100" w:type="dxa"/>
              <w:left w:w="100" w:type="dxa"/>
              <w:bottom w:w="100" w:type="dxa"/>
              <w:right w:w="100" w:type="dxa"/>
            </w:tcMar>
          </w:tcPr>
          <w:p w14:paraId="55F6D63D"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InferiorFrontalGyrusparstriangularis_R</w:t>
            </w:r>
            <w:proofErr w:type="spellEnd"/>
          </w:p>
        </w:tc>
        <w:tc>
          <w:tcPr>
            <w:tcW w:w="930" w:type="dxa"/>
            <w:tcBorders>
              <w:top w:val="nil"/>
              <w:left w:val="nil"/>
              <w:bottom w:val="nil"/>
              <w:right w:val="nil"/>
            </w:tcBorders>
            <w:shd w:val="clear" w:color="auto" w:fill="auto"/>
            <w:tcMar>
              <w:top w:w="100" w:type="dxa"/>
              <w:left w:w="100" w:type="dxa"/>
              <w:bottom w:w="100" w:type="dxa"/>
              <w:right w:w="100" w:type="dxa"/>
            </w:tcMar>
          </w:tcPr>
          <w:p w14:paraId="7985CA9B"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4</w:t>
            </w:r>
          </w:p>
        </w:tc>
        <w:tc>
          <w:tcPr>
            <w:tcW w:w="1545" w:type="dxa"/>
            <w:tcBorders>
              <w:top w:val="nil"/>
              <w:left w:val="nil"/>
              <w:bottom w:val="nil"/>
              <w:right w:val="nil"/>
            </w:tcBorders>
            <w:shd w:val="clear" w:color="auto" w:fill="auto"/>
            <w:tcMar>
              <w:top w:w="100" w:type="dxa"/>
              <w:left w:w="100" w:type="dxa"/>
              <w:bottom w:w="100" w:type="dxa"/>
              <w:right w:w="100" w:type="dxa"/>
            </w:tcMar>
          </w:tcPr>
          <w:p w14:paraId="1CBAA475"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0.100</w:t>
            </w:r>
          </w:p>
        </w:tc>
        <w:tc>
          <w:tcPr>
            <w:tcW w:w="960" w:type="dxa"/>
            <w:tcBorders>
              <w:top w:val="nil"/>
              <w:left w:val="nil"/>
              <w:bottom w:val="nil"/>
              <w:right w:val="nil"/>
            </w:tcBorders>
            <w:shd w:val="clear" w:color="auto" w:fill="auto"/>
            <w:tcMar>
              <w:top w:w="100" w:type="dxa"/>
              <w:left w:w="100" w:type="dxa"/>
              <w:bottom w:w="100" w:type="dxa"/>
              <w:right w:w="100" w:type="dxa"/>
            </w:tcMar>
          </w:tcPr>
          <w:p w14:paraId="3F43D1A1"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0.302</w:t>
            </w:r>
          </w:p>
        </w:tc>
      </w:tr>
      <w:tr w:rsidR="008F4E90" w:rsidRPr="008F4E90" w14:paraId="3A6B18D5" w14:textId="77777777" w:rsidTr="00020949">
        <w:tc>
          <w:tcPr>
            <w:tcW w:w="1650" w:type="dxa"/>
            <w:tcBorders>
              <w:top w:val="nil"/>
              <w:left w:val="nil"/>
              <w:bottom w:val="single" w:sz="4" w:space="0" w:color="auto"/>
              <w:right w:val="nil"/>
            </w:tcBorders>
            <w:shd w:val="clear" w:color="auto" w:fill="auto"/>
            <w:tcMar>
              <w:top w:w="100" w:type="dxa"/>
              <w:left w:w="100" w:type="dxa"/>
              <w:bottom w:w="100" w:type="dxa"/>
              <w:right w:w="100" w:type="dxa"/>
            </w:tcMar>
          </w:tcPr>
          <w:p w14:paraId="1FF1418B" w14:textId="77777777" w:rsidR="00305114" w:rsidRPr="00305114" w:rsidRDefault="00305114" w:rsidP="00305114">
            <w:pPr>
              <w:spacing w:line="480" w:lineRule="auto"/>
              <w:jc w:val="center"/>
              <w:rPr>
                <w:rFonts w:asciiTheme="majorBidi" w:eastAsia="Times New Roman" w:hAnsiTheme="majorBidi" w:cstheme="majorBidi"/>
                <w:sz w:val="24"/>
                <w:szCs w:val="24"/>
              </w:rPr>
            </w:pPr>
          </w:p>
        </w:tc>
        <w:tc>
          <w:tcPr>
            <w:tcW w:w="1830" w:type="dxa"/>
            <w:tcBorders>
              <w:top w:val="nil"/>
              <w:left w:val="nil"/>
              <w:bottom w:val="single" w:sz="4" w:space="0" w:color="auto"/>
              <w:right w:val="nil"/>
            </w:tcBorders>
            <w:shd w:val="clear" w:color="auto" w:fill="auto"/>
            <w:tcMar>
              <w:top w:w="100" w:type="dxa"/>
              <w:left w:w="100" w:type="dxa"/>
              <w:bottom w:w="100" w:type="dxa"/>
              <w:right w:w="100" w:type="dxa"/>
            </w:tcMar>
          </w:tcPr>
          <w:p w14:paraId="056C47F8"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p>
        </w:tc>
        <w:tc>
          <w:tcPr>
            <w:tcW w:w="2100" w:type="dxa"/>
            <w:tcBorders>
              <w:top w:val="nil"/>
              <w:left w:val="nil"/>
              <w:bottom w:val="single" w:sz="4" w:space="0" w:color="auto"/>
              <w:right w:val="nil"/>
            </w:tcBorders>
            <w:shd w:val="clear" w:color="auto" w:fill="auto"/>
            <w:tcMar>
              <w:top w:w="100" w:type="dxa"/>
              <w:left w:w="100" w:type="dxa"/>
              <w:bottom w:w="100" w:type="dxa"/>
              <w:right w:w="100" w:type="dxa"/>
            </w:tcMar>
          </w:tcPr>
          <w:p w14:paraId="261199BC" w14:textId="77777777" w:rsidR="00305114" w:rsidRPr="00305114" w:rsidRDefault="00305114" w:rsidP="00305114">
            <w:pPr>
              <w:spacing w:line="480" w:lineRule="auto"/>
              <w:jc w:val="center"/>
              <w:rPr>
                <w:rFonts w:asciiTheme="majorBidi" w:eastAsia="Times New Roman" w:hAnsiTheme="majorBidi" w:cstheme="majorBidi"/>
                <w:sz w:val="24"/>
                <w:szCs w:val="24"/>
              </w:rPr>
            </w:pPr>
            <w:proofErr w:type="spellStart"/>
            <w:r w:rsidRPr="00305114">
              <w:rPr>
                <w:rFonts w:asciiTheme="majorBidi" w:eastAsia="Times New Roman" w:hAnsiTheme="majorBidi" w:cstheme="majorBidi"/>
                <w:sz w:val="24"/>
                <w:szCs w:val="24"/>
              </w:rPr>
              <w:t>MiddleFrontalGyrus_L</w:t>
            </w:r>
            <w:proofErr w:type="spellEnd"/>
          </w:p>
        </w:tc>
        <w:tc>
          <w:tcPr>
            <w:tcW w:w="930" w:type="dxa"/>
            <w:tcBorders>
              <w:top w:val="nil"/>
              <w:left w:val="nil"/>
              <w:bottom w:val="single" w:sz="4" w:space="0" w:color="auto"/>
              <w:right w:val="nil"/>
            </w:tcBorders>
            <w:shd w:val="clear" w:color="auto" w:fill="auto"/>
            <w:tcMar>
              <w:top w:w="100" w:type="dxa"/>
              <w:left w:w="100" w:type="dxa"/>
              <w:bottom w:w="100" w:type="dxa"/>
              <w:right w:w="100" w:type="dxa"/>
            </w:tcMar>
          </w:tcPr>
          <w:p w14:paraId="0C439452"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5</w:t>
            </w:r>
          </w:p>
        </w:tc>
        <w:tc>
          <w:tcPr>
            <w:tcW w:w="1545" w:type="dxa"/>
            <w:tcBorders>
              <w:top w:val="nil"/>
              <w:left w:val="nil"/>
              <w:bottom w:val="single" w:sz="4" w:space="0" w:color="auto"/>
              <w:right w:val="nil"/>
            </w:tcBorders>
            <w:shd w:val="clear" w:color="auto" w:fill="auto"/>
            <w:tcMar>
              <w:top w:w="100" w:type="dxa"/>
              <w:left w:w="100" w:type="dxa"/>
              <w:bottom w:w="100" w:type="dxa"/>
              <w:right w:w="100" w:type="dxa"/>
            </w:tcMar>
          </w:tcPr>
          <w:p w14:paraId="179DCB28"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0.147</w:t>
            </w:r>
          </w:p>
        </w:tc>
        <w:tc>
          <w:tcPr>
            <w:tcW w:w="960" w:type="dxa"/>
            <w:tcBorders>
              <w:top w:val="nil"/>
              <w:left w:val="nil"/>
              <w:bottom w:val="single" w:sz="4" w:space="0" w:color="auto"/>
              <w:right w:val="nil"/>
            </w:tcBorders>
            <w:shd w:val="clear" w:color="auto" w:fill="auto"/>
            <w:tcMar>
              <w:top w:w="100" w:type="dxa"/>
              <w:left w:w="100" w:type="dxa"/>
              <w:bottom w:w="100" w:type="dxa"/>
              <w:right w:w="100" w:type="dxa"/>
            </w:tcMar>
          </w:tcPr>
          <w:p w14:paraId="1B878E4E" w14:textId="77777777" w:rsidR="00305114" w:rsidRPr="00305114" w:rsidRDefault="00305114" w:rsidP="00305114">
            <w:pPr>
              <w:widowControl w:val="0"/>
              <w:spacing w:line="480" w:lineRule="auto"/>
              <w:jc w:val="center"/>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0.126</w:t>
            </w:r>
          </w:p>
        </w:tc>
      </w:tr>
    </w:tbl>
    <w:p w14:paraId="39A47CB2" w14:textId="77777777" w:rsidR="00305114" w:rsidRPr="008F4E90" w:rsidRDefault="00305114" w:rsidP="00305114">
      <w:pPr>
        <w:spacing w:line="480" w:lineRule="auto"/>
        <w:rPr>
          <w:rFonts w:asciiTheme="majorBidi" w:eastAsia="Times New Roman" w:hAnsiTheme="majorBidi" w:cstheme="majorBidi"/>
          <w:sz w:val="24"/>
          <w:szCs w:val="24"/>
        </w:rPr>
      </w:pPr>
    </w:p>
    <w:p w14:paraId="76507FEB" w14:textId="77777777" w:rsidR="00020949" w:rsidRPr="00305114" w:rsidRDefault="00020949" w:rsidP="00305114">
      <w:pPr>
        <w:spacing w:line="480" w:lineRule="auto"/>
        <w:rPr>
          <w:rFonts w:asciiTheme="majorBidi" w:eastAsia="Times New Roman" w:hAnsiTheme="majorBidi" w:cstheme="majorBidi"/>
          <w:sz w:val="24"/>
          <w:szCs w:val="24"/>
        </w:rPr>
      </w:pPr>
    </w:p>
    <w:p w14:paraId="0948509D" w14:textId="77777777" w:rsidR="00305114" w:rsidRPr="00305114" w:rsidRDefault="00305114" w:rsidP="00305114">
      <w:pPr>
        <w:spacing w:line="480" w:lineRule="auto"/>
        <w:jc w:val="center"/>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Discussion</w:t>
      </w:r>
    </w:p>
    <w:p w14:paraId="36493C6D" w14:textId="77777777" w:rsidR="00305114" w:rsidRPr="00305114" w:rsidRDefault="00305114" w:rsidP="00305114">
      <w:pPr>
        <w:spacing w:line="480" w:lineRule="auto"/>
        <w:rPr>
          <w:rFonts w:asciiTheme="majorBidi" w:eastAsia="Times New Roman" w:hAnsiTheme="majorBidi" w:cstheme="majorBidi"/>
          <w:b/>
          <w:sz w:val="24"/>
          <w:szCs w:val="24"/>
        </w:rPr>
      </w:pPr>
    </w:p>
    <w:p w14:paraId="329FED93"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At Different Time Scales: Multiscale Sample Entropy Pattern and Distinct Attributes of White Matter</w:t>
      </w:r>
    </w:p>
    <w:p w14:paraId="3C6A0149"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Regarding the voxel</w:t>
      </w:r>
      <w:r w:rsidR="00020949" w:rsidRPr="008F4E90">
        <w:rPr>
          <w:rFonts w:asciiTheme="majorBidi" w:eastAsia="Times New Roman" w:hAnsiTheme="majorBidi" w:cstheme="majorBidi"/>
          <w:sz w:val="24"/>
          <w:szCs w:val="24"/>
        </w:rPr>
        <w:t>-</w:t>
      </w:r>
      <w:r w:rsidRPr="00305114">
        <w:rPr>
          <w:rFonts w:asciiTheme="majorBidi" w:eastAsia="Times New Roman" w:hAnsiTheme="majorBidi" w:cstheme="majorBidi"/>
          <w:sz w:val="24"/>
          <w:szCs w:val="24"/>
        </w:rPr>
        <w:t xml:space="preserve">wise one sample t-test results, at fine time scales (i.e., scale 1), both diagnostic groups demonstrate significantly lower sample entropy in the cortical structure than the average sample entropy (i.e., significantly less than 1). Conversely, the white matter exhibits higher sample entropy than the global average. As the time scale increases, the relative sample entropy of cortical networks increases. The increase in entropy with increasing time scale is consistent with the multiscale entropy curve of complex signals, indicating the presence of new irregular patterns in the BOLD signal of the cortical structure. Conversely, the white matter exhibits a pattern opposite to that of cortical networks, precisely the grey matter. At scale 1, representing the original BOLD signal, an increased volume of white matter led to a higher standard deviation of the BOLD signal, as noted by </w:t>
      </w:r>
      <w:hyperlink r:id="rId608">
        <w:r w:rsidRPr="00305114">
          <w:rPr>
            <w:rFonts w:asciiTheme="majorBidi" w:eastAsia="Times New Roman" w:hAnsiTheme="majorBidi" w:cstheme="majorBidi"/>
            <w:sz w:val="24"/>
            <w:szCs w:val="24"/>
          </w:rPr>
          <w:t>(Wang et al., 2021)</w:t>
        </w:r>
      </w:hyperlink>
      <w:r w:rsidRPr="00305114">
        <w:rPr>
          <w:rFonts w:asciiTheme="majorBidi" w:eastAsia="Times New Roman" w:hAnsiTheme="majorBidi" w:cstheme="majorBidi"/>
          <w:sz w:val="24"/>
          <w:szCs w:val="24"/>
        </w:rPr>
        <w:t xml:space="preserve">. This might lead to a greater level of brain complexity in the white matter region compared to the overall brain average, as depicted in Figure 4 at scale 1. </w:t>
      </w:r>
    </w:p>
    <w:p w14:paraId="49C0220A"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Unlike neurons in the cortical network, which participate in computational processing, the white matter primarily comprises myelinated axons facilitating communication between brain regions </w:t>
      </w:r>
      <w:hyperlink r:id="rId609">
        <w:r w:rsidRPr="00305114">
          <w:rPr>
            <w:rFonts w:asciiTheme="majorBidi" w:eastAsia="Times New Roman" w:hAnsiTheme="majorBidi" w:cstheme="majorBidi"/>
            <w:sz w:val="24"/>
            <w:szCs w:val="24"/>
          </w:rPr>
          <w:t>(Blumenfeld, 2010)</w:t>
        </w:r>
      </w:hyperlink>
      <w:r w:rsidRPr="00305114">
        <w:rPr>
          <w:rFonts w:asciiTheme="majorBidi" w:eastAsia="Times New Roman" w:hAnsiTheme="majorBidi" w:cstheme="majorBidi"/>
          <w:sz w:val="24"/>
          <w:szCs w:val="24"/>
        </w:rPr>
        <w:t xml:space="preserve">. Resting-state BOLD signal from the white matter has been considered dominated by noise </w:t>
      </w:r>
      <w:hyperlink r:id="rId610">
        <w:r w:rsidRPr="00305114">
          <w:rPr>
            <w:rFonts w:asciiTheme="majorBidi" w:eastAsia="Times New Roman" w:hAnsiTheme="majorBidi" w:cstheme="majorBidi"/>
            <w:sz w:val="24"/>
            <w:szCs w:val="24"/>
          </w:rPr>
          <w:t>(Murphy et al., 2013)</w:t>
        </w:r>
      </w:hyperlink>
      <w:r w:rsidRPr="00305114">
        <w:rPr>
          <w:rFonts w:asciiTheme="majorBidi" w:eastAsia="Times New Roman" w:hAnsiTheme="majorBidi" w:cstheme="majorBidi"/>
          <w:sz w:val="24"/>
          <w:szCs w:val="24"/>
        </w:rPr>
        <w:t>. As the time scale increases, the relative entropy of the white matter decreases rapidly, exhibiting a performance similar to that of white noise due to the absence of a new pattern of BOLD signal. This finding also supports the validity of the standardised multiscale sample entropy as it successfully distinguishes white matter and grey matter.</w:t>
      </w:r>
    </w:p>
    <w:p w14:paraId="6AE6AF46" w14:textId="77777777" w:rsidR="00305114" w:rsidRPr="00305114" w:rsidRDefault="00305114" w:rsidP="00305114">
      <w:pPr>
        <w:spacing w:line="480" w:lineRule="auto"/>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Discussion about the Univariate and Multivariate Statistics</w:t>
      </w:r>
    </w:p>
    <w:p w14:paraId="2EDF01DF"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b/>
          <w:sz w:val="24"/>
          <w:szCs w:val="24"/>
        </w:rPr>
        <w:t xml:space="preserve"> </w:t>
      </w:r>
      <w:r w:rsidRPr="00305114">
        <w:rPr>
          <w:rFonts w:asciiTheme="majorBidi" w:eastAsia="Times New Roman" w:hAnsiTheme="majorBidi" w:cstheme="majorBidi"/>
          <w:sz w:val="24"/>
          <w:szCs w:val="24"/>
        </w:rPr>
        <w:t>The current analyses show that individuals with ASC exhibit a different resting-state fMRI complexity compared with neurotypical subjects, primarily at the default mode network. Additionally, the MSE profiles across various time scales reveal two ways of diminishing BOLD complexity towards either a regular or random pattern, in contrast to other standard entropy analysis, which measures single-time-scale regularity. Reduced BOLD complexity toward the regular pattern is observed in the anterior part of DMN (i.e., the medial frontal regions (</w:t>
      </w:r>
      <w:proofErr w:type="spellStart"/>
      <w:r w:rsidRPr="00305114">
        <w:rPr>
          <w:rFonts w:asciiTheme="majorBidi" w:eastAsia="Times New Roman" w:hAnsiTheme="majorBidi" w:cstheme="majorBidi"/>
          <w:sz w:val="24"/>
          <w:szCs w:val="24"/>
        </w:rPr>
        <w:t>mPFC</w:t>
      </w:r>
      <w:proofErr w:type="spellEnd"/>
      <w:r w:rsidRPr="00305114">
        <w:rPr>
          <w:rFonts w:asciiTheme="majorBidi" w:eastAsia="Times New Roman" w:hAnsiTheme="majorBidi" w:cstheme="majorBidi"/>
          <w:sz w:val="24"/>
          <w:szCs w:val="24"/>
        </w:rPr>
        <w:t xml:space="preserve">), and the posterior part of the DMN, which contains the posterior cingulate cortex (PCC) and </w:t>
      </w:r>
      <w:proofErr w:type="spellStart"/>
      <w:r w:rsidRPr="00305114">
        <w:rPr>
          <w:rFonts w:asciiTheme="majorBidi" w:eastAsia="Times New Roman" w:hAnsiTheme="majorBidi" w:cstheme="majorBidi"/>
          <w:sz w:val="24"/>
          <w:szCs w:val="24"/>
        </w:rPr>
        <w:t>precuneus</w:t>
      </w:r>
      <w:proofErr w:type="spellEnd"/>
      <w:r w:rsidRPr="00305114">
        <w:rPr>
          <w:rFonts w:asciiTheme="majorBidi" w:eastAsia="Times New Roman" w:hAnsiTheme="majorBidi" w:cstheme="majorBidi"/>
          <w:sz w:val="24"/>
          <w:szCs w:val="24"/>
        </w:rPr>
        <w:t xml:space="preserve"> (PCUN), exhibits reduced BOLD complexity towards the random process. And this collective model exhibits a moderate level of classification accuracy.</w:t>
      </w:r>
    </w:p>
    <w:p w14:paraId="3C57A227"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4D3F34">
        <w:rPr>
          <w:rFonts w:asciiTheme="majorBidi" w:eastAsia="Times New Roman" w:hAnsiTheme="majorBidi" w:cstheme="majorBidi"/>
          <w:b/>
          <w:i/>
          <w:iCs/>
          <w:sz w:val="24"/>
          <w:szCs w:val="24"/>
        </w:rPr>
        <w:t>Distinguishing ASC through DMN Sub-components: Beyond Single Region Analysis.</w:t>
      </w:r>
      <w:r w:rsidR="004D3F34">
        <w:rPr>
          <w:rFonts w:asciiTheme="majorBidi" w:eastAsia="Times New Roman" w:hAnsiTheme="majorBidi" w:cstheme="majorBidi"/>
          <w:b/>
          <w:sz w:val="24"/>
          <w:szCs w:val="24"/>
        </w:rPr>
        <w:t xml:space="preserve"> </w:t>
      </w:r>
      <w:r w:rsidRPr="00305114">
        <w:rPr>
          <w:rFonts w:asciiTheme="majorBidi" w:eastAsia="Times New Roman" w:hAnsiTheme="majorBidi" w:cstheme="majorBidi"/>
          <w:sz w:val="24"/>
          <w:szCs w:val="24"/>
        </w:rPr>
        <w:t xml:space="preserve">Throughout the investigation, it has been consistently observed that the brain regions exhibiting the most pronounced distinction between individuals with ASC and those without ASC, as revealed by both univariate and multivariate statistical analyses, were primarily located within the default mode network (DMN). The DMN comprises interconnected brain structures such as the posterior cingulate cortex (PCC), </w:t>
      </w:r>
      <w:proofErr w:type="spellStart"/>
      <w:r w:rsidRPr="00305114">
        <w:rPr>
          <w:rFonts w:asciiTheme="majorBidi" w:eastAsia="Times New Roman" w:hAnsiTheme="majorBidi" w:cstheme="majorBidi"/>
          <w:sz w:val="24"/>
          <w:szCs w:val="24"/>
        </w:rPr>
        <w:t>precuneus</w:t>
      </w:r>
      <w:proofErr w:type="spellEnd"/>
      <w:r w:rsidRPr="00305114">
        <w:rPr>
          <w:rFonts w:asciiTheme="majorBidi" w:eastAsia="Times New Roman" w:hAnsiTheme="majorBidi" w:cstheme="majorBidi"/>
          <w:sz w:val="24"/>
          <w:szCs w:val="24"/>
        </w:rPr>
        <w:t xml:space="preserve"> (PCUN), and medial prefrontal cortex (</w:t>
      </w:r>
      <w:proofErr w:type="spellStart"/>
      <w:r w:rsidRPr="00305114">
        <w:rPr>
          <w:rFonts w:asciiTheme="majorBidi" w:eastAsia="Times New Roman" w:hAnsiTheme="majorBidi" w:cstheme="majorBidi"/>
          <w:sz w:val="24"/>
          <w:szCs w:val="24"/>
        </w:rPr>
        <w:t>mPFC</w:t>
      </w:r>
      <w:proofErr w:type="spellEnd"/>
      <w:r w:rsidRPr="00305114">
        <w:rPr>
          <w:rFonts w:asciiTheme="majorBidi" w:eastAsia="Times New Roman" w:hAnsiTheme="majorBidi" w:cstheme="majorBidi"/>
          <w:sz w:val="24"/>
          <w:szCs w:val="24"/>
        </w:rPr>
        <w:t xml:space="preserve">) </w:t>
      </w:r>
      <w:hyperlink r:id="rId611">
        <w:r w:rsidRPr="00305114">
          <w:rPr>
            <w:rFonts w:asciiTheme="majorBidi" w:eastAsia="Times New Roman" w:hAnsiTheme="majorBidi" w:cstheme="majorBidi"/>
            <w:sz w:val="24"/>
            <w:szCs w:val="24"/>
          </w:rPr>
          <w:t>(Fox et al., 2005)</w:t>
        </w:r>
      </w:hyperlink>
      <w:r w:rsidRPr="00305114">
        <w:rPr>
          <w:rFonts w:asciiTheme="majorBidi" w:eastAsia="Times New Roman" w:hAnsiTheme="majorBidi" w:cstheme="majorBidi"/>
          <w:sz w:val="24"/>
          <w:szCs w:val="24"/>
        </w:rPr>
        <w:t xml:space="preserve">. </w:t>
      </w:r>
    </w:p>
    <w:p w14:paraId="08F4795B"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Numerous linear-based studies consistently reported relatively conflicting results regarding the intra-regional activity of the default mode network </w:t>
      </w:r>
      <w:hyperlink r:id="rId612">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Bathelt</w:t>
        </w:r>
        <w:proofErr w:type="spellEnd"/>
        <w:r w:rsidRPr="00305114">
          <w:rPr>
            <w:rFonts w:asciiTheme="majorBidi" w:eastAsia="Times New Roman" w:hAnsiTheme="majorBidi" w:cstheme="majorBidi"/>
            <w:sz w:val="24"/>
            <w:szCs w:val="24"/>
          </w:rPr>
          <w:t xml:space="preserve"> &amp; Geurts, 2021; </w:t>
        </w:r>
      </w:hyperlink>
      <w:hyperlink r:id="rId613">
        <w:r w:rsidRPr="00305114">
          <w:rPr>
            <w:rFonts w:asciiTheme="majorBidi" w:eastAsia="Times New Roman" w:hAnsiTheme="majorBidi" w:cstheme="majorBidi"/>
            <w:sz w:val="24"/>
            <w:szCs w:val="24"/>
          </w:rPr>
          <w:t xml:space="preserve">Cole et al., 2018; </w:t>
        </w:r>
      </w:hyperlink>
      <w:hyperlink r:id="rId614">
        <w:r w:rsidRPr="00305114">
          <w:rPr>
            <w:rFonts w:asciiTheme="majorBidi" w:eastAsia="Times New Roman" w:hAnsiTheme="majorBidi" w:cstheme="majorBidi"/>
            <w:sz w:val="24"/>
            <w:szCs w:val="24"/>
          </w:rPr>
          <w:t>Lynch et al., 2013</w:t>
        </w:r>
      </w:hyperlink>
      <w:hyperlink r:id="rId615">
        <w:r w:rsidRPr="00305114">
          <w:rPr>
            <w:rFonts w:asciiTheme="majorBidi" w:eastAsia="Times New Roman" w:hAnsiTheme="majorBidi" w:cstheme="majorBidi"/>
            <w:sz w:val="24"/>
            <w:szCs w:val="24"/>
          </w:rPr>
          <w:t xml:space="preserve">; </w:t>
        </w:r>
      </w:hyperlink>
      <w:hyperlink r:id="rId616">
        <w:r w:rsidRPr="00305114">
          <w:rPr>
            <w:rFonts w:asciiTheme="majorBidi" w:eastAsia="Times New Roman" w:hAnsiTheme="majorBidi" w:cstheme="majorBidi"/>
            <w:sz w:val="24"/>
            <w:szCs w:val="24"/>
          </w:rPr>
          <w:t xml:space="preserve">Washington et al., 2014; </w:t>
        </w:r>
      </w:hyperlink>
      <w:hyperlink r:id="rId617">
        <w:r w:rsidRPr="00305114">
          <w:rPr>
            <w:rFonts w:asciiTheme="majorBidi" w:eastAsia="Times New Roman" w:hAnsiTheme="majorBidi" w:cstheme="majorBidi"/>
            <w:sz w:val="24"/>
            <w:szCs w:val="24"/>
          </w:rPr>
          <w:t>Yao et al., 2016</w:t>
        </w:r>
      </w:hyperlink>
      <w:hyperlink r:id="rId618">
        <w:r w:rsidRPr="00305114">
          <w:rPr>
            <w:rFonts w:asciiTheme="majorBidi" w:eastAsia="Times New Roman" w:hAnsiTheme="majorBidi" w:cstheme="majorBidi"/>
            <w:sz w:val="24"/>
            <w:szCs w:val="24"/>
          </w:rPr>
          <w:t xml:space="preserve">; </w:t>
        </w:r>
        <w:proofErr w:type="spellStart"/>
        <w:r w:rsidRPr="00305114">
          <w:rPr>
            <w:rFonts w:asciiTheme="majorBidi" w:eastAsia="Times New Roman" w:hAnsiTheme="majorBidi" w:cstheme="majorBidi"/>
            <w:sz w:val="24"/>
            <w:szCs w:val="24"/>
          </w:rPr>
          <w:t>Yerys</w:t>
        </w:r>
        <w:proofErr w:type="spellEnd"/>
        <w:r w:rsidRPr="00305114">
          <w:rPr>
            <w:rFonts w:asciiTheme="majorBidi" w:eastAsia="Times New Roman" w:hAnsiTheme="majorBidi" w:cstheme="majorBidi"/>
            <w:sz w:val="24"/>
            <w:szCs w:val="24"/>
          </w:rPr>
          <w:t xml:space="preserve"> et al., 2015</w:t>
        </w:r>
      </w:hyperlink>
      <w:hyperlink r:id="rId619">
        <w:r w:rsidRPr="00305114">
          <w:rPr>
            <w:rFonts w:asciiTheme="majorBidi" w:eastAsia="Times New Roman" w:hAnsiTheme="majorBidi" w:cstheme="majorBidi"/>
            <w:sz w:val="24"/>
            <w:szCs w:val="24"/>
          </w:rPr>
          <w:t>)</w:t>
        </w:r>
      </w:hyperlink>
      <w:r w:rsidRPr="00305114">
        <w:rPr>
          <w:rFonts w:asciiTheme="majorBidi" w:eastAsia="Times New Roman" w:hAnsiTheme="majorBidi" w:cstheme="majorBidi"/>
          <w:sz w:val="24"/>
          <w:szCs w:val="24"/>
        </w:rPr>
        <w:t xml:space="preserve">, indicating that the subcomponents of the DMN may function differently despite their interconnectedness. This study aligns with previous research on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functional connectivity by demonstrating varying performance and </w:t>
      </w:r>
      <w:r w:rsidRPr="00305114">
        <w:rPr>
          <w:rFonts w:asciiTheme="majorBidi" w:eastAsia="Times New Roman" w:hAnsiTheme="majorBidi" w:cstheme="majorBidi"/>
          <w:sz w:val="24"/>
          <w:szCs w:val="24"/>
        </w:rPr>
        <w:lastRenderedPageBreak/>
        <w:t xml:space="preserve">group differences in sample entropy within different components of the DMN across different time scales. This emphasises the significance of investigating sub-components within the DMN when differentiating individuals with and without ASC. It also encourages moving beyond the limited approach of studying individual brain regions </w:t>
      </w:r>
      <w:hyperlink r:id="rId620">
        <w:r w:rsidRPr="00305114">
          <w:rPr>
            <w:rFonts w:asciiTheme="majorBidi" w:eastAsia="Times New Roman" w:hAnsiTheme="majorBidi" w:cstheme="majorBidi"/>
            <w:sz w:val="24"/>
            <w:szCs w:val="24"/>
          </w:rPr>
          <w:t>(Maximo et al., 2021)</w:t>
        </w:r>
      </w:hyperlink>
      <w:r w:rsidRPr="00305114">
        <w:rPr>
          <w:rFonts w:asciiTheme="majorBidi" w:eastAsia="Times New Roman" w:hAnsiTheme="majorBidi" w:cstheme="majorBidi"/>
          <w:sz w:val="24"/>
          <w:szCs w:val="24"/>
        </w:rPr>
        <w:t xml:space="preserve"> to a more comprehensive network-level investigation. </w:t>
      </w:r>
    </w:p>
    <w:p w14:paraId="25E03A9A"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4D3F34">
        <w:rPr>
          <w:rFonts w:asciiTheme="majorBidi" w:eastAsia="Times New Roman" w:hAnsiTheme="majorBidi" w:cstheme="majorBidi"/>
          <w:b/>
          <w:i/>
          <w:iCs/>
          <w:sz w:val="24"/>
          <w:szCs w:val="24"/>
        </w:rPr>
        <w:t>Different Types of Complexity Alterations in the DMN in ASC.</w:t>
      </w:r>
      <w:r w:rsidRPr="00305114">
        <w:rPr>
          <w:rFonts w:asciiTheme="majorBidi" w:eastAsia="Times New Roman" w:hAnsiTheme="majorBidi" w:cstheme="majorBidi"/>
          <w:b/>
          <w:sz w:val="24"/>
          <w:szCs w:val="24"/>
        </w:rPr>
        <w:t xml:space="preserve"> </w:t>
      </w:r>
      <w:r w:rsidRPr="00305114">
        <w:rPr>
          <w:rFonts w:asciiTheme="majorBidi" w:eastAsia="Times New Roman" w:hAnsiTheme="majorBidi" w:cstheme="majorBidi"/>
          <w:sz w:val="24"/>
          <w:szCs w:val="24"/>
        </w:rPr>
        <w:t xml:space="preserve">This research is unique in recognising variations in brain complexity within the DMN among individuals with and without ASC. While numerous studies have focused on linear-based variations in functional connectivity </w:t>
      </w:r>
      <w:hyperlink r:id="rId621">
        <w:r w:rsidRPr="00305114">
          <w:rPr>
            <w:rFonts w:asciiTheme="majorBidi" w:eastAsia="Times New Roman" w:hAnsiTheme="majorBidi" w:cstheme="majorBidi"/>
            <w:sz w:val="24"/>
            <w:szCs w:val="24"/>
          </w:rPr>
          <w:t>(Doyle-Thomas et al., 2015; Hull et al., 2016)</w:t>
        </w:r>
      </w:hyperlink>
      <w:r w:rsidRPr="00305114">
        <w:rPr>
          <w:rFonts w:asciiTheme="majorBidi" w:eastAsia="Times New Roman" w:hAnsiTheme="majorBidi" w:cstheme="majorBidi"/>
          <w:sz w:val="24"/>
          <w:szCs w:val="24"/>
        </w:rPr>
        <w:t xml:space="preserve">, and other </w:t>
      </w:r>
      <w:proofErr w:type="spellStart"/>
      <w:r w:rsidRPr="00305114">
        <w:rPr>
          <w:rFonts w:asciiTheme="majorBidi" w:eastAsia="Times New Roman" w:hAnsiTheme="majorBidi" w:cstheme="majorBidi"/>
          <w:sz w:val="24"/>
          <w:szCs w:val="24"/>
        </w:rPr>
        <w:t>rs</w:t>
      </w:r>
      <w:proofErr w:type="spellEnd"/>
      <w:r w:rsidRPr="00305114">
        <w:rPr>
          <w:rFonts w:asciiTheme="majorBidi" w:eastAsia="Times New Roman" w:hAnsiTheme="majorBidi" w:cstheme="majorBidi"/>
          <w:sz w:val="24"/>
          <w:szCs w:val="24"/>
        </w:rPr>
        <w:t xml:space="preserve">-fMRI temporal metrics: amplitude of low-frequency fluctuations (ALFF) and regional homogeneity (ReHo) </w:t>
      </w:r>
      <w:hyperlink r:id="rId622">
        <w:r w:rsidRPr="00305114">
          <w:rPr>
            <w:rFonts w:asciiTheme="majorBidi" w:eastAsia="Times New Roman" w:hAnsiTheme="majorBidi" w:cstheme="majorBidi"/>
            <w:sz w:val="24"/>
            <w:szCs w:val="24"/>
          </w:rPr>
          <w:t xml:space="preserve">(Lian &amp; </w:t>
        </w:r>
        <w:proofErr w:type="spellStart"/>
        <w:r w:rsidRPr="00305114">
          <w:rPr>
            <w:rFonts w:asciiTheme="majorBidi" w:eastAsia="Times New Roman" w:hAnsiTheme="majorBidi" w:cstheme="majorBidi"/>
            <w:sz w:val="24"/>
            <w:szCs w:val="24"/>
          </w:rPr>
          <w:t>Northoff</w:t>
        </w:r>
        <w:proofErr w:type="spellEnd"/>
        <w:r w:rsidRPr="00305114">
          <w:rPr>
            <w:rFonts w:asciiTheme="majorBidi" w:eastAsia="Times New Roman" w:hAnsiTheme="majorBidi" w:cstheme="majorBidi"/>
            <w:sz w:val="24"/>
            <w:szCs w:val="24"/>
          </w:rPr>
          <w:t>, 2021)</w:t>
        </w:r>
      </w:hyperlink>
      <w:r w:rsidRPr="00305114">
        <w:rPr>
          <w:rFonts w:asciiTheme="majorBidi" w:eastAsia="Times New Roman" w:hAnsiTheme="majorBidi" w:cstheme="majorBidi"/>
          <w:sz w:val="24"/>
          <w:szCs w:val="24"/>
        </w:rPr>
        <w:t xml:space="preserve"> in the DMN, this study sheds light on the disparities in brain complexity in this context. </w:t>
      </w:r>
    </w:p>
    <w:p w14:paraId="2634F5AC"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It has been known that DMN deactivated with explicit task demands </w:t>
      </w:r>
      <w:hyperlink r:id="rId623">
        <w:r w:rsidRPr="00305114">
          <w:rPr>
            <w:rFonts w:asciiTheme="majorBidi" w:eastAsia="Times New Roman" w:hAnsiTheme="majorBidi" w:cstheme="majorBidi"/>
            <w:sz w:val="24"/>
            <w:szCs w:val="24"/>
          </w:rPr>
          <w:t xml:space="preserve">(Fox et al., 2005; </w:t>
        </w:r>
      </w:hyperlink>
      <w:hyperlink r:id="rId624">
        <w:r w:rsidRPr="00305114">
          <w:rPr>
            <w:rFonts w:asciiTheme="majorBidi" w:eastAsia="Times New Roman" w:hAnsiTheme="majorBidi" w:cstheme="majorBidi"/>
            <w:sz w:val="24"/>
            <w:szCs w:val="24"/>
          </w:rPr>
          <w:t>Buckner et al., 2008</w:t>
        </w:r>
      </w:hyperlink>
      <w:hyperlink r:id="rId625">
        <w:r w:rsidRPr="00305114">
          <w:rPr>
            <w:rFonts w:asciiTheme="majorBidi" w:eastAsia="Times New Roman" w:hAnsiTheme="majorBidi" w:cstheme="majorBidi"/>
            <w:sz w:val="24"/>
            <w:szCs w:val="24"/>
          </w:rPr>
          <w:t>)</w:t>
        </w:r>
      </w:hyperlink>
      <w:r w:rsidRPr="00305114">
        <w:rPr>
          <w:rFonts w:asciiTheme="majorBidi" w:eastAsia="Times New Roman" w:hAnsiTheme="majorBidi" w:cstheme="majorBidi"/>
          <w:sz w:val="24"/>
          <w:szCs w:val="24"/>
        </w:rPr>
        <w:t xml:space="preserve"> and is active during periods of introspective mental activities at rest; therefore, DMN can also be considered as a ‘resting state network’ </w:t>
      </w:r>
      <w:hyperlink r:id="rId626">
        <w:r w:rsidRPr="00305114">
          <w:rPr>
            <w:rFonts w:asciiTheme="majorBidi" w:eastAsia="Times New Roman" w:hAnsiTheme="majorBidi" w:cstheme="majorBidi"/>
            <w:sz w:val="24"/>
            <w:szCs w:val="24"/>
          </w:rPr>
          <w:t>(</w:t>
        </w:r>
        <w:proofErr w:type="spellStart"/>
      </w:hyperlink>
      <w:hyperlink r:id="rId627">
        <w:r w:rsidRPr="00305114">
          <w:rPr>
            <w:rFonts w:asciiTheme="majorBidi" w:eastAsia="Times New Roman" w:hAnsiTheme="majorBidi" w:cstheme="majorBidi"/>
            <w:sz w:val="24"/>
            <w:szCs w:val="24"/>
          </w:rPr>
          <w:t>Greicius</w:t>
        </w:r>
        <w:proofErr w:type="spellEnd"/>
        <w:r w:rsidRPr="00305114">
          <w:rPr>
            <w:rFonts w:asciiTheme="majorBidi" w:eastAsia="Times New Roman" w:hAnsiTheme="majorBidi" w:cstheme="majorBidi"/>
            <w:sz w:val="24"/>
            <w:szCs w:val="24"/>
          </w:rPr>
          <w:t xml:space="preserve"> et al., 2003</w:t>
        </w:r>
      </w:hyperlink>
      <w:hyperlink r:id="rId628">
        <w:r w:rsidRPr="00305114">
          <w:rPr>
            <w:rFonts w:asciiTheme="majorBidi" w:eastAsia="Times New Roman" w:hAnsiTheme="majorBidi" w:cstheme="majorBidi"/>
            <w:sz w:val="24"/>
            <w:szCs w:val="24"/>
          </w:rPr>
          <w:t xml:space="preserve">; </w:t>
        </w:r>
      </w:hyperlink>
      <w:hyperlink r:id="rId629">
        <w:proofErr w:type="spellStart"/>
        <w:r w:rsidRPr="00305114">
          <w:rPr>
            <w:rFonts w:asciiTheme="majorBidi" w:eastAsia="Times New Roman" w:hAnsiTheme="majorBidi" w:cstheme="majorBidi"/>
            <w:sz w:val="24"/>
            <w:szCs w:val="24"/>
          </w:rPr>
          <w:t>Korgaonkar</w:t>
        </w:r>
        <w:proofErr w:type="spellEnd"/>
        <w:r w:rsidRPr="00305114">
          <w:rPr>
            <w:rFonts w:asciiTheme="majorBidi" w:eastAsia="Times New Roman" w:hAnsiTheme="majorBidi" w:cstheme="majorBidi"/>
            <w:sz w:val="24"/>
            <w:szCs w:val="24"/>
          </w:rPr>
          <w:t xml:space="preserve"> et al., 2014)</w:t>
        </w:r>
      </w:hyperlink>
      <w:r w:rsidRPr="00305114">
        <w:rPr>
          <w:rFonts w:asciiTheme="majorBidi" w:eastAsia="Times New Roman" w:hAnsiTheme="majorBidi" w:cstheme="majorBidi"/>
          <w:sz w:val="24"/>
          <w:szCs w:val="24"/>
        </w:rPr>
        <w:t xml:space="preserve">. The demonstration of DMN complexity in classifying ASC during the resting state also supports the idea that the resting state is not a task-free condition; rather, it can also be perceived as a form of task </w:t>
      </w:r>
      <w:hyperlink r:id="rId630">
        <w:r w:rsidRPr="00305114">
          <w:rPr>
            <w:rFonts w:asciiTheme="majorBidi" w:eastAsia="Times New Roman" w:hAnsiTheme="majorBidi" w:cstheme="majorBidi"/>
            <w:sz w:val="24"/>
            <w:szCs w:val="24"/>
          </w:rPr>
          <w:t>(Biswal, 2012; Buckner et al., 2013)</w:t>
        </w:r>
      </w:hyperlink>
      <w:r w:rsidRPr="00305114">
        <w:rPr>
          <w:rFonts w:asciiTheme="majorBidi" w:eastAsia="Times New Roman" w:hAnsiTheme="majorBidi" w:cstheme="majorBidi"/>
          <w:sz w:val="24"/>
          <w:szCs w:val="24"/>
        </w:rPr>
        <w:t xml:space="preserve">. Since the effectiveness of entropy in identifying task-related brain activity has been validated </w:t>
      </w:r>
      <w:hyperlink r:id="rId631">
        <w:r w:rsidRPr="00305114">
          <w:rPr>
            <w:rFonts w:asciiTheme="majorBidi" w:eastAsia="Times New Roman" w:hAnsiTheme="majorBidi" w:cstheme="majorBidi"/>
            <w:sz w:val="24"/>
            <w:szCs w:val="24"/>
          </w:rPr>
          <w:t>(Lin et al., 2022</w:t>
        </w:r>
      </w:hyperlink>
      <w:hyperlink r:id="rId632">
        <w:r w:rsidRPr="00305114">
          <w:rPr>
            <w:rFonts w:asciiTheme="majorBidi" w:eastAsia="Times New Roman" w:hAnsiTheme="majorBidi" w:cstheme="majorBidi"/>
            <w:sz w:val="24"/>
            <w:szCs w:val="24"/>
          </w:rPr>
          <w:t xml:space="preserve">; </w:t>
        </w:r>
      </w:hyperlink>
      <w:hyperlink r:id="rId633">
        <w:proofErr w:type="spellStart"/>
        <w:r w:rsidRPr="00305114">
          <w:rPr>
            <w:rFonts w:asciiTheme="majorBidi" w:eastAsia="Times New Roman" w:hAnsiTheme="majorBidi" w:cstheme="majorBidi"/>
            <w:sz w:val="24"/>
            <w:szCs w:val="24"/>
          </w:rPr>
          <w:t>Nezafati</w:t>
        </w:r>
        <w:proofErr w:type="spellEnd"/>
        <w:r w:rsidRPr="00305114">
          <w:rPr>
            <w:rFonts w:asciiTheme="majorBidi" w:eastAsia="Times New Roman" w:hAnsiTheme="majorBidi" w:cstheme="majorBidi"/>
            <w:sz w:val="24"/>
            <w:szCs w:val="24"/>
          </w:rPr>
          <w:t xml:space="preserve"> et al., 2020)</w:t>
        </w:r>
      </w:hyperlink>
      <w:r w:rsidRPr="00305114">
        <w:rPr>
          <w:rFonts w:asciiTheme="majorBidi" w:eastAsia="Times New Roman" w:hAnsiTheme="majorBidi" w:cstheme="majorBidi"/>
          <w:sz w:val="24"/>
          <w:szCs w:val="24"/>
        </w:rPr>
        <w:t>, the importance of exploring complexity in brain activity during resting states is also being highlighted.</w:t>
      </w:r>
    </w:p>
    <w:p w14:paraId="58C18526"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Specifically, the multiscale sample entropy (MSE) pattern demonstrated that individuals with ASC displayed reduced entropy in the prefrontal cortex at the coarse scale compared to neurotypical individuals. This suggests that the prefrontal cortex exhibits a typical form of complexity deduction in individuals with ASC </w:t>
      </w:r>
      <w:hyperlink r:id="rId634">
        <w:r w:rsidRPr="00305114">
          <w:rPr>
            <w:rFonts w:asciiTheme="majorBidi" w:eastAsia="Times New Roman" w:hAnsiTheme="majorBidi" w:cstheme="majorBidi"/>
            <w:sz w:val="24"/>
            <w:szCs w:val="24"/>
          </w:rPr>
          <w:t>(Yang et al., 2015)</w:t>
        </w:r>
      </w:hyperlink>
      <w:r w:rsidRPr="00305114">
        <w:rPr>
          <w:rFonts w:asciiTheme="majorBidi" w:eastAsia="Times New Roman" w:hAnsiTheme="majorBidi" w:cstheme="majorBidi"/>
          <w:sz w:val="24"/>
          <w:szCs w:val="24"/>
        </w:rPr>
        <w:t xml:space="preserve">. Here again, the definition of physiologic complexity is based entirely on an increase in unpredictability or irregularity and fails to incorporate other essential features, such as the presence of long-range fractal correlations </w:t>
      </w:r>
      <w:hyperlink r:id="rId635">
        <w:r w:rsidRPr="00305114">
          <w:rPr>
            <w:rFonts w:asciiTheme="majorBidi" w:eastAsia="Times New Roman" w:hAnsiTheme="majorBidi" w:cstheme="majorBidi"/>
            <w:sz w:val="24"/>
            <w:szCs w:val="24"/>
          </w:rPr>
          <w:t>(Goldberger, 1997)</w:t>
        </w:r>
      </w:hyperlink>
      <w:r w:rsidRPr="00305114">
        <w:rPr>
          <w:rFonts w:asciiTheme="majorBidi" w:eastAsia="Times New Roman" w:hAnsiTheme="majorBidi" w:cstheme="majorBidi"/>
          <w:sz w:val="24"/>
          <w:szCs w:val="24"/>
        </w:rPr>
        <w:t xml:space="preserve">. This finding supports the </w:t>
      </w:r>
      <w:r w:rsidRPr="00305114">
        <w:rPr>
          <w:rFonts w:asciiTheme="majorBidi" w:eastAsia="Times New Roman" w:hAnsiTheme="majorBidi" w:cstheme="majorBidi"/>
          <w:sz w:val="24"/>
          <w:szCs w:val="24"/>
        </w:rPr>
        <w:lastRenderedPageBreak/>
        <w:t xml:space="preserve">theory of “loss of complexity” due to the pathological state, indicating the destruction of nonlinear structures in brain dynamics </w:t>
      </w:r>
      <w:hyperlink r:id="rId636">
        <w:r w:rsidRPr="00305114">
          <w:rPr>
            <w:rFonts w:asciiTheme="majorBidi" w:eastAsia="Times New Roman" w:hAnsiTheme="majorBidi" w:cstheme="majorBidi"/>
            <w:sz w:val="24"/>
            <w:szCs w:val="24"/>
          </w:rPr>
          <w:t>(Goldberger, 1997)</w:t>
        </w:r>
      </w:hyperlink>
      <w:r w:rsidRPr="00305114">
        <w:rPr>
          <w:rFonts w:asciiTheme="majorBidi" w:eastAsia="Times New Roman" w:hAnsiTheme="majorBidi" w:cstheme="majorBidi"/>
          <w:sz w:val="24"/>
          <w:szCs w:val="24"/>
        </w:rPr>
        <w:t>.</w:t>
      </w:r>
    </w:p>
    <w:p w14:paraId="131DEF74"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Indeed, when one examines the fractal complexity of interval fluctuations in health and disease, a breakdown of long-range correlation properties will be observed, aligning with the general complexity-loss hypothesis presented above </w:t>
      </w:r>
      <w:hyperlink r:id="rId637">
        <w:r w:rsidRPr="00305114">
          <w:rPr>
            <w:rFonts w:asciiTheme="majorBidi" w:eastAsia="Times New Roman" w:hAnsiTheme="majorBidi" w:cstheme="majorBidi"/>
            <w:sz w:val="24"/>
            <w:szCs w:val="24"/>
          </w:rPr>
          <w:t>(</w:t>
        </w:r>
        <w:proofErr w:type="spellStart"/>
        <w:r w:rsidRPr="00305114">
          <w:rPr>
            <w:rFonts w:asciiTheme="majorBidi" w:eastAsia="Times New Roman" w:hAnsiTheme="majorBidi" w:cstheme="majorBidi"/>
            <w:sz w:val="24"/>
            <w:szCs w:val="24"/>
          </w:rPr>
          <w:t>Courtiol</w:t>
        </w:r>
        <w:proofErr w:type="spellEnd"/>
        <w:r w:rsidRPr="00305114">
          <w:rPr>
            <w:rFonts w:asciiTheme="majorBidi" w:eastAsia="Times New Roman" w:hAnsiTheme="majorBidi" w:cstheme="majorBidi"/>
            <w:sz w:val="24"/>
            <w:szCs w:val="24"/>
          </w:rPr>
          <w:t xml:space="preserve"> et al., 2016</w:t>
        </w:r>
      </w:hyperlink>
      <w:hyperlink r:id="rId638">
        <w:r w:rsidRPr="00305114">
          <w:rPr>
            <w:rFonts w:asciiTheme="majorBidi" w:eastAsia="Times New Roman" w:hAnsiTheme="majorBidi" w:cstheme="majorBidi"/>
            <w:sz w:val="24"/>
            <w:szCs w:val="24"/>
          </w:rPr>
          <w:t xml:space="preserve">; </w:t>
        </w:r>
      </w:hyperlink>
      <w:hyperlink r:id="rId639">
        <w:r w:rsidRPr="00305114">
          <w:rPr>
            <w:rFonts w:asciiTheme="majorBidi" w:eastAsia="Times New Roman" w:hAnsiTheme="majorBidi" w:cstheme="majorBidi"/>
            <w:sz w:val="24"/>
            <w:szCs w:val="24"/>
          </w:rPr>
          <w:t xml:space="preserve">van </w:t>
        </w:r>
        <w:proofErr w:type="spellStart"/>
        <w:r w:rsidRPr="00305114">
          <w:rPr>
            <w:rFonts w:asciiTheme="majorBidi" w:eastAsia="Times New Roman" w:hAnsiTheme="majorBidi" w:cstheme="majorBidi"/>
            <w:sz w:val="24"/>
            <w:szCs w:val="24"/>
          </w:rPr>
          <w:t>Noordt</w:t>
        </w:r>
        <w:proofErr w:type="spellEnd"/>
        <w:r w:rsidRPr="00305114">
          <w:rPr>
            <w:rFonts w:asciiTheme="majorBidi" w:eastAsia="Times New Roman" w:hAnsiTheme="majorBidi" w:cstheme="majorBidi"/>
            <w:sz w:val="24"/>
            <w:szCs w:val="24"/>
          </w:rPr>
          <w:t xml:space="preserve"> &amp; Willoughby, 2021)</w:t>
        </w:r>
      </w:hyperlink>
      <w:r w:rsidRPr="00305114">
        <w:rPr>
          <w:rFonts w:asciiTheme="majorBidi" w:eastAsia="Times New Roman" w:hAnsiTheme="majorBidi" w:cstheme="majorBidi"/>
          <w:sz w:val="24"/>
          <w:szCs w:val="24"/>
        </w:rPr>
        <w:t xml:space="preserve">. A decrease in system complexity generally indicates either a loss or impairment of functional components or altered nonlinear coupling between these components </w:t>
      </w:r>
      <w:hyperlink r:id="rId640">
        <w:r w:rsidRPr="00305114">
          <w:rPr>
            <w:rFonts w:asciiTheme="majorBidi" w:eastAsia="Times New Roman" w:hAnsiTheme="majorBidi" w:cstheme="majorBidi"/>
            <w:sz w:val="24"/>
            <w:szCs w:val="24"/>
          </w:rPr>
          <w:t>(Lipsitz, 1992)</w:t>
        </w:r>
      </w:hyperlink>
      <w:r w:rsidRPr="00305114">
        <w:rPr>
          <w:rFonts w:asciiTheme="majorBidi" w:eastAsia="Times New Roman" w:hAnsiTheme="majorBidi" w:cstheme="majorBidi"/>
          <w:sz w:val="24"/>
          <w:szCs w:val="24"/>
        </w:rPr>
        <w:t>. In other words, the decreased brain complexity at coarse time scales within the prefrontal cortex can be interpreted as a manifestation of the breakdown or loss of nonlinear characteristics in ASC. This finding strongly also aligns with the results obtained from our previous EEG study (Chapter 2).</w:t>
      </w:r>
    </w:p>
    <w:p w14:paraId="7E77F726"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Conversely, when observing individuals with ASC at scale 1, it is evident that they display noticeably higher sample entropy in the posterior cingulate cortex (PCC) and </w:t>
      </w:r>
      <w:proofErr w:type="spellStart"/>
      <w:r w:rsidRPr="00305114">
        <w:rPr>
          <w:rFonts w:asciiTheme="majorBidi" w:eastAsia="Times New Roman" w:hAnsiTheme="majorBidi" w:cstheme="majorBidi"/>
          <w:sz w:val="24"/>
          <w:szCs w:val="24"/>
        </w:rPr>
        <w:t>precuneus</w:t>
      </w:r>
      <w:proofErr w:type="spellEnd"/>
      <w:r w:rsidRPr="00305114">
        <w:rPr>
          <w:rFonts w:asciiTheme="majorBidi" w:eastAsia="Times New Roman" w:hAnsiTheme="majorBidi" w:cstheme="majorBidi"/>
          <w:sz w:val="24"/>
          <w:szCs w:val="24"/>
        </w:rPr>
        <w:t xml:space="preserve"> (PCUN) compared to neurotypical controls. However, within the ASC cohort, there is a gradual decline in the trend of sample entropy within the PCC and PCUN from scale 2 onwards, demonstrating relative stability across various time scale factors, as shown in the voxel-wise mixed-effect analysis (Figure 7). This intriguing pattern of initially increasing and subsequently decreasing entropy implies a reduction in complexity within the PCC and PCUN signal in ASC compared to neurotypical controls, suggesting that the signal in ASC exhibits uncorrelated randomness (characterised by heightened entropy at shorter time scales followed by a decayed entropy at longer time scales) </w:t>
      </w:r>
      <w:hyperlink r:id="rId641">
        <w:r w:rsidRPr="00305114">
          <w:rPr>
            <w:rFonts w:asciiTheme="majorBidi" w:eastAsia="Times New Roman" w:hAnsiTheme="majorBidi" w:cstheme="majorBidi"/>
            <w:sz w:val="24"/>
            <w:szCs w:val="24"/>
          </w:rPr>
          <w:t>(Yang et al., 2015)</w:t>
        </w:r>
      </w:hyperlink>
      <w:r w:rsidRPr="00305114">
        <w:rPr>
          <w:rFonts w:asciiTheme="majorBidi" w:eastAsia="Times New Roman" w:hAnsiTheme="majorBidi" w:cstheme="majorBidi"/>
          <w:sz w:val="24"/>
          <w:szCs w:val="24"/>
        </w:rPr>
        <w:t xml:space="preserve">. In addition, the decreased frontal MSE at the fine time scale and increased occipital MSE at the coarse time scale were also observed in an individual with ASC during and after electroconvulsive therapy </w:t>
      </w:r>
      <w:hyperlink r:id="rId642">
        <w:r w:rsidRPr="00305114">
          <w:rPr>
            <w:rFonts w:asciiTheme="majorBidi" w:eastAsia="Times New Roman" w:hAnsiTheme="majorBidi" w:cstheme="majorBidi"/>
            <w:sz w:val="24"/>
            <w:szCs w:val="24"/>
          </w:rPr>
          <w:t>(Okazaki et al., 2015)</w:t>
        </w:r>
      </w:hyperlink>
      <w:r w:rsidRPr="00305114">
        <w:rPr>
          <w:rFonts w:asciiTheme="majorBidi" w:eastAsia="Times New Roman" w:hAnsiTheme="majorBidi" w:cstheme="majorBidi"/>
          <w:sz w:val="24"/>
          <w:szCs w:val="24"/>
        </w:rPr>
        <w:t>. Additionally, these changes were linked to a clinical improvement index, suggesting that this could serve as a neurophysiological indicator of ASC.</w:t>
      </w:r>
    </w:p>
    <w:p w14:paraId="5B516DFB"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Furthermore, these findings emphasise the importance of investigating multiscale sample entropy (MSE) patterns rather than solely focusing on a single scale. In traditional single-scale entropy studies, </w:t>
      </w:r>
      <w:r w:rsidRPr="00305114">
        <w:rPr>
          <w:rFonts w:asciiTheme="majorBidi" w:eastAsia="Times New Roman" w:hAnsiTheme="majorBidi" w:cstheme="majorBidi"/>
          <w:sz w:val="24"/>
          <w:szCs w:val="24"/>
        </w:rPr>
        <w:lastRenderedPageBreak/>
        <w:t xml:space="preserve">there have been reports of both increases and decreases in the complexity of brain signals </w:t>
      </w:r>
      <w:hyperlink r:id="rId643">
        <w:r w:rsidRPr="00305114">
          <w:rPr>
            <w:rFonts w:asciiTheme="majorBidi" w:eastAsia="Times New Roman" w:hAnsiTheme="majorBidi" w:cstheme="majorBidi"/>
            <w:sz w:val="24"/>
            <w:szCs w:val="24"/>
          </w:rPr>
          <w:t>(Maximo et al., 2021; Zhang et al., 2020)</w:t>
        </w:r>
      </w:hyperlink>
      <w:r w:rsidRPr="00305114">
        <w:rPr>
          <w:rFonts w:asciiTheme="majorBidi" w:eastAsia="Times New Roman" w:hAnsiTheme="majorBidi" w:cstheme="majorBidi"/>
          <w:sz w:val="24"/>
          <w:szCs w:val="24"/>
        </w:rPr>
        <w:t xml:space="preserve">. This contradiction is likely caused by sample entropy being initially designed to evaluate the predictability or regularity of a series of data points </w:t>
      </w:r>
      <w:hyperlink r:id="rId644">
        <w:r w:rsidRPr="00305114">
          <w:rPr>
            <w:rFonts w:asciiTheme="majorBidi" w:eastAsia="Times New Roman" w:hAnsiTheme="majorBidi" w:cstheme="majorBidi"/>
            <w:sz w:val="24"/>
            <w:szCs w:val="24"/>
          </w:rPr>
          <w:t>(Delgado-Bonal &amp; Marshak, 2019)</w:t>
        </w:r>
      </w:hyperlink>
      <w:r w:rsidRPr="00305114">
        <w:rPr>
          <w:rFonts w:asciiTheme="majorBidi" w:eastAsia="Times New Roman" w:hAnsiTheme="majorBidi" w:cstheme="majorBidi"/>
          <w:sz w:val="24"/>
          <w:szCs w:val="24"/>
        </w:rPr>
        <w:t xml:space="preserve"> rather than serving as a direct indicator of physiological complexity. Single-scale entropy does not explicitly explore the nonlinear properties of the signal or quantify fractal scaling behaviour, as an increase in sample entropy does not necessarily indicate a corresponding increase in physiological complexity </w:t>
      </w:r>
      <w:hyperlink r:id="rId645">
        <w:r w:rsidRPr="00305114">
          <w:rPr>
            <w:rFonts w:asciiTheme="majorBidi" w:eastAsia="Times New Roman" w:hAnsiTheme="majorBidi" w:cstheme="majorBidi"/>
            <w:sz w:val="24"/>
            <w:szCs w:val="24"/>
          </w:rPr>
          <w:t>(Vaillancourt &amp; Newell, 2002)</w:t>
        </w:r>
      </w:hyperlink>
      <w:r w:rsidRPr="00305114">
        <w:rPr>
          <w:rFonts w:asciiTheme="majorBidi" w:eastAsia="Times New Roman" w:hAnsiTheme="majorBidi" w:cstheme="majorBidi"/>
          <w:sz w:val="24"/>
          <w:szCs w:val="24"/>
        </w:rPr>
        <w:t xml:space="preserve">. </w:t>
      </w:r>
    </w:p>
    <w:p w14:paraId="5DF515B7" w14:textId="77777777" w:rsidR="00305114" w:rsidRPr="00305114" w:rsidRDefault="00305114" w:rsidP="00305114">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b/>
          <w:i/>
          <w:iCs/>
          <w:sz w:val="24"/>
          <w:szCs w:val="24"/>
        </w:rPr>
        <w:t>DMN Complexity: Concerns for ASC Clinical Assessment</w:t>
      </w:r>
      <w:r w:rsidRPr="00305114">
        <w:rPr>
          <w:rFonts w:asciiTheme="majorBidi" w:eastAsia="Times New Roman" w:hAnsiTheme="majorBidi" w:cstheme="majorBidi"/>
          <w:sz w:val="24"/>
          <w:szCs w:val="24"/>
        </w:rPr>
        <w:t xml:space="preserve">. Numerous studies have explored the clinical relevance of DMN in the ASC population </w:t>
      </w:r>
      <w:hyperlink r:id="rId646">
        <w:r w:rsidRPr="00305114">
          <w:rPr>
            <w:rFonts w:asciiTheme="majorBidi" w:eastAsia="Times New Roman" w:hAnsiTheme="majorBidi" w:cstheme="majorBidi"/>
            <w:sz w:val="24"/>
            <w:szCs w:val="24"/>
          </w:rPr>
          <w:t>(Harikumar et al., 2021</w:t>
        </w:r>
      </w:hyperlink>
      <w:hyperlink r:id="rId647">
        <w:r w:rsidRPr="00305114">
          <w:rPr>
            <w:rFonts w:asciiTheme="majorBidi" w:eastAsia="Times New Roman" w:hAnsiTheme="majorBidi" w:cstheme="majorBidi"/>
            <w:sz w:val="24"/>
            <w:szCs w:val="24"/>
          </w:rPr>
          <w:t xml:space="preserve">; </w:t>
        </w:r>
      </w:hyperlink>
      <w:hyperlink r:id="rId648">
        <w:r w:rsidRPr="00305114">
          <w:rPr>
            <w:rFonts w:asciiTheme="majorBidi" w:eastAsia="Times New Roman" w:hAnsiTheme="majorBidi" w:cstheme="majorBidi"/>
            <w:sz w:val="24"/>
            <w:szCs w:val="24"/>
          </w:rPr>
          <w:t>Jung et al., 2014)</w:t>
        </w:r>
      </w:hyperlink>
      <w:r w:rsidRPr="00305114">
        <w:rPr>
          <w:rFonts w:asciiTheme="majorBidi" w:eastAsia="Times New Roman" w:hAnsiTheme="majorBidi" w:cstheme="majorBidi"/>
          <w:sz w:val="24"/>
          <w:szCs w:val="24"/>
        </w:rPr>
        <w:t xml:space="preserve">. Furthermore, the DMN is known to be involved in various social cognitive processes associated with impairments in ASC, such as emotional perception </w:t>
      </w:r>
      <w:hyperlink r:id="rId649">
        <w:r w:rsidRPr="00305114">
          <w:rPr>
            <w:rFonts w:asciiTheme="majorBidi" w:eastAsia="Times New Roman" w:hAnsiTheme="majorBidi" w:cstheme="majorBidi"/>
            <w:sz w:val="24"/>
            <w:szCs w:val="24"/>
          </w:rPr>
          <w:t>(Luo et al., 2015)</w:t>
        </w:r>
      </w:hyperlink>
      <w:r w:rsidRPr="00305114">
        <w:rPr>
          <w:rFonts w:asciiTheme="majorBidi" w:eastAsia="Times New Roman" w:hAnsiTheme="majorBidi" w:cstheme="majorBidi"/>
          <w:sz w:val="24"/>
          <w:szCs w:val="24"/>
        </w:rPr>
        <w:t xml:space="preserve">, self-referential and autobiographical processing, theory of mind, mentalizing, and affective decision-making </w:t>
      </w:r>
      <w:hyperlink r:id="rId650">
        <w:r w:rsidRPr="00305114">
          <w:rPr>
            <w:rFonts w:asciiTheme="majorBidi" w:eastAsia="Times New Roman" w:hAnsiTheme="majorBidi" w:cstheme="majorBidi"/>
            <w:sz w:val="24"/>
            <w:szCs w:val="24"/>
          </w:rPr>
          <w:t>(</w:t>
        </w:r>
      </w:hyperlink>
      <w:hyperlink r:id="rId651">
        <w:r w:rsidRPr="00305114">
          <w:rPr>
            <w:rFonts w:asciiTheme="majorBidi" w:eastAsia="Times New Roman" w:hAnsiTheme="majorBidi" w:cstheme="majorBidi"/>
            <w:sz w:val="24"/>
            <w:szCs w:val="24"/>
          </w:rPr>
          <w:t>Andrews-Hanna et al., 2010</w:t>
        </w:r>
      </w:hyperlink>
      <w:hyperlink r:id="rId652">
        <w:r w:rsidRPr="00305114">
          <w:rPr>
            <w:rFonts w:asciiTheme="majorBidi" w:eastAsia="Times New Roman" w:hAnsiTheme="majorBidi" w:cstheme="majorBidi"/>
            <w:sz w:val="24"/>
            <w:szCs w:val="24"/>
          </w:rPr>
          <w:t xml:space="preserve">; </w:t>
        </w:r>
      </w:hyperlink>
      <w:hyperlink r:id="rId653">
        <w:r w:rsidRPr="00305114">
          <w:rPr>
            <w:rFonts w:asciiTheme="majorBidi" w:eastAsia="Times New Roman" w:hAnsiTheme="majorBidi" w:cstheme="majorBidi"/>
            <w:sz w:val="24"/>
            <w:szCs w:val="24"/>
          </w:rPr>
          <w:t>Molnar-Szakacs &amp; Uddin, 2013</w:t>
        </w:r>
      </w:hyperlink>
      <w:hyperlink r:id="rId654">
        <w:r w:rsidRPr="00305114">
          <w:rPr>
            <w:rFonts w:asciiTheme="majorBidi" w:eastAsia="Times New Roman" w:hAnsiTheme="majorBidi" w:cstheme="majorBidi"/>
            <w:sz w:val="24"/>
            <w:szCs w:val="24"/>
          </w:rPr>
          <w:t xml:space="preserve">; </w:t>
        </w:r>
      </w:hyperlink>
      <w:hyperlink r:id="rId655">
        <w:r w:rsidRPr="00305114">
          <w:rPr>
            <w:rFonts w:asciiTheme="majorBidi" w:eastAsia="Times New Roman" w:hAnsiTheme="majorBidi" w:cstheme="majorBidi"/>
            <w:sz w:val="24"/>
            <w:szCs w:val="24"/>
          </w:rPr>
          <w:t>Spreng &amp; Grady, 2010; Whitfield-Gabrieli &amp; Ford, 2012</w:t>
        </w:r>
      </w:hyperlink>
      <w:hyperlink r:id="rId656">
        <w:r w:rsidRPr="00305114">
          <w:rPr>
            <w:rFonts w:asciiTheme="majorBidi" w:eastAsia="Times New Roman" w:hAnsiTheme="majorBidi" w:cstheme="majorBidi"/>
            <w:sz w:val="24"/>
            <w:szCs w:val="24"/>
          </w:rPr>
          <w:t>)</w:t>
        </w:r>
      </w:hyperlink>
      <w:r w:rsidRPr="00305114">
        <w:rPr>
          <w:rFonts w:asciiTheme="majorBidi" w:eastAsia="Times New Roman" w:hAnsiTheme="majorBidi" w:cstheme="majorBidi"/>
          <w:sz w:val="24"/>
          <w:szCs w:val="24"/>
        </w:rPr>
        <w:t xml:space="preserve">. </w:t>
      </w:r>
    </w:p>
    <w:p w14:paraId="1E4EFE06" w14:textId="77777777" w:rsidR="00305114" w:rsidRPr="008F4E90" w:rsidRDefault="00305114" w:rsidP="00B71272">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 xml:space="preserve">However, alterations in brain complexity within the DMN have also been observed in other neurological disorders, including schizophrenia, Attention Deficit Hyperactivity Disorder (ADHD) and Bipolar Disorder (BP) </w:t>
      </w:r>
      <w:hyperlink r:id="rId657">
        <w:r w:rsidRPr="00305114">
          <w:rPr>
            <w:rFonts w:asciiTheme="majorBidi" w:eastAsia="Times New Roman" w:hAnsiTheme="majorBidi" w:cstheme="majorBidi"/>
            <w:sz w:val="24"/>
            <w:szCs w:val="24"/>
          </w:rPr>
          <w:t>(Guan et al., 2022)</w:t>
        </w:r>
      </w:hyperlink>
      <w:r w:rsidRPr="00305114">
        <w:rPr>
          <w:rFonts w:asciiTheme="majorBidi" w:eastAsia="Times New Roman" w:hAnsiTheme="majorBidi" w:cstheme="majorBidi"/>
          <w:sz w:val="24"/>
          <w:szCs w:val="24"/>
        </w:rPr>
        <w:t xml:space="preserve">. This suggests that the measure of brain complexity may not be unique to ASC and instead reflects broader neurological conditions. Furthermore, considering the relatively modest classification performance and the need for clearer association between these alterations and behavioural scores in ASC, it is insufficient to conclude that this index is suitable for robust clinical assessment purposes. Further research and validation are needed to establish its clinical utility and specificity in the context of ASC. For instance, one study can use transdiagnostic designs to achieve specificity, where multiple disorders are studied simultaneously, allowing for a direct evaluation of differential diagnostic sensitivity </w:t>
      </w:r>
      <w:hyperlink r:id="rId658">
        <w:r w:rsidRPr="00305114">
          <w:rPr>
            <w:rFonts w:asciiTheme="majorBidi" w:eastAsia="Times New Roman" w:hAnsiTheme="majorBidi" w:cstheme="majorBidi"/>
            <w:sz w:val="24"/>
            <w:szCs w:val="24"/>
          </w:rPr>
          <w:t>(Li et al., 2020; Parkes et al., 2020)</w:t>
        </w:r>
      </w:hyperlink>
      <w:r w:rsidRPr="00305114">
        <w:rPr>
          <w:rFonts w:asciiTheme="majorBidi" w:eastAsia="Times New Roman" w:hAnsiTheme="majorBidi" w:cstheme="majorBidi"/>
          <w:sz w:val="24"/>
          <w:szCs w:val="24"/>
        </w:rPr>
        <w:t xml:space="preserve">. Furthermore, aside from the limited group-level estimation of brain abnormalities in case-control designs, the consideration of age-related </w:t>
      </w:r>
      <w:r w:rsidRPr="00305114">
        <w:rPr>
          <w:rFonts w:asciiTheme="majorBidi" w:eastAsia="Times New Roman" w:hAnsiTheme="majorBidi" w:cstheme="majorBidi"/>
          <w:sz w:val="24"/>
          <w:szCs w:val="24"/>
        </w:rPr>
        <w:lastRenderedPageBreak/>
        <w:t xml:space="preserve">variations enables researchers to measure how individuals with ASC deviate from the typical age-related trajectory </w:t>
      </w:r>
      <w:hyperlink r:id="rId659">
        <w:r w:rsidRPr="00305114">
          <w:rPr>
            <w:rFonts w:asciiTheme="majorBidi" w:eastAsia="Times New Roman" w:hAnsiTheme="majorBidi" w:cstheme="majorBidi"/>
            <w:sz w:val="24"/>
            <w:szCs w:val="24"/>
          </w:rPr>
          <w:t>(</w:t>
        </w:r>
        <w:proofErr w:type="spellStart"/>
      </w:hyperlink>
      <w:hyperlink r:id="rId660">
        <w:r w:rsidRPr="00305114">
          <w:rPr>
            <w:rFonts w:asciiTheme="majorBidi" w:eastAsia="Times New Roman" w:hAnsiTheme="majorBidi" w:cstheme="majorBidi"/>
            <w:sz w:val="24"/>
            <w:szCs w:val="24"/>
          </w:rPr>
          <w:t>Bathelt</w:t>
        </w:r>
        <w:proofErr w:type="spellEnd"/>
        <w:r w:rsidRPr="00305114">
          <w:rPr>
            <w:rFonts w:asciiTheme="majorBidi" w:eastAsia="Times New Roman" w:hAnsiTheme="majorBidi" w:cstheme="majorBidi"/>
            <w:sz w:val="24"/>
            <w:szCs w:val="24"/>
          </w:rPr>
          <w:t xml:space="preserve"> et al. 2020</w:t>
        </w:r>
      </w:hyperlink>
      <w:hyperlink r:id="rId661">
        <w:r w:rsidRPr="00305114">
          <w:rPr>
            <w:rFonts w:asciiTheme="majorBidi" w:eastAsia="Times New Roman" w:hAnsiTheme="majorBidi" w:cstheme="majorBidi"/>
            <w:sz w:val="24"/>
            <w:szCs w:val="24"/>
          </w:rPr>
          <w:t xml:space="preserve">; </w:t>
        </w:r>
      </w:hyperlink>
      <w:hyperlink r:id="rId662">
        <w:r w:rsidRPr="00305114">
          <w:rPr>
            <w:rFonts w:asciiTheme="majorBidi" w:eastAsia="Times New Roman" w:hAnsiTheme="majorBidi" w:cstheme="majorBidi"/>
            <w:sz w:val="24"/>
            <w:szCs w:val="24"/>
          </w:rPr>
          <w:t>Parkes et al. 2020)</w:t>
        </w:r>
      </w:hyperlink>
      <w:r w:rsidRPr="00305114">
        <w:rPr>
          <w:rFonts w:asciiTheme="majorBidi" w:eastAsia="Times New Roman" w:hAnsiTheme="majorBidi" w:cstheme="majorBidi"/>
          <w:sz w:val="24"/>
          <w:szCs w:val="24"/>
        </w:rPr>
        <w:t>.</w:t>
      </w:r>
    </w:p>
    <w:p w14:paraId="5773FF46" w14:textId="77777777" w:rsidR="00020949" w:rsidRPr="00305114" w:rsidRDefault="00020949" w:rsidP="00020949">
      <w:pPr>
        <w:spacing w:line="480" w:lineRule="auto"/>
        <w:rPr>
          <w:rFonts w:asciiTheme="majorBidi" w:eastAsia="Times New Roman" w:hAnsiTheme="majorBidi" w:cstheme="majorBidi"/>
          <w:sz w:val="24"/>
          <w:szCs w:val="24"/>
        </w:rPr>
      </w:pPr>
    </w:p>
    <w:p w14:paraId="18150B21" w14:textId="77777777" w:rsidR="00305114" w:rsidRPr="00305114" w:rsidRDefault="00305114" w:rsidP="00305114">
      <w:pPr>
        <w:spacing w:line="480" w:lineRule="auto"/>
        <w:jc w:val="center"/>
        <w:rPr>
          <w:rFonts w:asciiTheme="majorBidi" w:eastAsia="Times New Roman" w:hAnsiTheme="majorBidi" w:cstheme="majorBidi"/>
          <w:b/>
          <w:sz w:val="24"/>
          <w:szCs w:val="24"/>
        </w:rPr>
      </w:pPr>
      <w:r w:rsidRPr="00305114">
        <w:rPr>
          <w:rFonts w:asciiTheme="majorBidi" w:eastAsia="Times New Roman" w:hAnsiTheme="majorBidi" w:cstheme="majorBidi"/>
          <w:b/>
          <w:sz w:val="24"/>
          <w:szCs w:val="24"/>
        </w:rPr>
        <w:t>Conclusion</w:t>
      </w:r>
    </w:p>
    <w:p w14:paraId="044A3E49" w14:textId="438B7C2E" w:rsidR="00305114" w:rsidRPr="00305114" w:rsidRDefault="00305114" w:rsidP="00730AFD">
      <w:pPr>
        <w:spacing w:line="480" w:lineRule="auto"/>
        <w:ind w:firstLine="720"/>
        <w:rPr>
          <w:rFonts w:asciiTheme="majorBidi" w:eastAsia="Times New Roman" w:hAnsiTheme="majorBidi" w:cstheme="majorBidi"/>
          <w:sz w:val="24"/>
          <w:szCs w:val="24"/>
        </w:rPr>
      </w:pPr>
      <w:r w:rsidRPr="00305114">
        <w:rPr>
          <w:rFonts w:asciiTheme="majorBidi" w:eastAsia="Times New Roman" w:hAnsiTheme="majorBidi" w:cstheme="majorBidi"/>
          <w:sz w:val="24"/>
          <w:szCs w:val="24"/>
        </w:rPr>
        <w:t>This study has expanded the understanding of brain complexity in ASC, revealing atypical intricate dynamics within the DMN and the influence of different time scales on regional complexities. Multiscale sample entropy has provided a new perspective, demonstrating the importance of considering multiple time scale factors in assessing brain complexity. Furthermore, research investigated on the confounding factor - age, is required to fully elucidate the clinical significance of these altered complexities and their specificity to ASC. Ultimately, this study contributes to the ongoing progress of the neurophysiological underpinnings of ASC.</w:t>
      </w:r>
    </w:p>
    <w:p w14:paraId="2F442C78" w14:textId="77777777" w:rsidR="00305114" w:rsidRPr="00305114" w:rsidRDefault="00305114" w:rsidP="00305114">
      <w:pPr>
        <w:spacing w:line="480" w:lineRule="auto"/>
        <w:ind w:left="708" w:hanging="708"/>
        <w:rPr>
          <w:rFonts w:asciiTheme="majorBidi" w:eastAsia="Times New Roman" w:hAnsiTheme="majorBidi" w:cstheme="majorBidi"/>
          <w:sz w:val="24"/>
          <w:szCs w:val="24"/>
        </w:rPr>
      </w:pPr>
    </w:p>
    <w:p w14:paraId="656AC90A" w14:textId="77777777" w:rsidR="00305114" w:rsidRPr="00305114" w:rsidRDefault="00305114" w:rsidP="00305114">
      <w:pPr>
        <w:spacing w:line="480" w:lineRule="auto"/>
        <w:ind w:left="708" w:hanging="708"/>
        <w:rPr>
          <w:rFonts w:asciiTheme="majorBidi" w:eastAsia="Times New Roman" w:hAnsiTheme="majorBidi" w:cstheme="majorBidi"/>
          <w:sz w:val="24"/>
          <w:szCs w:val="24"/>
        </w:rPr>
      </w:pPr>
    </w:p>
    <w:p w14:paraId="4CAF6F7B" w14:textId="77777777" w:rsidR="00305114" w:rsidRPr="00305114" w:rsidRDefault="00305114" w:rsidP="00305114">
      <w:pPr>
        <w:spacing w:line="480" w:lineRule="auto"/>
        <w:ind w:firstLine="720"/>
        <w:rPr>
          <w:rFonts w:asciiTheme="majorBidi" w:eastAsia="Times New Roman" w:hAnsiTheme="majorBidi" w:cstheme="majorBidi"/>
          <w:sz w:val="24"/>
          <w:szCs w:val="24"/>
        </w:rPr>
      </w:pPr>
    </w:p>
    <w:p w14:paraId="01549C47" w14:textId="77777777" w:rsidR="00305114" w:rsidRPr="00305114" w:rsidRDefault="00305114" w:rsidP="00305114">
      <w:pPr>
        <w:spacing w:line="480" w:lineRule="auto"/>
        <w:rPr>
          <w:rFonts w:asciiTheme="majorBidi" w:eastAsia="Times New Roman" w:hAnsiTheme="majorBidi" w:cstheme="majorBidi"/>
          <w:sz w:val="24"/>
          <w:szCs w:val="24"/>
        </w:rPr>
      </w:pPr>
    </w:p>
    <w:bookmarkEnd w:id="9"/>
    <w:p w14:paraId="25FBF40F" w14:textId="77777777" w:rsidR="00B1514C" w:rsidRPr="008F4E90" w:rsidRDefault="00B1514C" w:rsidP="00B1514C">
      <w:pPr>
        <w:pStyle w:val="Subtitle"/>
        <w:spacing w:after="0" w:line="480" w:lineRule="auto"/>
        <w:jc w:val="center"/>
        <w:rPr>
          <w:rFonts w:asciiTheme="majorBidi" w:eastAsia="Times New Roman" w:hAnsiTheme="majorBidi" w:cstheme="majorBidi"/>
          <w:b/>
          <w:color w:val="auto"/>
          <w:sz w:val="24"/>
          <w:szCs w:val="24"/>
        </w:rPr>
      </w:pPr>
      <w:r w:rsidRPr="008F4E90">
        <w:rPr>
          <w:rFonts w:asciiTheme="majorBidi" w:eastAsia="Times New Roman" w:hAnsiTheme="majorBidi" w:cstheme="majorBidi"/>
          <w:b/>
          <w:color w:val="auto"/>
          <w:sz w:val="24"/>
          <w:szCs w:val="24"/>
        </w:rPr>
        <w:t>Chapter 4</w:t>
      </w:r>
    </w:p>
    <w:p w14:paraId="4DCEB9FE" w14:textId="77777777" w:rsidR="00B1514C" w:rsidRPr="008F4E90" w:rsidRDefault="00B1514C" w:rsidP="00B1514C">
      <w:pPr>
        <w:rPr>
          <w:rFonts w:asciiTheme="majorBidi" w:eastAsia="Times New Roman" w:hAnsiTheme="majorBidi" w:cstheme="majorBidi"/>
          <w:sz w:val="24"/>
          <w:szCs w:val="24"/>
        </w:rPr>
      </w:pPr>
    </w:p>
    <w:p w14:paraId="0EC222C0" w14:textId="77777777" w:rsidR="00B1514C" w:rsidRPr="008F4E90" w:rsidRDefault="00B1514C" w:rsidP="00B1514C">
      <w:pPr>
        <w:pStyle w:val="Subtitle"/>
        <w:spacing w:after="0" w:line="480" w:lineRule="auto"/>
        <w:jc w:val="center"/>
        <w:rPr>
          <w:rFonts w:asciiTheme="majorBidi" w:eastAsia="Times New Roman" w:hAnsiTheme="majorBidi" w:cstheme="majorBidi"/>
          <w:b/>
          <w:color w:val="auto"/>
          <w:sz w:val="24"/>
          <w:szCs w:val="24"/>
        </w:rPr>
      </w:pPr>
      <w:bookmarkStart w:id="15" w:name="_dgqr81xwv19m" w:colFirst="0" w:colLast="0"/>
      <w:bookmarkEnd w:id="15"/>
      <w:r w:rsidRPr="008F4E90">
        <w:rPr>
          <w:rFonts w:asciiTheme="majorBidi" w:eastAsia="Times New Roman" w:hAnsiTheme="majorBidi" w:cstheme="majorBidi"/>
          <w:b/>
          <w:color w:val="auto"/>
          <w:sz w:val="24"/>
          <w:szCs w:val="24"/>
        </w:rPr>
        <w:t xml:space="preserve">Unravelling Eyes-Closed Resting-State Brain Complexity in Autistic Spectrum Condition: Insights from Multiscale Sample Entropy Analysis Using fMRI Data </w:t>
      </w:r>
    </w:p>
    <w:p w14:paraId="48BBD6E6" w14:textId="77777777" w:rsidR="00B1514C" w:rsidRPr="008F4E90" w:rsidRDefault="00B1514C" w:rsidP="00B1514C">
      <w:pPr>
        <w:spacing w:line="480" w:lineRule="auto"/>
        <w:rPr>
          <w:rFonts w:asciiTheme="majorBidi" w:eastAsia="Times New Roman" w:hAnsiTheme="majorBidi" w:cstheme="majorBidi"/>
          <w:sz w:val="24"/>
          <w:szCs w:val="24"/>
        </w:rPr>
      </w:pPr>
    </w:p>
    <w:p w14:paraId="69300367" w14:textId="77777777" w:rsidR="00B1514C" w:rsidRPr="008F4E90" w:rsidRDefault="00B1514C" w:rsidP="00B1514C">
      <w:pPr>
        <w:spacing w:line="480" w:lineRule="auto"/>
        <w:rPr>
          <w:rFonts w:asciiTheme="majorBidi" w:eastAsia="Times New Roman" w:hAnsiTheme="majorBidi" w:cstheme="majorBidi"/>
          <w:sz w:val="24"/>
          <w:szCs w:val="24"/>
        </w:rPr>
      </w:pPr>
    </w:p>
    <w:p w14:paraId="71FF7C0D" w14:textId="77777777" w:rsidR="00B1514C" w:rsidRPr="008F4E90" w:rsidRDefault="00B1514C" w:rsidP="00B1514C">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Abstract</w:t>
      </w:r>
    </w:p>
    <w:p w14:paraId="714705AA"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the previous chapters, based on EEG data (Chapter 2), the study investigated the multiscale sample entropy (MSE) between individuals with and without autism spectrum condition (ASC) at both the eyes' open and closed conditions. The findings revealed that the eyes-closed condition yields more promising outcomes in classifying individuals with ASC from neurotypical controls. While the exact </w:t>
      </w:r>
      <w:r w:rsidRPr="008F4E90">
        <w:rPr>
          <w:rFonts w:asciiTheme="majorBidi" w:eastAsia="Times New Roman" w:hAnsiTheme="majorBidi" w:cstheme="majorBidi"/>
          <w:sz w:val="24"/>
          <w:szCs w:val="24"/>
        </w:rPr>
        <w:lastRenderedPageBreak/>
        <w:t>reason remains unclear, it is assumed that the enhanced engagement of the default mode network (DMN) during the eyes-closed condition may contribute to these results. However, EEG data, which was previously used, has limited spatial resolution. Therefore, this study aims to examine the specific brain regions exhibiting group differences by extending the investigation of multiscale sample entropy to a larger resting-state functional magnetic resonance imaging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-fMRI) database known as ABIDE.</w:t>
      </w:r>
    </w:p>
    <w:p w14:paraId="4CB15034"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In the initial phase of the study, only the dataset from the eyes-open condition was used, as most participants were in this state. Voxel-wise two-sample t-tests and multivariate pattern analysis (MVPA) were applied to identify significant clusters or brain atlases demonstrating group differences. The primary group differences were found to be localised within the DMN. The remaining eyes-closed condition dataset was utilised in this subsequent phase, following the same statistical analysis. However, this dataset comprised only a relatively limited number of participants for each group.</w:t>
      </w:r>
    </w:p>
    <w:p w14:paraId="495EC810"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Additionally, due to the lack of data from the same participants in both eyes open and closed conditions, direct comparisons between the two conditions for each group were impossible. Instead, brain complexity was extracted from cortical networks, and MSE profiles within each network were obtained for both eyes-open and eyes-closed conditions. The inter-network correlation was also examined.</w:t>
      </w:r>
    </w:p>
    <w:p w14:paraId="542DDA3D"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Overall, this study aims to enhance our understanding of ASC-related differences in brain complexity by analysing the specific brain regions and inter-network correlations using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-fMRI data from ABIDE.</w:t>
      </w:r>
    </w:p>
    <w:p w14:paraId="7E1A3A7C" w14:textId="77777777" w:rsidR="00B1514C" w:rsidRPr="008F4E90" w:rsidRDefault="00B1514C" w:rsidP="00B1514C">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Method</w:t>
      </w:r>
    </w:p>
    <w:p w14:paraId="4F42AF91"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Data</w:t>
      </w:r>
    </w:p>
    <w:p w14:paraId="4C5625B7"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dataset used in this chapter followed the same selection process as in the previous chapter. However, for this chapter, the chosen dataset was collected under the eyes-closed condition instead of the eyes-open condition used in the previous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-fMRI chapter. This dataset comprises 47 individuals with ASC and 56 neurotypical controls, all of whom were age-matched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 -0.030, </w:t>
      </w:r>
      <w:r w:rsidRPr="008F4E90">
        <w:rPr>
          <w:rFonts w:asciiTheme="majorBidi" w:eastAsia="Times New Roman" w:hAnsiTheme="majorBidi" w:cstheme="majorBidi"/>
          <w:i/>
          <w:sz w:val="24"/>
          <w:szCs w:val="24"/>
        </w:rPr>
        <w:t xml:space="preserve">p </w:t>
      </w:r>
      <w:r w:rsidRPr="008F4E90">
        <w:rPr>
          <w:rFonts w:asciiTheme="majorBidi" w:eastAsia="Times New Roman" w:hAnsiTheme="majorBidi" w:cstheme="majorBidi"/>
          <w:sz w:val="24"/>
          <w:szCs w:val="24"/>
        </w:rPr>
        <w:t xml:space="preserve">= 0.976) and IQ-matched (FIQ: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 -0.532, </w:t>
      </w:r>
      <w:r w:rsidRPr="008F4E90">
        <w:rPr>
          <w:rFonts w:asciiTheme="majorBidi" w:eastAsia="Times New Roman" w:hAnsiTheme="majorBidi" w:cstheme="majorBidi"/>
          <w:i/>
          <w:sz w:val="24"/>
          <w:szCs w:val="24"/>
        </w:rPr>
        <w:t xml:space="preserve">p </w:t>
      </w:r>
      <w:r w:rsidRPr="008F4E90">
        <w:rPr>
          <w:rFonts w:asciiTheme="majorBidi" w:eastAsia="Times New Roman" w:hAnsiTheme="majorBidi" w:cstheme="majorBidi"/>
          <w:sz w:val="24"/>
          <w:szCs w:val="24"/>
        </w:rPr>
        <w:t xml:space="preserve">= 0.596; VIQ: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 -0.692, </w:t>
      </w:r>
      <w:r w:rsidRPr="008F4E90">
        <w:rPr>
          <w:rFonts w:asciiTheme="majorBidi" w:eastAsia="Times New Roman" w:hAnsiTheme="majorBidi" w:cstheme="majorBidi"/>
          <w:i/>
          <w:sz w:val="24"/>
          <w:szCs w:val="24"/>
        </w:rPr>
        <w:t xml:space="preserve">p </w:t>
      </w:r>
      <w:r w:rsidRPr="008F4E90">
        <w:rPr>
          <w:rFonts w:asciiTheme="majorBidi" w:eastAsia="Times New Roman" w:hAnsiTheme="majorBidi" w:cstheme="majorBidi"/>
          <w:sz w:val="24"/>
          <w:szCs w:val="24"/>
        </w:rPr>
        <w:t xml:space="preserve">= 0.491; PIQ: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 -0.327, </w:t>
      </w:r>
      <w:r w:rsidRPr="008F4E90">
        <w:rPr>
          <w:rFonts w:asciiTheme="majorBidi" w:eastAsia="Times New Roman" w:hAnsiTheme="majorBidi" w:cstheme="majorBidi"/>
          <w:i/>
          <w:sz w:val="24"/>
          <w:szCs w:val="24"/>
        </w:rPr>
        <w:t xml:space="preserve">p </w:t>
      </w:r>
      <w:r w:rsidRPr="008F4E90">
        <w:rPr>
          <w:rFonts w:asciiTheme="majorBidi" w:eastAsia="Times New Roman" w:hAnsiTheme="majorBidi" w:cstheme="majorBidi"/>
          <w:sz w:val="24"/>
          <w:szCs w:val="24"/>
        </w:rPr>
        <w:t xml:space="preserve">= 0.745). The accompanying </w:t>
      </w:r>
      <w:r w:rsidRPr="008F4E90">
        <w:rPr>
          <w:rFonts w:asciiTheme="majorBidi" w:eastAsia="Times New Roman" w:hAnsiTheme="majorBidi" w:cstheme="majorBidi"/>
          <w:sz w:val="24"/>
          <w:szCs w:val="24"/>
        </w:rPr>
        <w:lastRenderedPageBreak/>
        <w:t>figure illustrates the age distribution, with the y-axis denoting the number of individuals and the x-axis representing age in the year (Figure 1). The upper segment of the chart corresponds to individuals with ASC, while the lower segment pertains to the neurotypical controls. The following table presents phenotypic information, encompassing the counts of female and male participants and the average and standard deviation of IQ scores (Table 1).</w:t>
      </w:r>
    </w:p>
    <w:p w14:paraId="1FF1C7BB"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19881A24"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155F9C51"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0FFC7C9C"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64453474"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4DFA206E" w14:textId="77777777" w:rsidR="0081065D" w:rsidRPr="008F4E90" w:rsidRDefault="0081065D" w:rsidP="00B1514C">
      <w:pPr>
        <w:spacing w:line="480" w:lineRule="auto"/>
        <w:ind w:firstLine="720"/>
        <w:rPr>
          <w:rFonts w:asciiTheme="majorBidi" w:eastAsia="Times New Roman" w:hAnsiTheme="majorBidi" w:cstheme="majorBidi"/>
          <w:sz w:val="24"/>
          <w:szCs w:val="24"/>
        </w:rPr>
      </w:pPr>
    </w:p>
    <w:p w14:paraId="0FBAF115" w14:textId="77777777" w:rsidR="0081065D" w:rsidRPr="008F4E90" w:rsidRDefault="0081065D" w:rsidP="00B1514C">
      <w:pPr>
        <w:spacing w:line="480" w:lineRule="auto"/>
        <w:ind w:firstLine="720"/>
        <w:rPr>
          <w:rFonts w:asciiTheme="majorBidi" w:eastAsia="Times New Roman" w:hAnsiTheme="majorBidi" w:cstheme="majorBidi"/>
          <w:sz w:val="24"/>
          <w:szCs w:val="24"/>
        </w:rPr>
      </w:pPr>
    </w:p>
    <w:p w14:paraId="11BF734C" w14:textId="77777777" w:rsidR="0081065D" w:rsidRPr="008F4E90" w:rsidRDefault="0081065D" w:rsidP="00B1514C">
      <w:pPr>
        <w:spacing w:line="480" w:lineRule="auto"/>
        <w:ind w:firstLine="720"/>
        <w:rPr>
          <w:rFonts w:asciiTheme="majorBidi" w:eastAsia="Times New Roman" w:hAnsiTheme="majorBidi" w:cstheme="majorBidi"/>
          <w:sz w:val="24"/>
          <w:szCs w:val="24"/>
        </w:rPr>
      </w:pPr>
    </w:p>
    <w:p w14:paraId="78B6D4B7" w14:textId="77777777" w:rsidR="0081065D" w:rsidRPr="008F4E90" w:rsidRDefault="0081065D" w:rsidP="00B1514C">
      <w:pPr>
        <w:spacing w:line="480" w:lineRule="auto"/>
        <w:ind w:firstLine="720"/>
        <w:rPr>
          <w:rFonts w:asciiTheme="majorBidi" w:eastAsia="Times New Roman" w:hAnsiTheme="majorBidi" w:cstheme="majorBidi"/>
          <w:sz w:val="24"/>
          <w:szCs w:val="24"/>
        </w:rPr>
      </w:pPr>
    </w:p>
    <w:p w14:paraId="190B73D5"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676775E3"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Figure 1 </w:t>
      </w:r>
    </w:p>
    <w:p w14:paraId="0722788F"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Distribution of Age for individuals with ASC and neurotypical controls</w:t>
      </w:r>
    </w:p>
    <w:p w14:paraId="5077B96D"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lastRenderedPageBreak/>
        <w:drawing>
          <wp:inline distT="114300" distB="114300" distL="114300" distR="114300" wp14:anchorId="4C16D615" wp14:editId="231FC197">
            <wp:extent cx="5731200" cy="42926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3"/>
                    <a:srcRect/>
                    <a:stretch>
                      <a:fillRect/>
                    </a:stretch>
                  </pic:blipFill>
                  <pic:spPr>
                    <a:xfrm>
                      <a:off x="0" y="0"/>
                      <a:ext cx="5731200" cy="4292600"/>
                    </a:xfrm>
                    <a:prstGeom prst="rect">
                      <a:avLst/>
                    </a:prstGeom>
                    <a:ln/>
                  </pic:spPr>
                </pic:pic>
              </a:graphicData>
            </a:graphic>
          </wp:inline>
        </w:drawing>
      </w:r>
    </w:p>
    <w:p w14:paraId="1C115C46"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 xml:space="preserve">Note. </w:t>
      </w:r>
      <w:r w:rsidRPr="008F4E90">
        <w:rPr>
          <w:rFonts w:asciiTheme="majorBidi" w:eastAsia="Times New Roman" w:hAnsiTheme="majorBidi" w:cstheme="majorBidi"/>
          <w:sz w:val="24"/>
          <w:szCs w:val="24"/>
        </w:rPr>
        <w:t>The age range, represented from left to right, includes the minimum, mean, and maximum values. The x-axis corresponds to age, while the y-axis represents the count of individuals.</w:t>
      </w:r>
    </w:p>
    <w:p w14:paraId="610D9C74" w14:textId="77777777" w:rsidR="00B1514C" w:rsidRPr="008F4E90" w:rsidRDefault="00B1514C" w:rsidP="00B1514C">
      <w:pPr>
        <w:spacing w:line="480" w:lineRule="auto"/>
        <w:rPr>
          <w:rFonts w:asciiTheme="majorBidi" w:eastAsia="Times New Roman" w:hAnsiTheme="majorBidi" w:cstheme="majorBidi"/>
          <w:sz w:val="24"/>
          <w:szCs w:val="24"/>
        </w:rPr>
      </w:pPr>
    </w:p>
    <w:p w14:paraId="623802BA" w14:textId="77777777" w:rsidR="00B1514C" w:rsidRPr="008F4E90" w:rsidRDefault="00B1514C" w:rsidP="00B1514C">
      <w:pPr>
        <w:spacing w:line="480" w:lineRule="auto"/>
        <w:rPr>
          <w:rFonts w:asciiTheme="majorBidi" w:eastAsia="Times New Roman" w:hAnsiTheme="majorBidi" w:cstheme="majorBidi"/>
          <w:sz w:val="24"/>
          <w:szCs w:val="24"/>
        </w:rPr>
      </w:pPr>
    </w:p>
    <w:p w14:paraId="19CD8BB0" w14:textId="77777777" w:rsidR="00B1514C" w:rsidRPr="008F4E90" w:rsidRDefault="00B1514C" w:rsidP="00B1514C">
      <w:pPr>
        <w:spacing w:line="480" w:lineRule="auto"/>
        <w:rPr>
          <w:rFonts w:asciiTheme="majorBidi" w:eastAsia="Times New Roman" w:hAnsiTheme="majorBidi" w:cstheme="majorBidi"/>
          <w:sz w:val="24"/>
          <w:szCs w:val="24"/>
        </w:rPr>
      </w:pPr>
    </w:p>
    <w:p w14:paraId="7D74AAE9" w14:textId="77777777" w:rsidR="00B1514C" w:rsidRPr="008F4E90" w:rsidRDefault="00B1514C" w:rsidP="00B1514C">
      <w:pPr>
        <w:spacing w:line="480" w:lineRule="auto"/>
        <w:rPr>
          <w:rFonts w:asciiTheme="majorBidi" w:eastAsia="Times New Roman" w:hAnsiTheme="majorBidi" w:cstheme="majorBidi"/>
          <w:sz w:val="24"/>
          <w:szCs w:val="24"/>
        </w:rPr>
      </w:pPr>
    </w:p>
    <w:p w14:paraId="7FCDB3E3" w14:textId="77777777" w:rsidR="00B1514C" w:rsidRPr="008F4E90" w:rsidRDefault="00B1514C" w:rsidP="00B1514C">
      <w:pPr>
        <w:spacing w:line="480" w:lineRule="auto"/>
        <w:rPr>
          <w:rFonts w:asciiTheme="majorBidi" w:eastAsia="Times New Roman" w:hAnsiTheme="majorBidi" w:cstheme="majorBidi"/>
          <w:sz w:val="24"/>
          <w:szCs w:val="24"/>
        </w:rPr>
      </w:pPr>
    </w:p>
    <w:p w14:paraId="117B066D" w14:textId="77777777" w:rsidR="0081065D" w:rsidRPr="008F4E90" w:rsidRDefault="0081065D" w:rsidP="00B1514C">
      <w:pPr>
        <w:spacing w:line="480" w:lineRule="auto"/>
        <w:rPr>
          <w:rFonts w:asciiTheme="majorBidi" w:eastAsia="Times New Roman" w:hAnsiTheme="majorBidi" w:cstheme="majorBidi"/>
          <w:sz w:val="24"/>
          <w:szCs w:val="24"/>
        </w:rPr>
      </w:pPr>
    </w:p>
    <w:p w14:paraId="37B239EC" w14:textId="77777777" w:rsidR="00B1514C" w:rsidRPr="008F4E90" w:rsidRDefault="00B1514C" w:rsidP="00B1514C">
      <w:pPr>
        <w:spacing w:line="480" w:lineRule="auto"/>
        <w:rPr>
          <w:rFonts w:asciiTheme="majorBidi" w:eastAsia="Times New Roman" w:hAnsiTheme="majorBidi" w:cstheme="majorBidi"/>
          <w:sz w:val="24"/>
          <w:szCs w:val="24"/>
        </w:rPr>
      </w:pPr>
    </w:p>
    <w:p w14:paraId="4B64E0A9" w14:textId="77777777" w:rsidR="00B1514C" w:rsidRDefault="00B1514C" w:rsidP="00B1514C">
      <w:pPr>
        <w:spacing w:line="480" w:lineRule="auto"/>
        <w:rPr>
          <w:rFonts w:asciiTheme="majorBidi" w:eastAsia="Times New Roman" w:hAnsiTheme="majorBidi" w:cstheme="majorBidi"/>
          <w:sz w:val="24"/>
          <w:szCs w:val="24"/>
        </w:rPr>
      </w:pPr>
    </w:p>
    <w:p w14:paraId="4D2FF261" w14:textId="77777777" w:rsidR="00730AFD" w:rsidRDefault="00730AFD" w:rsidP="00B1514C">
      <w:pPr>
        <w:spacing w:line="480" w:lineRule="auto"/>
        <w:rPr>
          <w:rFonts w:asciiTheme="majorBidi" w:eastAsia="Times New Roman" w:hAnsiTheme="majorBidi" w:cstheme="majorBidi"/>
          <w:sz w:val="24"/>
          <w:szCs w:val="24"/>
        </w:rPr>
      </w:pPr>
    </w:p>
    <w:p w14:paraId="1262D12F" w14:textId="77777777" w:rsidR="00730AFD" w:rsidRPr="008F4E90" w:rsidRDefault="00730AFD" w:rsidP="00B1514C">
      <w:pPr>
        <w:spacing w:line="480" w:lineRule="auto"/>
        <w:rPr>
          <w:rFonts w:asciiTheme="majorBidi" w:eastAsia="Times New Roman" w:hAnsiTheme="majorBidi" w:cstheme="majorBidi"/>
          <w:sz w:val="24"/>
          <w:szCs w:val="24"/>
        </w:rPr>
      </w:pPr>
    </w:p>
    <w:p w14:paraId="780B89A2"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Table 1</w:t>
      </w:r>
    </w:p>
    <w:p w14:paraId="6DAC0EAD" w14:textId="77777777" w:rsidR="00B1514C" w:rsidRPr="008F4E90" w:rsidRDefault="00B1514C" w:rsidP="00B1514C">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Phenotypic information of the dataset with 0.5 Hz Sampling Rate after quality control at eyes-closed condition</w:t>
      </w:r>
    </w:p>
    <w:tbl>
      <w:tblPr>
        <w:tblW w:w="10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80"/>
        <w:gridCol w:w="1725"/>
        <w:gridCol w:w="1095"/>
        <w:gridCol w:w="2220"/>
        <w:gridCol w:w="2040"/>
        <w:gridCol w:w="2130"/>
      </w:tblGrid>
      <w:tr w:rsidR="008F4E90" w:rsidRPr="008F4E90" w14:paraId="2295F110" w14:textId="77777777" w:rsidTr="00ED0B86">
        <w:tc>
          <w:tcPr>
            <w:tcW w:w="1080" w:type="dxa"/>
            <w:tcBorders>
              <w:top w:val="single" w:sz="8" w:space="0" w:color="000000"/>
              <w:bottom w:val="single" w:sz="8" w:space="0" w:color="000000"/>
            </w:tcBorders>
            <w:shd w:val="clear" w:color="auto" w:fill="auto"/>
            <w:tcMar>
              <w:top w:w="100" w:type="dxa"/>
              <w:left w:w="100" w:type="dxa"/>
              <w:bottom w:w="100" w:type="dxa"/>
              <w:right w:w="100" w:type="dxa"/>
            </w:tcMar>
          </w:tcPr>
          <w:p w14:paraId="7CBBE261"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Group</w:t>
            </w:r>
          </w:p>
        </w:tc>
        <w:tc>
          <w:tcPr>
            <w:tcW w:w="1725" w:type="dxa"/>
            <w:tcBorders>
              <w:top w:val="single" w:sz="8" w:space="0" w:color="000000"/>
              <w:bottom w:val="single" w:sz="8" w:space="0" w:color="000000"/>
            </w:tcBorders>
            <w:shd w:val="clear" w:color="auto" w:fill="auto"/>
            <w:tcMar>
              <w:top w:w="100" w:type="dxa"/>
              <w:left w:w="100" w:type="dxa"/>
              <w:bottom w:w="100" w:type="dxa"/>
              <w:right w:w="100" w:type="dxa"/>
            </w:tcMar>
          </w:tcPr>
          <w:p w14:paraId="4EE893DB"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w:t>
            </w:r>
          </w:p>
        </w:tc>
        <w:tc>
          <w:tcPr>
            <w:tcW w:w="1095" w:type="dxa"/>
            <w:tcBorders>
              <w:top w:val="single" w:sz="8" w:space="0" w:color="000000"/>
              <w:bottom w:val="single" w:sz="8" w:space="0" w:color="000000"/>
            </w:tcBorders>
            <w:shd w:val="clear" w:color="auto" w:fill="auto"/>
            <w:tcMar>
              <w:top w:w="100" w:type="dxa"/>
              <w:left w:w="100" w:type="dxa"/>
              <w:bottom w:w="100" w:type="dxa"/>
              <w:right w:w="100" w:type="dxa"/>
            </w:tcMar>
          </w:tcPr>
          <w:p w14:paraId="4B7D12B2"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Sex</w:t>
            </w:r>
          </w:p>
          <w:p w14:paraId="18432436"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(M/F)</w:t>
            </w:r>
          </w:p>
        </w:tc>
        <w:tc>
          <w:tcPr>
            <w:tcW w:w="2220" w:type="dxa"/>
            <w:tcBorders>
              <w:top w:val="single" w:sz="8" w:space="0" w:color="000000"/>
              <w:bottom w:val="single" w:sz="8" w:space="0" w:color="000000"/>
            </w:tcBorders>
            <w:shd w:val="clear" w:color="auto" w:fill="auto"/>
            <w:tcMar>
              <w:top w:w="100" w:type="dxa"/>
              <w:left w:w="100" w:type="dxa"/>
              <w:bottom w:w="100" w:type="dxa"/>
              <w:right w:w="100" w:type="dxa"/>
            </w:tcMar>
          </w:tcPr>
          <w:p w14:paraId="62D0F485"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FIQ</w:t>
            </w:r>
          </w:p>
        </w:tc>
        <w:tc>
          <w:tcPr>
            <w:tcW w:w="2040" w:type="dxa"/>
            <w:tcBorders>
              <w:top w:val="single" w:sz="8" w:space="0" w:color="000000"/>
              <w:bottom w:val="single" w:sz="8" w:space="0" w:color="000000"/>
            </w:tcBorders>
            <w:shd w:val="clear" w:color="auto" w:fill="auto"/>
            <w:tcMar>
              <w:top w:w="100" w:type="dxa"/>
              <w:left w:w="100" w:type="dxa"/>
              <w:bottom w:w="100" w:type="dxa"/>
              <w:right w:w="100" w:type="dxa"/>
            </w:tcMar>
          </w:tcPr>
          <w:p w14:paraId="05418868"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VIQ</w:t>
            </w:r>
          </w:p>
        </w:tc>
        <w:tc>
          <w:tcPr>
            <w:tcW w:w="2130" w:type="dxa"/>
            <w:tcBorders>
              <w:top w:val="single" w:sz="8" w:space="0" w:color="000000"/>
              <w:bottom w:val="single" w:sz="8" w:space="0" w:color="000000"/>
            </w:tcBorders>
            <w:shd w:val="clear" w:color="auto" w:fill="auto"/>
            <w:tcMar>
              <w:top w:w="100" w:type="dxa"/>
              <w:left w:w="100" w:type="dxa"/>
              <w:bottom w:w="100" w:type="dxa"/>
              <w:right w:w="100" w:type="dxa"/>
            </w:tcMar>
          </w:tcPr>
          <w:p w14:paraId="3E1ABB73"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PIQ</w:t>
            </w:r>
          </w:p>
        </w:tc>
      </w:tr>
      <w:tr w:rsidR="008F4E90" w:rsidRPr="008F4E90" w14:paraId="11B00371" w14:textId="77777777" w:rsidTr="00ED0B86">
        <w:tc>
          <w:tcPr>
            <w:tcW w:w="1080" w:type="dxa"/>
            <w:tcBorders>
              <w:top w:val="single" w:sz="8" w:space="0" w:color="000000"/>
            </w:tcBorders>
            <w:shd w:val="clear" w:color="auto" w:fill="auto"/>
            <w:tcMar>
              <w:top w:w="100" w:type="dxa"/>
              <w:left w:w="100" w:type="dxa"/>
              <w:bottom w:w="100" w:type="dxa"/>
              <w:right w:w="100" w:type="dxa"/>
            </w:tcMar>
          </w:tcPr>
          <w:p w14:paraId="6D4DB4D2"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ASC</w:t>
            </w:r>
          </w:p>
        </w:tc>
        <w:tc>
          <w:tcPr>
            <w:tcW w:w="1725" w:type="dxa"/>
            <w:tcBorders>
              <w:top w:val="single" w:sz="8" w:space="0" w:color="000000"/>
            </w:tcBorders>
            <w:shd w:val="clear" w:color="auto" w:fill="auto"/>
            <w:tcMar>
              <w:top w:w="100" w:type="dxa"/>
              <w:left w:w="100" w:type="dxa"/>
              <w:bottom w:w="100" w:type="dxa"/>
              <w:right w:w="100" w:type="dxa"/>
            </w:tcMar>
          </w:tcPr>
          <w:p w14:paraId="591EDD77"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14.22(5.81)</w:t>
            </w:r>
          </w:p>
        </w:tc>
        <w:tc>
          <w:tcPr>
            <w:tcW w:w="1095" w:type="dxa"/>
            <w:tcBorders>
              <w:top w:val="single" w:sz="8" w:space="0" w:color="000000"/>
            </w:tcBorders>
            <w:shd w:val="clear" w:color="auto" w:fill="auto"/>
            <w:tcMar>
              <w:top w:w="100" w:type="dxa"/>
              <w:left w:w="100" w:type="dxa"/>
              <w:bottom w:w="100" w:type="dxa"/>
              <w:right w:w="100" w:type="dxa"/>
            </w:tcMar>
          </w:tcPr>
          <w:p w14:paraId="1022FDC4"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40/7</w:t>
            </w:r>
          </w:p>
        </w:tc>
        <w:tc>
          <w:tcPr>
            <w:tcW w:w="2220" w:type="dxa"/>
            <w:tcBorders>
              <w:top w:val="single" w:sz="8" w:space="0" w:color="000000"/>
            </w:tcBorders>
            <w:shd w:val="clear" w:color="auto" w:fill="auto"/>
            <w:tcMar>
              <w:top w:w="100" w:type="dxa"/>
              <w:left w:w="100" w:type="dxa"/>
              <w:bottom w:w="100" w:type="dxa"/>
              <w:right w:w="100" w:type="dxa"/>
            </w:tcMar>
          </w:tcPr>
          <w:p w14:paraId="296E1262"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110.09(16.34)</w:t>
            </w:r>
          </w:p>
        </w:tc>
        <w:tc>
          <w:tcPr>
            <w:tcW w:w="2040" w:type="dxa"/>
            <w:tcBorders>
              <w:top w:val="single" w:sz="8" w:space="0" w:color="000000"/>
            </w:tcBorders>
            <w:shd w:val="clear" w:color="auto" w:fill="auto"/>
            <w:tcMar>
              <w:top w:w="100" w:type="dxa"/>
              <w:left w:w="100" w:type="dxa"/>
              <w:bottom w:w="100" w:type="dxa"/>
              <w:right w:w="100" w:type="dxa"/>
            </w:tcMar>
          </w:tcPr>
          <w:p w14:paraId="7EC40CB2"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108.74(16.84)</w:t>
            </w:r>
          </w:p>
        </w:tc>
        <w:tc>
          <w:tcPr>
            <w:tcW w:w="2130" w:type="dxa"/>
            <w:tcBorders>
              <w:top w:val="single" w:sz="8" w:space="0" w:color="000000"/>
            </w:tcBorders>
            <w:shd w:val="clear" w:color="auto" w:fill="auto"/>
            <w:tcMar>
              <w:top w:w="100" w:type="dxa"/>
              <w:left w:w="100" w:type="dxa"/>
              <w:bottom w:w="100" w:type="dxa"/>
              <w:right w:w="100" w:type="dxa"/>
            </w:tcMar>
          </w:tcPr>
          <w:p w14:paraId="4227F35D"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109.17(15.72)</w:t>
            </w:r>
          </w:p>
        </w:tc>
      </w:tr>
      <w:tr w:rsidR="008F4E90" w:rsidRPr="008F4E90" w14:paraId="77BC0810" w14:textId="77777777" w:rsidTr="00ED0B86">
        <w:tc>
          <w:tcPr>
            <w:tcW w:w="1080" w:type="dxa"/>
            <w:tcBorders>
              <w:bottom w:val="single" w:sz="8" w:space="0" w:color="000000"/>
            </w:tcBorders>
            <w:shd w:val="clear" w:color="auto" w:fill="auto"/>
            <w:tcMar>
              <w:top w:w="100" w:type="dxa"/>
              <w:left w:w="100" w:type="dxa"/>
              <w:bottom w:w="100" w:type="dxa"/>
              <w:right w:w="100" w:type="dxa"/>
            </w:tcMar>
          </w:tcPr>
          <w:p w14:paraId="2880B28F"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CON</w:t>
            </w:r>
          </w:p>
        </w:tc>
        <w:tc>
          <w:tcPr>
            <w:tcW w:w="1725" w:type="dxa"/>
            <w:tcBorders>
              <w:bottom w:val="single" w:sz="8" w:space="0" w:color="000000"/>
            </w:tcBorders>
            <w:shd w:val="clear" w:color="auto" w:fill="auto"/>
            <w:tcMar>
              <w:top w:w="100" w:type="dxa"/>
              <w:left w:w="100" w:type="dxa"/>
              <w:bottom w:w="100" w:type="dxa"/>
              <w:right w:w="100" w:type="dxa"/>
            </w:tcMar>
          </w:tcPr>
          <w:p w14:paraId="6C4EEDBD"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14.25(5.23)</w:t>
            </w:r>
          </w:p>
        </w:tc>
        <w:tc>
          <w:tcPr>
            <w:tcW w:w="1095" w:type="dxa"/>
            <w:tcBorders>
              <w:bottom w:val="single" w:sz="8" w:space="0" w:color="000000"/>
            </w:tcBorders>
            <w:shd w:val="clear" w:color="auto" w:fill="auto"/>
            <w:tcMar>
              <w:top w:w="100" w:type="dxa"/>
              <w:left w:w="100" w:type="dxa"/>
              <w:bottom w:w="100" w:type="dxa"/>
              <w:right w:w="100" w:type="dxa"/>
            </w:tcMar>
          </w:tcPr>
          <w:p w14:paraId="2B036B0A"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50/6</w:t>
            </w:r>
          </w:p>
        </w:tc>
        <w:tc>
          <w:tcPr>
            <w:tcW w:w="2220" w:type="dxa"/>
            <w:tcBorders>
              <w:bottom w:val="single" w:sz="8" w:space="0" w:color="000000"/>
            </w:tcBorders>
            <w:shd w:val="clear" w:color="auto" w:fill="auto"/>
            <w:tcMar>
              <w:top w:w="100" w:type="dxa"/>
              <w:left w:w="100" w:type="dxa"/>
              <w:bottom w:w="100" w:type="dxa"/>
              <w:right w:w="100" w:type="dxa"/>
            </w:tcMar>
          </w:tcPr>
          <w:p w14:paraId="3D2E3061"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111.66(13.17)</w:t>
            </w:r>
          </w:p>
        </w:tc>
        <w:tc>
          <w:tcPr>
            <w:tcW w:w="2040" w:type="dxa"/>
            <w:tcBorders>
              <w:bottom w:val="single" w:sz="8" w:space="0" w:color="000000"/>
            </w:tcBorders>
            <w:shd w:val="clear" w:color="auto" w:fill="auto"/>
            <w:tcMar>
              <w:top w:w="100" w:type="dxa"/>
              <w:left w:w="100" w:type="dxa"/>
              <w:bottom w:w="100" w:type="dxa"/>
              <w:right w:w="100" w:type="dxa"/>
            </w:tcMar>
          </w:tcPr>
          <w:p w14:paraId="3002D999"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110.95(15.13)</w:t>
            </w:r>
          </w:p>
        </w:tc>
        <w:tc>
          <w:tcPr>
            <w:tcW w:w="2130" w:type="dxa"/>
            <w:tcBorders>
              <w:bottom w:val="single" w:sz="8" w:space="0" w:color="000000"/>
            </w:tcBorders>
            <w:shd w:val="clear" w:color="auto" w:fill="auto"/>
            <w:tcMar>
              <w:top w:w="100" w:type="dxa"/>
              <w:left w:w="100" w:type="dxa"/>
              <w:bottom w:w="100" w:type="dxa"/>
              <w:right w:w="100" w:type="dxa"/>
            </w:tcMar>
          </w:tcPr>
          <w:p w14:paraId="78628CAF" w14:textId="77777777" w:rsidR="00B1514C" w:rsidRPr="008F4E90" w:rsidRDefault="00B1514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110.14(13.84)</w:t>
            </w:r>
          </w:p>
        </w:tc>
      </w:tr>
    </w:tbl>
    <w:p w14:paraId="038E3CA3"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ASC = Autistic Spectrum Conditions. CON = neurotypical controls.</w:t>
      </w:r>
    </w:p>
    <w:p w14:paraId="02B8DF35"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FIQ </w:t>
      </w:r>
      <w:r w:rsidR="0081065D" w:rsidRPr="008F4E90">
        <w:rPr>
          <w:rFonts w:asciiTheme="majorBidi" w:eastAsia="Times New Roman" w:hAnsiTheme="majorBidi" w:cstheme="majorBidi"/>
          <w:sz w:val="24"/>
          <w:szCs w:val="24"/>
        </w:rPr>
        <w:t>= IQ</w:t>
      </w:r>
      <w:r w:rsidRPr="008F4E90">
        <w:rPr>
          <w:rFonts w:asciiTheme="majorBidi" w:eastAsia="Times New Roman" w:hAnsiTheme="majorBidi" w:cstheme="majorBidi"/>
          <w:sz w:val="24"/>
          <w:szCs w:val="24"/>
        </w:rPr>
        <w:t xml:space="preserve"> test administered for Full Scale IQ standard score.</w:t>
      </w:r>
    </w:p>
    <w:p w14:paraId="0957AB41"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VIQ = IQ test administered for Verbal IQ standard score.</w:t>
      </w:r>
    </w:p>
    <w:p w14:paraId="03519C89"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PIQ = IQ test administered for Performance IQ standard score.</w:t>
      </w:r>
    </w:p>
    <w:p w14:paraId="6CEED58D"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Numeric values indicate mean and (standard deviation)</w:t>
      </w:r>
    </w:p>
    <w:p w14:paraId="2183701A" w14:textId="77777777" w:rsidR="0081065D" w:rsidRPr="008F4E90" w:rsidRDefault="0081065D" w:rsidP="00B1514C">
      <w:pPr>
        <w:spacing w:line="480" w:lineRule="auto"/>
        <w:rPr>
          <w:rFonts w:asciiTheme="majorBidi" w:eastAsia="Times New Roman" w:hAnsiTheme="majorBidi" w:cstheme="majorBidi"/>
          <w:sz w:val="24"/>
          <w:szCs w:val="24"/>
        </w:rPr>
      </w:pPr>
    </w:p>
    <w:p w14:paraId="4A704BEB" w14:textId="77777777" w:rsidR="00B1514C" w:rsidRPr="008F4E90" w:rsidRDefault="00B1514C" w:rsidP="00B1514C">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Results</w:t>
      </w:r>
    </w:p>
    <w:p w14:paraId="511D523C"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Voxel-wise one-sample t-test to visualise the relative sample entropy brain map for each time scale and diagnosis group</w:t>
      </w:r>
    </w:p>
    <w:p w14:paraId="6CE895CB"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statistical analysis conducted in this phase of the fMRI chapter replicated the same procedure as the previous phase of the fMRI project. The average of raw sample entropy between ASC and neurotypical controls shows no significant difference (Scale 1: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=-0.902, </w:t>
      </w:r>
      <w:r w:rsidRPr="008F4E90">
        <w:rPr>
          <w:rFonts w:asciiTheme="majorBidi" w:eastAsia="Times New Roman" w:hAnsiTheme="majorBidi" w:cstheme="majorBidi"/>
          <w:i/>
          <w:sz w:val="24"/>
          <w:szCs w:val="24"/>
        </w:rPr>
        <w:t>p</w:t>
      </w:r>
      <w:r w:rsidRPr="008F4E90">
        <w:rPr>
          <w:rFonts w:asciiTheme="majorBidi" w:eastAsia="Times New Roman" w:hAnsiTheme="majorBidi" w:cstheme="majorBidi"/>
          <w:sz w:val="24"/>
          <w:szCs w:val="24"/>
        </w:rPr>
        <w:t xml:space="preserve"> =0.369; Scale 2: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=0.070, </w:t>
      </w:r>
      <w:r w:rsidRPr="008F4E90">
        <w:rPr>
          <w:rFonts w:asciiTheme="majorBidi" w:eastAsia="Times New Roman" w:hAnsiTheme="majorBidi" w:cstheme="majorBidi"/>
          <w:i/>
          <w:sz w:val="24"/>
          <w:szCs w:val="24"/>
        </w:rPr>
        <w:t>p</w:t>
      </w:r>
      <w:r w:rsidRPr="008F4E90">
        <w:rPr>
          <w:rFonts w:asciiTheme="majorBidi" w:eastAsia="Times New Roman" w:hAnsiTheme="majorBidi" w:cstheme="majorBidi"/>
          <w:sz w:val="24"/>
          <w:szCs w:val="24"/>
        </w:rPr>
        <w:t xml:space="preserve"> =0.9443; Scale 3: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=0.275, </w:t>
      </w:r>
      <w:r w:rsidRPr="008F4E90">
        <w:rPr>
          <w:rFonts w:asciiTheme="majorBidi" w:eastAsia="Times New Roman" w:hAnsiTheme="majorBidi" w:cstheme="majorBidi"/>
          <w:i/>
          <w:sz w:val="24"/>
          <w:szCs w:val="24"/>
        </w:rPr>
        <w:t>p</w:t>
      </w:r>
      <w:r w:rsidRPr="008F4E90">
        <w:rPr>
          <w:rFonts w:asciiTheme="majorBidi" w:eastAsia="Times New Roman" w:hAnsiTheme="majorBidi" w:cstheme="majorBidi"/>
          <w:sz w:val="24"/>
          <w:szCs w:val="24"/>
        </w:rPr>
        <w:t xml:space="preserve"> =0.784; Scale 4: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=0.679, </w:t>
      </w:r>
      <w:r w:rsidRPr="008F4E90">
        <w:rPr>
          <w:rFonts w:asciiTheme="majorBidi" w:eastAsia="Times New Roman" w:hAnsiTheme="majorBidi" w:cstheme="majorBidi"/>
          <w:i/>
          <w:sz w:val="24"/>
          <w:szCs w:val="24"/>
        </w:rPr>
        <w:t>p</w:t>
      </w:r>
      <w:r w:rsidRPr="008F4E90">
        <w:rPr>
          <w:rFonts w:asciiTheme="majorBidi" w:eastAsia="Times New Roman" w:hAnsiTheme="majorBidi" w:cstheme="majorBidi"/>
          <w:sz w:val="24"/>
          <w:szCs w:val="24"/>
        </w:rPr>
        <w:t xml:space="preserve"> =0.499 Scale 5: </w:t>
      </w:r>
      <w:r w:rsidRPr="008F4E90">
        <w:rPr>
          <w:rFonts w:asciiTheme="majorBidi" w:eastAsia="Times New Roman" w:hAnsiTheme="majorBidi" w:cstheme="majorBidi"/>
          <w:i/>
          <w:sz w:val="24"/>
          <w:szCs w:val="24"/>
        </w:rPr>
        <w:t>t</w:t>
      </w:r>
      <w:r w:rsidRPr="008F4E90">
        <w:rPr>
          <w:rFonts w:asciiTheme="majorBidi" w:eastAsia="Times New Roman" w:hAnsiTheme="majorBidi" w:cstheme="majorBidi"/>
          <w:sz w:val="24"/>
          <w:szCs w:val="24"/>
        </w:rPr>
        <w:t xml:space="preserve"> =0.413, </w:t>
      </w:r>
      <w:r w:rsidRPr="008F4E90">
        <w:rPr>
          <w:rFonts w:asciiTheme="majorBidi" w:eastAsia="Times New Roman" w:hAnsiTheme="majorBidi" w:cstheme="majorBidi"/>
          <w:i/>
          <w:sz w:val="24"/>
          <w:szCs w:val="24"/>
        </w:rPr>
        <w:t>p</w:t>
      </w:r>
      <w:r w:rsidRPr="008F4E90">
        <w:rPr>
          <w:rFonts w:asciiTheme="majorBidi" w:eastAsia="Times New Roman" w:hAnsiTheme="majorBidi" w:cstheme="majorBidi"/>
          <w:sz w:val="24"/>
          <w:szCs w:val="24"/>
        </w:rPr>
        <w:t xml:space="preserve"> =0.680). This allows for comparing relative sample entropy between the different diagnosis groups. The initial step involved performing a voxel-wise one-sample t-test using the relative sample entropy obtained by dividing the raw entropy by the individual global mean. The purpose was to compare the relative sample entropy with 1. If the t-statistics were significantly greater than zero, the voxel exhibited a sample entropy </w:t>
      </w:r>
      <w:r w:rsidRPr="008F4E90">
        <w:rPr>
          <w:rFonts w:asciiTheme="majorBidi" w:eastAsia="Times New Roman" w:hAnsiTheme="majorBidi" w:cstheme="majorBidi"/>
          <w:sz w:val="24"/>
          <w:szCs w:val="24"/>
        </w:rPr>
        <w:lastRenderedPageBreak/>
        <w:t xml:space="preserve">greater than the global average. In comparison, a negative t-statistic indicated a sample entropy smaller than the global average. The outcome is illustrated in Figure 2, depicting the results for each time scale (i.e., scale 1-5) for both individuals with ASC and the neurotypical control groups. The processing pipeline in this study is worth mentioning that the entropy measure is calculated in the MNI space rather than the native space. Transformation into standard space rather than native space in volume-based analyses could lead to disparate group difference determinations </w:t>
      </w:r>
      <w:hyperlink r:id="rId664">
        <w:r w:rsidRPr="008F4E90">
          <w:rPr>
            <w:rFonts w:asciiTheme="majorBidi" w:eastAsia="Times New Roman" w:hAnsiTheme="majorBidi" w:cstheme="majorBidi"/>
            <w:sz w:val="24"/>
            <w:szCs w:val="24"/>
          </w:rPr>
          <w:t>(Hutchison et al., 2014)</w:t>
        </w:r>
      </w:hyperlink>
      <w:r w:rsidRPr="008F4E90">
        <w:rPr>
          <w:rFonts w:asciiTheme="majorBidi" w:eastAsia="Times New Roman" w:hAnsiTheme="majorBidi" w:cstheme="majorBidi"/>
          <w:sz w:val="24"/>
          <w:szCs w:val="24"/>
        </w:rPr>
        <w:t>.</w:t>
      </w:r>
    </w:p>
    <w:p w14:paraId="31C79052"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Generally, the voxel-wise one-sample t-test results for the eyes-closed dataset exhibited similarities with those of the eyes-open dataset. However, the eyes-closed dataset had fewer significant voxels that deviated from the global average compared to the eyes-open dataset. This observation suggests that at finer time scales, most voxels tend to be closer to the global mean. Moreover, the difference in sample entropy between the grey and white matter was relatively small. Conversely, as the time scale increased, the situation reversed since the scale 3. More significant voxels emerged, indicating a growing disparity in sample entropy between the grey and white matter. </w:t>
      </w:r>
    </w:p>
    <w:p w14:paraId="4FF87221" w14:textId="77777777" w:rsidR="00B1514C" w:rsidRPr="008F4E90" w:rsidRDefault="00B1514C" w:rsidP="00B1514C">
      <w:pPr>
        <w:spacing w:line="480" w:lineRule="auto"/>
        <w:rPr>
          <w:rFonts w:asciiTheme="majorBidi" w:eastAsia="Times New Roman" w:hAnsiTheme="majorBidi" w:cstheme="majorBidi"/>
          <w:sz w:val="24"/>
          <w:szCs w:val="24"/>
        </w:rPr>
      </w:pPr>
    </w:p>
    <w:p w14:paraId="093F3BC0" w14:textId="77777777" w:rsidR="00B1514C" w:rsidRPr="008F4E90" w:rsidRDefault="00B1514C" w:rsidP="00B1514C">
      <w:pPr>
        <w:spacing w:line="480" w:lineRule="auto"/>
        <w:rPr>
          <w:rFonts w:asciiTheme="majorBidi" w:eastAsia="Times New Roman" w:hAnsiTheme="majorBidi" w:cstheme="majorBidi"/>
          <w:sz w:val="24"/>
          <w:szCs w:val="24"/>
        </w:rPr>
      </w:pPr>
    </w:p>
    <w:p w14:paraId="59E3ED78" w14:textId="77777777" w:rsidR="00B1514C" w:rsidRPr="008F4E90" w:rsidRDefault="00B1514C" w:rsidP="00B1514C">
      <w:pPr>
        <w:spacing w:line="480" w:lineRule="auto"/>
        <w:rPr>
          <w:rFonts w:asciiTheme="majorBidi" w:eastAsia="Times New Roman" w:hAnsiTheme="majorBidi" w:cstheme="majorBidi"/>
          <w:sz w:val="24"/>
          <w:szCs w:val="24"/>
        </w:rPr>
      </w:pPr>
    </w:p>
    <w:p w14:paraId="181A01B1" w14:textId="77777777" w:rsidR="00B1514C" w:rsidRPr="008F4E90" w:rsidRDefault="00B1514C" w:rsidP="00B1514C">
      <w:pPr>
        <w:spacing w:line="480" w:lineRule="auto"/>
        <w:rPr>
          <w:rFonts w:asciiTheme="majorBidi" w:eastAsia="Times New Roman" w:hAnsiTheme="majorBidi" w:cstheme="majorBidi"/>
          <w:sz w:val="24"/>
          <w:szCs w:val="24"/>
        </w:rPr>
      </w:pPr>
    </w:p>
    <w:p w14:paraId="38BFA8C3" w14:textId="77777777" w:rsidR="00B1514C" w:rsidRPr="008F4E90" w:rsidRDefault="00B1514C" w:rsidP="00B1514C">
      <w:pPr>
        <w:spacing w:line="480" w:lineRule="auto"/>
        <w:rPr>
          <w:rFonts w:asciiTheme="majorBidi" w:eastAsia="Times New Roman" w:hAnsiTheme="majorBidi" w:cstheme="majorBidi"/>
          <w:sz w:val="24"/>
          <w:szCs w:val="24"/>
        </w:rPr>
      </w:pPr>
    </w:p>
    <w:p w14:paraId="2BBA02EE" w14:textId="77777777" w:rsidR="00B1514C" w:rsidRPr="008F4E90" w:rsidRDefault="00B1514C" w:rsidP="00B1514C">
      <w:pPr>
        <w:spacing w:line="480" w:lineRule="auto"/>
        <w:rPr>
          <w:rFonts w:asciiTheme="majorBidi" w:eastAsia="Times New Roman" w:hAnsiTheme="majorBidi" w:cstheme="majorBidi"/>
          <w:sz w:val="24"/>
          <w:szCs w:val="24"/>
        </w:rPr>
      </w:pPr>
    </w:p>
    <w:p w14:paraId="1A0F1FE2" w14:textId="77777777" w:rsidR="00B1514C" w:rsidRPr="008F4E90" w:rsidRDefault="00B1514C" w:rsidP="00B1514C">
      <w:pPr>
        <w:spacing w:line="480" w:lineRule="auto"/>
        <w:rPr>
          <w:rFonts w:asciiTheme="majorBidi" w:eastAsia="Times New Roman" w:hAnsiTheme="majorBidi" w:cstheme="majorBidi"/>
          <w:sz w:val="24"/>
          <w:szCs w:val="24"/>
        </w:rPr>
      </w:pPr>
    </w:p>
    <w:p w14:paraId="5146D626" w14:textId="77777777" w:rsidR="00B1514C" w:rsidRPr="008F4E90" w:rsidRDefault="00B1514C" w:rsidP="00B1514C">
      <w:pPr>
        <w:spacing w:line="480" w:lineRule="auto"/>
        <w:rPr>
          <w:rFonts w:asciiTheme="majorBidi" w:eastAsia="Times New Roman" w:hAnsiTheme="majorBidi" w:cstheme="majorBidi"/>
          <w:sz w:val="24"/>
          <w:szCs w:val="24"/>
        </w:rPr>
      </w:pPr>
    </w:p>
    <w:p w14:paraId="259260B9" w14:textId="77777777" w:rsidR="00B1514C" w:rsidRPr="008F4E90" w:rsidRDefault="00B1514C" w:rsidP="00B1514C">
      <w:pPr>
        <w:spacing w:line="480" w:lineRule="auto"/>
        <w:rPr>
          <w:rFonts w:asciiTheme="majorBidi" w:eastAsia="Times New Roman" w:hAnsiTheme="majorBidi" w:cstheme="majorBidi"/>
          <w:sz w:val="24"/>
          <w:szCs w:val="24"/>
        </w:rPr>
      </w:pPr>
    </w:p>
    <w:p w14:paraId="7B9568C7" w14:textId="77777777" w:rsidR="00B1514C" w:rsidRPr="008F4E90" w:rsidRDefault="00B1514C" w:rsidP="00B1514C">
      <w:pPr>
        <w:spacing w:line="480" w:lineRule="auto"/>
        <w:rPr>
          <w:rFonts w:asciiTheme="majorBidi" w:eastAsia="Times New Roman" w:hAnsiTheme="majorBidi" w:cstheme="majorBidi"/>
          <w:sz w:val="24"/>
          <w:szCs w:val="24"/>
        </w:rPr>
      </w:pPr>
    </w:p>
    <w:p w14:paraId="2DE196C0" w14:textId="77777777" w:rsidR="0081065D" w:rsidRPr="008F4E90" w:rsidRDefault="0081065D" w:rsidP="00B1514C">
      <w:pPr>
        <w:spacing w:line="480" w:lineRule="auto"/>
        <w:rPr>
          <w:rFonts w:asciiTheme="majorBidi" w:eastAsia="Times New Roman" w:hAnsiTheme="majorBidi" w:cstheme="majorBidi"/>
          <w:sz w:val="24"/>
          <w:szCs w:val="24"/>
        </w:rPr>
      </w:pPr>
    </w:p>
    <w:p w14:paraId="4261125A" w14:textId="77777777" w:rsidR="0081065D" w:rsidRPr="008F4E90" w:rsidRDefault="0081065D" w:rsidP="00B1514C">
      <w:pPr>
        <w:spacing w:line="480" w:lineRule="auto"/>
        <w:rPr>
          <w:rFonts w:asciiTheme="majorBidi" w:eastAsia="Times New Roman" w:hAnsiTheme="majorBidi" w:cstheme="majorBidi"/>
          <w:sz w:val="24"/>
          <w:szCs w:val="24"/>
        </w:rPr>
      </w:pPr>
    </w:p>
    <w:p w14:paraId="2109CEEE"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w:t>
      </w:r>
      <w:r w:rsidR="0081065D" w:rsidRPr="008F4E90">
        <w:rPr>
          <w:rFonts w:asciiTheme="majorBidi" w:eastAsia="Times New Roman" w:hAnsiTheme="majorBidi" w:cstheme="majorBidi"/>
          <w:b/>
          <w:sz w:val="24"/>
          <w:szCs w:val="24"/>
        </w:rPr>
        <w:t>igure</w:t>
      </w:r>
      <w:r w:rsidRPr="008F4E90">
        <w:rPr>
          <w:rFonts w:asciiTheme="majorBidi" w:eastAsia="Times New Roman" w:hAnsiTheme="majorBidi" w:cstheme="majorBidi"/>
          <w:b/>
          <w:sz w:val="24"/>
          <w:szCs w:val="24"/>
        </w:rPr>
        <w:t xml:space="preserve"> 2</w:t>
      </w:r>
    </w:p>
    <w:p w14:paraId="105437D6" w14:textId="77777777" w:rsidR="00B1514C" w:rsidRPr="008F4E90" w:rsidRDefault="00E135A4" w:rsidP="00B1514C">
      <w:pPr>
        <w:spacing w:line="480" w:lineRule="auto"/>
        <w:rPr>
          <w:rFonts w:asciiTheme="majorBidi" w:eastAsia="Times New Roman" w:hAnsiTheme="majorBidi" w:cstheme="majorBidi"/>
          <w:b/>
          <w:i/>
          <w:sz w:val="24"/>
          <w:szCs w:val="24"/>
        </w:rPr>
      </w:pPr>
      <w:r w:rsidRPr="008F4E90">
        <w:rPr>
          <w:rFonts w:asciiTheme="majorBidi" w:eastAsia="Times New Roman" w:hAnsiTheme="majorBidi" w:cstheme="majorBidi"/>
          <w:noProof/>
          <w:sz w:val="24"/>
          <w:szCs w:val="24"/>
        </w:rPr>
        <w:drawing>
          <wp:anchor distT="0" distB="0" distL="114300" distR="114300" simplePos="0" relativeHeight="251668480" behindDoc="0" locked="0" layoutInCell="1" allowOverlap="1" wp14:anchorId="14528F28" wp14:editId="2BF22618">
            <wp:simplePos x="0" y="0"/>
            <wp:positionH relativeFrom="margin">
              <wp:align>center</wp:align>
            </wp:positionH>
            <wp:positionV relativeFrom="paragraph">
              <wp:posOffset>739140</wp:posOffset>
            </wp:positionV>
            <wp:extent cx="5743575" cy="7410450"/>
            <wp:effectExtent l="0" t="0" r="9525" b="0"/>
            <wp:wrapTopAndBottom/>
            <wp:docPr id="77" name="Picture 77"/>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65" cstate="print">
                      <a:extLst>
                        <a:ext uri="{28A0092B-C50C-407E-A947-70E740481C1C}">
                          <a14:useLocalDpi xmlns:a14="http://schemas.microsoft.com/office/drawing/2010/main" val="0"/>
                        </a:ext>
                      </a:extLst>
                    </a:blip>
                    <a:srcRect t="5164" b="3521"/>
                    <a:stretch>
                      <a:fillRect/>
                    </a:stretch>
                  </pic:blipFill>
                  <pic:spPr>
                    <a:xfrm>
                      <a:off x="0" y="0"/>
                      <a:ext cx="5743575" cy="7410450"/>
                    </a:xfrm>
                    <a:prstGeom prst="rect">
                      <a:avLst/>
                    </a:prstGeom>
                    <a:ln/>
                  </pic:spPr>
                </pic:pic>
              </a:graphicData>
            </a:graphic>
          </wp:anchor>
        </w:drawing>
      </w:r>
      <w:r w:rsidR="00B1514C" w:rsidRPr="008F4E90">
        <w:rPr>
          <w:rFonts w:asciiTheme="majorBidi" w:eastAsia="Times New Roman" w:hAnsiTheme="majorBidi" w:cstheme="majorBidi"/>
          <w:i/>
          <w:sz w:val="24"/>
          <w:szCs w:val="24"/>
        </w:rPr>
        <w:t>Significant Voxel-wise one sample t test result comparing relative sample entropy at each voxel with 1 for each time scale (i.e., 1-5) among the ASC and control groups.</w:t>
      </w:r>
    </w:p>
    <w:p w14:paraId="09EEC923" w14:textId="77777777" w:rsidR="00B1514C" w:rsidRPr="008F4E90" w:rsidRDefault="00B1514C" w:rsidP="00B1514C">
      <w:pPr>
        <w:spacing w:line="480" w:lineRule="auto"/>
        <w:rPr>
          <w:rFonts w:asciiTheme="majorBidi" w:eastAsia="Times New Roman" w:hAnsiTheme="majorBidi" w:cstheme="majorBidi"/>
          <w:sz w:val="24"/>
          <w:szCs w:val="24"/>
        </w:rPr>
      </w:pPr>
    </w:p>
    <w:p w14:paraId="28A706A1"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 xml:space="preserve">To better visualise the relative sample entropy patterns of the seven cortical networks and white matter, the averaged relative sample entropy for each region of interest in both the eyes-open and eyes-closed datasets was plotted, as shown in Figure 3 for the eyes-open dataset and Figure 4 for the eyes-closed dataset. In both the ASC and control groups, and regardless of whether participants had their eyes open or closed, the majority of cortical networks in the grey matter demonstrated relative sample entropy that was either lower than or close to the global average (i.e., the relative sample entropy is 1) at scale 1. On the other hand, the white matter exhibited sample entropy that was higher than the global average in both conditions. </w:t>
      </w:r>
    </w:p>
    <w:p w14:paraId="2AB609D5"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Regarding multiscale sample entropy performance, particularly from scale 2 onwards, five of seven cortical networks exhibited higher relative sample entropy than the global average. These networks, which include the visual network, dorsal attention network, ventral attention network, frontal-parietal network, and default mode network, displayed increasing relative sample entropy as the time scales were raised. This pattern of multiscale sample entropy signifies typical neurophysiological signals commonly observed. In contrast, the multiscale sample entropy profile of the white matter consistently declines, resembling white noise characteristics. These findings are consistent with the results of the voxel-wise one-sample t-test and provide more specific information about the precise brain networks involved. Furthermore, the relative multiscale sample entropy profiles of these cortical networks and the white matter demonstrate remarkably similar performance in both the eyes-open and eyes-closed conditions.</w:t>
      </w:r>
    </w:p>
    <w:p w14:paraId="24A404D3"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It is worth noting that the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and limbic network exhibited distinct behaviour compared to the other cortical networks. Specifically, the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remained close to the global average (i.e., 1) throughout scales 1 to 5 in the eyes-open condition, exhibiting a subtle upward trend. However, in the eyes-closed condition, this upward trend becomes more pronounced. In contrast, the relative multiscale sample entropy of the limbic network decreased since scale 2. It remained steady, consistently below the global average in both diagnostic groups during both eyes-open and eyes-closed </w:t>
      </w:r>
      <w:r w:rsidRPr="008F4E90">
        <w:rPr>
          <w:rFonts w:asciiTheme="majorBidi" w:eastAsia="Times New Roman" w:hAnsiTheme="majorBidi" w:cstheme="majorBidi"/>
          <w:sz w:val="24"/>
          <w:szCs w:val="24"/>
        </w:rPr>
        <w:lastRenderedPageBreak/>
        <w:t>conditions. This could be attributed to the overlap between the limbic network and cortical brain structures.</w:t>
      </w:r>
    </w:p>
    <w:p w14:paraId="4359E154"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It is essential to highlight that during the eyes-closed condition, the relative multiscale sample entropy of the visual network remains stable across different time scales, closely approaching a value of 1 (equivalent to the global average) from scale 1 to 5. This multiscale sample entropy pattern suggests a self-similar or fractal structure, where the signals within these networks display consistent patterns or structures at various magnification levels, resulting in a consistent level of complexity regardless of the scales. The key finding is that the visual network's constant multiscale sample entropy value is evident only when the eyes are closed and not during the eyes-open condition in both diagnostic groups.</w:t>
      </w:r>
    </w:p>
    <w:p w14:paraId="6A2622B6" w14:textId="77777777" w:rsidR="0081065D" w:rsidRPr="008F4E90" w:rsidRDefault="0081065D" w:rsidP="00B1514C">
      <w:pPr>
        <w:spacing w:line="480" w:lineRule="auto"/>
        <w:ind w:firstLine="720"/>
        <w:rPr>
          <w:rFonts w:asciiTheme="majorBidi" w:eastAsia="Times New Roman" w:hAnsiTheme="majorBidi" w:cstheme="majorBidi"/>
          <w:sz w:val="24"/>
          <w:szCs w:val="24"/>
        </w:rPr>
      </w:pPr>
    </w:p>
    <w:p w14:paraId="540EA018"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Figure 3</w:t>
      </w:r>
    </w:p>
    <w:p w14:paraId="50209BD9"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Averaged relative sample entropy for the eyes-open dataset</w:t>
      </w:r>
    </w:p>
    <w:p w14:paraId="0E07B997" w14:textId="77777777" w:rsidR="00B1514C" w:rsidRPr="008F4E90" w:rsidRDefault="00B1514C" w:rsidP="00B1514C">
      <w:pPr>
        <w:spacing w:line="480" w:lineRule="auto"/>
        <w:rPr>
          <w:rFonts w:asciiTheme="majorBidi" w:eastAsia="Times New Roman" w:hAnsiTheme="majorBidi" w:cstheme="majorBidi"/>
          <w:sz w:val="24"/>
          <w:szCs w:val="24"/>
        </w:rPr>
      </w:pPr>
      <w:bookmarkStart w:id="16" w:name="_Hlk145603706"/>
      <w:r w:rsidRPr="008F4E90">
        <w:rPr>
          <w:rFonts w:asciiTheme="majorBidi" w:eastAsia="Times New Roman" w:hAnsiTheme="majorBidi" w:cstheme="majorBidi"/>
          <w:noProof/>
          <w:sz w:val="24"/>
          <w:szCs w:val="24"/>
        </w:rPr>
        <w:drawing>
          <wp:inline distT="114300" distB="114300" distL="114300" distR="114300" wp14:anchorId="511EEA18" wp14:editId="2A078AF7">
            <wp:extent cx="5731200" cy="21463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9"/>
                    <a:srcRect/>
                    <a:stretch>
                      <a:fillRect/>
                    </a:stretch>
                  </pic:blipFill>
                  <pic:spPr>
                    <a:xfrm>
                      <a:off x="0" y="0"/>
                      <a:ext cx="5731200" cy="2146300"/>
                    </a:xfrm>
                    <a:prstGeom prst="rect">
                      <a:avLst/>
                    </a:prstGeom>
                    <a:ln/>
                  </pic:spPr>
                </pic:pic>
              </a:graphicData>
            </a:graphic>
          </wp:inline>
        </w:drawing>
      </w:r>
    </w:p>
    <w:p w14:paraId="59677C98"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Visual = Visual Network; SM =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DA = Dorsal Attention Network; VA = Ventral Attention Network; Limbic = Limbic Network; FP = Frontoparietal Network; DMN = Default Mode Network; WM = White Matter.</w:t>
      </w:r>
    </w:p>
    <w:bookmarkEnd w:id="16"/>
    <w:p w14:paraId="7223A989" w14:textId="77777777" w:rsidR="00B1514C" w:rsidRPr="008F4E90" w:rsidRDefault="00B1514C" w:rsidP="00B1514C">
      <w:pPr>
        <w:spacing w:line="480" w:lineRule="auto"/>
        <w:rPr>
          <w:rFonts w:asciiTheme="majorBidi" w:eastAsia="Times New Roman" w:hAnsiTheme="majorBidi" w:cstheme="majorBidi"/>
          <w:sz w:val="24"/>
          <w:szCs w:val="24"/>
        </w:rPr>
      </w:pPr>
    </w:p>
    <w:p w14:paraId="5D2BD033" w14:textId="77777777" w:rsidR="00B1514C" w:rsidRPr="008F4E90" w:rsidRDefault="00B1514C" w:rsidP="00B1514C">
      <w:pPr>
        <w:spacing w:line="480" w:lineRule="auto"/>
        <w:rPr>
          <w:rFonts w:asciiTheme="majorBidi" w:eastAsia="Times New Roman" w:hAnsiTheme="majorBidi" w:cstheme="majorBidi"/>
          <w:sz w:val="24"/>
          <w:szCs w:val="24"/>
        </w:rPr>
      </w:pPr>
    </w:p>
    <w:p w14:paraId="74DF0FDD" w14:textId="77777777" w:rsidR="00B1514C" w:rsidRPr="008F4E90" w:rsidRDefault="00B1514C" w:rsidP="00B1514C">
      <w:pPr>
        <w:spacing w:line="480" w:lineRule="auto"/>
        <w:rPr>
          <w:rFonts w:asciiTheme="majorBidi" w:eastAsia="Times New Roman" w:hAnsiTheme="majorBidi" w:cstheme="majorBidi"/>
          <w:sz w:val="24"/>
          <w:szCs w:val="24"/>
        </w:rPr>
      </w:pPr>
    </w:p>
    <w:p w14:paraId="2C707B3C" w14:textId="77777777" w:rsidR="00B1514C" w:rsidRPr="008F4E90" w:rsidRDefault="00B1514C" w:rsidP="00B1514C">
      <w:pPr>
        <w:spacing w:line="480" w:lineRule="auto"/>
        <w:rPr>
          <w:rFonts w:asciiTheme="majorBidi" w:eastAsia="Times New Roman" w:hAnsiTheme="majorBidi" w:cstheme="majorBidi"/>
          <w:sz w:val="24"/>
          <w:szCs w:val="24"/>
        </w:rPr>
      </w:pPr>
    </w:p>
    <w:p w14:paraId="723480A4"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4</w:t>
      </w:r>
    </w:p>
    <w:p w14:paraId="6337F73B"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Averaged relative sample entropy for the eyes-closed dataset</w:t>
      </w:r>
    </w:p>
    <w:p w14:paraId="751482C0"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inline distT="114300" distB="114300" distL="114300" distR="114300" wp14:anchorId="7E6ADCF3" wp14:editId="64AB5175">
            <wp:extent cx="5731200" cy="21463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6"/>
                    <a:srcRect/>
                    <a:stretch>
                      <a:fillRect/>
                    </a:stretch>
                  </pic:blipFill>
                  <pic:spPr>
                    <a:xfrm>
                      <a:off x="0" y="0"/>
                      <a:ext cx="5731200" cy="2146300"/>
                    </a:xfrm>
                    <a:prstGeom prst="rect">
                      <a:avLst/>
                    </a:prstGeom>
                    <a:ln/>
                  </pic:spPr>
                </pic:pic>
              </a:graphicData>
            </a:graphic>
          </wp:inline>
        </w:drawing>
      </w:r>
    </w:p>
    <w:p w14:paraId="2EE8E44E"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Visual = Visual Network; SM =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DA = Dorsal Attention Network; VA = Ventral Attention Network; Limbic = Limbic Network; FP = Frontoparietal Network; DMN = Default Mode Network; WM = White Matter.</w:t>
      </w:r>
    </w:p>
    <w:p w14:paraId="378B552F"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It shows the average relative sample entropy for both ASC and neurotypical control groups across seven cortical networks and white matter. In the graph, the horizontal line at the middle represents the value of 1, indicating the global average relative sample entropy. Each different colour on the graph represents a specific time scale (ranging from 1 to 5), which together forms a multiscale entropy profile for each region of interest.</w:t>
      </w:r>
    </w:p>
    <w:p w14:paraId="774FC589"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Correlation between the entropy of the networks across subjects in both groups at eyes-open condition</w:t>
      </w:r>
    </w:p>
    <w:p w14:paraId="4A5A1453"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To delve deeper into the connections between different cortical networks, Pearson's correlation was employed to analyse the relationships between the seven </w:t>
      </w:r>
      <w:r w:rsidR="0081065D" w:rsidRPr="008F4E90">
        <w:rPr>
          <w:rFonts w:asciiTheme="majorBidi" w:eastAsia="Times New Roman" w:hAnsiTheme="majorBidi" w:cstheme="majorBidi"/>
          <w:sz w:val="24"/>
          <w:szCs w:val="24"/>
        </w:rPr>
        <w:t>cortical</w:t>
      </w:r>
      <w:r w:rsidRPr="008F4E90">
        <w:rPr>
          <w:rFonts w:asciiTheme="majorBidi" w:eastAsia="Times New Roman" w:hAnsiTheme="majorBidi" w:cstheme="majorBidi"/>
          <w:sz w:val="24"/>
          <w:szCs w:val="24"/>
        </w:rPr>
        <w:t xml:space="preserve"> networks. This analysis was performed on the raw sample entropy separately for each time scale and under two conditions: eyes-open and eyes-closed conditions. The eyes-open was evaluated first and then compared to the eyes-closed condition. The findings demonstrated that all the internetwork pairwise correlations were remarkably positive, with each value exceeding 0.55. The correlation between networks describes how the entropy in </w:t>
      </w:r>
      <w:r w:rsidRPr="008F4E90">
        <w:rPr>
          <w:rFonts w:asciiTheme="majorBidi" w:eastAsia="Times New Roman" w:hAnsiTheme="majorBidi" w:cstheme="majorBidi"/>
          <w:sz w:val="24"/>
          <w:szCs w:val="24"/>
        </w:rPr>
        <w:lastRenderedPageBreak/>
        <w:t xml:space="preserve">various cortex regions varies across subjects in different diagnosis groups within the eyes-open and eyes-closed condition datasets (Figure 5 and Figure 6, respectively). </w:t>
      </w:r>
    </w:p>
    <w:p w14:paraId="7CCAA238" w14:textId="77777777" w:rsidR="0081065D" w:rsidRPr="008F4E90" w:rsidRDefault="0081065D" w:rsidP="00B1514C">
      <w:pPr>
        <w:spacing w:line="480" w:lineRule="auto"/>
        <w:ind w:firstLine="720"/>
        <w:rPr>
          <w:rFonts w:asciiTheme="majorBidi" w:eastAsia="Times New Roman" w:hAnsiTheme="majorBidi" w:cstheme="majorBidi"/>
          <w:sz w:val="24"/>
          <w:szCs w:val="24"/>
        </w:rPr>
      </w:pPr>
    </w:p>
    <w:p w14:paraId="04BE3808"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Figure 5</w:t>
      </w:r>
    </w:p>
    <w:p w14:paraId="10783DC9"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Inter-network pairwise correlation heatmap represents how the entropy of different cortical networks co-varies across subjects in different diagnosis groups for the eyes-open dataset</w:t>
      </w:r>
    </w:p>
    <w:p w14:paraId="6FE7084E"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inline distT="114300" distB="114300" distL="114300" distR="114300" wp14:anchorId="1B60E706" wp14:editId="6F8B8BC5">
            <wp:extent cx="6357938" cy="4031162"/>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67"/>
                    <a:srcRect l="3156" t="5411" r="1993" b="9411"/>
                    <a:stretch>
                      <a:fillRect/>
                    </a:stretch>
                  </pic:blipFill>
                  <pic:spPr>
                    <a:xfrm>
                      <a:off x="0" y="0"/>
                      <a:ext cx="6357938" cy="4031162"/>
                    </a:xfrm>
                    <a:prstGeom prst="rect">
                      <a:avLst/>
                    </a:prstGeom>
                    <a:ln/>
                  </pic:spPr>
                </pic:pic>
              </a:graphicData>
            </a:graphic>
          </wp:inline>
        </w:drawing>
      </w:r>
    </w:p>
    <w:p w14:paraId="0D3692B3"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Visual = Visual Network; SM =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DA = Dorsal Attention Network; VA = Ventral Attention Network; Limbic = Limbic Network; FP = Frontoparietal Network; DMN = Default Mode Network.</w:t>
      </w:r>
    </w:p>
    <w:p w14:paraId="01A681F9" w14:textId="77777777" w:rsidR="00B1514C" w:rsidRPr="008F4E90" w:rsidRDefault="00B1514C" w:rsidP="00B1514C">
      <w:pPr>
        <w:spacing w:line="480" w:lineRule="auto"/>
        <w:rPr>
          <w:rFonts w:asciiTheme="majorBidi" w:eastAsia="Times New Roman" w:hAnsiTheme="majorBidi" w:cstheme="majorBidi"/>
          <w:sz w:val="24"/>
          <w:szCs w:val="24"/>
        </w:rPr>
      </w:pPr>
    </w:p>
    <w:p w14:paraId="6BD4CF9F" w14:textId="77777777" w:rsidR="00B1514C" w:rsidRPr="008F4E90" w:rsidRDefault="00B1514C" w:rsidP="00B1514C">
      <w:pPr>
        <w:spacing w:line="480" w:lineRule="auto"/>
        <w:rPr>
          <w:rFonts w:asciiTheme="majorBidi" w:eastAsia="Times New Roman" w:hAnsiTheme="majorBidi" w:cstheme="majorBidi"/>
          <w:sz w:val="24"/>
          <w:szCs w:val="24"/>
        </w:rPr>
      </w:pPr>
    </w:p>
    <w:p w14:paraId="5E2E005F" w14:textId="77777777" w:rsidR="00B1514C" w:rsidRPr="008F4E90" w:rsidRDefault="00B1514C" w:rsidP="00B1514C">
      <w:pPr>
        <w:spacing w:line="480" w:lineRule="auto"/>
        <w:rPr>
          <w:rFonts w:asciiTheme="majorBidi" w:eastAsia="Times New Roman" w:hAnsiTheme="majorBidi" w:cstheme="majorBidi"/>
          <w:sz w:val="24"/>
          <w:szCs w:val="24"/>
        </w:rPr>
      </w:pPr>
    </w:p>
    <w:p w14:paraId="25D11A66" w14:textId="77777777" w:rsidR="00B1514C" w:rsidRPr="008F4E90" w:rsidRDefault="00B1514C" w:rsidP="00B1514C">
      <w:pPr>
        <w:spacing w:line="480" w:lineRule="auto"/>
        <w:rPr>
          <w:rFonts w:asciiTheme="majorBidi" w:eastAsia="Times New Roman" w:hAnsiTheme="majorBidi" w:cstheme="majorBidi"/>
          <w:sz w:val="24"/>
          <w:szCs w:val="24"/>
        </w:rPr>
      </w:pPr>
    </w:p>
    <w:p w14:paraId="61EE8562"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 xml:space="preserve">Figure 6 </w:t>
      </w:r>
    </w:p>
    <w:p w14:paraId="167FE1A3" w14:textId="77777777" w:rsidR="00B1514C" w:rsidRPr="008F4E90" w:rsidRDefault="00B1514C" w:rsidP="00B1514C">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Inter-network pairwise correlation heatmap represents how the entropy of different cortical networks co-varies across subjects in different diagnosis groups for the eyes-closed dataset</w:t>
      </w:r>
    </w:p>
    <w:p w14:paraId="42FFE64F"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inline distT="114300" distB="114300" distL="114300" distR="114300" wp14:anchorId="577E066B" wp14:editId="18C90879">
            <wp:extent cx="6348413" cy="40362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68"/>
                    <a:srcRect l="3630" t="5176" b="8000"/>
                    <a:stretch>
                      <a:fillRect/>
                    </a:stretch>
                  </pic:blipFill>
                  <pic:spPr>
                    <a:xfrm>
                      <a:off x="0" y="0"/>
                      <a:ext cx="6348413" cy="4036275"/>
                    </a:xfrm>
                    <a:prstGeom prst="rect">
                      <a:avLst/>
                    </a:prstGeom>
                    <a:ln/>
                  </pic:spPr>
                </pic:pic>
              </a:graphicData>
            </a:graphic>
          </wp:inline>
        </w:drawing>
      </w:r>
    </w:p>
    <w:p w14:paraId="6E333219"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Visual = Visual Network; SM =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DA = Dorsal Attention Network; VA = Ventral Attention Network; Limbic = Limbic Network; FP = Frontoparietal Network; DMN = Default Mode Network.</w:t>
      </w:r>
    </w:p>
    <w:p w14:paraId="3D15DB46"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In summary, there are three main findings to highlight:</w:t>
      </w:r>
    </w:p>
    <w:p w14:paraId="0A89DF61"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1)The correlation between the visual network and other networks is relatively low in both ASC and neurotypical control groups, especially during the eyes-closed condition.</w:t>
      </w:r>
    </w:p>
    <w:p w14:paraId="664B42A2"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2)The correlation between the limbic network and other networks is also relatively low in both ASC and neurotypical control groups, particularly during the eyes-closed condition.</w:t>
      </w:r>
    </w:p>
    <w:p w14:paraId="70483C1B"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3)The inter-network correlation is notably high at scale 1 during the eyes-open condition but decreases from scale 2 onwards. In contrast, the inter-network correlation remains stable from scale 1 to </w:t>
      </w:r>
      <w:r w:rsidRPr="008F4E90">
        <w:rPr>
          <w:rFonts w:asciiTheme="majorBidi" w:eastAsia="Times New Roman" w:hAnsiTheme="majorBidi" w:cstheme="majorBidi"/>
          <w:sz w:val="24"/>
          <w:szCs w:val="24"/>
        </w:rPr>
        <w:lastRenderedPageBreak/>
        <w:t>scale 2 during the eyes-closed condition. Overall, the correlation patterns within both diagnosis groups exhibit relative stability across various time scales, as demonstrated in the figures.</w:t>
      </w:r>
    </w:p>
    <w:p w14:paraId="1E36D04C"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Group level Analysis: Voxel-wise two sample t test</w:t>
      </w:r>
    </w:p>
    <w:p w14:paraId="37E1AA15"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It is not feasible to directly infer the group difference of the multiscale sample entropy from the voxel-wise one-sample t-test. Consequently, the voxel-wise two-sample t-tests were conducted between the ASC and CON groups on each time scale. The threshold-free cluster enhancement (TFCE) correction method was analysed to account for multiple comparisons.</w:t>
      </w:r>
    </w:p>
    <w:p w14:paraId="6746C37D" w14:textId="77777777" w:rsidR="00B1514C" w:rsidRPr="008F4E90" w:rsidRDefault="00B1514C" w:rsidP="00B1514C">
      <w:pPr>
        <w:spacing w:line="480" w:lineRule="auto"/>
        <w:rPr>
          <w:rFonts w:asciiTheme="majorBidi" w:eastAsia="Times New Roman" w:hAnsiTheme="majorBidi" w:cstheme="majorBidi"/>
          <w:sz w:val="24"/>
          <w:szCs w:val="24"/>
        </w:rPr>
      </w:pPr>
    </w:p>
    <w:p w14:paraId="20C686C7" w14:textId="77777777" w:rsidR="00B1514C" w:rsidRPr="008F4E90" w:rsidRDefault="00B1514C" w:rsidP="00B1514C">
      <w:pPr>
        <w:spacing w:line="480" w:lineRule="auto"/>
        <w:rPr>
          <w:rFonts w:asciiTheme="majorBidi" w:eastAsia="Times New Roman" w:hAnsiTheme="majorBidi" w:cstheme="majorBidi"/>
          <w:sz w:val="24"/>
          <w:szCs w:val="24"/>
        </w:rPr>
      </w:pPr>
    </w:p>
    <w:p w14:paraId="7B2D3723" w14:textId="77777777" w:rsidR="00B1514C" w:rsidRPr="008F4E90" w:rsidRDefault="00B1514C" w:rsidP="00B1514C">
      <w:pPr>
        <w:spacing w:line="480" w:lineRule="auto"/>
        <w:rPr>
          <w:rFonts w:asciiTheme="majorBidi" w:eastAsia="Times New Roman" w:hAnsiTheme="majorBidi" w:cstheme="majorBidi"/>
          <w:sz w:val="24"/>
          <w:szCs w:val="24"/>
        </w:rPr>
      </w:pPr>
    </w:p>
    <w:p w14:paraId="10A9386C" w14:textId="77777777" w:rsidR="00B1514C" w:rsidRPr="008F4E90" w:rsidRDefault="00B1514C" w:rsidP="00B1514C">
      <w:pPr>
        <w:spacing w:line="480" w:lineRule="auto"/>
        <w:rPr>
          <w:rFonts w:asciiTheme="majorBidi" w:eastAsia="Times New Roman" w:hAnsiTheme="majorBidi" w:cstheme="majorBidi"/>
          <w:sz w:val="24"/>
          <w:szCs w:val="24"/>
        </w:rPr>
      </w:pPr>
    </w:p>
    <w:p w14:paraId="46E640B4" w14:textId="77777777" w:rsidR="00B1514C" w:rsidRPr="008F4E90" w:rsidRDefault="00B1514C" w:rsidP="00B1514C">
      <w:pPr>
        <w:spacing w:line="480" w:lineRule="auto"/>
        <w:rPr>
          <w:rFonts w:asciiTheme="majorBidi" w:eastAsia="Times New Roman" w:hAnsiTheme="majorBidi" w:cstheme="majorBidi"/>
          <w:sz w:val="24"/>
          <w:szCs w:val="24"/>
        </w:rPr>
      </w:pPr>
    </w:p>
    <w:p w14:paraId="0A4D1F72" w14:textId="77777777" w:rsidR="00B1514C" w:rsidRPr="008F4E90" w:rsidRDefault="00B1514C" w:rsidP="00B1514C">
      <w:pPr>
        <w:spacing w:line="480" w:lineRule="auto"/>
        <w:rPr>
          <w:rFonts w:asciiTheme="majorBidi" w:eastAsia="Times New Roman" w:hAnsiTheme="majorBidi" w:cstheme="majorBidi"/>
          <w:sz w:val="24"/>
          <w:szCs w:val="24"/>
        </w:rPr>
      </w:pPr>
    </w:p>
    <w:p w14:paraId="4BBC1B06" w14:textId="77777777" w:rsidR="00B1514C" w:rsidRPr="008F4E90" w:rsidRDefault="00B1514C" w:rsidP="00B1514C">
      <w:pPr>
        <w:spacing w:line="480" w:lineRule="auto"/>
        <w:rPr>
          <w:rFonts w:asciiTheme="majorBidi" w:eastAsia="Times New Roman" w:hAnsiTheme="majorBidi" w:cstheme="majorBidi"/>
          <w:sz w:val="24"/>
          <w:szCs w:val="24"/>
        </w:rPr>
      </w:pPr>
    </w:p>
    <w:p w14:paraId="0A65A161" w14:textId="77777777" w:rsidR="00B1514C" w:rsidRPr="008F4E90" w:rsidRDefault="00B1514C" w:rsidP="00B1514C">
      <w:pPr>
        <w:spacing w:line="480" w:lineRule="auto"/>
        <w:rPr>
          <w:rFonts w:asciiTheme="majorBidi" w:eastAsia="Times New Roman" w:hAnsiTheme="majorBidi" w:cstheme="majorBidi"/>
          <w:sz w:val="24"/>
          <w:szCs w:val="24"/>
        </w:rPr>
      </w:pPr>
    </w:p>
    <w:p w14:paraId="77ECC4CD" w14:textId="77777777" w:rsidR="00B1514C" w:rsidRPr="008F4E90" w:rsidRDefault="00B1514C" w:rsidP="00B1514C">
      <w:pPr>
        <w:spacing w:line="480" w:lineRule="auto"/>
        <w:rPr>
          <w:rFonts w:asciiTheme="majorBidi" w:eastAsia="Times New Roman" w:hAnsiTheme="majorBidi" w:cstheme="majorBidi"/>
          <w:sz w:val="24"/>
          <w:szCs w:val="24"/>
        </w:rPr>
      </w:pPr>
    </w:p>
    <w:p w14:paraId="5146E003" w14:textId="77777777" w:rsidR="00B1514C" w:rsidRPr="008F4E90" w:rsidRDefault="00B1514C" w:rsidP="00B1514C">
      <w:pPr>
        <w:spacing w:line="480" w:lineRule="auto"/>
        <w:rPr>
          <w:rFonts w:asciiTheme="majorBidi" w:eastAsia="Times New Roman" w:hAnsiTheme="majorBidi" w:cstheme="majorBidi"/>
          <w:sz w:val="24"/>
          <w:szCs w:val="24"/>
        </w:rPr>
      </w:pPr>
    </w:p>
    <w:p w14:paraId="270CB087" w14:textId="77777777" w:rsidR="00B1514C" w:rsidRPr="008F4E90" w:rsidRDefault="00B1514C" w:rsidP="00B1514C">
      <w:pPr>
        <w:spacing w:line="480" w:lineRule="auto"/>
        <w:rPr>
          <w:rFonts w:asciiTheme="majorBidi" w:eastAsia="Times New Roman" w:hAnsiTheme="majorBidi" w:cstheme="majorBidi"/>
          <w:sz w:val="24"/>
          <w:szCs w:val="24"/>
        </w:rPr>
      </w:pPr>
    </w:p>
    <w:p w14:paraId="2CDCF1ED" w14:textId="77777777" w:rsidR="00B1514C" w:rsidRPr="008F4E90" w:rsidRDefault="00B1514C" w:rsidP="00B1514C">
      <w:pPr>
        <w:spacing w:line="480" w:lineRule="auto"/>
        <w:rPr>
          <w:rFonts w:asciiTheme="majorBidi" w:eastAsia="Times New Roman" w:hAnsiTheme="majorBidi" w:cstheme="majorBidi"/>
          <w:sz w:val="24"/>
          <w:szCs w:val="24"/>
        </w:rPr>
      </w:pPr>
    </w:p>
    <w:p w14:paraId="3339E47E" w14:textId="77777777" w:rsidR="00B1514C" w:rsidRPr="008F4E90" w:rsidRDefault="00B1514C" w:rsidP="00B1514C">
      <w:pPr>
        <w:spacing w:line="480" w:lineRule="auto"/>
        <w:rPr>
          <w:rFonts w:asciiTheme="majorBidi" w:eastAsia="Times New Roman" w:hAnsiTheme="majorBidi" w:cstheme="majorBidi"/>
          <w:sz w:val="24"/>
          <w:szCs w:val="24"/>
        </w:rPr>
      </w:pPr>
    </w:p>
    <w:p w14:paraId="4EFF95FB" w14:textId="77777777" w:rsidR="00B1514C" w:rsidRPr="008F4E90" w:rsidRDefault="00B1514C" w:rsidP="00B1514C">
      <w:pPr>
        <w:spacing w:line="480" w:lineRule="auto"/>
        <w:rPr>
          <w:rFonts w:asciiTheme="majorBidi" w:eastAsia="Times New Roman" w:hAnsiTheme="majorBidi" w:cstheme="majorBidi"/>
          <w:sz w:val="24"/>
          <w:szCs w:val="24"/>
        </w:rPr>
      </w:pPr>
    </w:p>
    <w:p w14:paraId="3E29A0B7" w14:textId="77777777" w:rsidR="00B1514C" w:rsidRPr="008F4E90" w:rsidRDefault="00B1514C" w:rsidP="00B1514C">
      <w:pPr>
        <w:spacing w:line="480" w:lineRule="auto"/>
        <w:rPr>
          <w:rFonts w:asciiTheme="majorBidi" w:eastAsia="Times New Roman" w:hAnsiTheme="majorBidi" w:cstheme="majorBidi"/>
          <w:sz w:val="24"/>
          <w:szCs w:val="24"/>
        </w:rPr>
      </w:pPr>
    </w:p>
    <w:p w14:paraId="5E0760D9" w14:textId="77777777" w:rsidR="00B1514C" w:rsidRPr="008F4E90" w:rsidRDefault="00B1514C" w:rsidP="00B1514C">
      <w:pPr>
        <w:spacing w:line="480" w:lineRule="auto"/>
        <w:rPr>
          <w:rFonts w:asciiTheme="majorBidi" w:eastAsia="Times New Roman" w:hAnsiTheme="majorBidi" w:cstheme="majorBidi"/>
          <w:sz w:val="24"/>
          <w:szCs w:val="24"/>
        </w:rPr>
      </w:pPr>
    </w:p>
    <w:p w14:paraId="5C1B52E6" w14:textId="77777777" w:rsidR="00B1514C" w:rsidRPr="008F4E90" w:rsidRDefault="00B1514C" w:rsidP="00B1514C">
      <w:pPr>
        <w:spacing w:line="480" w:lineRule="auto"/>
        <w:rPr>
          <w:rFonts w:asciiTheme="majorBidi" w:eastAsia="Times New Roman" w:hAnsiTheme="majorBidi" w:cstheme="majorBidi"/>
          <w:sz w:val="24"/>
          <w:szCs w:val="24"/>
        </w:rPr>
      </w:pPr>
    </w:p>
    <w:p w14:paraId="1F483B3E" w14:textId="77777777" w:rsidR="00B1514C" w:rsidRPr="008F4E90" w:rsidRDefault="00B1514C" w:rsidP="00B1514C">
      <w:pPr>
        <w:spacing w:line="480" w:lineRule="auto"/>
        <w:rPr>
          <w:rFonts w:asciiTheme="majorBidi" w:eastAsia="Times New Roman" w:hAnsiTheme="majorBidi" w:cstheme="majorBidi"/>
          <w:sz w:val="24"/>
          <w:szCs w:val="24"/>
        </w:rPr>
      </w:pPr>
    </w:p>
    <w:p w14:paraId="31156C67"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7</w:t>
      </w:r>
    </w:p>
    <w:p w14:paraId="1DEC6BB5" w14:textId="77777777" w:rsidR="00894065" w:rsidRPr="00305114" w:rsidRDefault="00B1514C" w:rsidP="00894065">
      <w:pPr>
        <w:spacing w:line="480" w:lineRule="auto"/>
        <w:rPr>
          <w:rFonts w:asciiTheme="majorBidi" w:eastAsia="Times New Roman" w:hAnsiTheme="majorBidi" w:cstheme="majorBidi"/>
          <w:b/>
          <w:i/>
          <w:sz w:val="24"/>
          <w:szCs w:val="24"/>
        </w:rPr>
      </w:pPr>
      <w:r w:rsidRPr="008F4E90">
        <w:rPr>
          <w:rFonts w:asciiTheme="majorBidi" w:eastAsia="Times New Roman" w:hAnsiTheme="majorBidi" w:cstheme="majorBidi"/>
          <w:i/>
          <w:sz w:val="24"/>
          <w:szCs w:val="24"/>
        </w:rPr>
        <w:t>Significant clusters resulting from voxel-wise two-sample t-tests between ASC and control groups for each time scale</w:t>
      </w:r>
      <w:r w:rsidR="00894065">
        <w:rPr>
          <w:rFonts w:asciiTheme="majorBidi" w:eastAsia="Times New Roman" w:hAnsiTheme="majorBidi" w:cstheme="majorBidi"/>
          <w:i/>
          <w:sz w:val="24"/>
          <w:szCs w:val="24"/>
        </w:rPr>
        <w:t>,</w:t>
      </w:r>
      <w:r w:rsidR="00894065" w:rsidRPr="00894065">
        <w:rPr>
          <w:rFonts w:asciiTheme="majorBidi" w:eastAsia="Times New Roman" w:hAnsiTheme="majorBidi" w:cstheme="majorBidi"/>
          <w:i/>
          <w:sz w:val="24"/>
          <w:szCs w:val="24"/>
        </w:rPr>
        <w:t xml:space="preserve"> </w:t>
      </w:r>
      <w:r w:rsidR="00894065" w:rsidRPr="00305114">
        <w:rPr>
          <w:rFonts w:asciiTheme="majorBidi" w:eastAsia="Times New Roman" w:hAnsiTheme="majorBidi" w:cstheme="majorBidi"/>
          <w:i/>
          <w:sz w:val="24"/>
          <w:szCs w:val="24"/>
        </w:rPr>
        <w:t>corrected by permutation test with threshold-free cluster enhancement, with voxel level: p &lt; .05.</w:t>
      </w:r>
    </w:p>
    <w:p w14:paraId="11ECD2C0" w14:textId="77777777" w:rsidR="00B1514C" w:rsidRPr="008F4E90" w:rsidRDefault="00415BCD" w:rsidP="00B1514C">
      <w:pPr>
        <w:spacing w:line="480" w:lineRule="auto"/>
        <w:rPr>
          <w:rFonts w:asciiTheme="majorBidi" w:eastAsia="Times New Roman" w:hAnsiTheme="majorBidi" w:cstheme="majorBidi"/>
          <w:sz w:val="24"/>
          <w:szCs w:val="24"/>
        </w:rPr>
      </w:pPr>
      <w:r w:rsidRPr="00415BCD">
        <w:rPr>
          <w:rFonts w:asciiTheme="majorBidi" w:eastAsia="Times New Roman" w:hAnsiTheme="majorBidi" w:cstheme="majorBidi"/>
          <w:noProof/>
          <w:sz w:val="24"/>
          <w:szCs w:val="24"/>
        </w:rPr>
        <mc:AlternateContent>
          <mc:Choice Requires="wps">
            <w:drawing>
              <wp:anchor distT="45720" distB="45720" distL="114300" distR="114300" simplePos="0" relativeHeight="251680768" behindDoc="0" locked="0" layoutInCell="1" allowOverlap="1" wp14:anchorId="7356B603" wp14:editId="609189CC">
                <wp:simplePos x="0" y="0"/>
                <wp:positionH relativeFrom="column">
                  <wp:posOffset>1268730</wp:posOffset>
                </wp:positionH>
                <wp:positionV relativeFrom="paragraph">
                  <wp:posOffset>7007860</wp:posOffset>
                </wp:positionV>
                <wp:extent cx="1724025"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66700"/>
                        </a:xfrm>
                        <a:prstGeom prst="rect">
                          <a:avLst/>
                        </a:prstGeom>
                        <a:noFill/>
                        <a:ln w="9525">
                          <a:noFill/>
                          <a:miter lim="800000"/>
                          <a:headEnd/>
                          <a:tailEnd/>
                        </a:ln>
                      </wps:spPr>
                      <wps:txbx>
                        <w:txbxContent>
                          <w:p w14:paraId="48AFAC7B" w14:textId="77777777" w:rsidR="00415BCD" w:rsidRPr="00415BCD" w:rsidRDefault="00415BCD" w:rsidP="00415BCD">
                            <w:pPr>
                              <w:rPr>
                                <w:rFonts w:ascii="Calibri" w:hAnsi="Calibri" w:cs="Calibri"/>
                                <w:b/>
                                <w:bCs/>
                                <w:i/>
                                <w:iCs/>
                                <w:sz w:val="28"/>
                                <w:szCs w:val="28"/>
                              </w:rPr>
                            </w:pPr>
                            <w:r w:rsidRPr="00415BCD">
                              <w:rPr>
                                <w:rFonts w:ascii="Calibri" w:hAnsi="Calibri" w:cs="Calibri"/>
                                <w:b/>
                                <w:bCs/>
                                <w:i/>
                                <w:iCs/>
                                <w:sz w:val="28"/>
                                <w:szCs w:val="28"/>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6B603" id="_x0000_t202" coordsize="21600,21600" o:spt="202" path="m,l,21600r21600,l21600,xe">
                <v:stroke joinstyle="miter"/>
                <v:path gradientshapeok="t" o:connecttype="rect"/>
              </v:shapetype>
              <v:shape id="Text Box 2" o:spid="_x0000_s1026" type="#_x0000_t202" style="position:absolute;margin-left:99.9pt;margin-top:551.8pt;width:13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" filled="f" stroked="f">
                <v:textbox>
                  <w:txbxContent>
                    <w:p w14:paraId="48AFAC7B" w14:textId="77777777" w:rsidR="00415BCD" w:rsidRPr="00415BCD" w:rsidRDefault="00415BCD" w:rsidP="00415BCD">
                      <w:pPr>
                        <w:rPr>
                          <w:rFonts w:ascii="Calibri" w:hAnsi="Calibri" w:cs="Calibri"/>
                          <w:b/>
                          <w:bCs/>
                          <w:i/>
                          <w:iCs/>
                          <w:sz w:val="28"/>
                          <w:szCs w:val="28"/>
                        </w:rPr>
                      </w:pPr>
                      <w:r w:rsidRPr="00415BCD">
                        <w:rPr>
                          <w:rFonts w:ascii="Calibri" w:hAnsi="Calibri" w:cs="Calibri"/>
                          <w:b/>
                          <w:bCs/>
                          <w:i/>
                          <w:iCs/>
                          <w:sz w:val="28"/>
                          <w:szCs w:val="28"/>
                        </w:rPr>
                        <w:t>T</w:t>
                      </w:r>
                    </w:p>
                  </w:txbxContent>
                </v:textbox>
                <w10:wrap type="square"/>
              </v:shape>
            </w:pict>
          </mc:Fallback>
        </mc:AlternateContent>
      </w:r>
      <w:r w:rsidRPr="008F4E90">
        <w:rPr>
          <w:rFonts w:asciiTheme="majorBidi" w:eastAsia="Times New Roman" w:hAnsiTheme="majorBidi" w:cstheme="majorBidi"/>
          <w:noProof/>
          <w:sz w:val="24"/>
          <w:szCs w:val="24"/>
        </w:rPr>
        <w:drawing>
          <wp:anchor distT="0" distB="0" distL="114300" distR="114300" simplePos="0" relativeHeight="251678720" behindDoc="0" locked="0" layoutInCell="1" allowOverlap="1" wp14:anchorId="4A6048ED" wp14:editId="6ADA8290">
            <wp:simplePos x="0" y="0"/>
            <wp:positionH relativeFrom="margin">
              <wp:align>left</wp:align>
            </wp:positionH>
            <wp:positionV relativeFrom="paragraph">
              <wp:posOffset>1905</wp:posOffset>
            </wp:positionV>
            <wp:extent cx="6048375" cy="7391400"/>
            <wp:effectExtent l="0" t="0" r="9525" b="0"/>
            <wp:wrapSquare wrapText="bothSides"/>
            <wp:docPr id="82" name="Picture 82" descr="A diagram of a group of brain&#10;&#10;Description automatically generated"/>
            <wp:cNvGraphicFramePr/>
            <a:graphic xmlns:a="http://schemas.openxmlformats.org/drawingml/2006/main">
              <a:graphicData uri="http://schemas.openxmlformats.org/drawingml/2006/picture">
                <pic:pic xmlns:pic="http://schemas.openxmlformats.org/drawingml/2006/picture">
                  <pic:nvPicPr>
                    <pic:cNvPr id="82" name="Picture 82" descr="A diagram of a group of brain&#10;&#10;Description automatically generated"/>
                    <pic:cNvPicPr preferRelativeResize="0"/>
                  </pic:nvPicPr>
                  <pic:blipFill>
                    <a:blip r:embed="rId669">
                      <a:extLst>
                        <a:ext uri="{28A0092B-C50C-407E-A947-70E740481C1C}">
                          <a14:useLocalDpi xmlns:a14="http://schemas.microsoft.com/office/drawing/2010/main" val="0"/>
                        </a:ext>
                      </a:extLst>
                    </a:blip>
                    <a:srcRect t="5992"/>
                    <a:stretch>
                      <a:fillRect/>
                    </a:stretch>
                  </pic:blipFill>
                  <pic:spPr>
                    <a:xfrm>
                      <a:off x="0" y="0"/>
                      <a:ext cx="6048375" cy="7391400"/>
                    </a:xfrm>
                    <a:prstGeom prst="rect">
                      <a:avLst/>
                    </a:prstGeom>
                    <a:ln/>
                  </pic:spPr>
                </pic:pic>
              </a:graphicData>
            </a:graphic>
            <wp14:sizeRelH relativeFrom="page">
              <wp14:pctWidth>0</wp14:pctWidth>
            </wp14:sizeRelH>
            <wp14:sizeRelV relativeFrom="page">
              <wp14:pctHeight>0</wp14:pctHeight>
            </wp14:sizeRelV>
          </wp:anchor>
        </w:drawing>
      </w:r>
    </w:p>
    <w:p w14:paraId="455DDAFA" w14:textId="77777777" w:rsidR="00B1514C" w:rsidRPr="008F4E90" w:rsidRDefault="00B1514C" w:rsidP="00B1514C">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lastRenderedPageBreak/>
        <w:t>Note.</w:t>
      </w:r>
      <w:r w:rsidRPr="008F4E90">
        <w:rPr>
          <w:rFonts w:asciiTheme="majorBidi" w:eastAsia="Times New Roman" w:hAnsiTheme="majorBidi" w:cstheme="majorBidi"/>
          <w:sz w:val="24"/>
          <w:szCs w:val="24"/>
        </w:rPr>
        <w:t xml:space="preserve"> Plots A(</w:t>
      </w:r>
      <w:proofErr w:type="spellStart"/>
      <w:r w:rsidRPr="008F4E90">
        <w:rPr>
          <w:rFonts w:asciiTheme="majorBidi" w:eastAsia="Times New Roman" w:hAnsiTheme="majorBidi" w:cstheme="majorBidi"/>
          <w:sz w:val="24"/>
          <w:szCs w:val="24"/>
        </w:rPr>
        <w:t>i</w:t>
      </w:r>
      <w:proofErr w:type="spellEnd"/>
      <w:r w:rsidRPr="008F4E90">
        <w:rPr>
          <w:rFonts w:asciiTheme="majorBidi" w:eastAsia="Times New Roman" w:hAnsiTheme="majorBidi" w:cstheme="majorBidi"/>
          <w:sz w:val="24"/>
          <w:szCs w:val="24"/>
        </w:rPr>
        <w:t>), B(</w:t>
      </w:r>
      <w:proofErr w:type="spellStart"/>
      <w:r w:rsidRPr="008F4E90">
        <w:rPr>
          <w:rFonts w:asciiTheme="majorBidi" w:eastAsia="Times New Roman" w:hAnsiTheme="majorBidi" w:cstheme="majorBidi"/>
          <w:sz w:val="24"/>
          <w:szCs w:val="24"/>
        </w:rPr>
        <w:t>i</w:t>
      </w:r>
      <w:proofErr w:type="spellEnd"/>
      <w:r w:rsidRPr="008F4E90">
        <w:rPr>
          <w:rFonts w:asciiTheme="majorBidi" w:eastAsia="Times New Roman" w:hAnsiTheme="majorBidi" w:cstheme="majorBidi"/>
          <w:sz w:val="24"/>
          <w:szCs w:val="24"/>
        </w:rPr>
        <w:t>), C(</w:t>
      </w:r>
      <w:proofErr w:type="spellStart"/>
      <w:r w:rsidRPr="008F4E90">
        <w:rPr>
          <w:rFonts w:asciiTheme="majorBidi" w:eastAsia="Times New Roman" w:hAnsiTheme="majorBidi" w:cstheme="majorBidi"/>
          <w:sz w:val="24"/>
          <w:szCs w:val="24"/>
        </w:rPr>
        <w:t>i</w:t>
      </w:r>
      <w:proofErr w:type="spellEnd"/>
      <w:r w:rsidRPr="008F4E90">
        <w:rPr>
          <w:rFonts w:asciiTheme="majorBidi" w:eastAsia="Times New Roman" w:hAnsiTheme="majorBidi" w:cstheme="majorBidi"/>
          <w:sz w:val="24"/>
          <w:szCs w:val="24"/>
        </w:rPr>
        <w:t>), D(ii), and E(ii) represent significant clusters resulting from voxel-wise two-sample t-tests between ASC and control groups for each time scale. The D(ii) and E(ii) plots display the distribution of standardised sample entropy within this significant cluster for the ASC group (in purple) and the control group (in green) for scales 4 and 5, respectively. Additionally, corresponding scatter plots and a box plot were also included. Each row of the figure represents the result for each respective time scale, and the bilateral plots provide a detailed presentation of the distribution, scatter, and box-plot forms of the standardised sample entropy within the significant cluster for each group.</w:t>
      </w:r>
    </w:p>
    <w:p w14:paraId="3CA690BF"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Table 2</w:t>
      </w:r>
    </w:p>
    <w:p w14:paraId="5D0BC6C0" w14:textId="77777777" w:rsidR="00B1514C" w:rsidRPr="008F4E90" w:rsidRDefault="00B1514C" w:rsidP="00B1514C">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Voxel-Wise Two Sample t-Test Results: Scale, Brain Regions, MNI Coordinates, Peak Intensity t-values, and Volume</w:t>
      </w:r>
      <w:r w:rsidR="0081065D" w:rsidRPr="008F4E90">
        <w:rPr>
          <w:rFonts w:asciiTheme="majorBidi" w:eastAsia="Times New Roman" w:hAnsiTheme="majorBidi" w:cstheme="majorBidi"/>
          <w:i/>
          <w:sz w:val="24"/>
          <w:szCs w:val="24"/>
        </w:rPr>
        <w:t xml:space="preserve"> </w:t>
      </w:r>
      <w:r w:rsidRPr="008F4E90">
        <w:rPr>
          <w:rFonts w:asciiTheme="majorBidi" w:eastAsia="Times New Roman" w:hAnsiTheme="majorBidi" w:cstheme="majorBidi"/>
          <w:i/>
          <w:sz w:val="24"/>
          <w:szCs w:val="24"/>
        </w:rPr>
        <w:t>(p &lt; .05, corrected by TFCE with permutation test)</w:t>
      </w:r>
    </w:p>
    <w:tbl>
      <w:tblPr>
        <w:tblW w:w="0" w:type="auto"/>
        <w:tblCellMar>
          <w:top w:w="15" w:type="dxa"/>
          <w:left w:w="15" w:type="dxa"/>
          <w:bottom w:w="15" w:type="dxa"/>
          <w:right w:w="15" w:type="dxa"/>
        </w:tblCellMar>
        <w:tblLook w:val="04A0" w:firstRow="1" w:lastRow="0" w:firstColumn="1" w:lastColumn="0" w:noHBand="0" w:noVBand="1"/>
      </w:tblPr>
      <w:tblGrid>
        <w:gridCol w:w="734"/>
        <w:gridCol w:w="2874"/>
        <w:gridCol w:w="2007"/>
        <w:gridCol w:w="2440"/>
        <w:gridCol w:w="1900"/>
      </w:tblGrid>
      <w:tr w:rsidR="008F4E90" w:rsidRPr="008F4E90" w14:paraId="3AEE20D1" w14:textId="77777777" w:rsidTr="0081065D">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27D4AC03"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b/>
                <w:bCs/>
                <w:sz w:val="24"/>
                <w:szCs w:val="24"/>
              </w:rPr>
              <w:t>Scale</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24D7B706"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b/>
                <w:bCs/>
                <w:sz w:val="24"/>
                <w:szCs w:val="24"/>
              </w:rPr>
              <w:t>Brain Region</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0295230C"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b/>
                <w:bCs/>
                <w:sz w:val="24"/>
                <w:szCs w:val="24"/>
              </w:rPr>
              <w:t>MNI Coordinates</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2E6E29E0"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b/>
                <w:bCs/>
                <w:sz w:val="24"/>
                <w:szCs w:val="24"/>
              </w:rPr>
              <w:t>Peak Intensity t-value</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534937CA"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b/>
                <w:bCs/>
                <w:sz w:val="24"/>
                <w:szCs w:val="24"/>
              </w:rPr>
              <w:t>Volume (Voxels)</w:t>
            </w:r>
          </w:p>
        </w:tc>
      </w:tr>
      <w:tr w:rsidR="008F4E90" w:rsidRPr="008F4E90" w14:paraId="3D23D546" w14:textId="77777777" w:rsidTr="0081065D">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C6DC2FF"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1</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9DE9F01"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C86D88E"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C2EAEB5"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5F1179D"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r>
      <w:tr w:rsidR="008F4E90" w:rsidRPr="008F4E90" w14:paraId="559D5B4B" w14:textId="77777777" w:rsidTr="0081065D">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2B9C65B"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BFB686D"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6E1EF80"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4ADA312"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455AB67"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r>
      <w:tr w:rsidR="008F4E90" w:rsidRPr="008F4E90" w14:paraId="022BFBF9" w14:textId="77777777" w:rsidTr="0081065D">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0C43406"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20C939C"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787A1CF"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9576FBF"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A66BB4A"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p>
        </w:tc>
      </w:tr>
      <w:tr w:rsidR="008F4E90" w:rsidRPr="008F4E90" w14:paraId="685EAA11" w14:textId="77777777" w:rsidTr="0081065D">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C6E3D1F"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C2BBAE9"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Left Medial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4AE55BD"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r w:rsidR="00415BCD" w:rsidRPr="0081065D">
              <w:rPr>
                <w:rFonts w:asciiTheme="majorBidi" w:eastAsia="Times New Roman" w:hAnsiTheme="majorBidi" w:cstheme="majorBidi"/>
                <w:sz w:val="24"/>
                <w:szCs w:val="24"/>
              </w:rPr>
              <w:t>12 36</w:t>
            </w:r>
            <w:r w:rsidRPr="0081065D">
              <w:rPr>
                <w:rFonts w:asciiTheme="majorBidi" w:eastAsia="Times New Roman" w:hAnsiTheme="majorBidi" w:cstheme="majorBidi"/>
                <w:sz w:val="24"/>
                <w:szCs w:val="24"/>
              </w:rPr>
              <w:t xml:space="preserve"> -18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F1BE602"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-4.3977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C53DD53"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90</w:t>
            </w:r>
          </w:p>
        </w:tc>
      </w:tr>
      <w:tr w:rsidR="008F4E90" w:rsidRPr="008F4E90" w14:paraId="57D13587" w14:textId="77777777" w:rsidTr="0081065D">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2AF4431"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lastRenderedPageBreak/>
              <w:t>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8D7C27F"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Right Medial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84D72E8" w14:textId="77777777" w:rsidR="0081065D" w:rsidRPr="0081065D" w:rsidRDefault="00415BC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9 42</w:t>
            </w:r>
            <w:r w:rsidR="0081065D" w:rsidRPr="0081065D">
              <w:rPr>
                <w:rFonts w:asciiTheme="majorBidi" w:eastAsia="Times New Roman" w:hAnsiTheme="majorBidi" w:cstheme="majorBidi"/>
                <w:sz w:val="24"/>
                <w:szCs w:val="24"/>
              </w:rPr>
              <w:t xml:space="preserve"> -21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E3DEFEC"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-3.683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929E8B4"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37</w:t>
            </w:r>
          </w:p>
        </w:tc>
      </w:tr>
      <w:tr w:rsidR="008F4E90" w:rsidRPr="008F4E90" w14:paraId="2145B40A" w14:textId="77777777" w:rsidTr="0081065D">
        <w:trPr>
          <w:trHeight w:val="1946"/>
        </w:trPr>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0FFF6ADD"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5</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54B36C90"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Left Medial Frontal Gyrus</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0258A6B5"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w:t>
            </w:r>
            <w:r w:rsidR="00415BCD" w:rsidRPr="0081065D">
              <w:rPr>
                <w:rFonts w:asciiTheme="majorBidi" w:eastAsia="Times New Roman" w:hAnsiTheme="majorBidi" w:cstheme="majorBidi"/>
                <w:sz w:val="24"/>
                <w:szCs w:val="24"/>
              </w:rPr>
              <w:t>12 48</w:t>
            </w:r>
            <w:r w:rsidRPr="0081065D">
              <w:rPr>
                <w:rFonts w:asciiTheme="majorBidi" w:eastAsia="Times New Roman" w:hAnsiTheme="majorBidi" w:cstheme="majorBidi"/>
                <w:sz w:val="24"/>
                <w:szCs w:val="24"/>
              </w:rPr>
              <w:t xml:space="preserve">   3</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1E0031CB"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-4.8015</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0882E988" w14:textId="77777777" w:rsidR="0081065D" w:rsidRPr="0081065D" w:rsidRDefault="0081065D" w:rsidP="0081065D">
            <w:pPr>
              <w:spacing w:before="380" w:after="380" w:line="480" w:lineRule="auto"/>
              <w:jc w:val="center"/>
              <w:rPr>
                <w:rFonts w:asciiTheme="majorBidi" w:eastAsia="Times New Roman" w:hAnsiTheme="majorBidi" w:cstheme="majorBidi"/>
                <w:sz w:val="24"/>
                <w:szCs w:val="24"/>
              </w:rPr>
            </w:pPr>
            <w:r w:rsidRPr="0081065D">
              <w:rPr>
                <w:rFonts w:asciiTheme="majorBidi" w:eastAsia="Times New Roman" w:hAnsiTheme="majorBidi" w:cstheme="majorBidi"/>
                <w:sz w:val="24"/>
                <w:szCs w:val="24"/>
              </w:rPr>
              <w:t>254</w:t>
            </w:r>
          </w:p>
        </w:tc>
      </w:tr>
    </w:tbl>
    <w:p w14:paraId="0A18AEDD" w14:textId="77777777" w:rsidR="00B1514C" w:rsidRPr="008F4E90" w:rsidRDefault="00B1514C" w:rsidP="00B1514C">
      <w:pPr>
        <w:spacing w:line="480" w:lineRule="auto"/>
        <w:rPr>
          <w:rFonts w:asciiTheme="majorBidi" w:eastAsia="Times New Roman" w:hAnsiTheme="majorBidi" w:cstheme="majorBidi"/>
          <w:sz w:val="24"/>
          <w:szCs w:val="24"/>
        </w:rPr>
      </w:pPr>
    </w:p>
    <w:p w14:paraId="6FF915D8"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Specific ROI selected by SFFS</w:t>
      </w:r>
    </w:p>
    <w:p w14:paraId="41C7FD33"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ROI (i.e., features) selected by SFFS were listed and plotted using the </w:t>
      </w:r>
      <w:proofErr w:type="spellStart"/>
      <w:r w:rsidRPr="008F4E90">
        <w:rPr>
          <w:rFonts w:asciiTheme="majorBidi" w:eastAsia="Times New Roman" w:hAnsiTheme="majorBidi" w:cstheme="majorBidi"/>
          <w:i/>
          <w:sz w:val="24"/>
          <w:szCs w:val="24"/>
        </w:rPr>
        <w:t>ggsegHO</w:t>
      </w:r>
      <w:proofErr w:type="spellEnd"/>
      <w:r w:rsidRPr="008F4E90">
        <w:rPr>
          <w:rFonts w:asciiTheme="majorBidi" w:eastAsia="Times New Roman" w:hAnsiTheme="majorBidi" w:cstheme="majorBidi"/>
          <w:sz w:val="24"/>
          <w:szCs w:val="24"/>
        </w:rPr>
        <w:t xml:space="preserve"> package in R </w:t>
      </w:r>
      <w:hyperlink r:id="rId670">
        <w:r w:rsidRPr="008F4E90">
          <w:rPr>
            <w:rFonts w:asciiTheme="majorBidi" w:eastAsia="Times New Roman" w:hAnsiTheme="majorBidi" w:cstheme="majorBidi"/>
            <w:sz w:val="24"/>
            <w:szCs w:val="24"/>
          </w:rPr>
          <w:t>(Makris et al., 2006; Mowinckel &amp; Vidal-Piñeiro, 2020)</w:t>
        </w:r>
      </w:hyperlink>
      <w:r w:rsidRPr="008F4E90">
        <w:rPr>
          <w:rFonts w:asciiTheme="majorBidi" w:eastAsia="Times New Roman" w:hAnsiTheme="majorBidi" w:cstheme="majorBidi"/>
          <w:sz w:val="24"/>
          <w:szCs w:val="24"/>
        </w:rPr>
        <w:t xml:space="preserve">, as depicted in Figure 8. In our SFFS results, the features are Left lingual gyrus, left </w:t>
      </w:r>
      <w:proofErr w:type="spellStart"/>
      <w:r w:rsidRPr="008F4E90">
        <w:rPr>
          <w:rFonts w:asciiTheme="majorBidi" w:eastAsia="Times New Roman" w:hAnsiTheme="majorBidi" w:cstheme="majorBidi"/>
          <w:sz w:val="24"/>
          <w:szCs w:val="24"/>
        </w:rPr>
        <w:t>heschls</w:t>
      </w:r>
      <w:proofErr w:type="spellEnd"/>
      <w:r w:rsidRPr="008F4E90">
        <w:rPr>
          <w:rFonts w:asciiTheme="majorBidi" w:eastAsia="Times New Roman" w:hAnsiTheme="majorBidi" w:cstheme="majorBidi"/>
          <w:sz w:val="24"/>
          <w:szCs w:val="24"/>
        </w:rPr>
        <w:t xml:space="preserve"> gyrus, and left lateral superior occipital cortex at scale 1; left inferior posterior temporal gyrus, left anterior temporal fusiform cortex, right </w:t>
      </w:r>
      <w:proofErr w:type="spellStart"/>
      <w:r w:rsidRPr="008F4E90">
        <w:rPr>
          <w:rFonts w:asciiTheme="majorBidi" w:eastAsia="Times New Roman" w:hAnsiTheme="majorBidi" w:cstheme="majorBidi"/>
          <w:sz w:val="24"/>
          <w:szCs w:val="24"/>
        </w:rPr>
        <w:t>intracalcarine</w:t>
      </w:r>
      <w:proofErr w:type="spellEnd"/>
      <w:r w:rsidRPr="008F4E90">
        <w:rPr>
          <w:rFonts w:asciiTheme="majorBidi" w:eastAsia="Times New Roman" w:hAnsiTheme="majorBidi" w:cstheme="majorBidi"/>
          <w:sz w:val="24"/>
          <w:szCs w:val="24"/>
        </w:rPr>
        <w:t xml:space="preserve"> cortex and right frontal pole at scale 2; left superior frontal gyrus, right medial frontal cortex and right posterior cingulate gyrus at scale 3; right </w:t>
      </w:r>
      <w:proofErr w:type="spellStart"/>
      <w:r w:rsidRPr="008F4E90">
        <w:rPr>
          <w:rFonts w:asciiTheme="majorBidi" w:eastAsia="Times New Roman" w:hAnsiTheme="majorBidi" w:cstheme="majorBidi"/>
          <w:sz w:val="24"/>
          <w:szCs w:val="24"/>
        </w:rPr>
        <w:t>heschls</w:t>
      </w:r>
      <w:proofErr w:type="spellEnd"/>
      <w:r w:rsidRPr="008F4E90">
        <w:rPr>
          <w:rFonts w:asciiTheme="majorBidi" w:eastAsia="Times New Roman" w:hAnsiTheme="majorBidi" w:cstheme="majorBidi"/>
          <w:sz w:val="24"/>
          <w:szCs w:val="24"/>
        </w:rPr>
        <w:t xml:space="preserve"> gyrus at scale 4 as well as left orbital frontal cortex and right inferior lateral occipital cortex at scale 5.</w:t>
      </w:r>
    </w:p>
    <w:p w14:paraId="30495F93"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09E46046"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194E170D"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63D71B59"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4E410610"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2F9280C2"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2262705D"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357D6A1D"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275CBB92"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2B948C22"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8</w:t>
      </w:r>
    </w:p>
    <w:p w14:paraId="7CD0C1C0" w14:textId="77777777" w:rsidR="00B1514C" w:rsidRPr="008F4E90" w:rsidRDefault="00B71272" w:rsidP="00B1514C">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noProof/>
          <w:sz w:val="24"/>
          <w:szCs w:val="24"/>
        </w:rPr>
        <w:drawing>
          <wp:anchor distT="0" distB="0" distL="114300" distR="114300" simplePos="0" relativeHeight="251666432" behindDoc="0" locked="0" layoutInCell="1" allowOverlap="1" wp14:anchorId="5BCFBFAD" wp14:editId="6A7880CD">
            <wp:simplePos x="0" y="0"/>
            <wp:positionH relativeFrom="column">
              <wp:posOffset>-245110</wp:posOffset>
            </wp:positionH>
            <wp:positionV relativeFrom="paragraph">
              <wp:posOffset>720090</wp:posOffset>
            </wp:positionV>
            <wp:extent cx="6515100" cy="1638300"/>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a:xfrm>
                      <a:off x="0" y="0"/>
                      <a:ext cx="6515100" cy="1638300"/>
                    </a:xfrm>
                    <a:prstGeom prst="rect">
                      <a:avLst/>
                    </a:prstGeom>
                    <a:ln/>
                  </pic:spPr>
                </pic:pic>
              </a:graphicData>
            </a:graphic>
            <wp14:sizeRelH relativeFrom="margin">
              <wp14:pctWidth>0</wp14:pctWidth>
            </wp14:sizeRelH>
          </wp:anchor>
        </w:drawing>
      </w:r>
      <w:r w:rsidR="00B1514C" w:rsidRPr="008F4E90">
        <w:rPr>
          <w:rFonts w:asciiTheme="majorBidi" w:eastAsia="Times New Roman" w:hAnsiTheme="majorBidi" w:cstheme="majorBidi"/>
          <w:i/>
          <w:sz w:val="24"/>
          <w:szCs w:val="24"/>
        </w:rPr>
        <w:t>Specific Harvard-oxford cortical atlas that were selected from SFFS to distinguish between individuals with and without ASC</w:t>
      </w:r>
    </w:p>
    <w:p w14:paraId="6FA5D4F0" w14:textId="77777777" w:rsidR="00B1514C" w:rsidRPr="008F4E90" w:rsidRDefault="00B1514C" w:rsidP="00B1514C">
      <w:pPr>
        <w:spacing w:line="480" w:lineRule="auto"/>
        <w:rPr>
          <w:rFonts w:asciiTheme="majorBidi" w:eastAsia="Times New Roman" w:hAnsiTheme="majorBidi" w:cstheme="majorBidi"/>
          <w:sz w:val="24"/>
          <w:szCs w:val="24"/>
        </w:rPr>
      </w:pPr>
    </w:p>
    <w:p w14:paraId="47E6F47F"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The performance of these regions </w:t>
      </w:r>
      <w:r w:rsidR="0081065D" w:rsidRPr="008F4E90">
        <w:rPr>
          <w:rFonts w:asciiTheme="majorBidi" w:eastAsia="Times New Roman" w:hAnsiTheme="majorBidi" w:cstheme="majorBidi"/>
          <w:sz w:val="24"/>
          <w:szCs w:val="24"/>
        </w:rPr>
        <w:t>was</w:t>
      </w:r>
      <w:r w:rsidRPr="008F4E90">
        <w:rPr>
          <w:rFonts w:asciiTheme="majorBidi" w:eastAsia="Times New Roman" w:hAnsiTheme="majorBidi" w:cstheme="majorBidi"/>
          <w:sz w:val="24"/>
          <w:szCs w:val="24"/>
        </w:rPr>
        <w:t xml:space="preserve"> further evaluated by the linear SVM classifier. Brain positions were organised from left to right as follows: left lateral, left medial, right medial, and right lateral.</w:t>
      </w:r>
    </w:p>
    <w:p w14:paraId="023E88FA" w14:textId="77777777" w:rsidR="0081065D" w:rsidRPr="008F4E90" w:rsidRDefault="0081065D" w:rsidP="00B1514C">
      <w:pPr>
        <w:spacing w:line="480" w:lineRule="auto"/>
        <w:rPr>
          <w:rFonts w:asciiTheme="majorBidi" w:eastAsia="Times New Roman" w:hAnsiTheme="majorBidi" w:cstheme="majorBidi"/>
          <w:sz w:val="24"/>
          <w:szCs w:val="24"/>
        </w:rPr>
      </w:pPr>
    </w:p>
    <w:p w14:paraId="34199452"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Machine learning Classification of different models</w:t>
      </w:r>
    </w:p>
    <w:p w14:paraId="545BDBCA"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This study aimed to determine if features extracted using multiscale sample entropy, selected from univariate and multivariate models, could effectively distinguish individuals with ASC from control subjects using machine learning techniques. Specifically, a linear Support Vector Machine (SVM) classifier with significant clusters and Sequential Forward Floating Selection (SFFS) feature selection was used.</w:t>
      </w:r>
    </w:p>
    <w:p w14:paraId="630BC898"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Through this analysis, it has been found that the multivariate model, which consisted of a subset of brain regions selected by SFFS, achieved the highest classification accuracy of 87% in identifying individuals with ASC. This model also demonstrated a well-balanced overall performance. The brain regions identified by SFFS as the most distinguishing between ASC and non-ASC individuals in terms of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MSE are displayed in Figure 9. </w:t>
      </w:r>
    </w:p>
    <w:p w14:paraId="561B64DB" w14:textId="77777777" w:rsidR="00B1514C" w:rsidRPr="008F4E90" w:rsidRDefault="00B1514C" w:rsidP="00B71272">
      <w:pPr>
        <w:spacing w:line="480" w:lineRule="auto"/>
        <w:rPr>
          <w:rFonts w:asciiTheme="majorBidi" w:eastAsia="Times New Roman" w:hAnsiTheme="majorBidi" w:cstheme="majorBidi"/>
          <w:sz w:val="24"/>
          <w:szCs w:val="24"/>
        </w:rPr>
      </w:pPr>
    </w:p>
    <w:p w14:paraId="73F90623"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9</w:t>
      </w:r>
    </w:p>
    <w:p w14:paraId="336D7217"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i/>
          <w:sz w:val="24"/>
          <w:szCs w:val="24"/>
        </w:rPr>
        <w:t xml:space="preserve"> Empirical distributions of accuracy of the classifier generated via 1000 times of random label permutations for different models</w:t>
      </w:r>
    </w:p>
    <w:p w14:paraId="08BE9C20"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inline distT="114300" distB="114300" distL="114300" distR="114300" wp14:anchorId="357E2009" wp14:editId="429FC5EC">
            <wp:extent cx="6353175" cy="3438525"/>
            <wp:effectExtent l="0" t="0" r="9525" b="9525"/>
            <wp:docPr id="84" name="Picture 84"/>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72"/>
                    <a:srcRect/>
                    <a:stretch>
                      <a:fillRect/>
                    </a:stretch>
                  </pic:blipFill>
                  <pic:spPr>
                    <a:xfrm>
                      <a:off x="0" y="0"/>
                      <a:ext cx="6353537" cy="3438721"/>
                    </a:xfrm>
                    <a:prstGeom prst="rect">
                      <a:avLst/>
                    </a:prstGeom>
                    <a:ln/>
                  </pic:spPr>
                </pic:pic>
              </a:graphicData>
            </a:graphic>
          </wp:inline>
        </w:drawing>
      </w:r>
    </w:p>
    <w:p w14:paraId="13781AD8"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 xml:space="preserve">Note. </w:t>
      </w:r>
      <w:r w:rsidRPr="008F4E90">
        <w:rPr>
          <w:rFonts w:asciiTheme="majorBidi" w:eastAsia="Times New Roman" w:hAnsiTheme="majorBidi" w:cstheme="majorBidi"/>
          <w:sz w:val="24"/>
          <w:szCs w:val="24"/>
        </w:rPr>
        <w:t>Random data represents random surrogate data with the same number of samples and features as the original dataset, original region sets containing all features and region sets selected by significant clusters (i.e., the Univariate Model) and SFFS (i.e., the Multivariate Model). The red line shows the actual classification accuracy.</w:t>
      </w:r>
    </w:p>
    <w:p w14:paraId="01AA922F" w14:textId="77777777" w:rsidR="00B1514C" w:rsidRPr="008F4E90" w:rsidRDefault="00B1514C" w:rsidP="00B1514C">
      <w:pPr>
        <w:spacing w:line="480" w:lineRule="auto"/>
        <w:rPr>
          <w:rFonts w:asciiTheme="majorBidi" w:eastAsia="Times New Roman" w:hAnsiTheme="majorBidi" w:cstheme="majorBidi"/>
          <w:sz w:val="24"/>
          <w:szCs w:val="24"/>
        </w:rPr>
      </w:pPr>
    </w:p>
    <w:p w14:paraId="07B6D405" w14:textId="77777777" w:rsidR="00B1514C" w:rsidRPr="008F4E90" w:rsidRDefault="00B1514C" w:rsidP="00B1514C">
      <w:pPr>
        <w:spacing w:line="480" w:lineRule="auto"/>
        <w:rPr>
          <w:rFonts w:asciiTheme="majorBidi" w:eastAsia="Times New Roman" w:hAnsiTheme="majorBidi" w:cstheme="majorBidi"/>
          <w:sz w:val="24"/>
          <w:szCs w:val="24"/>
        </w:rPr>
      </w:pPr>
    </w:p>
    <w:p w14:paraId="0BF0671D" w14:textId="77777777" w:rsidR="00B1514C" w:rsidRPr="008F4E90" w:rsidRDefault="00B1514C" w:rsidP="00B1514C">
      <w:pPr>
        <w:spacing w:line="480" w:lineRule="auto"/>
        <w:rPr>
          <w:rFonts w:asciiTheme="majorBidi" w:eastAsia="Times New Roman" w:hAnsiTheme="majorBidi" w:cstheme="majorBidi"/>
          <w:sz w:val="24"/>
          <w:szCs w:val="24"/>
        </w:rPr>
      </w:pPr>
    </w:p>
    <w:p w14:paraId="20B07CD9" w14:textId="77777777" w:rsidR="00B1514C" w:rsidRPr="008F4E90" w:rsidRDefault="00B1514C" w:rsidP="00B1514C">
      <w:pPr>
        <w:spacing w:line="480" w:lineRule="auto"/>
        <w:rPr>
          <w:rFonts w:asciiTheme="majorBidi" w:eastAsia="Times New Roman" w:hAnsiTheme="majorBidi" w:cstheme="majorBidi"/>
          <w:sz w:val="24"/>
          <w:szCs w:val="24"/>
        </w:rPr>
      </w:pPr>
    </w:p>
    <w:p w14:paraId="2DB259B1" w14:textId="77777777" w:rsidR="00B1514C" w:rsidRPr="008F4E90" w:rsidRDefault="00B1514C" w:rsidP="00B1514C">
      <w:pPr>
        <w:spacing w:line="480" w:lineRule="auto"/>
        <w:rPr>
          <w:rFonts w:asciiTheme="majorBidi" w:eastAsia="Times New Roman" w:hAnsiTheme="majorBidi" w:cstheme="majorBidi"/>
          <w:sz w:val="24"/>
          <w:szCs w:val="24"/>
        </w:rPr>
      </w:pPr>
    </w:p>
    <w:p w14:paraId="2E27AB7A" w14:textId="77777777" w:rsidR="00B1514C" w:rsidRPr="008F4E90" w:rsidRDefault="00B1514C" w:rsidP="00B1514C">
      <w:pPr>
        <w:spacing w:line="480" w:lineRule="auto"/>
        <w:rPr>
          <w:rFonts w:asciiTheme="majorBidi" w:eastAsia="Times New Roman" w:hAnsiTheme="majorBidi" w:cstheme="majorBidi"/>
          <w:sz w:val="24"/>
          <w:szCs w:val="24"/>
        </w:rPr>
      </w:pPr>
    </w:p>
    <w:p w14:paraId="42EA286F" w14:textId="77777777" w:rsidR="00B1514C" w:rsidRPr="008F4E90" w:rsidRDefault="00B1514C" w:rsidP="00B1514C">
      <w:pPr>
        <w:spacing w:line="480" w:lineRule="auto"/>
        <w:rPr>
          <w:rFonts w:asciiTheme="majorBidi" w:eastAsia="Times New Roman" w:hAnsiTheme="majorBidi" w:cstheme="majorBidi"/>
          <w:sz w:val="24"/>
          <w:szCs w:val="24"/>
        </w:rPr>
      </w:pPr>
    </w:p>
    <w:p w14:paraId="2C1DFE3F" w14:textId="77777777" w:rsidR="00B1514C" w:rsidRPr="008F4E90" w:rsidRDefault="00B1514C" w:rsidP="00B1514C">
      <w:pPr>
        <w:spacing w:line="480" w:lineRule="auto"/>
        <w:rPr>
          <w:rFonts w:asciiTheme="majorBidi" w:eastAsia="Times New Roman" w:hAnsiTheme="majorBidi" w:cstheme="majorBidi"/>
          <w:sz w:val="24"/>
          <w:szCs w:val="24"/>
        </w:rPr>
      </w:pPr>
    </w:p>
    <w:p w14:paraId="15AF7B26" w14:textId="77777777" w:rsidR="00B1514C" w:rsidRPr="008F4E90" w:rsidRDefault="00B1514C" w:rsidP="00B1514C">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Table 6</w:t>
      </w:r>
    </w:p>
    <w:p w14:paraId="0814267E" w14:textId="77777777" w:rsidR="00B1514C" w:rsidRPr="008F4E90" w:rsidRDefault="00B1514C" w:rsidP="00B1514C">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Classification Performance of MSE in Different Sets</w:t>
      </w:r>
    </w:p>
    <w:tbl>
      <w:tblPr>
        <w:tblW w:w="10490"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1277"/>
        <w:gridCol w:w="850"/>
        <w:gridCol w:w="142"/>
        <w:gridCol w:w="992"/>
        <w:gridCol w:w="142"/>
        <w:gridCol w:w="992"/>
        <w:gridCol w:w="1134"/>
        <w:gridCol w:w="284"/>
        <w:gridCol w:w="1134"/>
        <w:gridCol w:w="1275"/>
        <w:gridCol w:w="1134"/>
        <w:gridCol w:w="1134"/>
      </w:tblGrid>
      <w:tr w:rsidR="008F4E90" w:rsidRPr="008F4E90" w14:paraId="60D91DED" w14:textId="77777777" w:rsidTr="0081065D">
        <w:trPr>
          <w:trHeight w:val="435"/>
        </w:trPr>
        <w:tc>
          <w:tcPr>
            <w:tcW w:w="1277" w:type="dxa"/>
            <w:vMerge w:val="restart"/>
            <w:tcBorders>
              <w:top w:val="single" w:sz="7" w:space="0" w:color="000000"/>
              <w:left w:val="nil"/>
              <w:bottom w:val="single" w:sz="7" w:space="0" w:color="000000"/>
              <w:right w:val="nil"/>
            </w:tcBorders>
            <w:tcMar>
              <w:top w:w="0" w:type="dxa"/>
              <w:left w:w="100" w:type="dxa"/>
              <w:bottom w:w="0" w:type="dxa"/>
              <w:right w:w="100" w:type="dxa"/>
            </w:tcMar>
          </w:tcPr>
          <w:p w14:paraId="08156068"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Rs-fMRI feature</w:t>
            </w:r>
          </w:p>
        </w:tc>
        <w:tc>
          <w:tcPr>
            <w:tcW w:w="4252" w:type="dxa"/>
            <w:gridSpan w:val="6"/>
            <w:tcBorders>
              <w:top w:val="single" w:sz="7" w:space="0" w:color="000000"/>
              <w:left w:val="nil"/>
              <w:bottom w:val="single" w:sz="7" w:space="0" w:color="000000"/>
              <w:right w:val="nil"/>
            </w:tcBorders>
            <w:tcMar>
              <w:top w:w="0" w:type="dxa"/>
              <w:left w:w="100" w:type="dxa"/>
              <w:bottom w:w="0" w:type="dxa"/>
              <w:right w:w="100" w:type="dxa"/>
            </w:tcMar>
          </w:tcPr>
          <w:p w14:paraId="372024D6"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Region sets by significant clusters</w:t>
            </w:r>
          </w:p>
        </w:tc>
        <w:tc>
          <w:tcPr>
            <w:tcW w:w="284" w:type="dxa"/>
            <w:vMerge w:val="restart"/>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67320247"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p>
        </w:tc>
        <w:tc>
          <w:tcPr>
            <w:tcW w:w="4677" w:type="dxa"/>
            <w:gridSpan w:val="4"/>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048E4426"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Region sets by SFFS</w:t>
            </w:r>
          </w:p>
        </w:tc>
      </w:tr>
      <w:tr w:rsidR="008F4E90" w:rsidRPr="008F4E90" w14:paraId="52843BAB" w14:textId="77777777" w:rsidTr="0081065D">
        <w:trPr>
          <w:trHeight w:val="435"/>
        </w:trPr>
        <w:tc>
          <w:tcPr>
            <w:tcW w:w="1277" w:type="dxa"/>
            <w:vMerge/>
            <w:tcBorders>
              <w:top w:val="single" w:sz="7" w:space="0" w:color="000000"/>
              <w:left w:val="nil"/>
              <w:bottom w:val="single" w:sz="7" w:space="0" w:color="000000"/>
              <w:right w:val="nil"/>
            </w:tcBorders>
            <w:shd w:val="clear" w:color="auto" w:fill="auto"/>
            <w:tcMar>
              <w:top w:w="100" w:type="dxa"/>
              <w:left w:w="100" w:type="dxa"/>
              <w:bottom w:w="100" w:type="dxa"/>
              <w:right w:w="100" w:type="dxa"/>
            </w:tcMar>
          </w:tcPr>
          <w:p w14:paraId="045DE8D0" w14:textId="77777777" w:rsidR="00B1514C" w:rsidRPr="008F4E90" w:rsidRDefault="00B1514C" w:rsidP="00ED0B86">
            <w:pPr>
              <w:spacing w:line="480" w:lineRule="auto"/>
              <w:ind w:left="140" w:right="140"/>
              <w:jc w:val="center"/>
              <w:rPr>
                <w:rFonts w:asciiTheme="majorBidi" w:eastAsia="Times New Roman" w:hAnsiTheme="majorBidi" w:cstheme="majorBidi"/>
                <w:sz w:val="24"/>
                <w:szCs w:val="24"/>
              </w:rPr>
            </w:pPr>
          </w:p>
        </w:tc>
        <w:tc>
          <w:tcPr>
            <w:tcW w:w="850" w:type="dxa"/>
            <w:tcBorders>
              <w:top w:val="nil"/>
              <w:left w:val="nil"/>
              <w:bottom w:val="single" w:sz="7" w:space="0" w:color="000000"/>
              <w:right w:val="nil"/>
            </w:tcBorders>
            <w:shd w:val="clear" w:color="auto" w:fill="auto"/>
            <w:tcMar>
              <w:top w:w="0" w:type="dxa"/>
              <w:left w:w="100" w:type="dxa"/>
              <w:bottom w:w="0" w:type="dxa"/>
              <w:right w:w="100" w:type="dxa"/>
            </w:tcMar>
          </w:tcPr>
          <w:p w14:paraId="21B933A1"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CA</w:t>
            </w:r>
          </w:p>
        </w:tc>
        <w:tc>
          <w:tcPr>
            <w:tcW w:w="1134" w:type="dxa"/>
            <w:gridSpan w:val="2"/>
            <w:tcBorders>
              <w:top w:val="nil"/>
              <w:left w:val="nil"/>
              <w:bottom w:val="single" w:sz="7" w:space="0" w:color="000000"/>
              <w:right w:val="nil"/>
            </w:tcBorders>
            <w:shd w:val="clear" w:color="auto" w:fill="auto"/>
            <w:tcMar>
              <w:top w:w="0" w:type="dxa"/>
              <w:left w:w="100" w:type="dxa"/>
              <w:bottom w:w="0" w:type="dxa"/>
              <w:right w:w="100" w:type="dxa"/>
            </w:tcMar>
          </w:tcPr>
          <w:p w14:paraId="58FE6694"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CM</w:t>
            </w:r>
          </w:p>
        </w:tc>
        <w:tc>
          <w:tcPr>
            <w:tcW w:w="1134" w:type="dxa"/>
            <w:gridSpan w:val="2"/>
            <w:tcBorders>
              <w:top w:val="nil"/>
              <w:left w:val="nil"/>
              <w:bottom w:val="single" w:sz="7" w:space="0" w:color="000000"/>
              <w:right w:val="nil"/>
            </w:tcBorders>
            <w:shd w:val="clear" w:color="auto" w:fill="auto"/>
            <w:tcMar>
              <w:top w:w="0" w:type="dxa"/>
              <w:left w:w="100" w:type="dxa"/>
              <w:bottom w:w="0" w:type="dxa"/>
              <w:right w:w="100" w:type="dxa"/>
            </w:tcMar>
          </w:tcPr>
          <w:p w14:paraId="32B2135C"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Sen</w:t>
            </w:r>
          </w:p>
        </w:tc>
        <w:tc>
          <w:tcPr>
            <w:tcW w:w="1134" w:type="dxa"/>
            <w:tcBorders>
              <w:top w:val="nil"/>
              <w:left w:val="nil"/>
              <w:bottom w:val="single" w:sz="7" w:space="0" w:color="000000"/>
              <w:right w:val="nil"/>
            </w:tcBorders>
            <w:shd w:val="clear" w:color="auto" w:fill="auto"/>
            <w:tcMar>
              <w:top w:w="0" w:type="dxa"/>
              <w:left w:w="100" w:type="dxa"/>
              <w:bottom w:w="0" w:type="dxa"/>
              <w:right w:w="100" w:type="dxa"/>
            </w:tcMar>
          </w:tcPr>
          <w:p w14:paraId="749D70DB"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Spe</w:t>
            </w:r>
          </w:p>
        </w:tc>
        <w:tc>
          <w:tcPr>
            <w:tcW w:w="284" w:type="dxa"/>
            <w:vMerge/>
            <w:tcBorders>
              <w:top w:val="single" w:sz="7" w:space="0" w:color="000000"/>
              <w:left w:val="nil"/>
              <w:bottom w:val="single" w:sz="7" w:space="0" w:color="000000"/>
              <w:right w:val="nil"/>
            </w:tcBorders>
            <w:shd w:val="clear" w:color="auto" w:fill="auto"/>
            <w:tcMar>
              <w:top w:w="100" w:type="dxa"/>
              <w:left w:w="100" w:type="dxa"/>
              <w:bottom w:w="100" w:type="dxa"/>
              <w:right w:w="100" w:type="dxa"/>
            </w:tcMar>
          </w:tcPr>
          <w:p w14:paraId="56FF89DA" w14:textId="77777777" w:rsidR="00B1514C" w:rsidRPr="008F4E90" w:rsidRDefault="00B1514C" w:rsidP="00ED0B86">
            <w:pPr>
              <w:spacing w:line="480" w:lineRule="auto"/>
              <w:ind w:left="140" w:right="140"/>
              <w:jc w:val="center"/>
              <w:rPr>
                <w:rFonts w:asciiTheme="majorBidi" w:eastAsia="Times New Roman" w:hAnsiTheme="majorBidi" w:cstheme="majorBidi"/>
                <w:sz w:val="24"/>
                <w:szCs w:val="24"/>
              </w:rPr>
            </w:pPr>
          </w:p>
        </w:tc>
        <w:tc>
          <w:tcPr>
            <w:tcW w:w="1134" w:type="dxa"/>
            <w:tcBorders>
              <w:top w:val="nil"/>
              <w:left w:val="nil"/>
              <w:bottom w:val="single" w:sz="7" w:space="0" w:color="000000"/>
              <w:right w:val="nil"/>
            </w:tcBorders>
            <w:shd w:val="clear" w:color="auto" w:fill="auto"/>
            <w:tcMar>
              <w:top w:w="0" w:type="dxa"/>
              <w:left w:w="100" w:type="dxa"/>
              <w:bottom w:w="0" w:type="dxa"/>
              <w:right w:w="100" w:type="dxa"/>
            </w:tcMar>
          </w:tcPr>
          <w:p w14:paraId="2458599F"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CA</w:t>
            </w:r>
          </w:p>
        </w:tc>
        <w:tc>
          <w:tcPr>
            <w:tcW w:w="1275" w:type="dxa"/>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6C72F20A"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CM</w:t>
            </w:r>
          </w:p>
        </w:tc>
        <w:tc>
          <w:tcPr>
            <w:tcW w:w="1134" w:type="dxa"/>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10BC5C34"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Sen</w:t>
            </w:r>
          </w:p>
        </w:tc>
        <w:tc>
          <w:tcPr>
            <w:tcW w:w="1134" w:type="dxa"/>
            <w:tcBorders>
              <w:top w:val="single" w:sz="7" w:space="0" w:color="000000"/>
              <w:left w:val="nil"/>
              <w:bottom w:val="single" w:sz="7" w:space="0" w:color="000000"/>
              <w:right w:val="nil"/>
            </w:tcBorders>
            <w:shd w:val="clear" w:color="auto" w:fill="auto"/>
            <w:tcMar>
              <w:top w:w="0" w:type="dxa"/>
              <w:left w:w="100" w:type="dxa"/>
              <w:bottom w:w="0" w:type="dxa"/>
              <w:right w:w="100" w:type="dxa"/>
            </w:tcMar>
          </w:tcPr>
          <w:p w14:paraId="2529E007"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Spe</w:t>
            </w:r>
          </w:p>
        </w:tc>
      </w:tr>
      <w:tr w:rsidR="008F4E90" w:rsidRPr="008F4E90" w14:paraId="15CBF926" w14:textId="77777777" w:rsidTr="0081065D">
        <w:trPr>
          <w:trHeight w:val="825"/>
        </w:trPr>
        <w:tc>
          <w:tcPr>
            <w:tcW w:w="1277" w:type="dxa"/>
            <w:tcBorders>
              <w:top w:val="nil"/>
              <w:left w:val="nil"/>
              <w:bottom w:val="single" w:sz="7" w:space="0" w:color="000000"/>
              <w:right w:val="nil"/>
            </w:tcBorders>
            <w:shd w:val="clear" w:color="auto" w:fill="auto"/>
            <w:tcMar>
              <w:top w:w="0" w:type="dxa"/>
              <w:left w:w="100" w:type="dxa"/>
              <w:bottom w:w="0" w:type="dxa"/>
              <w:right w:w="100" w:type="dxa"/>
            </w:tcMar>
          </w:tcPr>
          <w:p w14:paraId="35F1E1C5"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MSE</w:t>
            </w:r>
          </w:p>
        </w:tc>
        <w:tc>
          <w:tcPr>
            <w:tcW w:w="992" w:type="dxa"/>
            <w:gridSpan w:val="2"/>
            <w:tcBorders>
              <w:top w:val="nil"/>
              <w:left w:val="nil"/>
              <w:bottom w:val="single" w:sz="7" w:space="0" w:color="000000"/>
              <w:right w:val="nil"/>
            </w:tcBorders>
            <w:shd w:val="clear" w:color="auto" w:fill="auto"/>
            <w:tcMar>
              <w:top w:w="0" w:type="dxa"/>
              <w:left w:w="100" w:type="dxa"/>
              <w:bottom w:w="0" w:type="dxa"/>
              <w:right w:w="100" w:type="dxa"/>
            </w:tcMar>
          </w:tcPr>
          <w:p w14:paraId="1B6F0375"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79%</w:t>
            </w:r>
          </w:p>
        </w:tc>
        <w:tc>
          <w:tcPr>
            <w:tcW w:w="1134" w:type="dxa"/>
            <w:gridSpan w:val="2"/>
            <w:tcBorders>
              <w:top w:val="nil"/>
              <w:left w:val="nil"/>
              <w:bottom w:val="single" w:sz="7" w:space="0" w:color="000000"/>
              <w:right w:val="nil"/>
            </w:tcBorders>
            <w:shd w:val="clear" w:color="auto" w:fill="auto"/>
            <w:tcMar>
              <w:top w:w="0" w:type="dxa"/>
              <w:left w:w="100" w:type="dxa"/>
              <w:bottom w:w="0" w:type="dxa"/>
              <w:right w:w="100" w:type="dxa"/>
            </w:tcMar>
          </w:tcPr>
          <w:p w14:paraId="0CE45E86" w14:textId="77777777" w:rsidR="00B1514C" w:rsidRPr="008F4E90" w:rsidRDefault="00000000" w:rsidP="00ED0B86">
            <w:pPr>
              <w:spacing w:line="480" w:lineRule="auto"/>
              <w:ind w:left="140" w:right="140"/>
              <w:jc w:val="center"/>
              <w:rPr>
                <w:rFonts w:asciiTheme="majorBidi" w:eastAsia="Times New Roman" w:hAnsiTheme="majorBidi" w:cstheme="majorBidi"/>
                <w:sz w:val="24"/>
                <w:szCs w:val="24"/>
              </w:rPr>
            </w:pPr>
            <m:oMathPara>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39 8</m:t>
                    </m:r>
                  </m:e>
                </m:d>
                <m:r>
                  <m:rPr>
                    <m:sty m:val="p"/>
                  </m:rPr>
                  <w:rPr>
                    <w:rFonts w:asciiTheme="majorBidi" w:eastAsia="Times New Roman" w:hAnsiTheme="majorBidi" w:cstheme="majorBidi"/>
                    <w:sz w:val="24"/>
                    <w:szCs w:val="24"/>
                  </w:rPr>
                  <w:br/>
                </m:r>
              </m:oMath>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8 48</m:t>
                    </m:r>
                  </m:e>
                </m:d>
              </m:oMath>
            </m:oMathPara>
          </w:p>
        </w:tc>
        <w:tc>
          <w:tcPr>
            <w:tcW w:w="992" w:type="dxa"/>
            <w:tcBorders>
              <w:top w:val="nil"/>
              <w:left w:val="nil"/>
              <w:bottom w:val="single" w:sz="7" w:space="0" w:color="000000"/>
              <w:right w:val="nil"/>
            </w:tcBorders>
            <w:shd w:val="clear" w:color="auto" w:fill="auto"/>
            <w:tcMar>
              <w:top w:w="0" w:type="dxa"/>
              <w:left w:w="100" w:type="dxa"/>
              <w:bottom w:w="0" w:type="dxa"/>
              <w:right w:w="100" w:type="dxa"/>
            </w:tcMar>
          </w:tcPr>
          <w:p w14:paraId="300AE4F1"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83%</w:t>
            </w:r>
          </w:p>
        </w:tc>
        <w:tc>
          <w:tcPr>
            <w:tcW w:w="1134" w:type="dxa"/>
            <w:tcBorders>
              <w:top w:val="nil"/>
              <w:left w:val="nil"/>
              <w:bottom w:val="single" w:sz="7" w:space="0" w:color="000000"/>
              <w:right w:val="nil"/>
            </w:tcBorders>
            <w:shd w:val="clear" w:color="auto" w:fill="auto"/>
            <w:tcMar>
              <w:top w:w="0" w:type="dxa"/>
              <w:left w:w="100" w:type="dxa"/>
              <w:bottom w:w="0" w:type="dxa"/>
              <w:right w:w="100" w:type="dxa"/>
            </w:tcMar>
          </w:tcPr>
          <w:p w14:paraId="2CFDB61D"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86%</w:t>
            </w:r>
          </w:p>
        </w:tc>
        <w:tc>
          <w:tcPr>
            <w:tcW w:w="284" w:type="dxa"/>
            <w:vMerge/>
            <w:tcBorders>
              <w:top w:val="single" w:sz="7" w:space="0" w:color="000000"/>
              <w:left w:val="nil"/>
              <w:bottom w:val="single" w:sz="7" w:space="0" w:color="000000"/>
              <w:right w:val="nil"/>
            </w:tcBorders>
            <w:shd w:val="clear" w:color="auto" w:fill="auto"/>
            <w:tcMar>
              <w:top w:w="100" w:type="dxa"/>
              <w:left w:w="100" w:type="dxa"/>
              <w:bottom w:w="100" w:type="dxa"/>
              <w:right w:w="100" w:type="dxa"/>
            </w:tcMar>
          </w:tcPr>
          <w:p w14:paraId="1C4031BB" w14:textId="77777777" w:rsidR="00B1514C" w:rsidRPr="008F4E90" w:rsidRDefault="00B1514C" w:rsidP="00ED0B86">
            <w:pPr>
              <w:spacing w:line="480" w:lineRule="auto"/>
              <w:ind w:left="140" w:right="140"/>
              <w:jc w:val="center"/>
              <w:rPr>
                <w:rFonts w:asciiTheme="majorBidi" w:eastAsia="Times New Roman" w:hAnsiTheme="majorBidi" w:cstheme="majorBidi"/>
                <w:sz w:val="24"/>
                <w:szCs w:val="24"/>
              </w:rPr>
            </w:pPr>
          </w:p>
        </w:tc>
        <w:tc>
          <w:tcPr>
            <w:tcW w:w="1134" w:type="dxa"/>
            <w:tcBorders>
              <w:top w:val="nil"/>
              <w:left w:val="nil"/>
              <w:bottom w:val="single" w:sz="7" w:space="0" w:color="000000"/>
              <w:right w:val="nil"/>
            </w:tcBorders>
            <w:shd w:val="clear" w:color="auto" w:fill="auto"/>
            <w:tcMar>
              <w:top w:w="0" w:type="dxa"/>
              <w:left w:w="100" w:type="dxa"/>
              <w:bottom w:w="0" w:type="dxa"/>
              <w:right w:w="100" w:type="dxa"/>
            </w:tcMar>
          </w:tcPr>
          <w:p w14:paraId="65C09970"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87%</w:t>
            </w:r>
          </w:p>
        </w:tc>
        <w:tc>
          <w:tcPr>
            <w:tcW w:w="1275" w:type="dxa"/>
            <w:tcBorders>
              <w:top w:val="nil"/>
              <w:left w:val="nil"/>
              <w:bottom w:val="single" w:sz="7" w:space="0" w:color="000000"/>
              <w:right w:val="nil"/>
            </w:tcBorders>
            <w:shd w:val="clear" w:color="auto" w:fill="auto"/>
            <w:tcMar>
              <w:top w:w="0" w:type="dxa"/>
              <w:left w:w="100" w:type="dxa"/>
              <w:bottom w:w="0" w:type="dxa"/>
              <w:right w:w="100" w:type="dxa"/>
            </w:tcMar>
          </w:tcPr>
          <w:p w14:paraId="28CB5AF8" w14:textId="77777777" w:rsidR="00B1514C" w:rsidRPr="008F4E90" w:rsidRDefault="00000000" w:rsidP="00ED0B86">
            <w:pPr>
              <w:spacing w:line="480" w:lineRule="auto"/>
              <w:ind w:left="140" w:right="140"/>
              <w:jc w:val="center"/>
              <w:rPr>
                <w:rFonts w:asciiTheme="majorBidi" w:eastAsia="Times New Roman" w:hAnsiTheme="majorBidi" w:cstheme="majorBidi"/>
                <w:sz w:val="24"/>
                <w:szCs w:val="24"/>
              </w:rPr>
            </w:pPr>
            <m:oMathPara>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39 8</m:t>
                    </m:r>
                  </m:e>
                </m:d>
                <m:r>
                  <m:rPr>
                    <m:sty m:val="p"/>
                  </m:rPr>
                  <w:rPr>
                    <w:rFonts w:asciiTheme="majorBidi" w:eastAsia="Times New Roman" w:hAnsiTheme="majorBidi" w:cstheme="majorBidi"/>
                    <w:sz w:val="24"/>
                    <w:szCs w:val="24"/>
                  </w:rPr>
                  <w:br/>
                </m:r>
              </m:oMath>
              <m:oMath>
                <m:d>
                  <m:dPr>
                    <m:begChr m:val="["/>
                    <m:endChr m:val="]"/>
                    <m:ctrlPr>
                      <w:rPr>
                        <w:rFonts w:ascii="Cambria Math" w:eastAsia="Times New Roman" w:hAnsi="Cambria Math" w:cstheme="majorBidi"/>
                        <w:sz w:val="24"/>
                        <w:szCs w:val="24"/>
                      </w:rPr>
                    </m:ctrlPr>
                  </m:dPr>
                  <m:e>
                    <m:r>
                      <w:rPr>
                        <w:rFonts w:ascii="Cambria Math" w:eastAsia="Times New Roman" w:hAnsi="Cambria Math" w:cstheme="majorBidi"/>
                        <w:sz w:val="24"/>
                        <w:szCs w:val="24"/>
                      </w:rPr>
                      <m:t>8 48</m:t>
                    </m:r>
                  </m:e>
                </m:d>
              </m:oMath>
            </m:oMathPara>
          </w:p>
        </w:tc>
        <w:tc>
          <w:tcPr>
            <w:tcW w:w="1134" w:type="dxa"/>
            <w:tcBorders>
              <w:top w:val="nil"/>
              <w:left w:val="nil"/>
              <w:bottom w:val="single" w:sz="7" w:space="0" w:color="000000"/>
              <w:right w:val="nil"/>
            </w:tcBorders>
            <w:shd w:val="clear" w:color="auto" w:fill="auto"/>
            <w:tcMar>
              <w:top w:w="0" w:type="dxa"/>
              <w:left w:w="100" w:type="dxa"/>
              <w:bottom w:w="0" w:type="dxa"/>
              <w:right w:w="100" w:type="dxa"/>
            </w:tcMar>
          </w:tcPr>
          <w:p w14:paraId="1C6DAA8C"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83%</w:t>
            </w:r>
          </w:p>
        </w:tc>
        <w:tc>
          <w:tcPr>
            <w:tcW w:w="1134" w:type="dxa"/>
            <w:tcBorders>
              <w:top w:val="nil"/>
              <w:left w:val="nil"/>
              <w:bottom w:val="single" w:sz="7" w:space="0" w:color="000000"/>
              <w:right w:val="nil"/>
            </w:tcBorders>
            <w:shd w:val="clear" w:color="auto" w:fill="auto"/>
            <w:tcMar>
              <w:top w:w="0" w:type="dxa"/>
              <w:left w:w="100" w:type="dxa"/>
              <w:bottom w:w="0" w:type="dxa"/>
              <w:right w:w="100" w:type="dxa"/>
            </w:tcMar>
          </w:tcPr>
          <w:p w14:paraId="36347728" w14:textId="77777777" w:rsidR="00B1514C" w:rsidRPr="008F4E90" w:rsidRDefault="00B1514C" w:rsidP="00ED0B86">
            <w:pPr>
              <w:spacing w:before="240" w:line="480" w:lineRule="auto"/>
              <w:ind w:left="140" w:right="140"/>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86%</w:t>
            </w:r>
          </w:p>
        </w:tc>
      </w:tr>
    </w:tbl>
    <w:p w14:paraId="2C9DE6D8" w14:textId="77777777" w:rsidR="00730AFD" w:rsidRDefault="00B1514C" w:rsidP="00B1514C">
      <w:pPr>
        <w:spacing w:before="240" w:after="240"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lang w:val="fr-FR"/>
        </w:rPr>
        <w:t>Note</w:t>
      </w:r>
      <w:r w:rsidRPr="008F4E90">
        <w:rPr>
          <w:rFonts w:asciiTheme="majorBidi" w:eastAsia="Times New Roman" w:hAnsiTheme="majorBidi" w:cstheme="majorBidi"/>
          <w:sz w:val="24"/>
          <w:szCs w:val="24"/>
          <w:lang w:val="fr-FR"/>
        </w:rPr>
        <w:t xml:space="preserve">. MSE = </w:t>
      </w:r>
      <w:proofErr w:type="spellStart"/>
      <w:r w:rsidRPr="008F4E90">
        <w:rPr>
          <w:rFonts w:asciiTheme="majorBidi" w:eastAsia="Times New Roman" w:hAnsiTheme="majorBidi" w:cstheme="majorBidi"/>
          <w:sz w:val="24"/>
          <w:szCs w:val="24"/>
          <w:lang w:val="fr-FR"/>
        </w:rPr>
        <w:t>Multiscale</w:t>
      </w:r>
      <w:proofErr w:type="spellEnd"/>
      <w:r w:rsidRPr="008F4E90">
        <w:rPr>
          <w:rFonts w:asciiTheme="majorBidi" w:eastAsia="Times New Roman" w:hAnsiTheme="majorBidi" w:cstheme="majorBidi"/>
          <w:sz w:val="24"/>
          <w:szCs w:val="24"/>
          <w:lang w:val="fr-FR"/>
        </w:rPr>
        <w:t xml:space="preserve"> </w:t>
      </w:r>
      <w:proofErr w:type="spellStart"/>
      <w:r w:rsidRPr="008F4E90">
        <w:rPr>
          <w:rFonts w:asciiTheme="majorBidi" w:eastAsia="Times New Roman" w:hAnsiTheme="majorBidi" w:cstheme="majorBidi"/>
          <w:sz w:val="24"/>
          <w:szCs w:val="24"/>
          <w:lang w:val="fr-FR"/>
        </w:rPr>
        <w:t>Sample</w:t>
      </w:r>
      <w:proofErr w:type="spellEnd"/>
      <w:r w:rsidRPr="008F4E90">
        <w:rPr>
          <w:rFonts w:asciiTheme="majorBidi" w:eastAsia="Times New Roman" w:hAnsiTheme="majorBidi" w:cstheme="majorBidi"/>
          <w:sz w:val="24"/>
          <w:szCs w:val="24"/>
          <w:lang w:val="fr-FR"/>
        </w:rPr>
        <w:t xml:space="preserve"> </w:t>
      </w:r>
      <w:proofErr w:type="spellStart"/>
      <w:r w:rsidRPr="008F4E90">
        <w:rPr>
          <w:rFonts w:asciiTheme="majorBidi" w:eastAsia="Times New Roman" w:hAnsiTheme="majorBidi" w:cstheme="majorBidi"/>
          <w:sz w:val="24"/>
          <w:szCs w:val="24"/>
          <w:lang w:val="fr-FR"/>
        </w:rPr>
        <w:t>Entropy</w:t>
      </w:r>
      <w:proofErr w:type="spellEnd"/>
      <w:r w:rsidRPr="008F4E90">
        <w:rPr>
          <w:rFonts w:asciiTheme="majorBidi" w:eastAsia="Times New Roman" w:hAnsiTheme="majorBidi" w:cstheme="majorBidi"/>
          <w:sz w:val="24"/>
          <w:szCs w:val="24"/>
          <w:lang w:val="fr-FR"/>
        </w:rPr>
        <w:t xml:space="preserve">. CA = Classification </w:t>
      </w:r>
      <w:proofErr w:type="spellStart"/>
      <w:r w:rsidRPr="008F4E90">
        <w:rPr>
          <w:rFonts w:asciiTheme="majorBidi" w:eastAsia="Times New Roman" w:hAnsiTheme="majorBidi" w:cstheme="majorBidi"/>
          <w:sz w:val="24"/>
          <w:szCs w:val="24"/>
          <w:lang w:val="fr-FR"/>
        </w:rPr>
        <w:t>Accuracy</w:t>
      </w:r>
      <w:proofErr w:type="spellEnd"/>
      <w:r w:rsidRPr="008F4E90">
        <w:rPr>
          <w:rFonts w:asciiTheme="majorBidi" w:eastAsia="Times New Roman" w:hAnsiTheme="majorBidi" w:cstheme="majorBidi"/>
          <w:sz w:val="24"/>
          <w:szCs w:val="24"/>
          <w:lang w:val="fr-FR"/>
        </w:rPr>
        <w:t xml:space="preserve">. CM = Confusion Matrix. </w:t>
      </w:r>
      <w:r w:rsidRPr="008F4E90">
        <w:rPr>
          <w:rFonts w:asciiTheme="majorBidi" w:eastAsia="Times New Roman" w:hAnsiTheme="majorBidi" w:cstheme="majorBidi"/>
          <w:sz w:val="24"/>
          <w:szCs w:val="24"/>
        </w:rPr>
        <w:t xml:space="preserve">Sen = Sensitivity. </w:t>
      </w:r>
      <w:proofErr w:type="spellStart"/>
      <w:r w:rsidRPr="008F4E90">
        <w:rPr>
          <w:rFonts w:asciiTheme="majorBidi" w:eastAsia="Times New Roman" w:hAnsiTheme="majorBidi" w:cstheme="majorBidi"/>
          <w:sz w:val="24"/>
          <w:szCs w:val="24"/>
        </w:rPr>
        <w:t>Spen</w:t>
      </w:r>
      <w:proofErr w:type="spellEnd"/>
      <w:r w:rsidRPr="008F4E90">
        <w:rPr>
          <w:rFonts w:asciiTheme="majorBidi" w:eastAsia="Times New Roman" w:hAnsiTheme="majorBidi" w:cstheme="majorBidi"/>
          <w:sz w:val="24"/>
          <w:szCs w:val="24"/>
        </w:rPr>
        <w:t xml:space="preserve"> = Specificity. All Regions = This model includes all brain atlas as features. Region sets by SFFS = This model examines the features selected by Sequential Forward Floating Selection.</w:t>
      </w:r>
    </w:p>
    <w:p w14:paraId="459B19B2" w14:textId="4A5EA99E" w:rsidR="002A3D3D" w:rsidRPr="008F4E90" w:rsidRDefault="002A3D3D" w:rsidP="00730AFD">
      <w:pPr>
        <w:spacing w:before="240" w:after="240" w:line="480" w:lineRule="auto"/>
        <w:ind w:firstLine="720"/>
        <w:rPr>
          <w:rFonts w:asciiTheme="majorBidi" w:eastAsia="Times New Roman" w:hAnsiTheme="majorBidi" w:cstheme="majorBidi"/>
          <w:sz w:val="24"/>
          <w:szCs w:val="24"/>
        </w:rPr>
      </w:pPr>
      <w:bookmarkStart w:id="17" w:name="_Hlk156819604"/>
      <w:r w:rsidRPr="002A3D3D">
        <w:rPr>
          <w:rFonts w:asciiTheme="majorBidi" w:eastAsia="Times New Roman" w:hAnsiTheme="majorBidi" w:cstheme="majorBidi"/>
          <w:sz w:val="24"/>
          <w:szCs w:val="24"/>
        </w:rPr>
        <w:t xml:space="preserve">In this study, I used cross-validation with the </w:t>
      </w:r>
      <w:proofErr w:type="spellStart"/>
      <w:r w:rsidRPr="002A3D3D">
        <w:rPr>
          <w:rFonts w:asciiTheme="majorBidi" w:eastAsia="Times New Roman" w:hAnsiTheme="majorBidi" w:cstheme="majorBidi"/>
          <w:i/>
          <w:iCs/>
          <w:sz w:val="24"/>
          <w:szCs w:val="24"/>
        </w:rPr>
        <w:t>ShuffleSplit</w:t>
      </w:r>
      <w:proofErr w:type="spellEnd"/>
      <w:r w:rsidRPr="002A3D3D">
        <w:rPr>
          <w:rFonts w:asciiTheme="majorBidi" w:eastAsia="Times New Roman" w:hAnsiTheme="majorBidi" w:cstheme="majorBidi"/>
          <w:sz w:val="24"/>
          <w:szCs w:val="24"/>
        </w:rPr>
        <w:t xml:space="preserve"> method to evaluate the accuracy of a </w:t>
      </w:r>
      <w:r w:rsidRPr="002A3D3D">
        <w:rPr>
          <w:rFonts w:asciiTheme="majorBidi" w:eastAsia="Times New Roman" w:hAnsiTheme="majorBidi" w:cstheme="majorBidi"/>
          <w:i/>
          <w:iCs/>
          <w:sz w:val="24"/>
          <w:szCs w:val="24"/>
        </w:rPr>
        <w:t xml:space="preserve">Support Vector Machine (SVM) </w:t>
      </w:r>
      <w:r w:rsidRPr="002A3D3D">
        <w:rPr>
          <w:rFonts w:asciiTheme="majorBidi" w:eastAsia="Times New Roman" w:hAnsiTheme="majorBidi" w:cstheme="majorBidi"/>
          <w:sz w:val="24"/>
          <w:szCs w:val="24"/>
        </w:rPr>
        <w:t xml:space="preserve">model. The accuracy is calculated using the </w:t>
      </w:r>
      <w:proofErr w:type="spellStart"/>
      <w:r w:rsidRPr="002A3D3D">
        <w:rPr>
          <w:rFonts w:asciiTheme="majorBidi" w:eastAsia="Times New Roman" w:hAnsiTheme="majorBidi" w:cstheme="majorBidi"/>
          <w:i/>
          <w:iCs/>
          <w:sz w:val="24"/>
          <w:szCs w:val="24"/>
        </w:rPr>
        <w:t>cross_val_score</w:t>
      </w:r>
      <w:proofErr w:type="spellEnd"/>
      <w:r w:rsidRPr="002A3D3D">
        <w:rPr>
          <w:rFonts w:asciiTheme="majorBidi" w:eastAsia="Times New Roman" w:hAnsiTheme="majorBidi" w:cstheme="majorBidi"/>
          <w:sz w:val="24"/>
          <w:szCs w:val="24"/>
        </w:rPr>
        <w:t xml:space="preserve"> method from scikit-learn. The formula for accuracy is straightforward:</w:t>
      </w:r>
      <w:r>
        <w:rPr>
          <w:rFonts w:asciiTheme="majorBidi" w:eastAsia="Times New Roman" w:hAnsiTheme="majorBidi" w:cstheme="majorBidi"/>
          <w:sz w:val="24"/>
          <w:szCs w:val="24"/>
        </w:rPr>
        <w:t xml:space="preserve"> </w:t>
      </w:r>
      <m:oMath>
        <m:r>
          <w:rPr>
            <w:rFonts w:ascii="Cambria Math" w:eastAsia="Times New Roman" w:hAnsi="Cambria Math" w:cstheme="majorBidi"/>
            <w:sz w:val="24"/>
            <w:szCs w:val="24"/>
          </w:rPr>
          <m:t>Accuracy</m:t>
        </m:r>
        <m:r>
          <m:rPr>
            <m:sty m:val="p"/>
          </m:rPr>
          <w:rPr>
            <w:rFonts w:ascii="Cambria Math" w:eastAsia="Times New Roman" w:hAnsi="Cambria Math" w:cs="Cambria Math"/>
            <w:sz w:val="24"/>
            <w:szCs w:val="24"/>
          </w:rPr>
          <m:t>=</m:t>
        </m:r>
        <m:f>
          <m:fPr>
            <m:ctrlPr>
              <w:rPr>
                <w:rFonts w:ascii="Cambria Math" w:eastAsia="Times New Roman" w:hAnsi="Cambria Math" w:cstheme="majorBidi"/>
                <w:sz w:val="24"/>
                <w:szCs w:val="24"/>
              </w:rPr>
            </m:ctrlPr>
          </m:fPr>
          <m:num>
            <m:r>
              <w:rPr>
                <w:rFonts w:ascii="Cambria Math" w:eastAsia="Times New Roman" w:hAnsi="Cambria Math" w:cstheme="majorBidi"/>
                <w:sz w:val="24"/>
                <w:szCs w:val="24"/>
              </w:rPr>
              <m:t>Number of Correct Predictions</m:t>
            </m:r>
          </m:num>
          <m:den>
            <m:r>
              <w:rPr>
                <w:rFonts w:ascii="Cambria Math" w:hAnsi="Cambria Math"/>
                <w:color w:val="000000"/>
                <w:sz w:val="24"/>
                <w:szCs w:val="24"/>
              </w:rPr>
              <m:t>Total Number of Predictions</m:t>
            </m:r>
          </m:den>
        </m:f>
      </m:oMath>
      <w:r w:rsidRPr="002A3D3D">
        <w:rPr>
          <w:rFonts w:asciiTheme="majorBidi" w:eastAsia="Times New Roman" w:hAnsiTheme="majorBidi" w:cstheme="majorBidi"/>
          <w:sz w:val="24"/>
          <w:szCs w:val="24"/>
        </w:rPr>
        <w:t xml:space="preserve">. In the context of cross-validation, this formula is applied to each fold, and the </w:t>
      </w:r>
      <w:proofErr w:type="spellStart"/>
      <w:r w:rsidRPr="002A3D3D">
        <w:rPr>
          <w:rFonts w:asciiTheme="majorBidi" w:eastAsia="Times New Roman" w:hAnsiTheme="majorBidi" w:cstheme="majorBidi"/>
          <w:i/>
          <w:iCs/>
          <w:sz w:val="24"/>
          <w:szCs w:val="24"/>
        </w:rPr>
        <w:t>cross_val_score</w:t>
      </w:r>
      <w:proofErr w:type="spellEnd"/>
      <w:r w:rsidRPr="002A3D3D">
        <w:rPr>
          <w:rFonts w:asciiTheme="majorBidi" w:eastAsia="Times New Roman" w:hAnsiTheme="majorBidi" w:cstheme="majorBidi"/>
          <w:sz w:val="24"/>
          <w:szCs w:val="24"/>
        </w:rPr>
        <w:t xml:space="preserve"> method from scikit-learn returns an array of accuracy scores for each fold. The mean and standard deviation of these accuracy scores is often calculated to provide an estimate of the average accuracy and its variability across different folds.</w:t>
      </w:r>
    </w:p>
    <w:bookmarkEnd w:id="17"/>
    <w:p w14:paraId="27F91FBC" w14:textId="77777777" w:rsidR="00B1514C" w:rsidRPr="008F4E90" w:rsidRDefault="00B1514C" w:rsidP="00B1514C">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 Discussion</w:t>
      </w:r>
    </w:p>
    <w:p w14:paraId="1B432D7D"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The main goal of this session is to investigate the multiscale sample entropy on the resting-state fMRI data collected from both the ASC group and the neurotypical control group under the eyes-closed condition. The objective is to compare these new findings with the previously obtained results from the eyes-open condition.</w:t>
      </w:r>
    </w:p>
    <w:p w14:paraId="7B34E51B"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lastRenderedPageBreak/>
        <w:t>Multiscale sample entropy proves to be a valuable indicator of resting state fMRI signals</w:t>
      </w:r>
      <w:r w:rsidRPr="008F4E90">
        <w:rPr>
          <w:rFonts w:asciiTheme="majorBidi" w:eastAsia="Times New Roman" w:hAnsiTheme="majorBidi" w:cstheme="majorBidi"/>
          <w:i/>
          <w:sz w:val="24"/>
          <w:szCs w:val="24"/>
        </w:rPr>
        <w:t>.</w:t>
      </w:r>
      <w:r w:rsidRPr="008F4E90">
        <w:rPr>
          <w:rFonts w:asciiTheme="majorBidi" w:eastAsia="Times New Roman" w:hAnsiTheme="majorBidi" w:cstheme="majorBidi"/>
          <w:sz w:val="24"/>
          <w:szCs w:val="24"/>
        </w:rPr>
        <w:t xml:space="preserve"> The connectivity between the visual network and other brain networks is notably weaker, particularly when the eyes are closed. Moreover, the multiscale sample entropy of the visual network indicates a self-similar or fractal structure </w:t>
      </w:r>
      <w:hyperlink r:id="rId673">
        <w:r w:rsidRPr="008F4E90">
          <w:rPr>
            <w:rFonts w:asciiTheme="majorBidi" w:eastAsia="Times New Roman" w:hAnsiTheme="majorBidi" w:cstheme="majorBidi"/>
            <w:sz w:val="24"/>
            <w:szCs w:val="24"/>
          </w:rPr>
          <w:t>(Goldberger, 1997; Honjo &amp; Sano, 1995)</w:t>
        </w:r>
      </w:hyperlink>
      <w:r w:rsidRPr="008F4E90">
        <w:rPr>
          <w:rFonts w:asciiTheme="majorBidi" w:eastAsia="Times New Roman" w:hAnsiTheme="majorBidi" w:cstheme="majorBidi"/>
          <w:sz w:val="24"/>
          <w:szCs w:val="24"/>
        </w:rPr>
        <w:t xml:space="preserve">, wherein the signals within these networks demonstrate power-law behaviour or configurations across different time scales, leading to a uniform complexity level regardless of the scales involved. This multiscale sample entropy pattern is also typical in 1/f noise or signals with less transient </w:t>
      </w:r>
      <w:hyperlink r:id="rId674">
        <w:r w:rsidRPr="008F4E90">
          <w:rPr>
            <w:rFonts w:asciiTheme="majorBidi" w:eastAsia="Times New Roman" w:hAnsiTheme="majorBidi" w:cstheme="majorBidi"/>
            <w:sz w:val="24"/>
            <w:szCs w:val="24"/>
          </w:rPr>
          <w:t xml:space="preserve">(School of Chemical Engineering and Technology, Xi'an </w:t>
        </w:r>
        <w:proofErr w:type="spellStart"/>
        <w:r w:rsidRPr="008F4E90">
          <w:rPr>
            <w:rFonts w:asciiTheme="majorBidi" w:eastAsia="Times New Roman" w:hAnsiTheme="majorBidi" w:cstheme="majorBidi"/>
            <w:sz w:val="24"/>
            <w:szCs w:val="24"/>
          </w:rPr>
          <w:t>Jiaotong</w:t>
        </w:r>
        <w:proofErr w:type="spellEnd"/>
        <w:r w:rsidRPr="008F4E90">
          <w:rPr>
            <w:rFonts w:asciiTheme="majorBidi" w:eastAsia="Times New Roman" w:hAnsiTheme="majorBidi" w:cstheme="majorBidi"/>
            <w:sz w:val="24"/>
            <w:szCs w:val="24"/>
          </w:rPr>
          <w:t xml:space="preserve"> University, Xi'an 710049; China &amp; Wu, 2017)</w:t>
        </w:r>
      </w:hyperlink>
      <w:r w:rsidRPr="008F4E90">
        <w:rPr>
          <w:rFonts w:asciiTheme="majorBidi" w:eastAsia="Times New Roman" w:hAnsiTheme="majorBidi" w:cstheme="majorBidi"/>
          <w:sz w:val="24"/>
          <w:szCs w:val="24"/>
        </w:rPr>
        <w:t>. However, the specific reason behind the atypical multiscale sample entropy behaviour in the visual network during the eyes-closed condition remains to be determined, and exploring this reason falls beyond the scope of the current study.</w:t>
      </w:r>
    </w:p>
    <w:p w14:paraId="37462EB3"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key finding is that the visual network's constant multiscale sample entropy value is specifically evident during closed-eye periods and not during eyes-open conditions. Additionally, a relatively weak relationship exists in raw multiscale sample entropy between the visual network and other brain networks during the eyes-closed condition, observed in both diagnostic groups. Considering the inhibition of visual information processing during eyes-closed conditions, this provides evidence that the abnormal complexity observed in the visual network is not simply a result of low-frequency noise </w:t>
      </w:r>
      <w:hyperlink r:id="rId675">
        <w:r w:rsidRPr="008F4E90">
          <w:rPr>
            <w:rFonts w:asciiTheme="majorBidi" w:eastAsia="Times New Roman" w:hAnsiTheme="majorBidi" w:cstheme="majorBidi"/>
            <w:sz w:val="24"/>
            <w:szCs w:val="24"/>
          </w:rPr>
          <w:t>(Tong et al., 2019)</w:t>
        </w:r>
      </w:hyperlink>
      <w:r w:rsidRPr="008F4E90">
        <w:rPr>
          <w:rFonts w:asciiTheme="majorBidi" w:eastAsia="Times New Roman" w:hAnsiTheme="majorBidi" w:cstheme="majorBidi"/>
          <w:sz w:val="24"/>
          <w:szCs w:val="24"/>
        </w:rPr>
        <w:t xml:space="preserve"> or the 1/f-like characteristic in </w:t>
      </w:r>
      <w:r w:rsidRPr="008F4E90">
        <w:rPr>
          <w:rFonts w:asciiTheme="majorBidi" w:eastAsia="Times New Roman" w:hAnsiTheme="majorBidi" w:cstheme="majorBidi"/>
          <w:i/>
          <w:sz w:val="24"/>
          <w:szCs w:val="24"/>
        </w:rPr>
        <w:t>vivo</w:t>
      </w:r>
      <w:r w:rsidRPr="008F4E90">
        <w:rPr>
          <w:rFonts w:asciiTheme="majorBidi" w:eastAsia="Times New Roman" w:hAnsiTheme="majorBidi" w:cstheme="majorBidi"/>
          <w:sz w:val="24"/>
          <w:szCs w:val="24"/>
        </w:rPr>
        <w:t xml:space="preserve"> neurophysiological signals </w:t>
      </w:r>
      <w:hyperlink r:id="rId676">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Buzsáki</w:t>
        </w:r>
        <w:proofErr w:type="spellEnd"/>
        <w:r w:rsidRPr="008F4E90">
          <w:rPr>
            <w:rFonts w:asciiTheme="majorBidi" w:eastAsia="Times New Roman" w:hAnsiTheme="majorBidi" w:cstheme="majorBidi"/>
            <w:sz w:val="24"/>
            <w:szCs w:val="24"/>
          </w:rPr>
          <w:t>, 2006)</w:t>
        </w:r>
      </w:hyperlink>
      <w:r w:rsidRPr="008F4E90">
        <w:rPr>
          <w:rFonts w:asciiTheme="majorBidi" w:eastAsia="Times New Roman" w:hAnsiTheme="majorBidi" w:cstheme="majorBidi"/>
          <w:sz w:val="24"/>
          <w:szCs w:val="24"/>
        </w:rPr>
        <w:t xml:space="preserve">. Consequently, multiscale sample entropy is a valuable indicator of resting state fMRI signals by reflecting variations in the underlying brain activity. However, it still should be cautious when drawing conclusions based on coarse scale multiscale sample entropy (MSE) results, as they can potentially lead to biassed interpretations with false positives. Due to its sensitivity to differences in higher frequency power and noise within the signal </w:t>
      </w:r>
      <w:hyperlink r:id="rId677">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w:t>
        </w:r>
      </w:hyperlink>
      <w:hyperlink r:id="rId678">
        <w:r w:rsidRPr="008F4E90">
          <w:rPr>
            <w:rFonts w:asciiTheme="majorBidi" w:eastAsia="Times New Roman" w:hAnsiTheme="majorBidi" w:cstheme="majorBidi"/>
            <w:sz w:val="24"/>
            <w:szCs w:val="24"/>
          </w:rPr>
          <w:t xml:space="preserve">; </w:t>
        </w:r>
      </w:hyperlink>
      <w:hyperlink r:id="rId679">
        <w:proofErr w:type="spellStart"/>
        <w:r w:rsidRPr="008F4E90">
          <w:rPr>
            <w:rFonts w:asciiTheme="majorBidi" w:eastAsia="Times New Roman" w:hAnsiTheme="majorBidi" w:cstheme="majorBidi"/>
            <w:sz w:val="24"/>
            <w:szCs w:val="24"/>
          </w:rPr>
          <w:t>Kosciessa</w:t>
        </w:r>
        <w:proofErr w:type="spellEnd"/>
        <w:r w:rsidRPr="008F4E90">
          <w:rPr>
            <w:rFonts w:asciiTheme="majorBidi" w:eastAsia="Times New Roman" w:hAnsiTheme="majorBidi" w:cstheme="majorBidi"/>
            <w:sz w:val="24"/>
            <w:szCs w:val="24"/>
          </w:rPr>
          <w:t xml:space="preserve"> et al., 2020)</w:t>
        </w:r>
      </w:hyperlink>
      <w:r w:rsidRPr="008F4E90">
        <w:rPr>
          <w:rFonts w:asciiTheme="majorBidi" w:eastAsia="Times New Roman" w:hAnsiTheme="majorBidi" w:cstheme="majorBidi"/>
          <w:sz w:val="24"/>
          <w:szCs w:val="24"/>
        </w:rPr>
        <w:t>. Therefore, rather than being constrained by drawing any scale-specific group differences, the emphasis on identifying spatial atypical complexity becomes more crucial in this study.</w:t>
      </w:r>
    </w:p>
    <w:p w14:paraId="1A7A6677"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lastRenderedPageBreak/>
        <w:t>Consistent Reduction in Prefrontal Cortex Entropy from Eyes-Open to Eyes-Closed Condition.</w:t>
      </w:r>
      <w:r w:rsidRPr="008F4E90">
        <w:rPr>
          <w:rFonts w:asciiTheme="majorBidi" w:eastAsia="Times New Roman" w:hAnsiTheme="majorBidi" w:cstheme="majorBidi"/>
          <w:b/>
          <w:sz w:val="24"/>
          <w:szCs w:val="24"/>
        </w:rPr>
        <w:t xml:space="preserve"> </w:t>
      </w:r>
      <w:r w:rsidRPr="008F4E90">
        <w:rPr>
          <w:rFonts w:asciiTheme="majorBidi" w:eastAsia="Times New Roman" w:hAnsiTheme="majorBidi" w:cstheme="majorBidi"/>
          <w:sz w:val="24"/>
          <w:szCs w:val="24"/>
        </w:rPr>
        <w:t xml:space="preserve">First, the observed reduction in the prefrontal cortex among individuals with ASC is consistent across both eyes-open and eyes-closed datasets, particularly at the coarse scale of multiscale sample entropy. However, there is a distinction between the two datasets: in the eyes-open dataset, the decrease is evident in the paracingulate gyrus, while in the eyes-closed dataset, the reduction is observed in the medial frontal gyrus. </w:t>
      </w:r>
    </w:p>
    <w:p w14:paraId="64B9AA1C"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this study, multiscale sample entropy (MSE) revealed that individuals with ASC demonstrate reduced entropy at coarse scales in the prefrontal lobe compared to neurotypical controls, regardless of whether the eyes were open or closed. This suggests that the prefrontal cortex undergoes complex alterations in ASC. Consequently, the decreased brain complexity observed at coarse time scales within the prefrontal lobe can indicate the breakdown or loss of nonlinear characteristics in individuals with ASC. These findings align with the results obtained from our previous EEG study (Chapter 2) and align with findings from other EEG studies investigating MSE in ASC. This finding is also consistent with other EEG and fMRI studies </w:t>
      </w:r>
      <w:hyperlink r:id="rId68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Hadoush</w:t>
        </w:r>
        <w:proofErr w:type="spellEnd"/>
        <w:r w:rsidRPr="008F4E90">
          <w:rPr>
            <w:rFonts w:asciiTheme="majorBidi" w:eastAsia="Times New Roman" w:hAnsiTheme="majorBidi" w:cstheme="majorBidi"/>
            <w:sz w:val="24"/>
            <w:szCs w:val="24"/>
          </w:rPr>
          <w:t xml:space="preserve"> et al., 2019; Maximo et al., 2021)</w:t>
        </w:r>
      </w:hyperlink>
      <w:r w:rsidRPr="008F4E90">
        <w:rPr>
          <w:rFonts w:asciiTheme="majorBidi" w:eastAsia="Times New Roman" w:hAnsiTheme="majorBidi" w:cstheme="majorBidi"/>
          <w:sz w:val="24"/>
          <w:szCs w:val="24"/>
        </w:rPr>
        <w:t xml:space="preserve">. This atypical brain region generates considerable interest in the investigation of ASC. </w:t>
      </w:r>
      <w:hyperlink r:id="rId681">
        <w:r w:rsidRPr="008F4E90">
          <w:rPr>
            <w:rFonts w:asciiTheme="majorBidi" w:eastAsia="Times New Roman" w:hAnsiTheme="majorBidi" w:cstheme="majorBidi"/>
            <w:sz w:val="24"/>
            <w:szCs w:val="24"/>
          </w:rPr>
          <w:t>(Courchesne and Pierce 2005)</w:t>
        </w:r>
      </w:hyperlink>
      <w:r w:rsidRPr="008F4E90">
        <w:rPr>
          <w:rFonts w:asciiTheme="majorBidi" w:eastAsia="Times New Roman" w:hAnsiTheme="majorBidi" w:cstheme="majorBidi"/>
          <w:sz w:val="24"/>
          <w:szCs w:val="24"/>
        </w:rPr>
        <w:t xml:space="preserve"> believed that abnormalities in the frontal lobe must play a crucial role in underpinning the fundamental characteristics of autism. They presented evidence from macroscopic and microscopic perspectives, indicating that excessive growth of grey and white matter in the frontal lobes disrupts the typical advancement of the prefrontal lobe, leading to atypical behaviour controlled by the frontal region. Another study also verified changes in brain metabolites within the white matter of the frontal lobe in children with ASC, further affirming the significance of this brain area in the clinical manifestations of the disorder, including its contribution to cognitive impairment </w:t>
      </w:r>
      <w:hyperlink r:id="rId682">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Margari</w:t>
        </w:r>
        <w:proofErr w:type="spellEnd"/>
        <w:r w:rsidRPr="008F4E90">
          <w:rPr>
            <w:rFonts w:asciiTheme="majorBidi" w:eastAsia="Times New Roman" w:hAnsiTheme="majorBidi" w:cstheme="majorBidi"/>
            <w:sz w:val="24"/>
            <w:szCs w:val="24"/>
          </w:rPr>
          <w:t xml:space="preserve"> et al., 2018)</w:t>
        </w:r>
      </w:hyperlink>
      <w:r w:rsidRPr="008F4E90">
        <w:rPr>
          <w:rFonts w:asciiTheme="majorBidi" w:eastAsia="Times New Roman" w:hAnsiTheme="majorBidi" w:cstheme="majorBidi"/>
          <w:sz w:val="24"/>
          <w:szCs w:val="24"/>
        </w:rPr>
        <w:t>.</w:t>
      </w:r>
    </w:p>
    <w:p w14:paraId="41BFEDEE"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t xml:space="preserve">Eyes-closed condition seems to enhance the Classification Accuracy. </w:t>
      </w:r>
      <w:r w:rsidRPr="008F4E90">
        <w:rPr>
          <w:rFonts w:asciiTheme="majorBidi" w:eastAsia="Times New Roman" w:hAnsiTheme="majorBidi" w:cstheme="majorBidi"/>
          <w:sz w:val="24"/>
          <w:szCs w:val="24"/>
        </w:rPr>
        <w:t xml:space="preserve">In general, the classification accuracy is higher when compared to the eyes-open condition. The classification accuracy of the multiscale sample entropy, when using a heterogeneous sample with all genders and an unrestricted </w:t>
      </w:r>
      <w:r w:rsidRPr="008F4E90">
        <w:rPr>
          <w:rFonts w:asciiTheme="majorBidi" w:eastAsia="Times New Roman" w:hAnsiTheme="majorBidi" w:cstheme="majorBidi"/>
          <w:sz w:val="24"/>
          <w:szCs w:val="24"/>
        </w:rPr>
        <w:lastRenderedPageBreak/>
        <w:t xml:space="preserve">severity range to classify ASC during the eyes-open condition, typically hovers around 60%, which is a common performance level observed in most resting-state fMRI studies </w:t>
      </w:r>
      <w:hyperlink r:id="rId683">
        <w:r w:rsidRPr="008F4E90">
          <w:rPr>
            <w:rFonts w:asciiTheme="majorBidi" w:eastAsia="Times New Roman" w:hAnsiTheme="majorBidi" w:cstheme="majorBidi"/>
            <w:sz w:val="24"/>
            <w:szCs w:val="24"/>
          </w:rPr>
          <w:t>(Nielsen et al., 2013; Reiter et al., 2021)</w:t>
        </w:r>
      </w:hyperlink>
      <w:r w:rsidRPr="008F4E90">
        <w:rPr>
          <w:rFonts w:asciiTheme="majorBidi" w:eastAsia="Times New Roman" w:hAnsiTheme="majorBidi" w:cstheme="majorBidi"/>
          <w:sz w:val="24"/>
          <w:szCs w:val="24"/>
        </w:rPr>
        <w:t xml:space="preserve">. </w:t>
      </w:r>
    </w:p>
    <w:p w14:paraId="7B17A3AA"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This classification accuracy was demonstrated to be influenced by various factors, such as the use of single or multi-site datasets, the heterogeneity or homogeneity of the sample, symptom severity, social function, daily living skills, and verbal IQ </w:t>
      </w:r>
      <w:hyperlink r:id="rId684">
        <w:r w:rsidRPr="008F4E90">
          <w:rPr>
            <w:rFonts w:asciiTheme="majorBidi" w:eastAsia="Times New Roman" w:hAnsiTheme="majorBidi" w:cstheme="majorBidi"/>
            <w:sz w:val="24"/>
            <w:szCs w:val="24"/>
          </w:rPr>
          <w:t>(Nielsen et al., 2013; Reiter et al., 2021)</w:t>
        </w:r>
      </w:hyperlink>
      <w:r w:rsidRPr="008F4E90">
        <w:rPr>
          <w:rFonts w:asciiTheme="majorBidi" w:eastAsia="Times New Roman" w:hAnsiTheme="majorBidi" w:cstheme="majorBidi"/>
          <w:sz w:val="24"/>
          <w:szCs w:val="24"/>
        </w:rPr>
        <w:t>. Additionally, the eye condition impacts the classification accuracy, as indicated in the findings of this present study.</w:t>
      </w:r>
    </w:p>
    <w:p w14:paraId="54EEB9A7" w14:textId="77777777" w:rsidR="00B1514C" w:rsidRPr="008F4E90" w:rsidRDefault="00B1514C" w:rsidP="00B1514C">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However, it is essential to acknowledge the limitations present in various studies, primarily arising from the constraints of the secondary datasets utilised. For example, in the eyes-closed condition dataset, the achieved classification accuracy is relatively high (87%). This suggests the potential for building high-performance diagnostic models using only a few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features in a small, well-matched dataset. However, this higher accuracy might come at the cost of overfitting </w:t>
      </w:r>
      <w:hyperlink r:id="rId685">
        <w:r w:rsidRPr="008F4E90">
          <w:rPr>
            <w:rFonts w:asciiTheme="majorBidi" w:eastAsia="Times New Roman" w:hAnsiTheme="majorBidi" w:cstheme="majorBidi"/>
            <w:sz w:val="24"/>
            <w:szCs w:val="24"/>
          </w:rPr>
          <w:t>(Ying, 2019)</w:t>
        </w:r>
      </w:hyperlink>
      <w:r w:rsidRPr="008F4E90">
        <w:rPr>
          <w:rFonts w:asciiTheme="majorBidi" w:eastAsia="Times New Roman" w:hAnsiTheme="majorBidi" w:cstheme="majorBidi"/>
          <w:sz w:val="24"/>
          <w:szCs w:val="24"/>
        </w:rPr>
        <w:t>, as the small sample size and the feature selection process contribute to poor generalizability of the diagnostic model. In contrast, the current study, using a larger and more diverse dataset of autism but at the eyes-open condition, reported a classification accuracy of 68%. Hence, it is crucial to recognise that the claim about the eyes-closed condition being more effective in classifying ASC with the resting-state fMRI signal is based on the dataset used in this study. Future research should consider eye states during data collection and use datasets that include both eyes-open and eyes-closed conditions to draw a more accurate and robust conclusion. This approach would provide a more comprehensive understanding of the role of eye states in classifying ASC with resting-state fMRI signals.</w:t>
      </w:r>
    </w:p>
    <w:p w14:paraId="6555101C" w14:textId="77777777" w:rsidR="00B1514C" w:rsidRPr="008F4E90" w:rsidRDefault="00B1514C" w:rsidP="00B1514C">
      <w:pPr>
        <w:spacing w:line="480" w:lineRule="auto"/>
        <w:rPr>
          <w:rFonts w:asciiTheme="majorBidi" w:eastAsia="Times New Roman" w:hAnsiTheme="majorBidi" w:cstheme="majorBidi"/>
          <w:sz w:val="24"/>
          <w:szCs w:val="24"/>
        </w:rPr>
      </w:pPr>
    </w:p>
    <w:p w14:paraId="0B57F737" w14:textId="77777777" w:rsidR="00B1514C" w:rsidRPr="008F4E90" w:rsidRDefault="00B1514C" w:rsidP="00B1514C">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Conclusion</w:t>
      </w:r>
    </w:p>
    <w:p w14:paraId="48B3A1D1"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This study investigated multiscale sample entropy (MSE) on resting-state fMRI data collected from individuals with ASC and neurotypical controls under eyes-closed conditions. The aim was to compare these findings with previous results from eyes-open conditions. The significance of multiscale </w:t>
      </w:r>
      <w:r w:rsidRPr="008F4E90">
        <w:rPr>
          <w:rFonts w:asciiTheme="majorBidi" w:eastAsia="Times New Roman" w:hAnsiTheme="majorBidi" w:cstheme="majorBidi"/>
          <w:sz w:val="24"/>
          <w:szCs w:val="24"/>
        </w:rPr>
        <w:lastRenderedPageBreak/>
        <w:t>sample entropy as an indicator of resting state fMRI signals was highlighted, particularly in revealing the complexity of brain networks, like the visual network, during eyes-closed periods.</w:t>
      </w:r>
    </w:p>
    <w:p w14:paraId="2E53A88B"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 consistent reduction in prefrontal cortex entropy and alterations in DMN entropy in individuals with ASC was observed across eyes-open and eyes-closed datasets. This reduced entropy at coarse scales in the prefrontal lobe implies complexity alterations in ASC, possibly reflecting a breakdown of nonlinear characteristics. This finding aligns with other EEG and fMRI studies, supporting the role of the prefrontal cortex in ASC characteristics. </w:t>
      </w:r>
    </w:p>
    <w:p w14:paraId="5A759943" w14:textId="77777777" w:rsidR="00B1514C" w:rsidRPr="008F4E90" w:rsidRDefault="00B1514C" w:rsidP="00B1514C">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Furthermore, the discussion noted that the eyes-closed condition enhanced classification accuracy, achieving higher accuracy rates than the eyes-open condition. However, caution was advised due to potential overfitting and generalizability issues from dataset limitations. The assertion about the effectiveness of eyes-closed conditions for classifying ASC should be considered within the context of the specific dataset used. Future research should encompass diverse datasets, including both eyes-open and eyes-closed conditions, to comprehensively evaluate the role of eye states in classifying ASC using resting-state fMRI signals.</w:t>
      </w:r>
    </w:p>
    <w:p w14:paraId="6C858517" w14:textId="77777777" w:rsidR="00B1514C" w:rsidRPr="008F4E90" w:rsidRDefault="00B1514C" w:rsidP="00B1514C">
      <w:pPr>
        <w:spacing w:line="480" w:lineRule="auto"/>
        <w:ind w:firstLine="720"/>
        <w:rPr>
          <w:rFonts w:asciiTheme="majorBidi" w:eastAsia="Times New Roman" w:hAnsiTheme="majorBidi" w:cstheme="majorBidi"/>
          <w:sz w:val="24"/>
          <w:szCs w:val="24"/>
        </w:rPr>
      </w:pPr>
    </w:p>
    <w:p w14:paraId="49BF505C" w14:textId="77777777" w:rsidR="008F330E" w:rsidRDefault="008F330E" w:rsidP="00676D2F">
      <w:pPr>
        <w:pStyle w:val="NormalWeb"/>
        <w:spacing w:before="0" w:beforeAutospacing="0" w:after="0" w:afterAutospacing="0" w:line="480" w:lineRule="auto"/>
        <w:jc w:val="center"/>
        <w:rPr>
          <w:rFonts w:asciiTheme="majorBidi" w:hAnsiTheme="majorBidi" w:cstheme="majorBidi"/>
          <w:b/>
          <w:bCs/>
        </w:rPr>
      </w:pPr>
    </w:p>
    <w:p w14:paraId="696E0E69" w14:textId="77777777" w:rsidR="00730AFD" w:rsidRDefault="00730AFD" w:rsidP="00676D2F">
      <w:pPr>
        <w:pStyle w:val="NormalWeb"/>
        <w:spacing w:before="0" w:beforeAutospacing="0" w:after="0" w:afterAutospacing="0" w:line="480" w:lineRule="auto"/>
        <w:jc w:val="center"/>
        <w:rPr>
          <w:rFonts w:asciiTheme="majorBidi" w:hAnsiTheme="majorBidi" w:cstheme="majorBidi"/>
          <w:b/>
          <w:bCs/>
        </w:rPr>
      </w:pPr>
    </w:p>
    <w:p w14:paraId="31E3D57F" w14:textId="77777777" w:rsidR="00730AFD" w:rsidRDefault="00730AFD" w:rsidP="00676D2F">
      <w:pPr>
        <w:pStyle w:val="NormalWeb"/>
        <w:spacing w:before="0" w:beforeAutospacing="0" w:after="0" w:afterAutospacing="0" w:line="480" w:lineRule="auto"/>
        <w:jc w:val="center"/>
        <w:rPr>
          <w:rFonts w:asciiTheme="majorBidi" w:hAnsiTheme="majorBidi" w:cstheme="majorBidi"/>
          <w:b/>
          <w:bCs/>
        </w:rPr>
      </w:pPr>
    </w:p>
    <w:p w14:paraId="7BAC69DC" w14:textId="77777777" w:rsidR="00730AFD" w:rsidRDefault="00730AFD" w:rsidP="00676D2F">
      <w:pPr>
        <w:pStyle w:val="NormalWeb"/>
        <w:spacing w:before="0" w:beforeAutospacing="0" w:after="0" w:afterAutospacing="0" w:line="480" w:lineRule="auto"/>
        <w:jc w:val="center"/>
        <w:rPr>
          <w:rFonts w:asciiTheme="majorBidi" w:hAnsiTheme="majorBidi" w:cstheme="majorBidi"/>
          <w:b/>
          <w:bCs/>
        </w:rPr>
      </w:pPr>
    </w:p>
    <w:p w14:paraId="091BFEEE" w14:textId="77777777" w:rsidR="00730AFD" w:rsidRDefault="00730AFD" w:rsidP="00676D2F">
      <w:pPr>
        <w:pStyle w:val="NormalWeb"/>
        <w:spacing w:before="0" w:beforeAutospacing="0" w:after="0" w:afterAutospacing="0" w:line="480" w:lineRule="auto"/>
        <w:jc w:val="center"/>
        <w:rPr>
          <w:rFonts w:asciiTheme="majorBidi" w:hAnsiTheme="majorBidi" w:cstheme="majorBidi"/>
          <w:b/>
          <w:bCs/>
        </w:rPr>
      </w:pPr>
    </w:p>
    <w:p w14:paraId="7C4AA8C8" w14:textId="77777777" w:rsidR="00730AFD" w:rsidRDefault="00730AFD" w:rsidP="00676D2F">
      <w:pPr>
        <w:pStyle w:val="NormalWeb"/>
        <w:spacing w:before="0" w:beforeAutospacing="0" w:after="0" w:afterAutospacing="0" w:line="480" w:lineRule="auto"/>
        <w:jc w:val="center"/>
        <w:rPr>
          <w:rFonts w:asciiTheme="majorBidi" w:hAnsiTheme="majorBidi" w:cstheme="majorBidi"/>
          <w:b/>
          <w:bCs/>
        </w:rPr>
      </w:pPr>
    </w:p>
    <w:p w14:paraId="63CD514B" w14:textId="77777777" w:rsidR="00730AFD" w:rsidRDefault="00730AFD" w:rsidP="00676D2F">
      <w:pPr>
        <w:pStyle w:val="NormalWeb"/>
        <w:spacing w:before="0" w:beforeAutospacing="0" w:after="0" w:afterAutospacing="0" w:line="480" w:lineRule="auto"/>
        <w:jc w:val="center"/>
        <w:rPr>
          <w:rFonts w:asciiTheme="majorBidi" w:hAnsiTheme="majorBidi" w:cstheme="majorBidi"/>
          <w:b/>
          <w:bCs/>
        </w:rPr>
      </w:pPr>
    </w:p>
    <w:p w14:paraId="6BCAF1A5" w14:textId="77777777" w:rsidR="00730AFD" w:rsidRDefault="00730AFD" w:rsidP="00676D2F">
      <w:pPr>
        <w:pStyle w:val="NormalWeb"/>
        <w:spacing w:before="0" w:beforeAutospacing="0" w:after="0" w:afterAutospacing="0" w:line="480" w:lineRule="auto"/>
        <w:jc w:val="center"/>
        <w:rPr>
          <w:rFonts w:asciiTheme="majorBidi" w:hAnsiTheme="majorBidi" w:cstheme="majorBidi"/>
          <w:b/>
          <w:bCs/>
        </w:rPr>
      </w:pPr>
    </w:p>
    <w:p w14:paraId="55961466" w14:textId="77777777" w:rsidR="00730AFD" w:rsidRPr="008F4E90" w:rsidRDefault="00730AFD" w:rsidP="00676D2F">
      <w:pPr>
        <w:pStyle w:val="NormalWeb"/>
        <w:spacing w:before="0" w:beforeAutospacing="0" w:after="0" w:afterAutospacing="0" w:line="480" w:lineRule="auto"/>
        <w:jc w:val="center"/>
        <w:rPr>
          <w:rFonts w:asciiTheme="majorBidi" w:hAnsiTheme="majorBidi" w:cstheme="majorBidi"/>
          <w:b/>
          <w:bCs/>
        </w:rPr>
      </w:pPr>
    </w:p>
    <w:p w14:paraId="4B7ABD27" w14:textId="77777777" w:rsidR="008F330E" w:rsidRPr="008F4E90" w:rsidRDefault="008F330E" w:rsidP="00676D2F">
      <w:pPr>
        <w:pStyle w:val="NormalWeb"/>
        <w:spacing w:before="0" w:beforeAutospacing="0" w:after="0" w:afterAutospacing="0" w:line="480" w:lineRule="auto"/>
        <w:jc w:val="center"/>
        <w:rPr>
          <w:rFonts w:asciiTheme="majorBidi" w:hAnsiTheme="majorBidi" w:cstheme="majorBidi"/>
          <w:b/>
          <w:bCs/>
        </w:rPr>
      </w:pPr>
    </w:p>
    <w:p w14:paraId="3EB751F1" w14:textId="77777777" w:rsidR="008F330E" w:rsidRPr="008F4E90" w:rsidRDefault="008F330E" w:rsidP="008F330E">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Chapter 5</w:t>
      </w:r>
    </w:p>
    <w:p w14:paraId="19CF5D0D" w14:textId="77777777" w:rsidR="008F330E" w:rsidRPr="008F4E90" w:rsidRDefault="008F330E" w:rsidP="008F330E">
      <w:pPr>
        <w:spacing w:line="480" w:lineRule="auto"/>
        <w:jc w:val="center"/>
        <w:rPr>
          <w:rFonts w:asciiTheme="majorBidi" w:eastAsia="Times New Roman" w:hAnsiTheme="majorBidi" w:cstheme="majorBidi"/>
          <w:b/>
          <w:sz w:val="24"/>
          <w:szCs w:val="24"/>
        </w:rPr>
      </w:pPr>
    </w:p>
    <w:p w14:paraId="43316EAD" w14:textId="77777777" w:rsidR="008F330E" w:rsidRPr="008F4E90" w:rsidRDefault="008F330E" w:rsidP="008F330E">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Investigating Developmental Trajectories from childhood to young adult in Individuals with Autistic Spectrum Condition and neurotypical controls: Reflected in resting state EEG and fMRI </w:t>
      </w:r>
      <w:r w:rsidR="003C001C">
        <w:rPr>
          <w:rFonts w:asciiTheme="majorBidi" w:eastAsia="Times New Roman" w:hAnsiTheme="majorBidi" w:cstheme="majorBidi"/>
          <w:b/>
          <w:sz w:val="24"/>
          <w:szCs w:val="24"/>
        </w:rPr>
        <w:t>S</w:t>
      </w:r>
      <w:r w:rsidRPr="008F4E90">
        <w:rPr>
          <w:rFonts w:asciiTheme="majorBidi" w:eastAsia="Times New Roman" w:hAnsiTheme="majorBidi" w:cstheme="majorBidi"/>
          <w:b/>
          <w:sz w:val="24"/>
          <w:szCs w:val="24"/>
        </w:rPr>
        <w:t>ignal Complexity</w:t>
      </w:r>
    </w:p>
    <w:p w14:paraId="5A6FAA1A" w14:textId="77777777" w:rsidR="008F330E" w:rsidRPr="008F4E90" w:rsidRDefault="008F330E" w:rsidP="008F330E">
      <w:pPr>
        <w:spacing w:line="480" w:lineRule="auto"/>
        <w:rPr>
          <w:rFonts w:asciiTheme="majorBidi" w:eastAsia="Times New Roman" w:hAnsiTheme="majorBidi" w:cstheme="majorBidi"/>
          <w:b/>
          <w:sz w:val="24"/>
          <w:szCs w:val="24"/>
        </w:rPr>
      </w:pPr>
    </w:p>
    <w:p w14:paraId="08DD9DB0" w14:textId="77777777" w:rsidR="008F330E" w:rsidRPr="008F4E90" w:rsidRDefault="008F330E" w:rsidP="008F330E">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Abstract</w:t>
      </w:r>
    </w:p>
    <w:p w14:paraId="38F70E2D" w14:textId="77777777" w:rsidR="008F330E" w:rsidRPr="008F4E90" w:rsidRDefault="008F330E" w:rsidP="008F330E">
      <w:pPr>
        <w:spacing w:after="160"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Previous studies have demonstrated the alterations in multiscale sample entropy in individuals with ASC and also highlight the importance of considering eye conditions (i.e., eyes-open and closed condition). Additionally, age has been shown to have an impact on brain entropy </w:t>
      </w:r>
      <w:hyperlink r:id="rId686">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2014; Wang et al., 2017</w:t>
        </w:r>
      </w:hyperlink>
      <w:hyperlink r:id="rId687">
        <w:r w:rsidRPr="008F4E90">
          <w:rPr>
            <w:rFonts w:asciiTheme="majorBidi" w:eastAsia="Times New Roman" w:hAnsiTheme="majorBidi" w:cstheme="majorBidi"/>
            <w:sz w:val="24"/>
            <w:szCs w:val="24"/>
          </w:rPr>
          <w:t xml:space="preserve">; </w:t>
        </w:r>
      </w:hyperlink>
      <w:hyperlink r:id="rId688">
        <w:r w:rsidRPr="008F4E90">
          <w:rPr>
            <w:rFonts w:asciiTheme="majorBidi" w:eastAsia="Times New Roman" w:hAnsiTheme="majorBidi" w:cstheme="majorBidi"/>
            <w:sz w:val="24"/>
            <w:szCs w:val="24"/>
          </w:rPr>
          <w:t>Yao et al., 2013)</w:t>
        </w:r>
      </w:hyperlink>
      <w:r w:rsidRPr="008F4E90">
        <w:rPr>
          <w:rFonts w:asciiTheme="majorBidi" w:eastAsia="Times New Roman" w:hAnsiTheme="majorBidi" w:cstheme="majorBidi"/>
          <w:sz w:val="24"/>
          <w:szCs w:val="24"/>
        </w:rPr>
        <w:t xml:space="preserve">, and numerous studies have highlighted age-related alterations in both EEG and fMRI findings in the ASC population </w:t>
      </w:r>
      <w:hyperlink r:id="rId689">
        <w:r w:rsidRPr="008F4E90">
          <w:rPr>
            <w:rFonts w:asciiTheme="majorBidi" w:eastAsia="Times New Roman" w:hAnsiTheme="majorBidi" w:cstheme="majorBidi"/>
            <w:sz w:val="24"/>
            <w:szCs w:val="24"/>
          </w:rPr>
          <w:t>(Dickstein et al., 2013; Han et al., 2017; Orekhova et al., 2008; Haghighat et al., 2021)</w:t>
        </w:r>
      </w:hyperlink>
      <w:r w:rsidRPr="008F4E90">
        <w:rPr>
          <w:rFonts w:asciiTheme="majorBidi" w:eastAsia="Times New Roman" w:hAnsiTheme="majorBidi" w:cstheme="majorBidi"/>
          <w:sz w:val="24"/>
          <w:szCs w:val="24"/>
        </w:rPr>
        <w:t xml:space="preserve">. The current study will explore the developmental trajectory of brain entropy in both individuals with ASC and neurotypical control groups. Furthermore, the earlier findings will be subject to re-analysis within distinct age subgroups to </w:t>
      </w:r>
      <w:r w:rsidR="003C001C" w:rsidRPr="008F4E90">
        <w:rPr>
          <w:rFonts w:asciiTheme="majorBidi" w:eastAsia="Times New Roman" w:hAnsiTheme="majorBidi" w:cstheme="majorBidi"/>
          <w:sz w:val="24"/>
          <w:szCs w:val="24"/>
        </w:rPr>
        <w:t>assess the influence of age more comprehensively</w:t>
      </w:r>
      <w:r w:rsidRPr="008F4E90">
        <w:rPr>
          <w:rFonts w:asciiTheme="majorBidi" w:eastAsia="Times New Roman" w:hAnsiTheme="majorBidi" w:cstheme="majorBidi"/>
          <w:sz w:val="24"/>
          <w:szCs w:val="24"/>
        </w:rPr>
        <w:t xml:space="preserve">. </w:t>
      </w:r>
    </w:p>
    <w:p w14:paraId="78E7B8C0" w14:textId="77777777" w:rsidR="008F330E" w:rsidRPr="008F4E90" w:rsidRDefault="008F330E" w:rsidP="008F330E">
      <w:pPr>
        <w:spacing w:after="160"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Introduction</w:t>
      </w:r>
    </w:p>
    <w:p w14:paraId="6CA786DF" w14:textId="77777777" w:rsidR="008F330E" w:rsidRPr="008F4E90" w:rsidRDefault="008F330E" w:rsidP="008F330E">
      <w:pPr>
        <w:spacing w:after="160"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The Relationship Between Age and Entropy: Age-Related Changes in EEG and fMRI</w:t>
      </w:r>
    </w:p>
    <w:p w14:paraId="71EE1338" w14:textId="77777777" w:rsidR="008F330E" w:rsidRPr="008F4E90" w:rsidRDefault="008F330E" w:rsidP="008F330E">
      <w:pPr>
        <w:spacing w:after="160"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Ageing is generally associated with increased entropy </w:t>
      </w:r>
      <w:hyperlink r:id="rId690">
        <w:r w:rsidRPr="008F4E90">
          <w:rPr>
            <w:rFonts w:asciiTheme="majorBidi" w:eastAsia="Times New Roman" w:hAnsiTheme="majorBidi" w:cstheme="majorBidi"/>
            <w:sz w:val="24"/>
            <w:szCs w:val="24"/>
          </w:rPr>
          <w:t>(Hershey &amp; Lee, 1987</w:t>
        </w:r>
      </w:hyperlink>
      <w:hyperlink r:id="rId691">
        <w:r w:rsidRPr="008F4E90">
          <w:rPr>
            <w:rFonts w:asciiTheme="majorBidi" w:eastAsia="Times New Roman" w:hAnsiTheme="majorBidi" w:cstheme="majorBidi"/>
            <w:sz w:val="24"/>
            <w:szCs w:val="24"/>
          </w:rPr>
          <w:t xml:space="preserve">; </w:t>
        </w:r>
      </w:hyperlink>
      <w:hyperlink r:id="rId692">
        <w:r w:rsidRPr="008F4E90">
          <w:rPr>
            <w:rFonts w:asciiTheme="majorBidi" w:eastAsia="Times New Roman" w:hAnsiTheme="majorBidi" w:cstheme="majorBidi"/>
            <w:sz w:val="24"/>
            <w:szCs w:val="24"/>
          </w:rPr>
          <w:t>Yao et al., 2013)</w:t>
        </w:r>
      </w:hyperlink>
      <w:r w:rsidRPr="008F4E90">
        <w:rPr>
          <w:rFonts w:asciiTheme="majorBidi" w:eastAsia="Times New Roman" w:hAnsiTheme="majorBidi" w:cstheme="majorBidi"/>
          <w:sz w:val="24"/>
          <w:szCs w:val="24"/>
        </w:rPr>
        <w:t xml:space="preserve">. However, scrutiny of age-related studies reveals the potential presence of Simpson's paradox in correlations </w:t>
      </w:r>
      <w:hyperlink r:id="rId693">
        <w:r w:rsidRPr="008F4E90">
          <w:rPr>
            <w:rFonts w:asciiTheme="majorBidi" w:eastAsia="Times New Roman" w:hAnsiTheme="majorBidi" w:cstheme="majorBidi"/>
            <w:sz w:val="24"/>
            <w:szCs w:val="24"/>
          </w:rPr>
          <w:t>(Davy et al., 2003)</w:t>
        </w:r>
      </w:hyperlink>
      <w:r w:rsidRPr="008F4E90">
        <w:rPr>
          <w:rFonts w:asciiTheme="majorBidi" w:eastAsia="Times New Roman" w:hAnsiTheme="majorBidi" w:cstheme="majorBidi"/>
          <w:sz w:val="24"/>
          <w:szCs w:val="24"/>
        </w:rPr>
        <w:t xml:space="preserve">. Simpson's paradox occurs when the direction of correlation between two variables appears positive or negative, but this direction reverses when the variables are analysed within different subgroups. In the context of entropy and ageing, although there is a positive correlation overall, the correlation may differ within specific age subgroups. </w:t>
      </w:r>
    </w:p>
    <w:p w14:paraId="55642F13"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 xml:space="preserve">For instance, there is a consistent increase in sample entropy in young adults </w:t>
      </w:r>
      <w:hyperlink r:id="rId694">
        <w:r w:rsidRPr="008F4E90">
          <w:rPr>
            <w:rFonts w:asciiTheme="majorBidi" w:eastAsia="Times New Roman" w:hAnsiTheme="majorBidi" w:cstheme="majorBidi"/>
            <w:sz w:val="24"/>
            <w:szCs w:val="24"/>
          </w:rPr>
          <w:t>(Takahashi et al., 2009)</w:t>
        </w:r>
      </w:hyperlink>
      <w:r w:rsidRPr="008F4E90">
        <w:rPr>
          <w:rFonts w:asciiTheme="majorBidi" w:eastAsia="Times New Roman" w:hAnsiTheme="majorBidi" w:cstheme="majorBidi"/>
          <w:sz w:val="24"/>
          <w:szCs w:val="24"/>
        </w:rPr>
        <w:t xml:space="preserve">, especially at the fine scales </w:t>
      </w:r>
      <w:hyperlink r:id="rId695">
        <w:r w:rsidRPr="008F4E90">
          <w:rPr>
            <w:rFonts w:asciiTheme="majorBidi" w:eastAsia="Times New Roman" w:hAnsiTheme="majorBidi" w:cstheme="majorBidi"/>
            <w:sz w:val="24"/>
            <w:szCs w:val="24"/>
          </w:rPr>
          <w:t xml:space="preserve">(van </w:t>
        </w:r>
        <w:proofErr w:type="spellStart"/>
        <w:r w:rsidRPr="008F4E90">
          <w:rPr>
            <w:rFonts w:asciiTheme="majorBidi" w:eastAsia="Times New Roman" w:hAnsiTheme="majorBidi" w:cstheme="majorBidi"/>
            <w:sz w:val="24"/>
            <w:szCs w:val="24"/>
          </w:rPr>
          <w:t>Noordt</w:t>
        </w:r>
        <w:proofErr w:type="spellEnd"/>
        <w:r w:rsidRPr="008F4E90">
          <w:rPr>
            <w:rFonts w:asciiTheme="majorBidi" w:eastAsia="Times New Roman" w:hAnsiTheme="majorBidi" w:cstheme="majorBidi"/>
            <w:sz w:val="24"/>
            <w:szCs w:val="24"/>
          </w:rPr>
          <w:t xml:space="preserve"> &amp; Willoughby, 2021)</w:t>
        </w:r>
      </w:hyperlink>
      <w:r w:rsidRPr="008F4E90">
        <w:rPr>
          <w:rFonts w:asciiTheme="majorBidi" w:eastAsia="Times New Roman" w:hAnsiTheme="majorBidi" w:cstheme="majorBidi"/>
          <w:sz w:val="24"/>
          <w:szCs w:val="24"/>
        </w:rPr>
        <w:t xml:space="preserve">. This increase aligns with functional brain networks' maturation process, which involves reinforcing distributed long-distance connections </w:t>
      </w:r>
      <w:hyperlink r:id="rId696">
        <w:r w:rsidRPr="008F4E90">
          <w:rPr>
            <w:rFonts w:asciiTheme="majorBidi" w:eastAsia="Times New Roman" w:hAnsiTheme="majorBidi" w:cstheme="majorBidi"/>
            <w:sz w:val="24"/>
            <w:szCs w:val="24"/>
          </w:rPr>
          <w:t>(Casey et al., 2015; Hwang et al., 2013)</w:t>
        </w:r>
      </w:hyperlink>
      <w:r w:rsidRPr="008F4E90">
        <w:rPr>
          <w:rFonts w:asciiTheme="majorBidi" w:eastAsia="Times New Roman" w:hAnsiTheme="majorBidi" w:cstheme="majorBidi"/>
          <w:sz w:val="24"/>
          <w:szCs w:val="24"/>
        </w:rPr>
        <w:t xml:space="preserve">. Sample entropy at the fine scale reflects long-range connections </w:t>
      </w:r>
      <w:hyperlink r:id="rId697">
        <w:r w:rsidRPr="008F4E90">
          <w:rPr>
            <w:rFonts w:asciiTheme="majorBidi" w:eastAsia="Times New Roman" w:hAnsiTheme="majorBidi" w:cstheme="majorBidi"/>
            <w:sz w:val="24"/>
            <w:szCs w:val="24"/>
          </w:rPr>
          <w:t>(Heisz &amp; McIntosh, 2013)</w:t>
        </w:r>
      </w:hyperlink>
      <w:r w:rsidRPr="008F4E90">
        <w:rPr>
          <w:rFonts w:asciiTheme="majorBidi" w:eastAsia="Times New Roman" w:hAnsiTheme="majorBidi" w:cstheme="majorBidi"/>
          <w:sz w:val="24"/>
          <w:szCs w:val="24"/>
        </w:rPr>
        <w:t xml:space="preserve">, explaining the observed increase in sample entropy. Conversely, older adults tend to exhibit a decrease in entropy as they age </w:t>
      </w:r>
      <w:hyperlink r:id="rId698">
        <w:r w:rsidRPr="008F4E90">
          <w:rPr>
            <w:rFonts w:asciiTheme="majorBidi" w:eastAsia="Times New Roman" w:hAnsiTheme="majorBidi" w:cstheme="majorBidi"/>
            <w:sz w:val="24"/>
            <w:szCs w:val="24"/>
          </w:rPr>
          <w:t>(Takahashi et al., 2009)</w:t>
        </w:r>
      </w:hyperlink>
      <w:r w:rsidRPr="008F4E90">
        <w:rPr>
          <w:rFonts w:asciiTheme="majorBidi" w:eastAsia="Times New Roman" w:hAnsiTheme="majorBidi" w:cstheme="majorBidi"/>
          <w:sz w:val="24"/>
          <w:szCs w:val="24"/>
        </w:rPr>
        <w:t xml:space="preserve">. However, positive age-related correlations in multiscale sample entropy appear lacking in individuals with ASC </w:t>
      </w:r>
      <w:hyperlink r:id="rId699">
        <w:r w:rsidRPr="008F4E90">
          <w:rPr>
            <w:rFonts w:asciiTheme="majorBidi" w:eastAsia="Times New Roman" w:hAnsiTheme="majorBidi" w:cstheme="majorBidi"/>
            <w:sz w:val="24"/>
            <w:szCs w:val="24"/>
          </w:rPr>
          <w:t>(Milne et al., 2019)</w:t>
        </w:r>
      </w:hyperlink>
      <w:r w:rsidRPr="008F4E90">
        <w:rPr>
          <w:rFonts w:asciiTheme="majorBidi" w:eastAsia="Times New Roman" w:hAnsiTheme="majorBidi" w:cstheme="majorBidi"/>
          <w:sz w:val="24"/>
          <w:szCs w:val="24"/>
        </w:rPr>
        <w:t>.</w:t>
      </w:r>
    </w:p>
    <w:p w14:paraId="7F6EBCBF"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Similarly, in fMRI studies, entropy has been suggested to increase with age in young, healthy individuals due to brain maturation and improving information processing capacity </w:t>
      </w:r>
      <w:hyperlink r:id="rId700">
        <w:r w:rsidRPr="008F4E90">
          <w:rPr>
            <w:rFonts w:asciiTheme="majorBidi" w:eastAsia="Times New Roman" w:hAnsiTheme="majorBidi" w:cstheme="majorBidi"/>
            <w:sz w:val="24"/>
            <w:szCs w:val="24"/>
          </w:rPr>
          <w:t>(Easson &amp; McIntosh, 2019)</w:t>
        </w:r>
      </w:hyperlink>
      <w:r w:rsidRPr="008F4E90">
        <w:rPr>
          <w:rFonts w:asciiTheme="majorBidi" w:eastAsia="Times New Roman" w:hAnsiTheme="majorBidi" w:cstheme="majorBidi"/>
          <w:sz w:val="24"/>
          <w:szCs w:val="24"/>
        </w:rPr>
        <w:t xml:space="preserve"> by approximately 0.1 bits </w:t>
      </w:r>
      <w:hyperlink r:id="rId701">
        <w:r w:rsidRPr="008F4E90">
          <w:rPr>
            <w:rFonts w:asciiTheme="majorBidi" w:eastAsia="Times New Roman" w:hAnsiTheme="majorBidi" w:cstheme="majorBidi"/>
            <w:sz w:val="24"/>
            <w:szCs w:val="24"/>
          </w:rPr>
          <w:t>(Yao et al., 2013)</w:t>
        </w:r>
      </w:hyperlink>
      <w:r w:rsidRPr="008F4E90">
        <w:rPr>
          <w:rFonts w:asciiTheme="majorBidi" w:eastAsia="Times New Roman" w:hAnsiTheme="majorBidi" w:cstheme="majorBidi"/>
          <w:sz w:val="24"/>
          <w:szCs w:val="24"/>
        </w:rPr>
        <w:t xml:space="preserve">. In contrast, it might decrease with age among older adults </w:t>
      </w:r>
      <w:hyperlink r:id="rId702">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Sokunbi</w:t>
        </w:r>
        <w:proofErr w:type="spellEnd"/>
        <w:r w:rsidRPr="008F4E90">
          <w:rPr>
            <w:rFonts w:asciiTheme="majorBidi" w:eastAsia="Times New Roman" w:hAnsiTheme="majorBidi" w:cstheme="majorBidi"/>
            <w:sz w:val="24"/>
            <w:szCs w:val="24"/>
          </w:rPr>
          <w:t xml:space="preserve"> et al., 2015)</w:t>
        </w:r>
      </w:hyperlink>
      <w:r w:rsidRPr="008F4E90">
        <w:rPr>
          <w:rFonts w:asciiTheme="majorBidi" w:eastAsia="Times New Roman" w:hAnsiTheme="majorBidi" w:cstheme="majorBidi"/>
          <w:sz w:val="24"/>
          <w:szCs w:val="24"/>
        </w:rPr>
        <w:t xml:space="preserve"> due to the loss of complexity in the brain system </w:t>
      </w:r>
      <w:hyperlink r:id="rId703">
        <w:r w:rsidRPr="008F4E90">
          <w:rPr>
            <w:rFonts w:asciiTheme="majorBidi" w:eastAsia="Times New Roman" w:hAnsiTheme="majorBidi" w:cstheme="majorBidi"/>
            <w:sz w:val="24"/>
            <w:szCs w:val="24"/>
          </w:rPr>
          <w:t>(Dickstein et al., 2007</w:t>
        </w:r>
      </w:hyperlink>
      <w:hyperlink r:id="rId704">
        <w:r w:rsidRPr="008F4E90">
          <w:rPr>
            <w:rFonts w:asciiTheme="majorBidi" w:eastAsia="Times New Roman" w:hAnsiTheme="majorBidi" w:cstheme="majorBidi"/>
            <w:sz w:val="24"/>
            <w:szCs w:val="24"/>
          </w:rPr>
          <w:t xml:space="preserve">; </w:t>
        </w:r>
      </w:hyperlink>
      <w:hyperlink r:id="rId705">
        <w:r w:rsidRPr="008F4E90">
          <w:rPr>
            <w:rFonts w:asciiTheme="majorBidi" w:eastAsia="Times New Roman" w:hAnsiTheme="majorBidi" w:cstheme="majorBidi"/>
            <w:sz w:val="24"/>
            <w:szCs w:val="24"/>
          </w:rPr>
          <w:t>Lipsitz, 1992)</w:t>
        </w:r>
      </w:hyperlink>
      <w:r w:rsidRPr="008F4E90">
        <w:rPr>
          <w:rFonts w:asciiTheme="majorBidi" w:eastAsia="Times New Roman" w:hAnsiTheme="majorBidi" w:cstheme="majorBidi"/>
          <w:sz w:val="24"/>
          <w:szCs w:val="24"/>
        </w:rPr>
        <w:t xml:space="preserve">. The classic complexity loss theory attributes the reduction in complexity to ageing and pathological states, suggesting that these factors could be the leading causes of a less healthy brain system. Several studies have reported differences in the impact of age on entropy, indicating that the correlation between age and entropy observed in neurotypical individuals may not be present in those with neurological disorders such as Alzheimer's disease </w:t>
      </w:r>
      <w:hyperlink r:id="rId706">
        <w:r w:rsidRPr="008F4E90">
          <w:rPr>
            <w:rFonts w:asciiTheme="majorBidi" w:eastAsia="Times New Roman" w:hAnsiTheme="majorBidi" w:cstheme="majorBidi"/>
            <w:sz w:val="24"/>
            <w:szCs w:val="24"/>
          </w:rPr>
          <w:t>(Wang and Alzheimer's Disease Neuroimaging Initiative 2020)</w:t>
        </w:r>
      </w:hyperlink>
      <w:r w:rsidRPr="008F4E90">
        <w:rPr>
          <w:rFonts w:asciiTheme="majorBidi" w:eastAsia="Times New Roman" w:hAnsiTheme="majorBidi" w:cstheme="majorBidi"/>
          <w:sz w:val="24"/>
          <w:szCs w:val="24"/>
        </w:rPr>
        <w:t xml:space="preserve"> and ADHD </w:t>
      </w:r>
      <w:hyperlink r:id="rId707">
        <w:r w:rsidRPr="008F4E90">
          <w:rPr>
            <w:rFonts w:asciiTheme="majorBidi" w:eastAsia="Times New Roman" w:hAnsiTheme="majorBidi" w:cstheme="majorBidi"/>
            <w:sz w:val="24"/>
            <w:szCs w:val="24"/>
          </w:rPr>
          <w:t>(Angulo-Ruiz et al., 2022)</w:t>
        </w:r>
      </w:hyperlink>
      <w:r w:rsidRPr="008F4E90">
        <w:rPr>
          <w:rFonts w:asciiTheme="majorBidi" w:eastAsia="Times New Roman" w:hAnsiTheme="majorBidi" w:cstheme="majorBidi"/>
          <w:sz w:val="24"/>
          <w:szCs w:val="24"/>
        </w:rPr>
        <w:t>.</w:t>
      </w:r>
    </w:p>
    <w:p w14:paraId="564BEB37" w14:textId="77777777" w:rsidR="008F330E" w:rsidRPr="008F4E90" w:rsidRDefault="008F330E" w:rsidP="008F330E">
      <w:pPr>
        <w:spacing w:line="480" w:lineRule="auto"/>
        <w:rPr>
          <w:rFonts w:asciiTheme="majorBidi" w:eastAsia="Times New Roman" w:hAnsiTheme="majorBidi" w:cstheme="majorBidi"/>
          <w:sz w:val="24"/>
          <w:szCs w:val="24"/>
        </w:rPr>
      </w:pPr>
    </w:p>
    <w:p w14:paraId="398B7253"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Implications for Studying ASC</w:t>
      </w:r>
    </w:p>
    <w:p w14:paraId="35ADAFB9"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Considering these age-related effects in EEG and fMRI biomarkers and the age has been proven to be a robust single predictor of spontaneous EEG metrics </w:t>
      </w:r>
      <w:hyperlink r:id="rId708">
        <w:r w:rsidRPr="008F4E90">
          <w:rPr>
            <w:rFonts w:asciiTheme="majorBidi" w:eastAsia="Times New Roman" w:hAnsiTheme="majorBidi" w:cstheme="majorBidi"/>
            <w:sz w:val="24"/>
            <w:szCs w:val="24"/>
          </w:rPr>
          <w:t>(Dede et al., 2023)</w:t>
        </w:r>
      </w:hyperlink>
      <w:r w:rsidRPr="008F4E90">
        <w:rPr>
          <w:rFonts w:asciiTheme="majorBidi" w:eastAsia="Times New Roman" w:hAnsiTheme="majorBidi" w:cstheme="majorBidi"/>
          <w:sz w:val="24"/>
          <w:szCs w:val="24"/>
        </w:rPr>
        <w:t>, it is crucial to account for the influence of age when investigating electrophysiological patterns in individuals with ASC. By understanding the normative age-related changes in brain activities, researchers can better discern the specific electrophysiological characteristics associated with ASC and distinguish them from typical age-related variations.</w:t>
      </w:r>
    </w:p>
    <w:p w14:paraId="633B1051"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This research aims to explore the developmental trajectory of brain entropy in both individuals with ASC and neurotypical control groups using EEG and fMRI data. The study will use the data from the previous investigation. It will further partition the dataset into specific age categories to better understand how age impacts the identified alteration of brain entropy in the ASC population.</w:t>
      </w:r>
    </w:p>
    <w:p w14:paraId="6BEDD189" w14:textId="77777777" w:rsidR="008F330E" w:rsidRPr="008F4E90" w:rsidRDefault="008F330E" w:rsidP="008F330E">
      <w:pPr>
        <w:spacing w:after="160" w:line="480" w:lineRule="auto"/>
        <w:rPr>
          <w:rFonts w:asciiTheme="majorBidi" w:eastAsia="Times New Roman" w:hAnsiTheme="majorBidi" w:cstheme="majorBidi"/>
          <w:sz w:val="24"/>
          <w:szCs w:val="24"/>
        </w:rPr>
      </w:pPr>
    </w:p>
    <w:p w14:paraId="1D8C5401" w14:textId="77777777" w:rsidR="008F330E" w:rsidRPr="008F4E90" w:rsidRDefault="008F330E" w:rsidP="008F330E">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Methods</w:t>
      </w:r>
    </w:p>
    <w:p w14:paraId="2B7F7F1C"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Data from the EEG project (Chapter 2)</w:t>
      </w:r>
    </w:p>
    <w:p w14:paraId="553C195B"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Participants included children and adolescents aged 8.08-17.91 in ASC and neurotypical control groups. To gain a deeper understanding of the correlations between multiscale sample entropy and age, the study conducted a more detailed investigation using more specific age groups. Participants were categorised into three distinct age groups based on their quantiles: The first group included individuals whose quantiles ranged from 0 to 0.3333 (i.e., age ranged from 8.08 to 11.25 years). The second group ranged from 0.3333 to 0.6666 (i.e., age ranged from 11.25 to 14.17 years), while the third and final group comprised individuals with quantiles between 0.6666 and 1 (i.e., age ranged from 14.17 to 17.91 years) (see in Table 1). </w:t>
      </w:r>
    </w:p>
    <w:p w14:paraId="7DA59D22"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558A22D4"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2F66F410"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1BADC383"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743226D1"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430822E7"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2A2FBEE0"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04BA71BE"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7FAA3BBE"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40C2F14B"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11AF9B19"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Table 1</w:t>
      </w:r>
    </w:p>
    <w:p w14:paraId="18DDC130" w14:textId="77777777" w:rsidR="008F330E" w:rsidRPr="008F4E90" w:rsidRDefault="003C001C"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i/>
          <w:sz w:val="24"/>
          <w:szCs w:val="24"/>
        </w:rPr>
        <w:t xml:space="preserve">Age </w:t>
      </w:r>
      <w:r w:rsidR="008F330E" w:rsidRPr="008F4E90">
        <w:rPr>
          <w:rFonts w:asciiTheme="majorBidi" w:eastAsia="Times New Roman" w:hAnsiTheme="majorBidi" w:cstheme="majorBidi"/>
          <w:i/>
          <w:sz w:val="24"/>
          <w:szCs w:val="24"/>
        </w:rPr>
        <w:t>Ranges in Age Subgroups in ASC and CON Participants</w:t>
      </w:r>
    </w:p>
    <w:tbl>
      <w:tblPr>
        <w:tblpPr w:leftFromText="180" w:rightFromText="180" w:vertAnchor="text" w:horzAnchor="margin" w:tblpY="171"/>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410"/>
        <w:gridCol w:w="2460"/>
        <w:gridCol w:w="2460"/>
        <w:gridCol w:w="1920"/>
      </w:tblGrid>
      <w:tr w:rsidR="008F4E90" w:rsidRPr="008F4E90" w14:paraId="0A0DCE86" w14:textId="77777777" w:rsidTr="008F330E">
        <w:tc>
          <w:tcPr>
            <w:tcW w:w="1245" w:type="dxa"/>
            <w:tcBorders>
              <w:left w:val="single" w:sz="8" w:space="0" w:color="FFFFFF"/>
              <w:right w:val="single" w:sz="8" w:space="0" w:color="FFFFFF"/>
            </w:tcBorders>
            <w:shd w:val="clear" w:color="auto" w:fill="auto"/>
            <w:tcMar>
              <w:top w:w="100" w:type="dxa"/>
              <w:left w:w="100" w:type="dxa"/>
              <w:bottom w:w="100" w:type="dxa"/>
              <w:right w:w="100" w:type="dxa"/>
            </w:tcMar>
          </w:tcPr>
          <w:p w14:paraId="0E48FD45"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Group</w:t>
            </w:r>
          </w:p>
        </w:tc>
        <w:tc>
          <w:tcPr>
            <w:tcW w:w="1410" w:type="dxa"/>
            <w:tcBorders>
              <w:left w:val="single" w:sz="8" w:space="0" w:color="FFFFFF"/>
              <w:right w:val="single" w:sz="8" w:space="0" w:color="FFFFFF"/>
            </w:tcBorders>
            <w:shd w:val="clear" w:color="auto" w:fill="auto"/>
            <w:tcMar>
              <w:top w:w="100" w:type="dxa"/>
              <w:left w:w="100" w:type="dxa"/>
              <w:bottom w:w="100" w:type="dxa"/>
              <w:right w:w="100" w:type="dxa"/>
            </w:tcMar>
          </w:tcPr>
          <w:p w14:paraId="212907B3"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w:t>
            </w:r>
          </w:p>
        </w:tc>
        <w:tc>
          <w:tcPr>
            <w:tcW w:w="2460" w:type="dxa"/>
            <w:tcBorders>
              <w:left w:val="single" w:sz="8" w:space="0" w:color="FFFFFF"/>
              <w:right w:val="single" w:sz="8" w:space="0" w:color="FFFFFF"/>
            </w:tcBorders>
            <w:shd w:val="clear" w:color="auto" w:fill="auto"/>
            <w:tcMar>
              <w:top w:w="100" w:type="dxa"/>
              <w:left w:w="100" w:type="dxa"/>
              <w:bottom w:w="100" w:type="dxa"/>
              <w:right w:w="100" w:type="dxa"/>
            </w:tcMar>
          </w:tcPr>
          <w:p w14:paraId="3E192A61"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in Year</w:t>
            </w:r>
          </w:p>
          <w:p w14:paraId="667BA899"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M(SD)</w:t>
            </w:r>
          </w:p>
        </w:tc>
        <w:tc>
          <w:tcPr>
            <w:tcW w:w="2460" w:type="dxa"/>
            <w:tcBorders>
              <w:left w:val="single" w:sz="8" w:space="0" w:color="FFFFFF"/>
              <w:right w:val="single" w:sz="8" w:space="0" w:color="FFFFFF"/>
            </w:tcBorders>
            <w:shd w:val="clear" w:color="auto" w:fill="auto"/>
            <w:tcMar>
              <w:top w:w="100" w:type="dxa"/>
              <w:left w:w="100" w:type="dxa"/>
              <w:bottom w:w="100" w:type="dxa"/>
              <w:right w:w="100" w:type="dxa"/>
            </w:tcMar>
          </w:tcPr>
          <w:p w14:paraId="30FFDBDC"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Range (min-max)</w:t>
            </w:r>
          </w:p>
        </w:tc>
        <w:tc>
          <w:tcPr>
            <w:tcW w:w="1920" w:type="dxa"/>
            <w:tcBorders>
              <w:left w:val="single" w:sz="8" w:space="0" w:color="FFFFFF"/>
              <w:right w:val="single" w:sz="8" w:space="0" w:color="FFFFFF"/>
            </w:tcBorders>
            <w:shd w:val="clear" w:color="auto" w:fill="auto"/>
            <w:tcMar>
              <w:top w:w="100" w:type="dxa"/>
              <w:left w:w="100" w:type="dxa"/>
              <w:bottom w:w="100" w:type="dxa"/>
              <w:right w:w="100" w:type="dxa"/>
            </w:tcMar>
          </w:tcPr>
          <w:p w14:paraId="62A25E70"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Sample size</w:t>
            </w:r>
          </w:p>
        </w:tc>
      </w:tr>
      <w:tr w:rsidR="008F4E90" w:rsidRPr="008F4E90" w14:paraId="12BB39BC" w14:textId="77777777" w:rsidTr="008F330E">
        <w:tc>
          <w:tcPr>
            <w:tcW w:w="124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B8AA5E"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ASC</w:t>
            </w:r>
          </w:p>
        </w:tc>
        <w:tc>
          <w:tcPr>
            <w:tcW w:w="14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6CC120"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1</w:t>
            </w:r>
          </w:p>
        </w:tc>
        <w:tc>
          <w:tcPr>
            <w:tcW w:w="24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39AE75"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9.77 (0.92)</w:t>
            </w:r>
          </w:p>
        </w:tc>
        <w:tc>
          <w:tcPr>
            <w:tcW w:w="24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E6A36E"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8.08-11.25</w:t>
            </w:r>
          </w:p>
        </w:tc>
        <w:tc>
          <w:tcPr>
            <w:tcW w:w="19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18A692"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40</w:t>
            </w:r>
          </w:p>
        </w:tc>
      </w:tr>
      <w:tr w:rsidR="008F4E90" w:rsidRPr="008F4E90" w14:paraId="232B6BFA" w14:textId="77777777" w:rsidTr="008F330E">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A29D2A" w14:textId="77777777" w:rsidR="008F330E" w:rsidRPr="008F4E90" w:rsidRDefault="008F330E" w:rsidP="008F330E">
            <w:pPr>
              <w:widowControl w:val="0"/>
              <w:spacing w:line="480" w:lineRule="auto"/>
              <w:rPr>
                <w:rFonts w:asciiTheme="majorBidi" w:eastAsia="Times New Roman" w:hAnsiTheme="majorBidi" w:cstheme="majorBidi"/>
                <w:sz w:val="24"/>
                <w:szCs w:val="24"/>
              </w:rPr>
            </w:pP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74331F"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2</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D9DE18"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12.70 (0.90)</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29EA2E"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11.25-14.17</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09B32C"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40</w:t>
            </w:r>
          </w:p>
        </w:tc>
      </w:tr>
      <w:tr w:rsidR="008F4E90" w:rsidRPr="008F4E90" w14:paraId="7D5C418A" w14:textId="77777777" w:rsidTr="008F330E">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DA0E81" w14:textId="77777777" w:rsidR="008F330E" w:rsidRPr="008F4E90" w:rsidRDefault="008F330E" w:rsidP="008F330E">
            <w:pPr>
              <w:widowControl w:val="0"/>
              <w:spacing w:line="480" w:lineRule="auto"/>
              <w:rPr>
                <w:rFonts w:asciiTheme="majorBidi" w:eastAsia="Times New Roman" w:hAnsiTheme="majorBidi" w:cstheme="majorBidi"/>
                <w:sz w:val="24"/>
                <w:szCs w:val="24"/>
              </w:rPr>
            </w:pP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6B414A"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3</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B4B4EA"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15.86 (1.15)</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8D2065"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14.17-17.91</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207CB0"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41</w:t>
            </w:r>
          </w:p>
        </w:tc>
      </w:tr>
      <w:tr w:rsidR="008F4E90" w:rsidRPr="008F4E90" w14:paraId="0D98F510" w14:textId="77777777" w:rsidTr="008F330E">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4B4C4F"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CON</w:t>
            </w: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BB523B"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1</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4E91F9"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9.75 (1.00)</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42F711"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8.08-11.25</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0D1986"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54</w:t>
            </w:r>
          </w:p>
        </w:tc>
      </w:tr>
      <w:tr w:rsidR="008F4E90" w:rsidRPr="008F4E90" w14:paraId="5814927F" w14:textId="77777777" w:rsidTr="008F330E">
        <w:tc>
          <w:tcPr>
            <w:tcW w:w="12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FE0FF3" w14:textId="77777777" w:rsidR="008F330E" w:rsidRPr="008F4E90" w:rsidRDefault="008F330E" w:rsidP="008F330E">
            <w:pPr>
              <w:widowControl w:val="0"/>
              <w:spacing w:line="480" w:lineRule="auto"/>
              <w:rPr>
                <w:rFonts w:asciiTheme="majorBidi" w:eastAsia="Times New Roman" w:hAnsiTheme="majorBidi" w:cstheme="majorBidi"/>
                <w:sz w:val="24"/>
                <w:szCs w:val="24"/>
              </w:rPr>
            </w:pP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B6AC68"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2</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00BE10"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12.86 (0.79)</w:t>
            </w:r>
          </w:p>
        </w:tc>
        <w:tc>
          <w:tcPr>
            <w:tcW w:w="2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885310"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11.25-14.17</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E77230"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52</w:t>
            </w:r>
          </w:p>
        </w:tc>
      </w:tr>
      <w:tr w:rsidR="008F4E90" w:rsidRPr="008F4E90" w14:paraId="4528BC33" w14:textId="77777777" w:rsidTr="008F330E">
        <w:tc>
          <w:tcPr>
            <w:tcW w:w="12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8450408" w14:textId="77777777" w:rsidR="008F330E" w:rsidRPr="008F4E90" w:rsidRDefault="008F330E" w:rsidP="008F330E">
            <w:pPr>
              <w:widowControl w:val="0"/>
              <w:spacing w:line="480" w:lineRule="auto"/>
              <w:rPr>
                <w:rFonts w:asciiTheme="majorBidi" w:eastAsia="Times New Roman" w:hAnsiTheme="majorBidi" w:cstheme="majorBidi"/>
                <w:sz w:val="24"/>
                <w:szCs w:val="24"/>
              </w:rPr>
            </w:pPr>
          </w:p>
        </w:tc>
        <w:tc>
          <w:tcPr>
            <w:tcW w:w="141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AB85DFA"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3</w:t>
            </w:r>
          </w:p>
        </w:tc>
        <w:tc>
          <w:tcPr>
            <w:tcW w:w="24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DFA2D12"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16.04 (1.02)</w:t>
            </w:r>
          </w:p>
        </w:tc>
        <w:tc>
          <w:tcPr>
            <w:tcW w:w="24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19FB8B8"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14.17-17.91</w:t>
            </w:r>
          </w:p>
        </w:tc>
        <w:tc>
          <w:tcPr>
            <w:tcW w:w="19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77E58FC" w14:textId="77777777" w:rsidR="008F330E" w:rsidRPr="008F4E90" w:rsidRDefault="008F330E" w:rsidP="008F330E">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60</w:t>
            </w:r>
          </w:p>
        </w:tc>
      </w:tr>
    </w:tbl>
    <w:p w14:paraId="46C8C5B9" w14:textId="77777777" w:rsidR="008F330E" w:rsidRPr="008F4E90" w:rsidRDefault="008F330E" w:rsidP="008F330E">
      <w:pPr>
        <w:spacing w:line="480" w:lineRule="auto"/>
        <w:rPr>
          <w:rFonts w:asciiTheme="majorBidi" w:eastAsia="Times New Roman" w:hAnsiTheme="majorBidi" w:cstheme="majorBidi"/>
          <w:i/>
          <w:sz w:val="24"/>
          <w:szCs w:val="24"/>
        </w:rPr>
      </w:pPr>
    </w:p>
    <w:p w14:paraId="1F5611D7" w14:textId="77777777" w:rsidR="008F330E" w:rsidRPr="008F4E90" w:rsidRDefault="008F330E" w:rsidP="008F330E">
      <w:pPr>
        <w:spacing w:line="480" w:lineRule="auto"/>
        <w:rPr>
          <w:rFonts w:asciiTheme="majorBidi" w:eastAsia="Times New Roman" w:hAnsiTheme="majorBidi" w:cstheme="majorBidi"/>
          <w:i/>
          <w:sz w:val="24"/>
          <w:szCs w:val="24"/>
        </w:rPr>
      </w:pPr>
    </w:p>
    <w:p w14:paraId="43F73175"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Numeric values indicate </w:t>
      </w:r>
      <w:r w:rsidR="003C001C" w:rsidRPr="008F4E90">
        <w:rPr>
          <w:rFonts w:asciiTheme="majorBidi" w:eastAsia="Times New Roman" w:hAnsiTheme="majorBidi" w:cstheme="majorBidi"/>
          <w:sz w:val="24"/>
          <w:szCs w:val="24"/>
        </w:rPr>
        <w:t>mean (</w:t>
      </w:r>
      <w:r w:rsidRPr="008F4E90">
        <w:rPr>
          <w:rFonts w:asciiTheme="majorBidi" w:eastAsia="Times New Roman" w:hAnsiTheme="majorBidi" w:cstheme="majorBidi"/>
          <w:sz w:val="24"/>
          <w:szCs w:val="24"/>
        </w:rPr>
        <w:t>standard deviation), minimum-maximum.</w:t>
      </w:r>
    </w:p>
    <w:p w14:paraId="7D3132DC" w14:textId="77777777" w:rsidR="008F330E" w:rsidRPr="008F4E90" w:rsidRDefault="008F330E" w:rsidP="008F330E">
      <w:pPr>
        <w:spacing w:line="480" w:lineRule="auto"/>
        <w:rPr>
          <w:rFonts w:asciiTheme="majorBidi" w:eastAsia="Times New Roman" w:hAnsiTheme="majorBidi" w:cstheme="majorBidi"/>
          <w:sz w:val="24"/>
          <w:szCs w:val="24"/>
        </w:rPr>
      </w:pPr>
    </w:p>
    <w:p w14:paraId="63792E8F"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Multiscale Sample Entropy Analysis and Statistical Assessment across Age Subgroups</w:t>
      </w:r>
    </w:p>
    <w:p w14:paraId="3AFC21E8" w14:textId="77777777" w:rsidR="008F330E" w:rsidRPr="008F4E90" w:rsidRDefault="008F330E" w:rsidP="008F330E">
      <w:pPr>
        <w:spacing w:line="480" w:lineRule="auto"/>
        <w:rPr>
          <w:rFonts w:asciiTheme="majorBidi" w:eastAsia="Times New Roman" w:hAnsiTheme="majorBidi" w:cstheme="majorBidi"/>
          <w:b/>
          <w:i/>
          <w:sz w:val="24"/>
          <w:szCs w:val="24"/>
        </w:rPr>
      </w:pPr>
      <w:r w:rsidRPr="008F4E90">
        <w:rPr>
          <w:rFonts w:asciiTheme="majorBidi" w:eastAsia="Times New Roman" w:hAnsiTheme="majorBidi" w:cstheme="majorBidi"/>
          <w:b/>
          <w:i/>
          <w:sz w:val="24"/>
          <w:szCs w:val="24"/>
        </w:rPr>
        <w:t>Multiscale sample entropy extraction</w:t>
      </w:r>
    </w:p>
    <w:p w14:paraId="75AD81B7"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No additional multiscale sample entropy computations were performed; the same MSE values as those in the preceding study (Chapter 2) were utilised. Multiscale sample entropy was previously computed for each channel and time scale (ranging from 1 to 20). This resulted in a matrix of participants multiplied by 32 (representing the number of channels) multiplied by 20 (representing the time scale) multiplied by the number of epochs. This analysis was conducted separately for each diagnostic group and both the eyes open and closed conditions. </w:t>
      </w:r>
    </w:p>
    <w:p w14:paraId="1C5651C7" w14:textId="77777777" w:rsidR="008F330E" w:rsidRPr="008F4E90" w:rsidRDefault="008F330E" w:rsidP="008F330E">
      <w:pPr>
        <w:spacing w:line="480" w:lineRule="auto"/>
        <w:rPr>
          <w:rFonts w:asciiTheme="majorBidi" w:eastAsia="Times New Roman" w:hAnsiTheme="majorBidi" w:cstheme="majorBidi"/>
          <w:sz w:val="24"/>
          <w:szCs w:val="24"/>
        </w:rPr>
      </w:pPr>
    </w:p>
    <w:p w14:paraId="368C025B"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Correlation between age and multiscale sample entropy in different regions, diagnosis groups and eye conditions</w:t>
      </w:r>
    </w:p>
    <w:p w14:paraId="34432657"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Multiscale sample entropy was averaged across three time scale subgroups (i.e., fine, mid, and coarse) and brain regions (i.e., frontal, central and parietal-occipital) in both ASC and neurotypical control groups during both eyes open and eyes closed conditions. This resulted in a matrix of participants multiplied by three (representing the time scale) and three (representing the brain region). The correlation between age and sample entropy across participants in each condition mentioned above was examined using Pearson’s correlation with the built-in function </w:t>
      </w:r>
      <w:proofErr w:type="spellStart"/>
      <w:r w:rsidRPr="008F4E90">
        <w:rPr>
          <w:rFonts w:asciiTheme="majorBidi" w:eastAsia="Times New Roman" w:hAnsiTheme="majorBidi" w:cstheme="majorBidi"/>
          <w:i/>
          <w:sz w:val="24"/>
          <w:szCs w:val="24"/>
        </w:rPr>
        <w:t>cor.test</w:t>
      </w:r>
      <w:proofErr w:type="spellEnd"/>
      <w:r w:rsidRPr="008F4E90">
        <w:rPr>
          <w:rFonts w:asciiTheme="majorBidi" w:eastAsia="Times New Roman" w:hAnsiTheme="majorBidi" w:cstheme="majorBidi"/>
          <w:sz w:val="24"/>
          <w:szCs w:val="24"/>
        </w:rPr>
        <w:t xml:space="preserve"> in </w:t>
      </w:r>
      <w:r w:rsidRPr="008F4E90">
        <w:rPr>
          <w:rFonts w:asciiTheme="majorBidi" w:eastAsia="Times New Roman" w:hAnsiTheme="majorBidi" w:cstheme="majorBidi"/>
          <w:i/>
          <w:sz w:val="24"/>
          <w:szCs w:val="24"/>
        </w:rPr>
        <w:t>R</w:t>
      </w:r>
      <w:r w:rsidRPr="008F4E90">
        <w:rPr>
          <w:rFonts w:asciiTheme="majorBidi" w:eastAsia="Times New Roman" w:hAnsiTheme="majorBidi" w:cstheme="majorBidi"/>
          <w:sz w:val="24"/>
          <w:szCs w:val="24"/>
        </w:rPr>
        <w:t>. Only the correlation coefficients of this analysis are illustrated in Figure 1.</w:t>
      </w:r>
    </w:p>
    <w:p w14:paraId="0F22A3D0"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3EF30BA0"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Statistical analysis across Age subgroups within and between diagnosis groups</w:t>
      </w:r>
    </w:p>
    <w:p w14:paraId="0D11C149"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Like the previous chapter (Chapter 2), the present study employed a rigorous statistical evaluation involving channel-wise analyses. These analyses encompassed two-sample t-tests across time scales, diagnostic groups, and eye conditions. To effectively maintain family-wise alpha at 0.05 and control Type I error rates for multiple comparisons across all cephalic channels and entropy time scale factors, threshold-free cluster enhancement (TFCE) with permutation was applied. This was executed using the </w:t>
      </w:r>
      <w:proofErr w:type="spellStart"/>
      <w:r w:rsidRPr="008F4E90">
        <w:rPr>
          <w:rFonts w:asciiTheme="majorBidi" w:eastAsia="Times New Roman" w:hAnsiTheme="majorBidi" w:cstheme="majorBidi"/>
          <w:i/>
          <w:sz w:val="24"/>
          <w:szCs w:val="24"/>
        </w:rPr>
        <w:t>ept_TFCE</w:t>
      </w:r>
      <w:proofErr w:type="spellEnd"/>
      <w:r w:rsidRPr="008F4E90">
        <w:rPr>
          <w:rFonts w:asciiTheme="majorBidi" w:eastAsia="Times New Roman" w:hAnsiTheme="majorBidi" w:cstheme="majorBidi"/>
          <w:i/>
          <w:sz w:val="24"/>
          <w:szCs w:val="24"/>
        </w:rPr>
        <w:t xml:space="preserve"> </w:t>
      </w:r>
      <w:r w:rsidRPr="008F4E90">
        <w:rPr>
          <w:rFonts w:asciiTheme="majorBidi" w:eastAsia="Times New Roman" w:hAnsiTheme="majorBidi" w:cstheme="majorBidi"/>
          <w:sz w:val="24"/>
          <w:szCs w:val="24"/>
        </w:rPr>
        <w:t>function sourced from the TFCE toolbox (</w:t>
      </w:r>
      <w:hyperlink r:id="rId709">
        <w:r w:rsidRPr="008F4E90">
          <w:rPr>
            <w:rFonts w:asciiTheme="majorBidi" w:eastAsia="Times New Roman" w:hAnsiTheme="majorBidi" w:cstheme="majorBidi"/>
            <w:sz w:val="24"/>
            <w:szCs w:val="24"/>
          </w:rPr>
          <w:t>https://github.com/Mensen/ept_TFCE-matlab</w:t>
        </w:r>
      </w:hyperlink>
      <w:r w:rsidRPr="008F4E90">
        <w:rPr>
          <w:rFonts w:asciiTheme="majorBidi" w:eastAsia="Times New Roman" w:hAnsiTheme="majorBidi" w:cstheme="majorBidi"/>
          <w:sz w:val="24"/>
          <w:szCs w:val="24"/>
        </w:rPr>
        <w:t>).</w:t>
      </w:r>
    </w:p>
    <w:p w14:paraId="7D30BDEB" w14:textId="77777777" w:rsidR="008F330E" w:rsidRPr="008F4E90" w:rsidRDefault="008F330E" w:rsidP="008F330E">
      <w:pPr>
        <w:spacing w:line="480" w:lineRule="auto"/>
        <w:rPr>
          <w:rFonts w:asciiTheme="majorBidi" w:eastAsia="Times New Roman" w:hAnsiTheme="majorBidi" w:cstheme="majorBidi"/>
          <w:sz w:val="24"/>
          <w:szCs w:val="24"/>
        </w:rPr>
      </w:pPr>
    </w:p>
    <w:p w14:paraId="51F2ED9C" w14:textId="77777777" w:rsidR="008F330E" w:rsidRPr="008F4E90" w:rsidRDefault="008F330E" w:rsidP="008F330E">
      <w:pPr>
        <w:spacing w:line="480" w:lineRule="auto"/>
        <w:jc w:val="center"/>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Results</w:t>
      </w:r>
    </w:p>
    <w:p w14:paraId="6F9262A5"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Result of Correlation between MSE and age for </w:t>
      </w:r>
      <w:proofErr w:type="spellStart"/>
      <w:r w:rsidRPr="008F4E90">
        <w:rPr>
          <w:rFonts w:asciiTheme="majorBidi" w:eastAsia="Times New Roman" w:hAnsiTheme="majorBidi" w:cstheme="majorBidi"/>
          <w:b/>
          <w:sz w:val="24"/>
          <w:szCs w:val="24"/>
        </w:rPr>
        <w:t>rs</w:t>
      </w:r>
      <w:proofErr w:type="spellEnd"/>
      <w:r w:rsidRPr="008F4E90">
        <w:rPr>
          <w:rFonts w:asciiTheme="majorBidi" w:eastAsia="Times New Roman" w:hAnsiTheme="majorBidi" w:cstheme="majorBidi"/>
          <w:b/>
          <w:sz w:val="24"/>
          <w:szCs w:val="24"/>
        </w:rPr>
        <w:t>-EEG dataset</w:t>
      </w:r>
    </w:p>
    <w:p w14:paraId="5DDF4023" w14:textId="77777777" w:rsidR="008F330E" w:rsidRPr="008F4E90" w:rsidRDefault="008F330E" w:rsidP="00894065">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Based on the correlation heatmap presented in Figure 1, it is evident that the correlation between sample entropy and age demonstrates similarities across diagnosis groups and eye conditions in the central and parietal-occipital regions. However, in the frontal region, a notable difference is observed. Specifically, at the eyes-open condition, regardless of the diagnosis group, the correlation becomes weaker with increasing time scales (represented on the x-axis) from fine to coarse. Conversely, the </w:t>
      </w:r>
      <w:r w:rsidRPr="008F4E90">
        <w:rPr>
          <w:rFonts w:asciiTheme="majorBidi" w:eastAsia="Times New Roman" w:hAnsiTheme="majorBidi" w:cstheme="majorBidi"/>
          <w:sz w:val="24"/>
          <w:szCs w:val="24"/>
        </w:rPr>
        <w:lastRenderedPageBreak/>
        <w:t>correlation remains consistent with increasing time scales in the control group at the eyes closed condition. However, in the ASC group at the eyes-closed condition, this correlation weakens.</w:t>
      </w:r>
    </w:p>
    <w:p w14:paraId="58AC63A4" w14:textId="77777777" w:rsidR="008F330E" w:rsidRPr="008F4E90" w:rsidRDefault="008F330E" w:rsidP="008F330E">
      <w:pPr>
        <w:spacing w:line="480" w:lineRule="auto"/>
        <w:ind w:hanging="283"/>
        <w:rPr>
          <w:rFonts w:asciiTheme="majorBidi" w:eastAsia="Times New Roman" w:hAnsiTheme="majorBidi" w:cstheme="majorBidi"/>
          <w:b/>
          <w:sz w:val="24"/>
          <w:szCs w:val="24"/>
        </w:rPr>
      </w:pPr>
      <w:r w:rsidRPr="008F4E90">
        <w:rPr>
          <w:rFonts w:asciiTheme="majorBidi" w:eastAsia="Times New Roman" w:hAnsiTheme="majorBidi" w:cstheme="majorBidi"/>
          <w:sz w:val="24"/>
          <w:szCs w:val="24"/>
        </w:rPr>
        <w:t xml:space="preserve">  </w:t>
      </w:r>
      <w:r w:rsidRPr="008F4E90">
        <w:rPr>
          <w:rFonts w:asciiTheme="majorBidi" w:eastAsia="Times New Roman" w:hAnsiTheme="majorBidi" w:cstheme="majorBidi"/>
          <w:b/>
          <w:sz w:val="24"/>
          <w:szCs w:val="24"/>
        </w:rPr>
        <w:t xml:space="preserve">  Figure 1</w:t>
      </w:r>
    </w:p>
    <w:p w14:paraId="68777E1E" w14:textId="77777777" w:rsidR="008F330E" w:rsidRPr="008F4E90" w:rsidRDefault="008F330E" w:rsidP="008F330E">
      <w:pPr>
        <w:spacing w:line="480" w:lineRule="auto"/>
        <w:ind w:hanging="283"/>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anchor distT="0" distB="0" distL="114300" distR="114300" simplePos="0" relativeHeight="251670528" behindDoc="0" locked="0" layoutInCell="1" allowOverlap="1" wp14:anchorId="0678C19C" wp14:editId="61A82D1A">
            <wp:simplePos x="0" y="0"/>
            <wp:positionH relativeFrom="margin">
              <wp:align>center</wp:align>
            </wp:positionH>
            <wp:positionV relativeFrom="paragraph">
              <wp:posOffset>449580</wp:posOffset>
            </wp:positionV>
            <wp:extent cx="5731200" cy="4292600"/>
            <wp:effectExtent l="0" t="0" r="3175" b="0"/>
            <wp:wrapTopAndBottom/>
            <wp:docPr id="86" name="Picture 8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0">
                      <a:extLst>
                        <a:ext uri="{28A0092B-C50C-407E-A947-70E740481C1C}">
                          <a14:useLocalDpi xmlns:a14="http://schemas.microsoft.com/office/drawing/2010/main" val="0"/>
                        </a:ext>
                      </a:extLst>
                    </a:blip>
                    <a:srcRect/>
                    <a:stretch>
                      <a:fillRect/>
                    </a:stretch>
                  </pic:blipFill>
                  <pic:spPr>
                    <a:xfrm>
                      <a:off x="0" y="0"/>
                      <a:ext cx="5731200" cy="4292600"/>
                    </a:xfrm>
                    <a:prstGeom prst="rect">
                      <a:avLst/>
                    </a:prstGeom>
                    <a:ln/>
                  </pic:spPr>
                </pic:pic>
              </a:graphicData>
            </a:graphic>
          </wp:anchor>
        </w:drawing>
      </w:r>
      <w:r w:rsidRPr="008F4E90">
        <w:rPr>
          <w:rFonts w:asciiTheme="majorBidi" w:eastAsia="Times New Roman" w:hAnsiTheme="majorBidi" w:cstheme="majorBidi"/>
          <w:sz w:val="24"/>
          <w:szCs w:val="24"/>
        </w:rPr>
        <w:t xml:space="preserve">   </w:t>
      </w:r>
      <w:r w:rsidRPr="008F4E90">
        <w:rPr>
          <w:rFonts w:asciiTheme="majorBidi" w:eastAsia="Times New Roman" w:hAnsiTheme="majorBidi" w:cstheme="majorBidi"/>
          <w:i/>
          <w:sz w:val="24"/>
          <w:szCs w:val="24"/>
        </w:rPr>
        <w:t xml:space="preserve"> Correlation heatmap reporting Pearson’s correlation coefficients for each comparison across subjects. </w:t>
      </w:r>
    </w:p>
    <w:p w14:paraId="4B2E222F" w14:textId="77777777" w:rsidR="008F330E" w:rsidRPr="008F4E90" w:rsidRDefault="008F330E" w:rsidP="008F330E">
      <w:pPr>
        <w:spacing w:line="480" w:lineRule="auto"/>
        <w:ind w:hanging="283"/>
        <w:rPr>
          <w:rFonts w:asciiTheme="majorBidi" w:eastAsia="Times New Roman" w:hAnsiTheme="majorBidi" w:cstheme="majorBidi"/>
          <w:sz w:val="24"/>
          <w:szCs w:val="24"/>
        </w:rPr>
      </w:pPr>
    </w:p>
    <w:p w14:paraId="43E24462" w14:textId="77777777" w:rsidR="008F330E" w:rsidRPr="008F4E90" w:rsidRDefault="008F330E" w:rsidP="008F330E">
      <w:pPr>
        <w:spacing w:line="480" w:lineRule="auto"/>
        <w:ind w:hanging="283"/>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 xml:space="preserve">     Note. </w:t>
      </w:r>
      <w:r w:rsidRPr="008F4E90">
        <w:rPr>
          <w:rFonts w:asciiTheme="majorBidi" w:eastAsia="Times New Roman" w:hAnsiTheme="majorBidi" w:cstheme="majorBidi"/>
          <w:sz w:val="24"/>
          <w:szCs w:val="24"/>
        </w:rPr>
        <w:t xml:space="preserve">These comparisons are conducted across various brain regions (i.e., frontal, central and parietal-occipital), displayed in panels from bottom to top. Additionally, correlations are assessed on each time scale (i.e., fine, </w:t>
      </w:r>
      <w:r w:rsidR="003C001C" w:rsidRPr="008F4E90">
        <w:rPr>
          <w:rFonts w:asciiTheme="majorBidi" w:eastAsia="Times New Roman" w:hAnsiTheme="majorBidi" w:cstheme="majorBidi"/>
          <w:sz w:val="24"/>
          <w:szCs w:val="24"/>
        </w:rPr>
        <w:t>mid,</w:t>
      </w:r>
      <w:r w:rsidRPr="008F4E90">
        <w:rPr>
          <w:rFonts w:asciiTheme="majorBidi" w:eastAsia="Times New Roman" w:hAnsiTheme="majorBidi" w:cstheme="majorBidi"/>
          <w:sz w:val="24"/>
          <w:szCs w:val="24"/>
        </w:rPr>
        <w:t xml:space="preserve"> and coarse), shown in panels from left to right. In each square cell, the correlations are computed for the ASC group during eyes-open conditions (ASC EO), the CON group during eyes-open </w:t>
      </w:r>
      <w:r w:rsidR="003C001C" w:rsidRPr="008F4E90">
        <w:rPr>
          <w:rFonts w:asciiTheme="majorBidi" w:eastAsia="Times New Roman" w:hAnsiTheme="majorBidi" w:cstheme="majorBidi"/>
          <w:sz w:val="24"/>
          <w:szCs w:val="24"/>
        </w:rPr>
        <w:t>conditions (</w:t>
      </w:r>
      <w:r w:rsidRPr="008F4E90">
        <w:rPr>
          <w:rFonts w:asciiTheme="majorBidi" w:eastAsia="Times New Roman" w:hAnsiTheme="majorBidi" w:cstheme="majorBidi"/>
          <w:sz w:val="24"/>
          <w:szCs w:val="24"/>
        </w:rPr>
        <w:t xml:space="preserve">CON EO), the ASC group during eyes-closed conditions (ASC EC), and the CON group during eyes-closed conditions (CON EC). The bar on the right side of the map indicates the colour legend of Pearson’s correlation coefficients (r). Deeper colours indicate stronger correlations. Correlation </w:t>
      </w:r>
      <w:r w:rsidRPr="008F4E90">
        <w:rPr>
          <w:rFonts w:asciiTheme="majorBidi" w:eastAsia="Times New Roman" w:hAnsiTheme="majorBidi" w:cstheme="majorBidi"/>
          <w:sz w:val="24"/>
          <w:szCs w:val="24"/>
        </w:rPr>
        <w:lastRenderedPageBreak/>
        <w:t>coefficient values are displayed on each cell, with black denoting a significant correlation (</w:t>
      </w:r>
      <w:r w:rsidRPr="003C001C">
        <w:rPr>
          <w:rFonts w:asciiTheme="majorBidi" w:eastAsia="Times New Roman" w:hAnsiTheme="majorBidi" w:cstheme="majorBidi"/>
          <w:i/>
          <w:iCs/>
          <w:sz w:val="24"/>
          <w:szCs w:val="24"/>
        </w:rPr>
        <w:t>p</w:t>
      </w:r>
      <w:r w:rsidRPr="008F4E90">
        <w:rPr>
          <w:rFonts w:asciiTheme="majorBidi" w:eastAsia="Times New Roman" w:hAnsiTheme="majorBidi" w:cstheme="majorBidi"/>
          <w:sz w:val="24"/>
          <w:szCs w:val="24"/>
        </w:rPr>
        <w:t xml:space="preserve"> &lt;0.05, uncorrected), while white signifies an insignificant correlation.</w:t>
      </w:r>
    </w:p>
    <w:p w14:paraId="5A663F3D"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Channel-wise Results obtained from the TFCE method</w:t>
      </w:r>
    </w:p>
    <w:p w14:paraId="1F94E69F"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Upon further analysis of age subgroups, the relationship between age and sample entropy is observed in terms of the quantity and intensity of each electrode, as indicated by the TFCE index obtained through the threshold-free cluster enhancement (TFCE) method.</w:t>
      </w:r>
    </w:p>
    <w:p w14:paraId="2E6024F9"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Firstly, a set of comparisons were executed among three different age subgroups (Age 1, Age 2, and Age 3 groups) within the ASC group and the neurotypical control group separately. The outcomes of these comparisons are depicted in Figure 2. A notable finding emerges a considerably larger increase in multiscale sample entropy among the older age group (Age 3 group) compared to the younger age group (Age 1 group) in the control group, in contrast to the ASC group. This observation is depicted in the left bottom plot of the heatmaps for each group. This consistent pattern persists across the contingent age subgroups (i.e., Age 1 and Age 2 and Age 2 and Age 3 subgroups), even though the age gaps between these subgroups are relatively narrower. This indicates a positive correlation between age and multiscale sample entropy among neurotypical controls. However, this age-related positive trend in multiscale sample entropy is noticeably less prominent in the ASC groups.</w:t>
      </w:r>
    </w:p>
    <w:p w14:paraId="39773BAD"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Furthermore, the distinctions between the eyes-open and closed conditions are not observable within the control group, except for the frontal region. Nonetheless, these differences are slightly more evident in the ASC group. Specifically, the number of electrodes and the associated magnitude exhibiting age-differentiated sample entropy is greater in the eyes-open condition compared to the eyes-closed condition within the ASC group.</w:t>
      </w:r>
    </w:p>
    <w:p w14:paraId="2E391FCF"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6086185F"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1361DBFE"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2C414CD5"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602D4BA3"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 xml:space="preserve">Figure 2 </w:t>
      </w:r>
    </w:p>
    <w:p w14:paraId="44BB9843" w14:textId="77777777" w:rsidR="008F330E" w:rsidRPr="008F4E90" w:rsidRDefault="008F330E" w:rsidP="008F330E">
      <w:pPr>
        <w:spacing w:line="480" w:lineRule="auto"/>
        <w:rPr>
          <w:rFonts w:asciiTheme="majorBidi" w:eastAsia="Times New Roman" w:hAnsiTheme="majorBidi" w:cstheme="majorBidi"/>
          <w:b/>
          <w:i/>
          <w:sz w:val="24"/>
          <w:szCs w:val="24"/>
        </w:rPr>
      </w:pPr>
      <w:r w:rsidRPr="008F4E90">
        <w:rPr>
          <w:rFonts w:asciiTheme="majorBidi" w:eastAsia="Times New Roman" w:hAnsiTheme="majorBidi" w:cstheme="majorBidi"/>
          <w:noProof/>
          <w:sz w:val="24"/>
          <w:szCs w:val="24"/>
        </w:rPr>
        <w:drawing>
          <wp:anchor distT="0" distB="0" distL="114300" distR="114300" simplePos="0" relativeHeight="251671552" behindDoc="0" locked="0" layoutInCell="1" allowOverlap="1" wp14:anchorId="0BD71777" wp14:editId="2D7B33A1">
            <wp:simplePos x="0" y="0"/>
            <wp:positionH relativeFrom="margin">
              <wp:align>right</wp:align>
            </wp:positionH>
            <wp:positionV relativeFrom="paragraph">
              <wp:posOffset>796290</wp:posOffset>
            </wp:positionV>
            <wp:extent cx="6543675" cy="4457700"/>
            <wp:effectExtent l="0" t="0" r="9525" b="0"/>
            <wp:wrapTopAndBottom/>
            <wp:docPr id="87" name="Picture 87"/>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a:xfrm>
                      <a:off x="0" y="0"/>
                      <a:ext cx="6543675" cy="4457700"/>
                    </a:xfrm>
                    <a:prstGeom prst="rect">
                      <a:avLst/>
                    </a:prstGeom>
                    <a:ln/>
                  </pic:spPr>
                </pic:pic>
              </a:graphicData>
            </a:graphic>
            <wp14:sizeRelH relativeFrom="margin">
              <wp14:pctWidth>0</wp14:pctWidth>
            </wp14:sizeRelH>
            <wp14:sizeRelV relativeFrom="margin">
              <wp14:pctHeight>0</wp14:pctHeight>
            </wp14:sizeRelV>
          </wp:anchor>
        </w:drawing>
      </w:r>
      <w:r w:rsidRPr="008F4E90">
        <w:rPr>
          <w:rFonts w:asciiTheme="majorBidi" w:eastAsia="Times New Roman" w:hAnsiTheme="majorBidi" w:cstheme="majorBidi"/>
          <w:i/>
          <w:sz w:val="24"/>
          <w:szCs w:val="24"/>
        </w:rPr>
        <w:t>Pairwise age group contrasts for each scalp electrode and time scale factor for different diagnosis groups (i.e., ASC and CON groups) and eye conditions (i.e., eyes-</w:t>
      </w:r>
      <w:r w:rsidR="003C001C" w:rsidRPr="008F4E90">
        <w:rPr>
          <w:rFonts w:asciiTheme="majorBidi" w:eastAsia="Times New Roman" w:hAnsiTheme="majorBidi" w:cstheme="majorBidi"/>
          <w:i/>
          <w:sz w:val="24"/>
          <w:szCs w:val="24"/>
        </w:rPr>
        <w:t>open,</w:t>
      </w:r>
      <w:r w:rsidRPr="008F4E90">
        <w:rPr>
          <w:rFonts w:asciiTheme="majorBidi" w:eastAsia="Times New Roman" w:hAnsiTheme="majorBidi" w:cstheme="majorBidi"/>
          <w:i/>
          <w:sz w:val="24"/>
          <w:szCs w:val="24"/>
        </w:rPr>
        <w:t xml:space="preserve"> and eyes-closed condition) respectively. </w:t>
      </w:r>
    </w:p>
    <w:p w14:paraId="6BCD1954"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Hot colours indicate higher levels of multiscale sample entropy in the older group when considering a specific contrast (such as Age 1 vs. Age 2). These comparisons have been masked for significance using the Threshold Free Cluster Enhancement with 2,500 random permutations between subjects. </w:t>
      </w:r>
    </w:p>
    <w:p w14:paraId="3651A74C"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Note: F = frontal; C = </w:t>
      </w:r>
      <w:r w:rsidR="003C001C" w:rsidRPr="008F4E90">
        <w:rPr>
          <w:rFonts w:asciiTheme="majorBidi" w:eastAsia="Times New Roman" w:hAnsiTheme="majorBidi" w:cstheme="majorBidi"/>
          <w:sz w:val="24"/>
          <w:szCs w:val="24"/>
        </w:rPr>
        <w:t>central; P-O</w:t>
      </w:r>
      <w:r w:rsidRPr="008F4E90">
        <w:rPr>
          <w:rFonts w:asciiTheme="majorBidi" w:eastAsia="Times New Roman" w:hAnsiTheme="majorBidi" w:cstheme="majorBidi"/>
          <w:sz w:val="24"/>
          <w:szCs w:val="24"/>
        </w:rPr>
        <w:t xml:space="preserve"> = parietal-occipital.</w:t>
      </w:r>
    </w:p>
    <w:p w14:paraId="758BEB25"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Secondly, comparisons were performed between diagnostic groups (ASC and CON groups) within three age subgroups and under different eye conditions. The results of these comparisons are presented in Figure 3. It is worth noting that the group differences in multiscale sample entropy are only seen at the eyes-closed condition and within the Age 2 subgroup.</w:t>
      </w:r>
    </w:p>
    <w:p w14:paraId="13C8D0CC" w14:textId="77777777" w:rsidR="008F330E" w:rsidRPr="008F4E90" w:rsidRDefault="008F330E" w:rsidP="008F330E">
      <w:pPr>
        <w:spacing w:line="480" w:lineRule="auto"/>
        <w:ind w:firstLine="720"/>
        <w:rPr>
          <w:rFonts w:asciiTheme="majorBidi" w:eastAsia="Times New Roman" w:hAnsiTheme="majorBidi" w:cstheme="majorBidi"/>
          <w:sz w:val="24"/>
          <w:szCs w:val="24"/>
        </w:rPr>
      </w:pPr>
    </w:p>
    <w:p w14:paraId="19FEDA62"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3</w:t>
      </w:r>
    </w:p>
    <w:p w14:paraId="610CA4E3" w14:textId="77777777" w:rsidR="008F330E" w:rsidRPr="008F4E90" w:rsidRDefault="008F330E" w:rsidP="008F330E">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noProof/>
          <w:sz w:val="24"/>
          <w:szCs w:val="24"/>
        </w:rPr>
        <w:drawing>
          <wp:anchor distT="0" distB="0" distL="114300" distR="114300" simplePos="0" relativeHeight="251672576" behindDoc="0" locked="0" layoutInCell="1" allowOverlap="1" wp14:anchorId="3D14F665" wp14:editId="683D4ACB">
            <wp:simplePos x="0" y="0"/>
            <wp:positionH relativeFrom="margin">
              <wp:align>center</wp:align>
            </wp:positionH>
            <wp:positionV relativeFrom="paragraph">
              <wp:posOffset>710565</wp:posOffset>
            </wp:positionV>
            <wp:extent cx="5900420" cy="3837305"/>
            <wp:effectExtent l="0" t="0" r="5080" b="0"/>
            <wp:wrapTopAndBottom/>
            <wp:docPr id="88" name="Picture 88"/>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12" cstate="print">
                      <a:extLst>
                        <a:ext uri="{28A0092B-C50C-407E-A947-70E740481C1C}">
                          <a14:useLocalDpi xmlns:a14="http://schemas.microsoft.com/office/drawing/2010/main" val="0"/>
                        </a:ext>
                      </a:extLst>
                    </a:blip>
                    <a:srcRect b="7650"/>
                    <a:stretch>
                      <a:fillRect/>
                    </a:stretch>
                  </pic:blipFill>
                  <pic:spPr>
                    <a:xfrm>
                      <a:off x="0" y="0"/>
                      <a:ext cx="5900420" cy="3837305"/>
                    </a:xfrm>
                    <a:prstGeom prst="rect">
                      <a:avLst/>
                    </a:prstGeom>
                    <a:ln/>
                  </pic:spPr>
                </pic:pic>
              </a:graphicData>
            </a:graphic>
          </wp:anchor>
        </w:drawing>
      </w:r>
      <w:r w:rsidRPr="008F4E90">
        <w:rPr>
          <w:rFonts w:asciiTheme="majorBidi" w:eastAsia="Times New Roman" w:hAnsiTheme="majorBidi" w:cstheme="majorBidi"/>
          <w:i/>
          <w:sz w:val="24"/>
          <w:szCs w:val="24"/>
        </w:rPr>
        <w:t>Pairwise diagnosis group contrasts for each scalp electrode and time scale factor for different age subgroups and eye conditions respectively.</w:t>
      </w:r>
    </w:p>
    <w:p w14:paraId="3D1E76A6"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Cold colours indicate lower levels of multiscale sample entropy in the ASC group compared to the CON group. These comparisons have been masked for significance using the Threshold Free Cluster Enhancement with 2500 random between-subjects permutations. F = frontal; C = </w:t>
      </w:r>
      <w:r w:rsidR="003C001C" w:rsidRPr="008F4E90">
        <w:rPr>
          <w:rFonts w:asciiTheme="majorBidi" w:eastAsia="Times New Roman" w:hAnsiTheme="majorBidi" w:cstheme="majorBidi"/>
          <w:sz w:val="24"/>
          <w:szCs w:val="24"/>
        </w:rPr>
        <w:t>central; P-O</w:t>
      </w:r>
      <w:r w:rsidRPr="008F4E90">
        <w:rPr>
          <w:rFonts w:asciiTheme="majorBidi" w:eastAsia="Times New Roman" w:hAnsiTheme="majorBidi" w:cstheme="majorBidi"/>
          <w:sz w:val="24"/>
          <w:szCs w:val="24"/>
        </w:rPr>
        <w:t xml:space="preserve"> = parietal-occipital.</w:t>
      </w:r>
    </w:p>
    <w:p w14:paraId="54BAA482"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Data from the fMRI project (Chapter 3)</w:t>
      </w:r>
    </w:p>
    <w:p w14:paraId="1745DFC7"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No new data was collected, and the fMRI data utilised in this Chapter was the same as those used in the prior study (Chapter 3). Only the dataset collected under the eyes-open condition was included in this phase due to the restricted sample size available for the dataset under the eyes-closed condition. Participants included children and adolescents aged 7.13-42.33 in ASC and 7.19-39.39 in neurotypical control groups. The entire dataset was divided into three distinct age categories to understand how age influences multiscale sample entropy in distinguishing individuals with and without ASC. The first </w:t>
      </w:r>
      <w:r w:rsidRPr="008F4E90">
        <w:rPr>
          <w:rFonts w:asciiTheme="majorBidi" w:eastAsia="Times New Roman" w:hAnsiTheme="majorBidi" w:cstheme="majorBidi"/>
          <w:sz w:val="24"/>
          <w:szCs w:val="24"/>
        </w:rPr>
        <w:lastRenderedPageBreak/>
        <w:t>category consisted of individuals whose quantiles fell within the range of 0 to 0.3333. The second category encompassed individuals with quantiles ranging from 0.3333 to 0.6666. Lastly, the third category comprised individuals with quantiles between 0.6666 and 1, as shown in Table 2.</w:t>
      </w:r>
    </w:p>
    <w:p w14:paraId="6EA692E2"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Table 2 </w:t>
      </w:r>
    </w:p>
    <w:p w14:paraId="075DCDC8" w14:textId="77777777" w:rsidR="008F330E" w:rsidRPr="008F4E90" w:rsidRDefault="008F330E" w:rsidP="008F330E">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 xml:space="preserve">Age Ranges in Age Subgroups in ASC and CON Participants for the </w:t>
      </w:r>
      <w:r w:rsidR="003C001C">
        <w:rPr>
          <w:rFonts w:asciiTheme="majorBidi" w:eastAsia="Times New Roman" w:hAnsiTheme="majorBidi" w:cstheme="majorBidi"/>
          <w:i/>
          <w:sz w:val="24"/>
          <w:szCs w:val="24"/>
        </w:rPr>
        <w:t>fMRI</w:t>
      </w:r>
      <w:r w:rsidRPr="008F4E90">
        <w:rPr>
          <w:rFonts w:asciiTheme="majorBidi" w:eastAsia="Times New Roman" w:hAnsiTheme="majorBidi" w:cstheme="majorBidi"/>
          <w:i/>
          <w:sz w:val="24"/>
          <w:szCs w:val="24"/>
        </w:rPr>
        <w:t xml:space="preserve"> study</w:t>
      </w:r>
    </w:p>
    <w:tbl>
      <w:tblPr>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395"/>
        <w:gridCol w:w="2475"/>
        <w:gridCol w:w="2775"/>
        <w:gridCol w:w="1620"/>
      </w:tblGrid>
      <w:tr w:rsidR="008F4E90" w:rsidRPr="008F4E90" w14:paraId="43BBEF2E" w14:textId="77777777" w:rsidTr="008F330E">
        <w:tc>
          <w:tcPr>
            <w:tcW w:w="1200" w:type="dxa"/>
            <w:tcBorders>
              <w:left w:val="single" w:sz="8" w:space="0" w:color="FFFFFF"/>
              <w:right w:val="single" w:sz="8" w:space="0" w:color="FFFFFF"/>
            </w:tcBorders>
            <w:shd w:val="clear" w:color="auto" w:fill="auto"/>
            <w:tcMar>
              <w:top w:w="100" w:type="dxa"/>
              <w:left w:w="100" w:type="dxa"/>
              <w:bottom w:w="100" w:type="dxa"/>
              <w:right w:w="100" w:type="dxa"/>
            </w:tcMar>
          </w:tcPr>
          <w:p w14:paraId="34AC37DD"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Group</w:t>
            </w:r>
          </w:p>
        </w:tc>
        <w:tc>
          <w:tcPr>
            <w:tcW w:w="1395" w:type="dxa"/>
            <w:tcBorders>
              <w:left w:val="single" w:sz="8" w:space="0" w:color="FFFFFF"/>
              <w:right w:val="single" w:sz="8" w:space="0" w:color="FFFFFF"/>
            </w:tcBorders>
            <w:shd w:val="clear" w:color="auto" w:fill="auto"/>
            <w:tcMar>
              <w:top w:w="100" w:type="dxa"/>
              <w:left w:w="100" w:type="dxa"/>
              <w:bottom w:w="100" w:type="dxa"/>
              <w:right w:w="100" w:type="dxa"/>
            </w:tcMar>
          </w:tcPr>
          <w:p w14:paraId="4DE7FAB1"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w:t>
            </w:r>
          </w:p>
        </w:tc>
        <w:tc>
          <w:tcPr>
            <w:tcW w:w="2475" w:type="dxa"/>
            <w:tcBorders>
              <w:left w:val="single" w:sz="8" w:space="0" w:color="FFFFFF"/>
              <w:right w:val="single" w:sz="8" w:space="0" w:color="FFFFFF"/>
            </w:tcBorders>
            <w:shd w:val="clear" w:color="auto" w:fill="auto"/>
            <w:tcMar>
              <w:top w:w="100" w:type="dxa"/>
              <w:left w:w="100" w:type="dxa"/>
              <w:bottom w:w="100" w:type="dxa"/>
              <w:right w:w="100" w:type="dxa"/>
            </w:tcMar>
          </w:tcPr>
          <w:p w14:paraId="5789373C"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in Year</w:t>
            </w:r>
          </w:p>
          <w:p w14:paraId="4618D7F5"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M(SD)</w:t>
            </w:r>
          </w:p>
        </w:tc>
        <w:tc>
          <w:tcPr>
            <w:tcW w:w="2775" w:type="dxa"/>
            <w:tcBorders>
              <w:left w:val="single" w:sz="8" w:space="0" w:color="FFFFFF"/>
              <w:right w:val="single" w:sz="8" w:space="0" w:color="FFFFFF"/>
            </w:tcBorders>
            <w:shd w:val="clear" w:color="auto" w:fill="auto"/>
            <w:tcMar>
              <w:top w:w="100" w:type="dxa"/>
              <w:left w:w="100" w:type="dxa"/>
              <w:bottom w:w="100" w:type="dxa"/>
              <w:right w:w="100" w:type="dxa"/>
            </w:tcMar>
          </w:tcPr>
          <w:p w14:paraId="42219FB4"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Range (min-max)</w:t>
            </w:r>
          </w:p>
        </w:tc>
        <w:tc>
          <w:tcPr>
            <w:tcW w:w="1620" w:type="dxa"/>
            <w:tcBorders>
              <w:left w:val="single" w:sz="8" w:space="0" w:color="FFFFFF"/>
              <w:right w:val="single" w:sz="8" w:space="0" w:color="FFFFFF"/>
            </w:tcBorders>
            <w:shd w:val="clear" w:color="auto" w:fill="auto"/>
            <w:tcMar>
              <w:top w:w="100" w:type="dxa"/>
              <w:left w:w="100" w:type="dxa"/>
              <w:bottom w:w="100" w:type="dxa"/>
              <w:right w:w="100" w:type="dxa"/>
            </w:tcMar>
          </w:tcPr>
          <w:p w14:paraId="1EF8A418"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Sample size</w:t>
            </w:r>
          </w:p>
        </w:tc>
      </w:tr>
      <w:tr w:rsidR="008F4E90" w:rsidRPr="008F4E90" w14:paraId="6984AC05" w14:textId="77777777" w:rsidTr="008F330E">
        <w:tc>
          <w:tcPr>
            <w:tcW w:w="1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D395F9"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ASC</w:t>
            </w:r>
          </w:p>
        </w:tc>
        <w:tc>
          <w:tcPr>
            <w:tcW w:w="139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2D3844"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1</w:t>
            </w:r>
          </w:p>
        </w:tc>
        <w:tc>
          <w:tcPr>
            <w:tcW w:w="24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D45522"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10.62 (7.13)</w:t>
            </w:r>
          </w:p>
        </w:tc>
        <w:tc>
          <w:tcPr>
            <w:tcW w:w="27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D2B752"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7.13 - 12.8</w:t>
            </w:r>
          </w:p>
        </w:tc>
        <w:tc>
          <w:tcPr>
            <w:tcW w:w="162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CF8095"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59</w:t>
            </w:r>
          </w:p>
        </w:tc>
      </w:tr>
      <w:tr w:rsidR="008F4E90" w:rsidRPr="008F4E90" w14:paraId="2EDEB3FB" w14:textId="77777777" w:rsidTr="008F330E">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C823A2" w14:textId="77777777" w:rsidR="008F330E" w:rsidRPr="008F4E90" w:rsidRDefault="008F330E" w:rsidP="00ED0B86">
            <w:pPr>
              <w:widowControl w:val="0"/>
              <w:spacing w:line="480" w:lineRule="auto"/>
              <w:rPr>
                <w:rFonts w:asciiTheme="majorBidi" w:eastAsia="Times New Roman" w:hAnsiTheme="majorBidi" w:cstheme="majorBidi"/>
                <w:sz w:val="24"/>
                <w:szCs w:val="24"/>
              </w:rPr>
            </w:pP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0BB78D"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2</w:t>
            </w:r>
          </w:p>
        </w:tc>
        <w:tc>
          <w:tcPr>
            <w:tcW w:w="24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8D4A74"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14.76 (12.90)</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6E20C0"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12.9-16.61</w:t>
            </w:r>
          </w:p>
        </w:tc>
        <w:tc>
          <w:tcPr>
            <w:tcW w:w="16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EB5313"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59</w:t>
            </w:r>
          </w:p>
        </w:tc>
      </w:tr>
      <w:tr w:rsidR="008F4E90" w:rsidRPr="008F4E90" w14:paraId="075C5DF5" w14:textId="77777777" w:rsidTr="008F330E">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AB60E0" w14:textId="77777777" w:rsidR="008F330E" w:rsidRPr="008F4E90" w:rsidRDefault="008F330E" w:rsidP="00ED0B86">
            <w:pPr>
              <w:widowControl w:val="0"/>
              <w:spacing w:line="480" w:lineRule="auto"/>
              <w:rPr>
                <w:rFonts w:asciiTheme="majorBidi" w:eastAsia="Times New Roman" w:hAnsiTheme="majorBidi" w:cstheme="majorBidi"/>
                <w:sz w:val="24"/>
                <w:szCs w:val="24"/>
              </w:rPr>
            </w:pP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B05029"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3</w:t>
            </w:r>
          </w:p>
        </w:tc>
        <w:tc>
          <w:tcPr>
            <w:tcW w:w="24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00061E"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23.51 (16.64)</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F782D7"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16.64-42.33</w:t>
            </w:r>
          </w:p>
        </w:tc>
        <w:tc>
          <w:tcPr>
            <w:tcW w:w="16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63590F"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59</w:t>
            </w:r>
          </w:p>
        </w:tc>
      </w:tr>
      <w:tr w:rsidR="008F4E90" w:rsidRPr="008F4E90" w14:paraId="75889C00" w14:textId="77777777" w:rsidTr="008F330E">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8D3ABF"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CON</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139AD0"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1</w:t>
            </w:r>
          </w:p>
        </w:tc>
        <w:tc>
          <w:tcPr>
            <w:tcW w:w="24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26E6EB" w14:textId="77777777" w:rsidR="008F330E" w:rsidRPr="008F4E90" w:rsidRDefault="003C001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10.42 (</w:t>
            </w:r>
            <w:r w:rsidR="008F330E" w:rsidRPr="008F4E90">
              <w:rPr>
                <w:rFonts w:asciiTheme="majorBidi" w:eastAsia="Times New Roman" w:hAnsiTheme="majorBidi" w:cstheme="majorBidi"/>
                <w:sz w:val="24"/>
                <w:szCs w:val="24"/>
              </w:rPr>
              <w:t>7.19)</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75988C"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7.19-12.8 </w:t>
            </w:r>
          </w:p>
        </w:tc>
        <w:tc>
          <w:tcPr>
            <w:tcW w:w="16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69D7CD"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66</w:t>
            </w:r>
          </w:p>
        </w:tc>
      </w:tr>
      <w:tr w:rsidR="008F4E90" w:rsidRPr="008F4E90" w14:paraId="747468BF" w14:textId="77777777" w:rsidTr="008F330E">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D5A59D" w14:textId="77777777" w:rsidR="008F330E" w:rsidRPr="008F4E90" w:rsidRDefault="008F330E" w:rsidP="00ED0B86">
            <w:pPr>
              <w:widowControl w:val="0"/>
              <w:spacing w:line="480" w:lineRule="auto"/>
              <w:rPr>
                <w:rFonts w:asciiTheme="majorBidi" w:eastAsia="Times New Roman" w:hAnsiTheme="majorBidi" w:cstheme="majorBidi"/>
                <w:sz w:val="24"/>
                <w:szCs w:val="24"/>
              </w:rPr>
            </w:pP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3F2404"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2</w:t>
            </w:r>
          </w:p>
        </w:tc>
        <w:tc>
          <w:tcPr>
            <w:tcW w:w="24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559F33" w14:textId="77777777" w:rsidR="008F330E" w:rsidRPr="008F4E90" w:rsidRDefault="003C001C"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14.68 (</w:t>
            </w:r>
            <w:r w:rsidR="008F330E" w:rsidRPr="008F4E90">
              <w:rPr>
                <w:rFonts w:asciiTheme="majorBidi" w:eastAsia="Times New Roman" w:hAnsiTheme="majorBidi" w:cstheme="majorBidi"/>
                <w:sz w:val="24"/>
                <w:szCs w:val="24"/>
              </w:rPr>
              <w:t>12.9)</w:t>
            </w:r>
          </w:p>
        </w:tc>
        <w:tc>
          <w:tcPr>
            <w:tcW w:w="27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C910A9"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12.9-16.6 </w:t>
            </w:r>
          </w:p>
        </w:tc>
        <w:tc>
          <w:tcPr>
            <w:tcW w:w="16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9118E2"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79</w:t>
            </w:r>
          </w:p>
        </w:tc>
      </w:tr>
      <w:tr w:rsidR="008F4E90" w:rsidRPr="008F4E90" w14:paraId="3FD466B1" w14:textId="77777777" w:rsidTr="008F330E">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0E34EA4" w14:textId="77777777" w:rsidR="008F330E" w:rsidRPr="008F4E90" w:rsidRDefault="008F330E" w:rsidP="00ED0B86">
            <w:pPr>
              <w:widowControl w:val="0"/>
              <w:spacing w:line="480" w:lineRule="auto"/>
              <w:rPr>
                <w:rFonts w:asciiTheme="majorBidi" w:eastAsia="Times New Roman" w:hAnsiTheme="majorBidi" w:cstheme="majorBidi"/>
                <w:sz w:val="24"/>
                <w:szCs w:val="24"/>
              </w:rPr>
            </w:pPr>
          </w:p>
        </w:tc>
        <w:tc>
          <w:tcPr>
            <w:tcW w:w="139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B4CA8BF"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Age group 3</w:t>
            </w:r>
          </w:p>
        </w:tc>
        <w:tc>
          <w:tcPr>
            <w:tcW w:w="24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6F25F95"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21.93 (16.66)</w:t>
            </w:r>
          </w:p>
        </w:tc>
        <w:tc>
          <w:tcPr>
            <w:tcW w:w="27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B49B9CE"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16.66-39.39</w:t>
            </w:r>
          </w:p>
        </w:tc>
        <w:tc>
          <w:tcPr>
            <w:tcW w:w="162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66A1C81" w14:textId="77777777" w:rsidR="008F330E" w:rsidRPr="008F4E90" w:rsidRDefault="008F330E" w:rsidP="00ED0B86">
            <w:pPr>
              <w:widowControl w:val="0"/>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72</w:t>
            </w:r>
          </w:p>
        </w:tc>
      </w:tr>
    </w:tbl>
    <w:p w14:paraId="5274685F"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Numeric values indicate mean (standard deviation), minimum - maximum.</w:t>
      </w:r>
    </w:p>
    <w:p w14:paraId="56D4D6B5" w14:textId="77777777" w:rsidR="008F330E" w:rsidRPr="008F4E90" w:rsidRDefault="008F330E" w:rsidP="008F330E">
      <w:pPr>
        <w:spacing w:line="480" w:lineRule="auto"/>
        <w:rPr>
          <w:rFonts w:asciiTheme="majorBidi" w:eastAsia="Times New Roman" w:hAnsiTheme="majorBidi" w:cstheme="majorBidi"/>
          <w:sz w:val="24"/>
          <w:szCs w:val="24"/>
        </w:rPr>
      </w:pPr>
    </w:p>
    <w:p w14:paraId="3E3DC18F" w14:textId="77777777" w:rsidR="008F330E" w:rsidRPr="008F4E90" w:rsidRDefault="008F330E" w:rsidP="008F330E">
      <w:pPr>
        <w:spacing w:line="480" w:lineRule="auto"/>
        <w:rPr>
          <w:rFonts w:asciiTheme="majorBidi" w:eastAsia="Times New Roman" w:hAnsiTheme="majorBidi" w:cstheme="majorBidi"/>
          <w:sz w:val="24"/>
          <w:szCs w:val="24"/>
        </w:rPr>
      </w:pPr>
    </w:p>
    <w:p w14:paraId="623762B0"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Multiscale Sample Entropy Analysis and Statistical Assessment across Age Subgroups</w:t>
      </w:r>
    </w:p>
    <w:p w14:paraId="01D1EEAE"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No additional multiscale sample entropy computations were performed; the same MSE values as those in the preceding study (Chapter 3) were utilised. Each participant has a standardised multiscale sample entropy brain map for each time scale factor (i.e., 1-5). These maps served as input files for correlating age and MSE.</w:t>
      </w:r>
    </w:p>
    <w:p w14:paraId="6DBE3C89"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Voxel-wise Pearson's correlation between age and multiscale sample entropy</w:t>
      </w:r>
    </w:p>
    <w:p w14:paraId="36253DDF"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To investigate the relationship between multiscale sample entropy and chronological age, a series of the voxel-wise Pearson's correlation between age and standardised sample entropy was conducted for each time scale factor using the function</w:t>
      </w:r>
      <w:r w:rsidRPr="008F4E90">
        <w:rPr>
          <w:rFonts w:asciiTheme="majorBidi" w:eastAsia="Times New Roman" w:hAnsiTheme="majorBidi" w:cstheme="majorBidi"/>
          <w:b/>
          <w:sz w:val="24"/>
          <w:szCs w:val="24"/>
        </w:rPr>
        <w:t xml:space="preserve"> </w:t>
      </w:r>
      <w:proofErr w:type="spellStart"/>
      <w:r w:rsidRPr="008F4E90">
        <w:rPr>
          <w:rFonts w:asciiTheme="majorBidi" w:eastAsia="Times New Roman" w:hAnsiTheme="majorBidi" w:cstheme="majorBidi"/>
          <w:b/>
          <w:i/>
          <w:sz w:val="24"/>
          <w:szCs w:val="24"/>
        </w:rPr>
        <w:t>y_Correlation_Image</w:t>
      </w:r>
      <w:proofErr w:type="spellEnd"/>
      <w:r w:rsidRPr="008F4E90">
        <w:rPr>
          <w:rFonts w:asciiTheme="majorBidi" w:eastAsia="Times New Roman" w:hAnsiTheme="majorBidi" w:cstheme="majorBidi"/>
          <w:b/>
          <w:sz w:val="24"/>
          <w:szCs w:val="24"/>
        </w:rPr>
        <w:t xml:space="preserve"> </w:t>
      </w:r>
      <w:r w:rsidRPr="008F4E90">
        <w:rPr>
          <w:rFonts w:asciiTheme="majorBidi" w:eastAsia="Times New Roman" w:hAnsiTheme="majorBidi" w:cstheme="majorBidi"/>
          <w:sz w:val="24"/>
          <w:szCs w:val="24"/>
        </w:rPr>
        <w:t xml:space="preserve">at each time scale (1-5) respectively. A permutation test with Threshold-Free Cluster Enhancement (TFCE) was applied to achieve a balance between test-retest reliability and family-wise error rate (under 5%) </w:t>
      </w:r>
      <w:hyperlink r:id="rId713">
        <w:r w:rsidRPr="008F4E90">
          <w:rPr>
            <w:rFonts w:asciiTheme="majorBidi" w:eastAsia="Times New Roman" w:hAnsiTheme="majorBidi" w:cstheme="majorBidi"/>
            <w:sz w:val="24"/>
            <w:szCs w:val="24"/>
          </w:rPr>
          <w:t>(Chen et al., 2018)</w:t>
        </w:r>
      </w:hyperlink>
      <w:r w:rsidRPr="008F4E90">
        <w:rPr>
          <w:rFonts w:asciiTheme="majorBidi" w:eastAsia="Times New Roman" w:hAnsiTheme="majorBidi" w:cstheme="majorBidi"/>
          <w:sz w:val="24"/>
          <w:szCs w:val="24"/>
        </w:rPr>
        <w:t xml:space="preserve">. This written </w:t>
      </w:r>
      <w:proofErr w:type="spellStart"/>
      <w:r w:rsidRPr="008F4E90">
        <w:rPr>
          <w:rFonts w:asciiTheme="majorBidi" w:eastAsia="Times New Roman" w:hAnsiTheme="majorBidi" w:cstheme="majorBidi"/>
          <w:sz w:val="24"/>
          <w:szCs w:val="24"/>
        </w:rPr>
        <w:t>Matlab</w:t>
      </w:r>
      <w:proofErr w:type="spellEnd"/>
      <w:r w:rsidRPr="008F4E90">
        <w:rPr>
          <w:rFonts w:asciiTheme="majorBidi" w:eastAsia="Times New Roman" w:hAnsiTheme="majorBidi" w:cstheme="majorBidi"/>
          <w:sz w:val="24"/>
          <w:szCs w:val="24"/>
        </w:rPr>
        <w:t xml:space="preserve"> script is sourced from the DPABI toolbox </w:t>
      </w:r>
      <w:hyperlink r:id="rId714">
        <w:r w:rsidRPr="008F4E90">
          <w:rPr>
            <w:rFonts w:asciiTheme="majorBidi" w:eastAsia="Times New Roman" w:hAnsiTheme="majorBidi" w:cstheme="majorBidi"/>
            <w:sz w:val="24"/>
            <w:szCs w:val="24"/>
          </w:rPr>
          <w:t>(Yan et al., 2016)</w:t>
        </w:r>
      </w:hyperlink>
      <w:r w:rsidRPr="008F4E90">
        <w:rPr>
          <w:rFonts w:asciiTheme="majorBidi" w:eastAsia="Times New Roman" w:hAnsiTheme="majorBidi" w:cstheme="majorBidi"/>
          <w:sz w:val="24"/>
          <w:szCs w:val="24"/>
        </w:rPr>
        <w:t xml:space="preserve"> integrating PALM(Permutation Analysis of Linear Models) </w:t>
      </w:r>
      <w:hyperlink r:id="rId715">
        <w:r w:rsidRPr="008F4E90">
          <w:rPr>
            <w:rFonts w:asciiTheme="majorBidi" w:eastAsia="Times New Roman" w:hAnsiTheme="majorBidi" w:cstheme="majorBidi"/>
            <w:sz w:val="24"/>
            <w:szCs w:val="24"/>
          </w:rPr>
          <w:t>(Winkler et al., 2016)</w:t>
        </w:r>
      </w:hyperlink>
      <w:r w:rsidRPr="008F4E90">
        <w:rPr>
          <w:rFonts w:asciiTheme="majorBidi" w:eastAsia="Times New Roman" w:hAnsiTheme="majorBidi" w:cstheme="majorBidi"/>
          <w:sz w:val="24"/>
          <w:szCs w:val="24"/>
        </w:rPr>
        <w:t>, which is publicly accessible through GitHub (</w:t>
      </w:r>
      <w:hyperlink r:id="rId716">
        <w:r w:rsidRPr="008F4E90">
          <w:rPr>
            <w:rFonts w:asciiTheme="majorBidi" w:eastAsia="Times New Roman" w:hAnsiTheme="majorBidi" w:cstheme="majorBidi"/>
            <w:sz w:val="24"/>
            <w:szCs w:val="24"/>
          </w:rPr>
          <w:t>https://github.com/Chaogan-Yan/DPABI</w:t>
        </w:r>
      </w:hyperlink>
      <w:r w:rsidRPr="008F4E90">
        <w:rPr>
          <w:rFonts w:asciiTheme="majorBidi" w:eastAsia="Times New Roman" w:hAnsiTheme="majorBidi" w:cstheme="majorBidi"/>
          <w:sz w:val="24"/>
          <w:szCs w:val="24"/>
        </w:rPr>
        <w:t xml:space="preserve">). This statistical process was run using the High-Performance Computing resources provided by the University of Sheffield's </w:t>
      </w:r>
      <w:proofErr w:type="spellStart"/>
      <w:r w:rsidRPr="008F4E90">
        <w:rPr>
          <w:rFonts w:asciiTheme="majorBidi" w:eastAsia="Times New Roman" w:hAnsiTheme="majorBidi" w:cstheme="majorBidi"/>
          <w:sz w:val="24"/>
          <w:szCs w:val="24"/>
        </w:rPr>
        <w:t>ShARC</w:t>
      </w:r>
      <w:proofErr w:type="spellEnd"/>
      <w:r w:rsidRPr="008F4E90">
        <w:rPr>
          <w:rFonts w:asciiTheme="majorBidi" w:eastAsia="Times New Roman" w:hAnsiTheme="majorBidi" w:cstheme="majorBidi"/>
          <w:sz w:val="24"/>
          <w:szCs w:val="24"/>
        </w:rPr>
        <w:t xml:space="preserve"> (Sheffield Advanced Research Computer) infrastructure. The outcomes of this analysis are illustrated in Figure 4.</w:t>
      </w:r>
    </w:p>
    <w:p w14:paraId="4DC3665B" w14:textId="77777777" w:rsidR="008F330E" w:rsidRPr="008F4E90" w:rsidRDefault="008F330E" w:rsidP="008F330E">
      <w:pPr>
        <w:spacing w:line="480" w:lineRule="auto"/>
        <w:ind w:left="-566"/>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 xml:space="preserve">          </w:t>
      </w:r>
    </w:p>
    <w:p w14:paraId="5C3AA2CC"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508461F9"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01AF5C96"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3F7F92C6"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1C2E9D30"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4350EA18"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12316247"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0B94032E" w14:textId="77777777" w:rsidR="008F330E" w:rsidRPr="008F4E90" w:rsidRDefault="008F330E" w:rsidP="008F330E">
      <w:pPr>
        <w:spacing w:line="480" w:lineRule="auto"/>
        <w:ind w:left="-566"/>
        <w:rPr>
          <w:rFonts w:asciiTheme="majorBidi" w:eastAsia="Times New Roman" w:hAnsiTheme="majorBidi" w:cstheme="majorBidi"/>
          <w:b/>
          <w:sz w:val="24"/>
          <w:szCs w:val="24"/>
        </w:rPr>
      </w:pPr>
    </w:p>
    <w:p w14:paraId="484AB6D4" w14:textId="77777777" w:rsidR="008F330E" w:rsidRDefault="008F330E" w:rsidP="00894065">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4</w:t>
      </w:r>
    </w:p>
    <w:p w14:paraId="7554C8EA" w14:textId="77777777" w:rsidR="00287A24" w:rsidRPr="00894065" w:rsidRDefault="00415BCD" w:rsidP="00894065">
      <w:pPr>
        <w:spacing w:line="480" w:lineRule="auto"/>
        <w:rPr>
          <w:rFonts w:asciiTheme="majorBidi" w:eastAsia="Times New Roman" w:hAnsiTheme="majorBidi" w:cstheme="majorBidi"/>
          <w:sz w:val="24"/>
          <w:szCs w:val="24"/>
        </w:rPr>
      </w:pPr>
      <w:r w:rsidRPr="00415BCD">
        <w:rPr>
          <w:rFonts w:asciiTheme="majorBidi" w:eastAsia="Times New Roman" w:hAnsiTheme="majorBidi" w:cstheme="majorBidi"/>
          <w:noProof/>
          <w:sz w:val="24"/>
          <w:szCs w:val="24"/>
        </w:rPr>
        <mc:AlternateContent>
          <mc:Choice Requires="wps">
            <w:drawing>
              <wp:anchor distT="45720" distB="45720" distL="114300" distR="114300" simplePos="0" relativeHeight="251683840" behindDoc="0" locked="0" layoutInCell="1" allowOverlap="1" wp14:anchorId="126B403D" wp14:editId="378C2C9E">
                <wp:simplePos x="0" y="0"/>
                <wp:positionH relativeFrom="column">
                  <wp:posOffset>514350</wp:posOffset>
                </wp:positionH>
                <wp:positionV relativeFrom="paragraph">
                  <wp:posOffset>7588885</wp:posOffset>
                </wp:positionV>
                <wp:extent cx="1724025" cy="2667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66700"/>
                        </a:xfrm>
                        <a:prstGeom prst="rect">
                          <a:avLst/>
                        </a:prstGeom>
                        <a:noFill/>
                        <a:ln w="9525">
                          <a:noFill/>
                          <a:miter lim="800000"/>
                          <a:headEnd/>
                          <a:tailEnd/>
                        </a:ln>
                      </wps:spPr>
                      <wps:txbx>
                        <w:txbxContent>
                          <w:p w14:paraId="327CB5D4" w14:textId="77777777" w:rsidR="00415BCD" w:rsidRPr="00415BCD" w:rsidRDefault="00415BCD" w:rsidP="00415BCD">
                            <w:pPr>
                              <w:rPr>
                                <w:rFonts w:ascii="Calibri" w:hAnsi="Calibri" w:cs="Calibri"/>
                                <w:b/>
                                <w:bCs/>
                                <w:i/>
                                <w:iCs/>
                                <w:sz w:val="28"/>
                                <w:szCs w:val="28"/>
                              </w:rPr>
                            </w:pPr>
                            <w:r>
                              <w:rPr>
                                <w:rFonts w:ascii="Calibri" w:hAnsi="Calibri" w:cs="Calibri"/>
                                <w:b/>
                                <w:bCs/>
                                <w:i/>
                                <w:iCs/>
                                <w:sz w:val="28"/>
                                <w:szCs w:val="2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B403D" id="_x0000_s1027" type="#_x0000_t202" style="position:absolute;margin-left:40.5pt;margin-top:597.55pt;width:135.75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" filled="f" stroked="f">
                <v:textbox>
                  <w:txbxContent>
                    <w:p w14:paraId="327CB5D4" w14:textId="77777777" w:rsidR="00415BCD" w:rsidRPr="00415BCD" w:rsidRDefault="00415BCD" w:rsidP="00415BCD">
                      <w:pPr>
                        <w:rPr>
                          <w:rFonts w:ascii="Calibri" w:hAnsi="Calibri" w:cs="Calibri"/>
                          <w:b/>
                          <w:bCs/>
                          <w:i/>
                          <w:iCs/>
                          <w:sz w:val="28"/>
                          <w:szCs w:val="28"/>
                        </w:rPr>
                      </w:pPr>
                      <w:r>
                        <w:rPr>
                          <w:rFonts w:ascii="Calibri" w:hAnsi="Calibri" w:cs="Calibri"/>
                          <w:b/>
                          <w:bCs/>
                          <w:i/>
                          <w:iCs/>
                          <w:sz w:val="28"/>
                          <w:szCs w:val="28"/>
                        </w:rPr>
                        <w:t>R</w:t>
                      </w:r>
                    </w:p>
                  </w:txbxContent>
                </v:textbox>
                <w10:wrap type="square"/>
              </v:shape>
            </w:pict>
          </mc:Fallback>
        </mc:AlternateContent>
      </w:r>
      <w:r w:rsidR="00894065" w:rsidRPr="00894065">
        <w:rPr>
          <w:rFonts w:asciiTheme="majorBidi" w:eastAsia="Times New Roman" w:hAnsiTheme="majorBidi" w:cstheme="majorBidi"/>
          <w:i/>
          <w:sz w:val="24"/>
          <w:szCs w:val="24"/>
        </w:rPr>
        <w:t>Brain maps of Pearson's correlation coefficients between age and standardised sample entropy, corrected by permutation test with threshold-free cluster enhancement, with voxel level: p &lt; .05.</w:t>
      </w:r>
      <w:r w:rsidR="008F330E" w:rsidRPr="008F4E90">
        <w:rPr>
          <w:rFonts w:asciiTheme="majorBidi" w:eastAsia="Times New Roman" w:hAnsiTheme="majorBidi" w:cstheme="majorBidi"/>
          <w:noProof/>
          <w:sz w:val="24"/>
          <w:szCs w:val="24"/>
        </w:rPr>
        <w:drawing>
          <wp:anchor distT="0" distB="0" distL="114300" distR="114300" simplePos="0" relativeHeight="251681792" behindDoc="0" locked="0" layoutInCell="1" allowOverlap="1" wp14:anchorId="179875AE" wp14:editId="4EE7443D">
            <wp:simplePos x="0" y="0"/>
            <wp:positionH relativeFrom="column">
              <wp:posOffset>2540</wp:posOffset>
            </wp:positionH>
            <wp:positionV relativeFrom="paragraph">
              <wp:posOffset>701040</wp:posOffset>
            </wp:positionV>
            <wp:extent cx="6038850" cy="7410450"/>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17" cstate="print">
                      <a:extLst>
                        <a:ext uri="{28A0092B-C50C-407E-A947-70E740481C1C}">
                          <a14:useLocalDpi xmlns:a14="http://schemas.microsoft.com/office/drawing/2010/main" val="0"/>
                        </a:ext>
                      </a:extLst>
                    </a:blip>
                    <a:srcRect t="2521" r="6810" b="7168"/>
                    <a:stretch>
                      <a:fillRect/>
                    </a:stretch>
                  </pic:blipFill>
                  <pic:spPr>
                    <a:xfrm>
                      <a:off x="0" y="0"/>
                      <a:ext cx="6038850" cy="7410450"/>
                    </a:xfrm>
                    <a:prstGeom prst="rect">
                      <a:avLst/>
                    </a:prstGeom>
                    <a:ln/>
                  </pic:spPr>
                </pic:pic>
              </a:graphicData>
            </a:graphic>
            <wp14:sizeRelH relativeFrom="page">
              <wp14:pctWidth>0</wp14:pctWidth>
            </wp14:sizeRelH>
            <wp14:sizeRelV relativeFrom="page">
              <wp14:pctHeight>0</wp14:pctHeight>
            </wp14:sizeRelV>
          </wp:anchor>
        </w:drawing>
      </w:r>
      <w:r w:rsidR="008F330E" w:rsidRPr="008F4E90">
        <w:rPr>
          <w:rFonts w:asciiTheme="majorBidi" w:eastAsia="Times New Roman" w:hAnsiTheme="majorBidi" w:cstheme="majorBidi"/>
          <w:i/>
          <w:sz w:val="24"/>
          <w:szCs w:val="24"/>
        </w:rPr>
        <w:t xml:space="preserve">  </w:t>
      </w:r>
    </w:p>
    <w:p w14:paraId="50ACBA69" w14:textId="77777777" w:rsidR="00287A24" w:rsidRPr="00287A24" w:rsidRDefault="00287A24" w:rsidP="00287A24">
      <w:pPr>
        <w:spacing w:line="480" w:lineRule="auto"/>
        <w:rPr>
          <w:rFonts w:ascii="Times New Roman" w:eastAsia="Times New Roman" w:hAnsi="Times New Roman" w:cs="Times New Roman"/>
          <w:color w:val="000000"/>
          <w:sz w:val="24"/>
          <w:szCs w:val="24"/>
        </w:rPr>
      </w:pPr>
      <w:r w:rsidRPr="00287A24">
        <w:rPr>
          <w:rFonts w:ascii="Times New Roman" w:eastAsia="Times New Roman" w:hAnsi="Times New Roman" w:cs="Times New Roman"/>
          <w:i/>
          <w:iCs/>
          <w:color w:val="000000"/>
          <w:sz w:val="24"/>
          <w:szCs w:val="24"/>
        </w:rPr>
        <w:lastRenderedPageBreak/>
        <w:t xml:space="preserve">Note. </w:t>
      </w:r>
      <w:r w:rsidRPr="00287A24">
        <w:rPr>
          <w:rFonts w:ascii="Times New Roman" w:eastAsia="Times New Roman" w:hAnsi="Times New Roman" w:cs="Times New Roman"/>
          <w:color w:val="000000"/>
          <w:sz w:val="24"/>
          <w:szCs w:val="24"/>
        </w:rPr>
        <w:t>This analysis was conducted separately for each time scale factor within the ASC and CON groups. The results were masked using the Threshold-Free Cluster Enhancement (TFCE) method with permutation tests. Hot colour indicates positive correlations.</w:t>
      </w:r>
    </w:p>
    <w:p w14:paraId="0D781C4C" w14:textId="77777777" w:rsidR="00287A24" w:rsidRPr="00287A24" w:rsidRDefault="00287A24" w:rsidP="00287A24">
      <w:pPr>
        <w:spacing w:line="480" w:lineRule="auto"/>
        <w:ind w:firstLine="720"/>
        <w:rPr>
          <w:rFonts w:ascii="Times New Roman" w:eastAsia="Times New Roman" w:hAnsi="Times New Roman" w:cs="Times New Roman"/>
          <w:color w:val="000000"/>
          <w:sz w:val="24"/>
          <w:szCs w:val="24"/>
        </w:rPr>
      </w:pPr>
      <w:r w:rsidRPr="00287A24">
        <w:rPr>
          <w:rFonts w:ascii="Times New Roman" w:eastAsia="Times New Roman" w:hAnsi="Times New Roman" w:cs="Times New Roman"/>
          <w:color w:val="000000"/>
          <w:sz w:val="24"/>
          <w:szCs w:val="24"/>
        </w:rPr>
        <w:t>At scale 1, a positive correlation exists between age and sample entropy within neurotypical participants. In contrast, individuals with ASC exhibit a negative correlation between age and sample entropy in the frontal and occipital regions. Among individuals with ASC, age is only positively correlated with sample entropy in the posterior cingulate cortex. Notably, this positive correlation shifts to a negative trend as the scale increases, a pattern also observable in the posterior cingulate cortex of neurotypical participants. Additionally, neurotypical controls display a positive correlation between age and sample entropy in the superior frontal cortex and occipital regions across most time scale factors. Details of the clusters show significant correlations with age in each time scale illustrated in Table 3, including the located brain region, MNI coordinates, peak intensity in correlation coefficient within the significant cluster and voxel size.</w:t>
      </w:r>
    </w:p>
    <w:p w14:paraId="53E25465" w14:textId="77777777" w:rsidR="008F4E90" w:rsidRPr="008F4E90" w:rsidRDefault="008F4E90" w:rsidP="008F4E90">
      <w:pPr>
        <w:spacing w:line="480" w:lineRule="auto"/>
        <w:rPr>
          <w:rFonts w:ascii="Times New Roman" w:eastAsia="Times New Roman" w:hAnsi="Times New Roman" w:cs="Times New Roman"/>
          <w:sz w:val="24"/>
          <w:szCs w:val="24"/>
        </w:rPr>
      </w:pPr>
      <w:r w:rsidRPr="008F4E90">
        <w:rPr>
          <w:rFonts w:ascii="Times New Roman" w:eastAsia="Times New Roman" w:hAnsi="Times New Roman" w:cs="Times New Roman"/>
          <w:b/>
          <w:bCs/>
          <w:color w:val="000000"/>
          <w:sz w:val="24"/>
          <w:szCs w:val="24"/>
        </w:rPr>
        <w:t>Table 3 </w:t>
      </w:r>
    </w:p>
    <w:p w14:paraId="2CCC76CB" w14:textId="77777777" w:rsidR="008F4E90" w:rsidRPr="008F4E90" w:rsidRDefault="008F4E90" w:rsidP="008F4E90">
      <w:pPr>
        <w:spacing w:line="480" w:lineRule="auto"/>
        <w:rPr>
          <w:rFonts w:ascii="Times New Roman" w:eastAsia="Times New Roman" w:hAnsi="Times New Roman" w:cs="Times New Roman"/>
          <w:sz w:val="24"/>
          <w:szCs w:val="24"/>
        </w:rPr>
      </w:pPr>
      <w:r w:rsidRPr="008F4E90">
        <w:rPr>
          <w:rFonts w:ascii="Times New Roman" w:eastAsia="Times New Roman" w:hAnsi="Times New Roman" w:cs="Times New Roman"/>
          <w:i/>
          <w:iCs/>
          <w:color w:val="000000"/>
          <w:sz w:val="24"/>
          <w:szCs w:val="24"/>
        </w:rPr>
        <w:t>Correlations of Multiscale Sample Entropy with Age in ASC and CON Groups at Different Time Scale Factors (p &lt; .05, corrected by TFCE with permutation test)</w:t>
      </w:r>
    </w:p>
    <w:tbl>
      <w:tblPr>
        <w:tblW w:w="0" w:type="auto"/>
        <w:tblCellMar>
          <w:top w:w="15" w:type="dxa"/>
          <w:left w:w="15" w:type="dxa"/>
          <w:bottom w:w="15" w:type="dxa"/>
          <w:right w:w="15" w:type="dxa"/>
        </w:tblCellMar>
        <w:tblLook w:val="04A0" w:firstRow="1" w:lastRow="0" w:firstColumn="1" w:lastColumn="0" w:noHBand="0" w:noVBand="1"/>
      </w:tblPr>
      <w:tblGrid>
        <w:gridCol w:w="734"/>
        <w:gridCol w:w="881"/>
        <w:gridCol w:w="2796"/>
        <w:gridCol w:w="1878"/>
        <w:gridCol w:w="2202"/>
        <w:gridCol w:w="1700"/>
      </w:tblGrid>
      <w:tr w:rsidR="008F4E90" w:rsidRPr="008F4E90" w14:paraId="106AE090" w14:textId="77777777" w:rsidTr="008F4E90">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3AF603E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b/>
                <w:bCs/>
                <w:color w:val="374151"/>
                <w:sz w:val="24"/>
                <w:szCs w:val="24"/>
              </w:rPr>
              <w:t>Scale</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0B0019D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b/>
                <w:bCs/>
                <w:color w:val="374151"/>
                <w:sz w:val="24"/>
                <w:szCs w:val="24"/>
              </w:rPr>
              <w:t>Group</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1DED43E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b/>
                <w:bCs/>
                <w:color w:val="374151"/>
                <w:sz w:val="24"/>
                <w:szCs w:val="24"/>
              </w:rPr>
              <w:t>Brain Region</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325297C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b/>
                <w:bCs/>
                <w:color w:val="374151"/>
                <w:sz w:val="24"/>
                <w:szCs w:val="24"/>
              </w:rPr>
              <w:t>MNI Coordinates</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2594D91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b/>
                <w:bCs/>
                <w:color w:val="374151"/>
                <w:sz w:val="24"/>
                <w:szCs w:val="24"/>
              </w:rPr>
              <w:t>Peak Intensity R-value</w:t>
            </w:r>
          </w:p>
        </w:tc>
        <w:tc>
          <w:tcPr>
            <w:tcW w:w="0" w:type="auto"/>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hideMark/>
          </w:tcPr>
          <w:p w14:paraId="5A58817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b/>
                <w:bCs/>
                <w:color w:val="374151"/>
                <w:sz w:val="24"/>
                <w:szCs w:val="24"/>
              </w:rPr>
              <w:t>Volume (Voxels)</w:t>
            </w:r>
          </w:p>
        </w:tc>
      </w:tr>
      <w:tr w:rsidR="008F4E90" w:rsidRPr="008F4E90" w14:paraId="1865C625" w14:textId="77777777" w:rsidTr="008F4E90">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F35A83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1</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8840147"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ASC</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B31E7D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Right </w:t>
            </w:r>
            <w:proofErr w:type="spellStart"/>
            <w:r w:rsidRPr="008F4E90">
              <w:rPr>
                <w:rFonts w:ascii="Times New Roman" w:eastAsia="Times New Roman" w:hAnsi="Times New Roman" w:cs="Times New Roman"/>
                <w:color w:val="374151"/>
                <w:sz w:val="24"/>
                <w:szCs w:val="24"/>
              </w:rPr>
              <w:t>Precuneus</w:t>
            </w:r>
            <w:proofErr w:type="spellEnd"/>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49733D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9 -</w:t>
            </w:r>
            <w:r w:rsidR="003C001C" w:rsidRPr="008F4E90">
              <w:rPr>
                <w:rFonts w:ascii="Times New Roman" w:eastAsia="Times New Roman" w:hAnsi="Times New Roman" w:cs="Times New Roman"/>
                <w:color w:val="374151"/>
                <w:sz w:val="24"/>
                <w:szCs w:val="24"/>
              </w:rPr>
              <w:t>81 42</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7AC7CC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-0.43</w:t>
            </w:r>
          </w:p>
        </w:tc>
        <w:tc>
          <w:tcPr>
            <w:tcW w:w="0" w:type="auto"/>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F3B7E37"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315</w:t>
            </w:r>
          </w:p>
        </w:tc>
      </w:tr>
      <w:tr w:rsidR="008F4E90" w:rsidRPr="008F4E90" w14:paraId="1BAC23FA"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36F3BD5"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D570B4F"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F59A0A0"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Medial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C740C8B"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0 57 0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B11F20E"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-0.40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A8000D0"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76</w:t>
            </w:r>
          </w:p>
        </w:tc>
      </w:tr>
      <w:tr w:rsidR="008F4E90" w:rsidRPr="008F4E90" w14:paraId="0347C0A4"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5ECDD67"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AF67901"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C8D0B3B"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Posterior Cingulate</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9F4B78B"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-3 -</w:t>
            </w:r>
            <w:r w:rsidR="003C001C" w:rsidRPr="008F4E90">
              <w:rPr>
                <w:rFonts w:ascii="Times New Roman" w:eastAsia="Times New Roman" w:hAnsi="Times New Roman" w:cs="Times New Roman"/>
                <w:color w:val="374151"/>
                <w:sz w:val="24"/>
                <w:szCs w:val="24"/>
              </w:rPr>
              <w:t>42 21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C32128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7FEC13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39</w:t>
            </w:r>
          </w:p>
        </w:tc>
      </w:tr>
      <w:tr w:rsidR="008F4E90" w:rsidRPr="008F4E90" w14:paraId="37F180D2"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2B5FCB6"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AACC79B"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CON</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1726F0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Middle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E1A6B0E"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 -</w:t>
            </w:r>
            <w:r w:rsidR="003C001C" w:rsidRPr="008F4E90">
              <w:rPr>
                <w:rFonts w:ascii="Times New Roman" w:eastAsia="Times New Roman" w:hAnsi="Times New Roman" w:cs="Times New Roman"/>
                <w:color w:val="374151"/>
                <w:sz w:val="24"/>
                <w:szCs w:val="24"/>
              </w:rPr>
              <w:t>30 51</w:t>
            </w:r>
            <w:r w:rsidRPr="008F4E90">
              <w:rPr>
                <w:rFonts w:ascii="Times New Roman" w:eastAsia="Times New Roman" w:hAnsi="Times New Roman" w:cs="Times New Roman"/>
                <w:color w:val="374151"/>
                <w:sz w:val="24"/>
                <w:szCs w:val="24"/>
              </w:rPr>
              <w:t xml:space="preserve">   6</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68A008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0.28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743326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75</w:t>
            </w:r>
          </w:p>
        </w:tc>
      </w:tr>
      <w:tr w:rsidR="008F4E90" w:rsidRPr="008F4E90" w14:paraId="386542E7"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6E7C53E"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486A3E7"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C4AC09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Posterior Cingulate</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ACB3B5E"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-3 -</w:t>
            </w:r>
            <w:r w:rsidR="003C001C" w:rsidRPr="008F4E90">
              <w:rPr>
                <w:rFonts w:ascii="Times New Roman" w:eastAsia="Times New Roman" w:hAnsi="Times New Roman" w:cs="Times New Roman"/>
                <w:color w:val="374151"/>
                <w:sz w:val="24"/>
                <w:szCs w:val="24"/>
              </w:rPr>
              <w:t>45 18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1B16F2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F02C5A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86</w:t>
            </w:r>
          </w:p>
        </w:tc>
      </w:tr>
      <w:tr w:rsidR="008F4E90" w:rsidRPr="008F4E90" w14:paraId="7B338BE6"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FC46A57"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D305DF4"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391250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Precentral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2460052"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57 -6 36</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286F28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0.36</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E13DDE0"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80</w:t>
            </w:r>
          </w:p>
        </w:tc>
      </w:tr>
      <w:tr w:rsidR="008F4E90" w:rsidRPr="008F4E90" w14:paraId="1559864A"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38AF93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5881DE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ASC</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1EF2B9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F67F41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20B944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1437E8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r>
      <w:tr w:rsidR="008F4E90" w:rsidRPr="008F4E90" w14:paraId="1AB08801"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68193C9"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40F4F4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CON</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A60993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6E39DDE"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52C05E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4EBF20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p>
        </w:tc>
      </w:tr>
      <w:tr w:rsidR="008F4E90" w:rsidRPr="008F4E90" w14:paraId="3ECCA210"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15E4E4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9EDD150"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ASC</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383A38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Postcentral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C2589F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-54 -</w:t>
            </w:r>
            <w:r w:rsidR="003C001C" w:rsidRPr="008F4E90">
              <w:rPr>
                <w:rFonts w:ascii="Times New Roman" w:eastAsia="Times New Roman" w:hAnsi="Times New Roman" w:cs="Times New Roman"/>
                <w:color w:val="374151"/>
                <w:sz w:val="24"/>
                <w:szCs w:val="24"/>
              </w:rPr>
              <w:t>21 33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72A7397"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-0.36</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2A13DC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67</w:t>
            </w:r>
          </w:p>
        </w:tc>
      </w:tr>
      <w:tr w:rsidR="008F4E90" w:rsidRPr="008F4E90" w14:paraId="5A32E816"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B720951"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0DC4988"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DFDCFD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Middle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D1AE7B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r w:rsidR="003C001C" w:rsidRPr="008F4E90">
              <w:rPr>
                <w:rFonts w:ascii="Times New Roman" w:eastAsia="Times New Roman" w:hAnsi="Times New Roman" w:cs="Times New Roman"/>
                <w:color w:val="374151"/>
                <w:sz w:val="24"/>
                <w:szCs w:val="24"/>
              </w:rPr>
              <w:t>21 -6 48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C38EA7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E87C8E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24</w:t>
            </w:r>
          </w:p>
        </w:tc>
      </w:tr>
      <w:tr w:rsidR="008F4E90" w:rsidRPr="008F4E90" w14:paraId="2CB17332"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DFE673C"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3CB616E"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C65A3E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Medial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24CF6A9"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6 -3 54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D9F77E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9C7AFD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29</w:t>
            </w:r>
          </w:p>
        </w:tc>
      </w:tr>
      <w:tr w:rsidR="008F4E90" w:rsidRPr="008F4E90" w14:paraId="60C0DE64"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E9CFF76"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801117B"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CON</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C087DB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Right </w:t>
            </w:r>
            <w:proofErr w:type="spellStart"/>
            <w:r w:rsidRPr="008F4E90">
              <w:rPr>
                <w:rFonts w:ascii="Times New Roman" w:eastAsia="Times New Roman" w:hAnsi="Times New Roman" w:cs="Times New Roman"/>
                <w:color w:val="374151"/>
                <w:sz w:val="24"/>
                <w:szCs w:val="24"/>
              </w:rPr>
              <w:t>Precuneus</w:t>
            </w:r>
            <w:proofErr w:type="spellEnd"/>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CCAB94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0 -</w:t>
            </w:r>
            <w:r w:rsidR="003C001C" w:rsidRPr="008F4E90">
              <w:rPr>
                <w:rFonts w:ascii="Times New Roman" w:eastAsia="Times New Roman" w:hAnsi="Times New Roman" w:cs="Times New Roman"/>
                <w:color w:val="374151"/>
                <w:sz w:val="24"/>
                <w:szCs w:val="24"/>
              </w:rPr>
              <w:t>78 33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831D72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0.29</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B185D5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118</w:t>
            </w:r>
          </w:p>
        </w:tc>
      </w:tr>
      <w:tr w:rsidR="008F4E90" w:rsidRPr="008F4E90" w14:paraId="36A6EE39"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22086BB"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4DD9D10"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4DF1C3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Precentral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E4A6D08"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54 -3 12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84599D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12B569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69</w:t>
            </w:r>
          </w:p>
        </w:tc>
      </w:tr>
      <w:tr w:rsidR="008F4E90" w:rsidRPr="008F4E90" w14:paraId="127D8B39"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D0DE017"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85AB4F6"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ADD1CB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Postcentral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FA30F5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54 -</w:t>
            </w:r>
            <w:r w:rsidR="003C001C" w:rsidRPr="008F4E90">
              <w:rPr>
                <w:rFonts w:ascii="Times New Roman" w:eastAsia="Times New Roman" w:hAnsi="Times New Roman" w:cs="Times New Roman"/>
                <w:color w:val="374151"/>
                <w:sz w:val="24"/>
                <w:szCs w:val="24"/>
              </w:rPr>
              <w:t>18 30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D90504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4656FC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45</w:t>
            </w:r>
          </w:p>
        </w:tc>
      </w:tr>
      <w:tr w:rsidR="008F4E90" w:rsidRPr="008F4E90" w14:paraId="57C1E513"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552B516"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0FA13B8"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4D31DB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Medial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2288F5E"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3 42 48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910AE7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0.40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003402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55</w:t>
            </w:r>
          </w:p>
        </w:tc>
      </w:tr>
      <w:tr w:rsidR="008F4E90" w:rsidRPr="008F4E90" w14:paraId="1515E81F"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47DE4DE"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CC1DFC2"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4B1D76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Precentral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5A1D15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-30 -</w:t>
            </w:r>
            <w:r w:rsidR="003C001C" w:rsidRPr="008F4E90">
              <w:rPr>
                <w:rFonts w:ascii="Times New Roman" w:eastAsia="Times New Roman" w:hAnsi="Times New Roman" w:cs="Times New Roman"/>
                <w:color w:val="374151"/>
                <w:sz w:val="24"/>
                <w:szCs w:val="24"/>
              </w:rPr>
              <w:t>12 57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BE94D5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-0.43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0493F8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107</w:t>
            </w:r>
          </w:p>
        </w:tc>
      </w:tr>
      <w:tr w:rsidR="008F4E90" w:rsidRPr="008F4E90" w14:paraId="72A5FA35"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4769FD8"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5DED440"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08182C8"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Middle</w:t>
            </w:r>
            <w:r w:rsidR="008F4E90" w:rsidRPr="008F4E90">
              <w:rPr>
                <w:rFonts w:ascii="Times New Roman" w:eastAsia="Times New Roman" w:hAnsi="Times New Roman" w:cs="Times New Roman"/>
                <w:color w:val="374151"/>
                <w:sz w:val="24"/>
                <w:szCs w:val="24"/>
              </w:rPr>
              <w:t xml:space="preserve">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3831569"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30 -6 57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6D9466B"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86F589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48</w:t>
            </w:r>
          </w:p>
        </w:tc>
      </w:tr>
      <w:tr w:rsidR="008F4E90" w:rsidRPr="008F4E90" w14:paraId="1052DD79"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47CB84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FB6E49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ASC</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66C82C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Right </w:t>
            </w:r>
            <w:proofErr w:type="spellStart"/>
            <w:r w:rsidRPr="008F4E90">
              <w:rPr>
                <w:rFonts w:ascii="Times New Roman" w:eastAsia="Times New Roman" w:hAnsi="Times New Roman" w:cs="Times New Roman"/>
                <w:color w:val="374151"/>
                <w:sz w:val="24"/>
                <w:szCs w:val="24"/>
              </w:rPr>
              <w:t>Precuneus</w:t>
            </w:r>
            <w:proofErr w:type="spellEnd"/>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BE19A7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9 -</w:t>
            </w:r>
            <w:r w:rsidR="003C001C" w:rsidRPr="008F4E90">
              <w:rPr>
                <w:rFonts w:ascii="Times New Roman" w:eastAsia="Times New Roman" w:hAnsi="Times New Roman" w:cs="Times New Roman"/>
                <w:color w:val="374151"/>
                <w:sz w:val="24"/>
                <w:szCs w:val="24"/>
              </w:rPr>
              <w:t>51 48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8EF3AA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CA991F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61</w:t>
            </w:r>
          </w:p>
        </w:tc>
      </w:tr>
      <w:tr w:rsidR="008F4E90" w:rsidRPr="008F4E90" w14:paraId="2CCD9D18"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6072BEB"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C2CC2B7"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C36D95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Inferior Parietal Lobule</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F3CF05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-51 -</w:t>
            </w:r>
            <w:r w:rsidR="003C001C" w:rsidRPr="008F4E90">
              <w:rPr>
                <w:rFonts w:ascii="Times New Roman" w:eastAsia="Times New Roman" w:hAnsi="Times New Roman" w:cs="Times New Roman"/>
                <w:color w:val="374151"/>
                <w:sz w:val="24"/>
                <w:szCs w:val="24"/>
              </w:rPr>
              <w:t>33 39</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FDD1E9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-0.35</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0EC1AD0"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33</w:t>
            </w:r>
          </w:p>
        </w:tc>
      </w:tr>
      <w:tr w:rsidR="008F4E90" w:rsidRPr="008F4E90" w14:paraId="166656B1"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7105B30"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987267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CON</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0DC726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Inferior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41D05E0"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27 18</w:t>
            </w:r>
            <w:r w:rsidR="008F4E90" w:rsidRPr="008F4E90">
              <w:rPr>
                <w:rFonts w:ascii="Times New Roman" w:eastAsia="Times New Roman" w:hAnsi="Times New Roman" w:cs="Times New Roman"/>
                <w:color w:val="374151"/>
                <w:sz w:val="24"/>
                <w:szCs w:val="24"/>
              </w:rPr>
              <w:t xml:space="preserve"> -12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87727E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-0.35</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E42DEB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55</w:t>
            </w:r>
          </w:p>
        </w:tc>
      </w:tr>
      <w:tr w:rsidR="008F4E90" w:rsidRPr="008F4E90" w14:paraId="14FEF187"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F1879DF"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9085B59"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0A5183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Cuneus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89E8FE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3 -</w:t>
            </w:r>
            <w:r w:rsidR="003C001C" w:rsidRPr="008F4E90">
              <w:rPr>
                <w:rFonts w:ascii="Times New Roman" w:eastAsia="Times New Roman" w:hAnsi="Times New Roman" w:cs="Times New Roman"/>
                <w:color w:val="374151"/>
                <w:sz w:val="24"/>
                <w:szCs w:val="24"/>
              </w:rPr>
              <w:t>87 21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6038B6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0.28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108ADC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76</w:t>
            </w:r>
          </w:p>
        </w:tc>
      </w:tr>
      <w:tr w:rsidR="008F4E90" w:rsidRPr="008F4E90" w14:paraId="515AE4C1"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38479CC"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C4151F6"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0F235D0"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Cingulate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707588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-6 -</w:t>
            </w:r>
            <w:r w:rsidR="003C001C" w:rsidRPr="008F4E90">
              <w:rPr>
                <w:rFonts w:ascii="Times New Roman" w:eastAsia="Times New Roman" w:hAnsi="Times New Roman" w:cs="Times New Roman"/>
                <w:color w:val="374151"/>
                <w:sz w:val="24"/>
                <w:szCs w:val="24"/>
              </w:rPr>
              <w:t>21 30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FDC4FC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1EDF84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33</w:t>
            </w:r>
          </w:p>
        </w:tc>
      </w:tr>
      <w:tr w:rsidR="008F4E90" w:rsidRPr="008F4E90" w14:paraId="594980A5"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706B108"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6C24F7B"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76FF7C7"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Middle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D815BD2"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33 39 30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6AC488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-0.33</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A682B1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38</w:t>
            </w:r>
          </w:p>
        </w:tc>
      </w:tr>
      <w:tr w:rsidR="008F4E90" w:rsidRPr="008F4E90" w14:paraId="306F856D"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3D926BC"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CAFF09B"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4AE635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Middle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12501C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w:t>
            </w:r>
            <w:r w:rsidR="003C001C" w:rsidRPr="008F4E90">
              <w:rPr>
                <w:rFonts w:ascii="Times New Roman" w:eastAsia="Times New Roman" w:hAnsi="Times New Roman" w:cs="Times New Roman"/>
                <w:color w:val="374151"/>
                <w:sz w:val="24"/>
                <w:szCs w:val="24"/>
              </w:rPr>
              <w:t>24 -9 54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3C10F1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-0.40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06CFE9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72</w:t>
            </w:r>
          </w:p>
        </w:tc>
      </w:tr>
      <w:tr w:rsidR="008F4E90" w:rsidRPr="008F4E90" w14:paraId="3D229BD5"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15E84A2"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213131E"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0D13EB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Medial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65EC924" w14:textId="77777777" w:rsidR="008F4E90" w:rsidRPr="008F4E90" w:rsidRDefault="003C001C"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3 42 48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D5756C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AA9BF7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53</w:t>
            </w:r>
          </w:p>
        </w:tc>
      </w:tr>
      <w:tr w:rsidR="008F4E90" w:rsidRPr="008F4E90" w14:paraId="73652597"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3C11A4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lastRenderedPageBreak/>
              <w:t>5</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21A4F8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ASC</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66A460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Cingulate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60EA0FD"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-6 -</w:t>
            </w:r>
            <w:r w:rsidR="003C001C" w:rsidRPr="008F4E90">
              <w:rPr>
                <w:rFonts w:ascii="Times New Roman" w:eastAsia="Times New Roman" w:hAnsi="Times New Roman" w:cs="Times New Roman"/>
                <w:color w:val="374151"/>
                <w:sz w:val="24"/>
                <w:szCs w:val="24"/>
              </w:rPr>
              <w:t>24 30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A42E73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3AC487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44</w:t>
            </w:r>
          </w:p>
        </w:tc>
      </w:tr>
      <w:tr w:rsidR="008F4E90" w:rsidRPr="008F4E90" w14:paraId="21D34E01"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A6017AE"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3793193"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B6F9330"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Cingulate Gyrus </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26EA0E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 9 -</w:t>
            </w:r>
            <w:r w:rsidR="003C001C" w:rsidRPr="008F4E90">
              <w:rPr>
                <w:rFonts w:ascii="Times New Roman" w:eastAsia="Times New Roman" w:hAnsi="Times New Roman" w:cs="Times New Roman"/>
                <w:color w:val="374151"/>
                <w:sz w:val="24"/>
                <w:szCs w:val="24"/>
              </w:rPr>
              <w:t>45 42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91ECF1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-0.35</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DFBD97C"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41</w:t>
            </w:r>
          </w:p>
        </w:tc>
      </w:tr>
      <w:tr w:rsidR="008F4E90" w:rsidRPr="008F4E90" w14:paraId="33FEDC85"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2643BAE"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A52485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CON</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1AE326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Superior Temporal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2D0A2D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30   6 -27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903CA87"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17D6E57"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34</w:t>
            </w:r>
          </w:p>
        </w:tc>
      </w:tr>
      <w:tr w:rsidR="008F4E90" w:rsidRPr="008F4E90" w14:paraId="46C133E2"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35E96C8"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ECB66E5"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C37632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Cuneus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3E330F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 -9 -102    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DDA929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0.27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536149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71</w:t>
            </w:r>
          </w:p>
        </w:tc>
      </w:tr>
      <w:tr w:rsidR="008F4E90" w:rsidRPr="008F4E90" w14:paraId="17FE0B43"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CF03A11"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6F09DA1"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7DC024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Cuneus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E5040F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3 -</w:t>
            </w:r>
            <w:r w:rsidR="003C001C" w:rsidRPr="008F4E90">
              <w:rPr>
                <w:rFonts w:ascii="Times New Roman" w:eastAsia="Times New Roman" w:hAnsi="Times New Roman" w:cs="Times New Roman"/>
                <w:color w:val="374151"/>
                <w:sz w:val="24"/>
                <w:szCs w:val="24"/>
              </w:rPr>
              <w:t>87 21</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7DA635B"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0.30</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022896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73</w:t>
            </w:r>
          </w:p>
        </w:tc>
      </w:tr>
      <w:tr w:rsidR="008F4E90" w:rsidRPr="008F4E90" w14:paraId="30C071A3"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802D0D3"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F11ED11"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DC08AC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Precentral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E98D9D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57   </w:t>
            </w:r>
            <w:r w:rsidR="003C001C" w:rsidRPr="008F4E90">
              <w:rPr>
                <w:rFonts w:ascii="Times New Roman" w:eastAsia="Times New Roman" w:hAnsi="Times New Roman" w:cs="Times New Roman"/>
                <w:color w:val="374151"/>
                <w:sz w:val="24"/>
                <w:szCs w:val="24"/>
              </w:rPr>
              <w:t>0 12</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48E92BD9"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-0.29</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44406A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40</w:t>
            </w:r>
          </w:p>
        </w:tc>
      </w:tr>
      <w:tr w:rsidR="008F4E90" w:rsidRPr="008F4E90" w14:paraId="77BAF91D"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1D457CC"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A39284B"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DCB906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Postcentral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56F7A0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57 -</w:t>
            </w:r>
            <w:r w:rsidR="003C001C" w:rsidRPr="008F4E90">
              <w:rPr>
                <w:rFonts w:ascii="Times New Roman" w:eastAsia="Times New Roman" w:hAnsi="Times New Roman" w:cs="Times New Roman"/>
                <w:color w:val="374151"/>
                <w:sz w:val="24"/>
                <w:szCs w:val="24"/>
              </w:rPr>
              <w:t>18 27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0A8A0BB"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-0.35</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302ADF0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35</w:t>
            </w:r>
          </w:p>
        </w:tc>
      </w:tr>
      <w:tr w:rsidR="008F4E90" w:rsidRPr="008F4E90" w14:paraId="50266A4C"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AF3CB1D"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5C401DB"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B882518"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Posterior Cingulate</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1103F13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 -6 -</w:t>
            </w:r>
            <w:r w:rsidR="003C001C" w:rsidRPr="008F4E90">
              <w:rPr>
                <w:rFonts w:ascii="Times New Roman" w:eastAsia="Times New Roman" w:hAnsi="Times New Roman" w:cs="Times New Roman"/>
                <w:color w:val="374151"/>
                <w:sz w:val="24"/>
                <w:szCs w:val="24"/>
              </w:rPr>
              <w:t>45 18</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5F48DF15"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9A3134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71</w:t>
            </w:r>
          </w:p>
        </w:tc>
      </w:tr>
      <w:tr w:rsidR="008F4E90" w:rsidRPr="008F4E90" w14:paraId="3FF7B48D" w14:textId="77777777" w:rsidTr="008F4E90">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CC8BC99"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6BF8355C"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C240D53"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Left Middle Frontal Gyrus</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7E1FE93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-24 -</w:t>
            </w:r>
            <w:r w:rsidR="003C001C" w:rsidRPr="008F4E90">
              <w:rPr>
                <w:rFonts w:ascii="Times New Roman" w:eastAsia="Times New Roman" w:hAnsi="Times New Roman" w:cs="Times New Roman"/>
                <w:color w:val="374151"/>
                <w:sz w:val="24"/>
                <w:szCs w:val="24"/>
              </w:rPr>
              <w:t>12 54</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2942C86F"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-0.37</w:t>
            </w:r>
          </w:p>
        </w:tc>
        <w:tc>
          <w:tcPr>
            <w:tcW w:w="0" w:type="auto"/>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hideMark/>
          </w:tcPr>
          <w:p w14:paraId="02102212"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86</w:t>
            </w:r>
          </w:p>
        </w:tc>
      </w:tr>
      <w:tr w:rsidR="008F4E90" w:rsidRPr="008F4E90" w14:paraId="29C80CC7" w14:textId="77777777" w:rsidTr="008F4E90">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1CD65EEB"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670411BE" w14:textId="77777777" w:rsidR="008F4E90" w:rsidRPr="008F4E90" w:rsidRDefault="008F4E90" w:rsidP="008F4E90">
            <w:pPr>
              <w:spacing w:line="240" w:lineRule="auto"/>
              <w:rPr>
                <w:rFonts w:ascii="Times New Roman" w:eastAsia="Times New Roman" w:hAnsi="Times New Roman"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2229A4F4"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Right Superior Frontal Gyrus</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32A9F2F1"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 xml:space="preserve">21   </w:t>
            </w:r>
            <w:r w:rsidR="003C001C" w:rsidRPr="008F4E90">
              <w:rPr>
                <w:rFonts w:ascii="Times New Roman" w:eastAsia="Times New Roman" w:hAnsi="Times New Roman" w:cs="Times New Roman"/>
                <w:color w:val="374151"/>
                <w:sz w:val="24"/>
                <w:szCs w:val="24"/>
              </w:rPr>
              <w:t>6 60</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3CD9DA46"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-0.29</w:t>
            </w:r>
          </w:p>
        </w:tc>
        <w:tc>
          <w:tcPr>
            <w:tcW w:w="0" w:type="auto"/>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hideMark/>
          </w:tcPr>
          <w:p w14:paraId="0C97774A" w14:textId="77777777" w:rsidR="008F4E90" w:rsidRPr="008F4E90" w:rsidRDefault="008F4E90" w:rsidP="008F4E90">
            <w:pPr>
              <w:spacing w:before="380" w:after="380" w:line="480" w:lineRule="auto"/>
              <w:jc w:val="center"/>
              <w:rPr>
                <w:rFonts w:ascii="Times New Roman" w:eastAsia="Times New Roman" w:hAnsi="Times New Roman" w:cs="Times New Roman"/>
                <w:sz w:val="24"/>
                <w:szCs w:val="24"/>
              </w:rPr>
            </w:pPr>
            <w:r w:rsidRPr="008F4E90">
              <w:rPr>
                <w:rFonts w:ascii="Times New Roman" w:eastAsia="Times New Roman" w:hAnsi="Times New Roman" w:cs="Times New Roman"/>
                <w:color w:val="374151"/>
                <w:sz w:val="24"/>
                <w:szCs w:val="24"/>
              </w:rPr>
              <w:t>41</w:t>
            </w:r>
          </w:p>
        </w:tc>
      </w:tr>
    </w:tbl>
    <w:p w14:paraId="7A9EFF4A" w14:textId="77777777" w:rsidR="008F4E90" w:rsidRPr="008F4E90" w:rsidRDefault="008F4E90" w:rsidP="008F330E">
      <w:pPr>
        <w:spacing w:line="480" w:lineRule="auto"/>
        <w:rPr>
          <w:rFonts w:asciiTheme="majorBidi" w:eastAsia="Times New Roman" w:hAnsiTheme="majorBidi" w:cstheme="majorBidi"/>
          <w:b/>
          <w:sz w:val="24"/>
          <w:szCs w:val="24"/>
        </w:rPr>
      </w:pPr>
    </w:p>
    <w:p w14:paraId="40B4A149"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Voxel-Level Two-Sample t-Test Comparing ASC and CON within Different Age Subgroups</w:t>
      </w:r>
    </w:p>
    <w:p w14:paraId="6C9C3A78"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A series of comparisons were performed between diagnostic groups (ASC and CON groups) within three different age subgroups. The results of these comparisons are presented in Figures 5 and 6, as well as Tables 4 and 5. The voxel-wise two-sample t-test between diagnosis groups was conducted for each time scale factor using the function </w:t>
      </w:r>
      <w:r w:rsidRPr="008F4E90">
        <w:rPr>
          <w:rFonts w:asciiTheme="majorBidi" w:eastAsia="Times New Roman" w:hAnsiTheme="majorBidi" w:cstheme="majorBidi"/>
          <w:b/>
          <w:i/>
          <w:sz w:val="24"/>
          <w:szCs w:val="24"/>
        </w:rPr>
        <w:t>y_TTest2_Image</w:t>
      </w:r>
      <w:r w:rsidRPr="008F4E90">
        <w:rPr>
          <w:rFonts w:asciiTheme="majorBidi" w:eastAsia="Times New Roman" w:hAnsiTheme="majorBidi" w:cstheme="majorBidi"/>
          <w:sz w:val="24"/>
          <w:szCs w:val="24"/>
        </w:rPr>
        <w:t xml:space="preserve"> at each time scale (1-5), respectively. A permutation test with Threshold-Free Cluster Enhancement (TFCE) was applied to balance test-retest reliability and maintain a family-wise error rate below 5% </w:t>
      </w:r>
      <w:hyperlink r:id="rId718">
        <w:r w:rsidRPr="008F4E90">
          <w:rPr>
            <w:rFonts w:asciiTheme="majorBidi" w:eastAsia="Times New Roman" w:hAnsiTheme="majorBidi" w:cstheme="majorBidi"/>
            <w:sz w:val="24"/>
            <w:szCs w:val="24"/>
          </w:rPr>
          <w:t>(Chen et al., 2018)</w:t>
        </w:r>
      </w:hyperlink>
      <w:r w:rsidRPr="008F4E90">
        <w:rPr>
          <w:rFonts w:asciiTheme="majorBidi" w:eastAsia="Times New Roman" w:hAnsiTheme="majorBidi" w:cstheme="majorBidi"/>
          <w:sz w:val="24"/>
          <w:szCs w:val="24"/>
        </w:rPr>
        <w:t xml:space="preserve">. This written </w:t>
      </w:r>
      <w:proofErr w:type="spellStart"/>
      <w:r w:rsidRPr="008F4E90">
        <w:rPr>
          <w:rFonts w:asciiTheme="majorBidi" w:eastAsia="Times New Roman" w:hAnsiTheme="majorBidi" w:cstheme="majorBidi"/>
          <w:sz w:val="24"/>
          <w:szCs w:val="24"/>
        </w:rPr>
        <w:t>Matlab</w:t>
      </w:r>
      <w:proofErr w:type="spellEnd"/>
      <w:r w:rsidRPr="008F4E90">
        <w:rPr>
          <w:rFonts w:asciiTheme="majorBidi" w:eastAsia="Times New Roman" w:hAnsiTheme="majorBidi" w:cstheme="majorBidi"/>
          <w:sz w:val="24"/>
          <w:szCs w:val="24"/>
        </w:rPr>
        <w:t xml:space="preserve"> script is sourced from the DPABI toolbox </w:t>
      </w:r>
      <w:hyperlink r:id="rId719">
        <w:r w:rsidRPr="008F4E90">
          <w:rPr>
            <w:rFonts w:asciiTheme="majorBidi" w:eastAsia="Times New Roman" w:hAnsiTheme="majorBidi" w:cstheme="majorBidi"/>
            <w:sz w:val="24"/>
            <w:szCs w:val="24"/>
          </w:rPr>
          <w:t>(Yan et al., 2016)</w:t>
        </w:r>
      </w:hyperlink>
      <w:r w:rsidRPr="008F4E90">
        <w:rPr>
          <w:rFonts w:asciiTheme="majorBidi" w:eastAsia="Times New Roman" w:hAnsiTheme="majorBidi" w:cstheme="majorBidi"/>
          <w:sz w:val="24"/>
          <w:szCs w:val="24"/>
        </w:rPr>
        <w:t xml:space="preserve"> integrating PALM(Permutation Analysis of Linear Models) </w:t>
      </w:r>
      <w:hyperlink r:id="rId720">
        <w:r w:rsidRPr="008F4E90">
          <w:rPr>
            <w:rFonts w:asciiTheme="majorBidi" w:eastAsia="Times New Roman" w:hAnsiTheme="majorBidi" w:cstheme="majorBidi"/>
            <w:sz w:val="24"/>
            <w:szCs w:val="24"/>
          </w:rPr>
          <w:t>(Winkler et al., 2016)</w:t>
        </w:r>
      </w:hyperlink>
      <w:r w:rsidRPr="008F4E90">
        <w:rPr>
          <w:rFonts w:asciiTheme="majorBidi" w:eastAsia="Times New Roman" w:hAnsiTheme="majorBidi" w:cstheme="majorBidi"/>
          <w:sz w:val="24"/>
          <w:szCs w:val="24"/>
        </w:rPr>
        <w:t>, which is publicly accessible through GitHub (</w:t>
      </w:r>
      <w:hyperlink r:id="rId721">
        <w:r w:rsidRPr="008F4E90">
          <w:rPr>
            <w:rFonts w:asciiTheme="majorBidi" w:eastAsia="Times New Roman" w:hAnsiTheme="majorBidi" w:cstheme="majorBidi"/>
            <w:sz w:val="24"/>
            <w:szCs w:val="24"/>
          </w:rPr>
          <w:t>https://github.com/Chaogan-Yan/DPABI</w:t>
        </w:r>
      </w:hyperlink>
      <w:r w:rsidRPr="008F4E90">
        <w:rPr>
          <w:rFonts w:asciiTheme="majorBidi" w:eastAsia="Times New Roman" w:hAnsiTheme="majorBidi" w:cstheme="majorBidi"/>
          <w:sz w:val="24"/>
          <w:szCs w:val="24"/>
        </w:rPr>
        <w:t xml:space="preserve">). This statistical process was run using the High-Performance Computing resources provided by the University of Sheffield's </w:t>
      </w:r>
      <w:proofErr w:type="spellStart"/>
      <w:r w:rsidRPr="008F4E90">
        <w:rPr>
          <w:rFonts w:asciiTheme="majorBidi" w:eastAsia="Times New Roman" w:hAnsiTheme="majorBidi" w:cstheme="majorBidi"/>
          <w:sz w:val="24"/>
          <w:szCs w:val="24"/>
        </w:rPr>
        <w:t>ShARC</w:t>
      </w:r>
      <w:proofErr w:type="spellEnd"/>
      <w:r w:rsidRPr="008F4E90">
        <w:rPr>
          <w:rFonts w:asciiTheme="majorBidi" w:eastAsia="Times New Roman" w:hAnsiTheme="majorBidi" w:cstheme="majorBidi"/>
          <w:sz w:val="24"/>
          <w:szCs w:val="24"/>
        </w:rPr>
        <w:t xml:space="preserve"> (Sheffield Advanced Research Computer) infrastructure.</w:t>
      </w:r>
    </w:p>
    <w:p w14:paraId="407BFC57" w14:textId="77777777" w:rsidR="008F330E" w:rsidRPr="008F4E90" w:rsidRDefault="008F330E" w:rsidP="008F4E90">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the previous section (Chapter 3), a decline in MSE is observed at the coarse scale within the medial frontal gyrus among individuals with ASC. Additionally, it has been revealed that this disparity between groups is discernible solely within the youngest age subgroup (i.e., the Age1 group), encompassing individuals aged 7.13 to 12.8 in the ASC group and 7.19 to 12.8 in the CON group. These findings are visually presented in Figure 5 and outlined in Table 4. </w:t>
      </w:r>
    </w:p>
    <w:p w14:paraId="6F8C5B10"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 xml:space="preserve">Furthermore, a distinctive pattern of MSE is noted within the </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and posterior cingulate among individuals with ASC in the preceding section (Chapter 3), is characterised by an initial increase followed by a subsequent decline. Notably, this divergence between groups is exclusively observed within the adult subgroup (i.e., the Age 3 group), encompassing individuals aged 16.64 to 42.33 in the ASC group and 16.66 to 39.39 in the CON group. These outcomes are visually depicted in Figure 6 and detailed in Table 5.</w:t>
      </w:r>
    </w:p>
    <w:p w14:paraId="768E5D42"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It is essential to highlight that no differences between groups were detected in the middle age range (i.e., the Age 2 group), encompassing individuals aged 12.9 to 16.61 in both the ASC and CON groups. Therefore, no figure or table shows any group differences within the Age 2 group.</w:t>
      </w:r>
    </w:p>
    <w:p w14:paraId="4E9CB545"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6CE3017D"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5BBD080D"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7DEACD6F"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33D81F0D"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052BF5CA"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0281057A"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2ABBCA8D"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015643AB"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656EA354"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607CADCC"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2A246013"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50868122"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5314D316"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60F2D5BF"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5EFEE9A9" w14:textId="77777777" w:rsidR="008F4E90" w:rsidRPr="008F4E90" w:rsidRDefault="008F4E90" w:rsidP="008F330E">
      <w:pPr>
        <w:spacing w:line="480" w:lineRule="auto"/>
        <w:ind w:firstLine="720"/>
        <w:rPr>
          <w:rFonts w:asciiTheme="majorBidi" w:eastAsia="Times New Roman" w:hAnsiTheme="majorBidi" w:cstheme="majorBidi"/>
          <w:sz w:val="24"/>
          <w:szCs w:val="24"/>
        </w:rPr>
      </w:pPr>
    </w:p>
    <w:p w14:paraId="7456DA19"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5</w:t>
      </w:r>
    </w:p>
    <w:p w14:paraId="42F9EBE4" w14:textId="77777777" w:rsidR="008F330E" w:rsidRPr="008F4E90" w:rsidRDefault="00B50A42" w:rsidP="00894065">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noProof/>
          <w:sz w:val="24"/>
          <w:szCs w:val="24"/>
        </w:rPr>
        <w:drawing>
          <wp:anchor distT="0" distB="0" distL="114300" distR="114300" simplePos="0" relativeHeight="251675648" behindDoc="0" locked="0" layoutInCell="1" allowOverlap="1" wp14:anchorId="1931C290" wp14:editId="525F4F8A">
            <wp:simplePos x="0" y="0"/>
            <wp:positionH relativeFrom="column">
              <wp:posOffset>250190</wp:posOffset>
            </wp:positionH>
            <wp:positionV relativeFrom="paragraph">
              <wp:posOffset>691515</wp:posOffset>
            </wp:positionV>
            <wp:extent cx="5667375" cy="7715250"/>
            <wp:effectExtent l="0" t="0" r="9525" b="0"/>
            <wp:wrapTopAndBottom/>
            <wp:docPr id="90" name="Picture 90"/>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722" cstate="print">
                      <a:extLst>
                        <a:ext uri="{28A0092B-C50C-407E-A947-70E740481C1C}">
                          <a14:useLocalDpi xmlns:a14="http://schemas.microsoft.com/office/drawing/2010/main" val="0"/>
                        </a:ext>
                      </a:extLst>
                    </a:blip>
                    <a:srcRect t="3879"/>
                    <a:stretch/>
                  </pic:blipFill>
                  <pic:spPr bwMode="auto">
                    <a:xfrm>
                      <a:off x="0" y="0"/>
                      <a:ext cx="5667375" cy="7715250"/>
                    </a:xfrm>
                    <a:prstGeom prst="rect">
                      <a:avLst/>
                    </a:prstGeom>
                    <a:ln>
                      <a:noFill/>
                    </a:ln>
                    <a:extLst>
                      <a:ext uri="{53640926-AAD7-44D8-BBD7-CCE9431645EC}">
                        <a14:shadowObscured xmlns:a14="http://schemas.microsoft.com/office/drawing/2010/main"/>
                      </a:ext>
                    </a:extLst>
                  </pic:spPr>
                </pic:pic>
              </a:graphicData>
            </a:graphic>
          </wp:anchor>
        </w:drawing>
      </w:r>
      <w:r w:rsidR="008F330E" w:rsidRPr="008F4E90">
        <w:rPr>
          <w:rFonts w:asciiTheme="majorBidi" w:eastAsia="Times New Roman" w:hAnsiTheme="majorBidi" w:cstheme="majorBidi"/>
          <w:i/>
          <w:sz w:val="24"/>
          <w:szCs w:val="24"/>
        </w:rPr>
        <w:t>Diagnosis group differences in MSE in each time scale factor within Age 1 subgroup</w:t>
      </w:r>
      <w:r w:rsidR="00894065">
        <w:rPr>
          <w:rFonts w:asciiTheme="majorBidi" w:eastAsia="Times New Roman" w:hAnsiTheme="majorBidi" w:cstheme="majorBidi"/>
          <w:i/>
          <w:sz w:val="24"/>
          <w:szCs w:val="24"/>
        </w:rPr>
        <w:t>,</w:t>
      </w:r>
      <w:r w:rsidR="00894065" w:rsidRPr="00894065">
        <w:t xml:space="preserve"> </w:t>
      </w:r>
      <w:r w:rsidR="00894065" w:rsidRPr="00894065">
        <w:rPr>
          <w:rFonts w:asciiTheme="majorBidi" w:eastAsia="Times New Roman" w:hAnsiTheme="majorBidi" w:cstheme="majorBidi"/>
          <w:i/>
          <w:sz w:val="24"/>
          <w:szCs w:val="24"/>
        </w:rPr>
        <w:t>corrected by permutation test with threshold-free cluster enhancement, with voxel level: p &lt; .05</w:t>
      </w:r>
      <w:r w:rsidR="00894065">
        <w:rPr>
          <w:rFonts w:asciiTheme="majorBidi" w:eastAsia="Times New Roman" w:hAnsiTheme="majorBidi" w:cstheme="majorBidi"/>
          <w:i/>
          <w:sz w:val="24"/>
          <w:szCs w:val="24"/>
        </w:rPr>
        <w:t>.</w:t>
      </w:r>
    </w:p>
    <w:p w14:paraId="08DB5895" w14:textId="77777777" w:rsidR="008F330E" w:rsidRPr="008F4E90" w:rsidRDefault="008F330E" w:rsidP="008F330E">
      <w:pPr>
        <w:spacing w:line="480" w:lineRule="auto"/>
        <w:rPr>
          <w:rFonts w:asciiTheme="majorBidi" w:eastAsia="Times New Roman" w:hAnsiTheme="majorBidi" w:cstheme="majorBidi"/>
          <w:sz w:val="24"/>
          <w:szCs w:val="24"/>
        </w:rPr>
      </w:pPr>
    </w:p>
    <w:p w14:paraId="61E1FBEE" w14:textId="016D8BEC" w:rsidR="008F330E" w:rsidRPr="008F4E90" w:rsidRDefault="008F330E" w:rsidP="00F578A8">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t>Note.</w:t>
      </w:r>
      <w:r w:rsidRPr="008F4E90">
        <w:rPr>
          <w:rFonts w:asciiTheme="majorBidi" w:eastAsia="Times New Roman" w:hAnsiTheme="majorBidi" w:cstheme="majorBidi"/>
          <w:sz w:val="24"/>
          <w:szCs w:val="24"/>
        </w:rPr>
        <w:t xml:space="preserve"> Hot colours at the middle panel indicate greater MSE in the ASC group of a given contrast (i.e., ASC </w:t>
      </w:r>
      <w:proofErr w:type="spellStart"/>
      <w:r w:rsidRPr="008F4E90">
        <w:rPr>
          <w:rFonts w:asciiTheme="majorBidi" w:eastAsia="Times New Roman" w:hAnsiTheme="majorBidi" w:cstheme="majorBidi"/>
          <w:sz w:val="24"/>
          <w:szCs w:val="24"/>
        </w:rPr>
        <w:t>v.s</w:t>
      </w:r>
      <w:proofErr w:type="spellEnd"/>
      <w:r w:rsidRPr="008F4E90">
        <w:rPr>
          <w:rFonts w:asciiTheme="majorBidi" w:eastAsia="Times New Roman" w:hAnsiTheme="majorBidi" w:cstheme="majorBidi"/>
          <w:sz w:val="24"/>
          <w:szCs w:val="24"/>
        </w:rPr>
        <w:t>. CON), masked by TFCE with a permutation test. Detailed descriptive graphs in the left and right panels depict individual sample entropy values acquired from participants in both ASC and CON groups, distinguished by purple and green respectively.</w:t>
      </w:r>
      <w:r w:rsidR="00F578A8" w:rsidRPr="00F578A8">
        <w:rPr>
          <w:rFonts w:asciiTheme="majorBidi" w:eastAsia="Times New Roman" w:hAnsiTheme="majorBidi" w:cstheme="majorBidi"/>
          <w:sz w:val="24"/>
          <w:szCs w:val="24"/>
        </w:rPr>
        <w:t xml:space="preserve"> </w:t>
      </w:r>
      <w:r w:rsidR="00F578A8">
        <w:rPr>
          <w:rFonts w:asciiTheme="majorBidi" w:eastAsia="Times New Roman" w:hAnsiTheme="majorBidi" w:cstheme="majorBidi"/>
          <w:sz w:val="24"/>
          <w:szCs w:val="24"/>
        </w:rPr>
        <w:t>T value indicates t statistics obtained from the voxel-wise two sample t test.</w:t>
      </w:r>
    </w:p>
    <w:p w14:paraId="358AD552"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Table 4</w:t>
      </w:r>
    </w:p>
    <w:p w14:paraId="2A2667EF" w14:textId="77777777" w:rsidR="008F330E" w:rsidRPr="008F4E90" w:rsidRDefault="008F330E" w:rsidP="008F330E">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 xml:space="preserve">Significant cluster </w:t>
      </w:r>
      <w:r w:rsidR="003C001C" w:rsidRPr="008F4E90">
        <w:rPr>
          <w:rFonts w:asciiTheme="majorBidi" w:eastAsia="Times New Roman" w:hAnsiTheme="majorBidi" w:cstheme="majorBidi"/>
          <w:i/>
          <w:sz w:val="24"/>
          <w:szCs w:val="24"/>
        </w:rPr>
        <w:t>indicate</w:t>
      </w:r>
      <w:r w:rsidRPr="008F4E90">
        <w:rPr>
          <w:rFonts w:asciiTheme="majorBidi" w:eastAsia="Times New Roman" w:hAnsiTheme="majorBidi" w:cstheme="majorBidi"/>
          <w:i/>
          <w:sz w:val="24"/>
          <w:szCs w:val="24"/>
        </w:rPr>
        <w:t xml:space="preserve"> diagnosis group differences at each time scale factor within Age 1 subgroup (p &lt; .05, corrected by TFCE with permutation test)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100"/>
        <w:gridCol w:w="1950"/>
        <w:gridCol w:w="1650"/>
        <w:gridCol w:w="1800"/>
      </w:tblGrid>
      <w:tr w:rsidR="008F4E90" w:rsidRPr="008F4E90" w14:paraId="1338BAB4" w14:textId="77777777" w:rsidTr="00ED0B86">
        <w:tc>
          <w:tcPr>
            <w:tcW w:w="150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1E6DF7B2"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Scale</w:t>
            </w:r>
          </w:p>
        </w:tc>
        <w:tc>
          <w:tcPr>
            <w:tcW w:w="210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7BC42028"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Brain Region</w:t>
            </w:r>
          </w:p>
        </w:tc>
        <w:tc>
          <w:tcPr>
            <w:tcW w:w="195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2E129D1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MNI Coordinates</w:t>
            </w:r>
          </w:p>
        </w:tc>
        <w:tc>
          <w:tcPr>
            <w:tcW w:w="165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1B2126E4"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Peak Intensity t-value</w:t>
            </w:r>
          </w:p>
        </w:tc>
        <w:tc>
          <w:tcPr>
            <w:tcW w:w="180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61DDC0C2"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Volume (Voxels)</w:t>
            </w:r>
          </w:p>
        </w:tc>
      </w:tr>
      <w:tr w:rsidR="008F4E90" w:rsidRPr="008F4E90" w14:paraId="3873C63F" w14:textId="77777777" w:rsidTr="00ED0B86">
        <w:tc>
          <w:tcPr>
            <w:tcW w:w="150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025F5845"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w:t>
            </w:r>
          </w:p>
        </w:tc>
        <w:tc>
          <w:tcPr>
            <w:tcW w:w="210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1ECA107B"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c>
          <w:tcPr>
            <w:tcW w:w="195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8E7081E"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c>
          <w:tcPr>
            <w:tcW w:w="165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622F31AD"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c>
          <w:tcPr>
            <w:tcW w:w="180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7919E54"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r>
      <w:tr w:rsidR="008F4E90" w:rsidRPr="008F4E90" w14:paraId="502685EC"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C892E8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5CB1AD5"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1BD127C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1F00BA8"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0FC0A5E"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p>
        </w:tc>
      </w:tr>
      <w:tr w:rsidR="008F4E90" w:rsidRPr="008F4E90" w14:paraId="62990115"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70EC9D67"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05F5D1F"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Right Medial Frontal Gyrus</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5844CE6" w14:textId="2B99E8A5" w:rsidR="008F330E" w:rsidRPr="008F4E90" w:rsidRDefault="001256E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6 60</w:t>
            </w:r>
            <w:r w:rsidR="008F330E" w:rsidRPr="008F4E90">
              <w:rPr>
                <w:rFonts w:asciiTheme="majorBidi" w:eastAsia="Times New Roman" w:hAnsiTheme="majorBidi" w:cstheme="majorBidi"/>
                <w:sz w:val="24"/>
                <w:szCs w:val="24"/>
              </w:rPr>
              <w:t xml:space="preserve">   0</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F86D6D7"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 -3.8068</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2ECD44A"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140</w:t>
            </w:r>
          </w:p>
        </w:tc>
      </w:tr>
      <w:tr w:rsidR="008F4E90" w:rsidRPr="008F4E90" w14:paraId="665C81B0"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2CB798B"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4</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7302871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Left Superior Frontal Gyrus</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3053CAC" w14:textId="48495173"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r w:rsidR="001256EE" w:rsidRPr="008F4E90">
              <w:rPr>
                <w:rFonts w:asciiTheme="majorBidi" w:eastAsia="Times New Roman" w:hAnsiTheme="majorBidi" w:cstheme="majorBidi"/>
                <w:sz w:val="24"/>
                <w:szCs w:val="24"/>
              </w:rPr>
              <w:t>12 66 12</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AF558B1"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-3.6135</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71585FB4"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117</w:t>
            </w:r>
          </w:p>
        </w:tc>
      </w:tr>
      <w:tr w:rsidR="008F4E90" w:rsidRPr="008F4E90" w14:paraId="24F80080"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05E81C2D"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48D98A8"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Left Medial Frontal Gyrus</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7262240" w14:textId="20F8C9D4"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w:t>
            </w:r>
            <w:r w:rsidR="001256EE" w:rsidRPr="008F4E90">
              <w:rPr>
                <w:rFonts w:asciiTheme="majorBidi" w:eastAsia="Times New Roman" w:hAnsiTheme="majorBidi" w:cstheme="majorBidi"/>
                <w:sz w:val="24"/>
                <w:szCs w:val="24"/>
              </w:rPr>
              <w:t>3 36</w:t>
            </w:r>
            <w:r w:rsidRPr="008F4E90">
              <w:rPr>
                <w:rFonts w:asciiTheme="majorBidi" w:eastAsia="Times New Roman" w:hAnsiTheme="majorBidi" w:cstheme="majorBidi"/>
                <w:sz w:val="24"/>
                <w:szCs w:val="24"/>
              </w:rPr>
              <w:t xml:space="preserve"> -12</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CFCB41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-3.805</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15958ABC"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112</w:t>
            </w:r>
          </w:p>
        </w:tc>
      </w:tr>
      <w:tr w:rsidR="008F4E90" w:rsidRPr="008F4E90" w14:paraId="50F951F4" w14:textId="77777777" w:rsidTr="00ED0B86">
        <w:tc>
          <w:tcPr>
            <w:tcW w:w="150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5937FCCD"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5 </w:t>
            </w:r>
          </w:p>
        </w:tc>
        <w:tc>
          <w:tcPr>
            <w:tcW w:w="210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53EA1731"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 Left Lingual Gyrus</w:t>
            </w:r>
          </w:p>
        </w:tc>
        <w:tc>
          <w:tcPr>
            <w:tcW w:w="195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5688A105"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0 -87   0 </w:t>
            </w:r>
          </w:p>
        </w:tc>
        <w:tc>
          <w:tcPr>
            <w:tcW w:w="165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52961E13"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  3.6135 </w:t>
            </w:r>
          </w:p>
        </w:tc>
        <w:tc>
          <w:tcPr>
            <w:tcW w:w="180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640C8FE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164</w:t>
            </w:r>
          </w:p>
        </w:tc>
      </w:tr>
    </w:tbl>
    <w:p w14:paraId="07C9F0F6" w14:textId="77777777" w:rsidR="008F4E90" w:rsidRPr="008F4E90" w:rsidRDefault="008F4E90" w:rsidP="008F330E">
      <w:pPr>
        <w:spacing w:line="480" w:lineRule="auto"/>
        <w:rPr>
          <w:rFonts w:asciiTheme="majorBidi" w:eastAsia="Times New Roman" w:hAnsiTheme="majorBidi" w:cstheme="majorBidi"/>
          <w:b/>
          <w:sz w:val="24"/>
          <w:szCs w:val="24"/>
        </w:rPr>
      </w:pPr>
    </w:p>
    <w:p w14:paraId="692DAF62" w14:textId="77777777" w:rsidR="008F4E90" w:rsidRPr="008F4E90" w:rsidRDefault="008F4E90" w:rsidP="008F330E">
      <w:pPr>
        <w:spacing w:line="480" w:lineRule="auto"/>
        <w:rPr>
          <w:rFonts w:asciiTheme="majorBidi" w:eastAsia="Times New Roman" w:hAnsiTheme="majorBidi" w:cstheme="majorBidi"/>
          <w:b/>
          <w:sz w:val="24"/>
          <w:szCs w:val="24"/>
        </w:rPr>
      </w:pPr>
    </w:p>
    <w:p w14:paraId="18AE2E47" w14:textId="77777777" w:rsidR="008F4E90" w:rsidRPr="008F4E90" w:rsidRDefault="008F4E90" w:rsidP="008F330E">
      <w:pPr>
        <w:spacing w:line="480" w:lineRule="auto"/>
        <w:rPr>
          <w:rFonts w:asciiTheme="majorBidi" w:eastAsia="Times New Roman" w:hAnsiTheme="majorBidi" w:cstheme="majorBidi"/>
          <w:b/>
          <w:sz w:val="24"/>
          <w:szCs w:val="24"/>
        </w:rPr>
      </w:pPr>
    </w:p>
    <w:p w14:paraId="6D320DF1" w14:textId="77777777" w:rsidR="008F4E90" w:rsidRPr="008F4E90" w:rsidRDefault="008F4E90" w:rsidP="008F330E">
      <w:pPr>
        <w:spacing w:line="480" w:lineRule="auto"/>
        <w:rPr>
          <w:rFonts w:asciiTheme="majorBidi" w:eastAsia="Times New Roman" w:hAnsiTheme="majorBidi" w:cstheme="majorBidi"/>
          <w:b/>
          <w:sz w:val="24"/>
          <w:szCs w:val="24"/>
        </w:rPr>
      </w:pPr>
    </w:p>
    <w:p w14:paraId="344DC093" w14:textId="77777777" w:rsidR="008F4E90" w:rsidRPr="008F4E90" w:rsidRDefault="008F4E90" w:rsidP="008F330E">
      <w:pPr>
        <w:spacing w:line="480" w:lineRule="auto"/>
        <w:rPr>
          <w:rFonts w:asciiTheme="majorBidi" w:eastAsia="Times New Roman" w:hAnsiTheme="majorBidi" w:cstheme="majorBidi"/>
          <w:b/>
          <w:sz w:val="24"/>
          <w:szCs w:val="24"/>
        </w:rPr>
      </w:pPr>
    </w:p>
    <w:p w14:paraId="25E1A224" w14:textId="77777777" w:rsidR="008F4E90" w:rsidRPr="008F4E90" w:rsidRDefault="008F4E90" w:rsidP="008F330E">
      <w:pPr>
        <w:spacing w:line="480" w:lineRule="auto"/>
        <w:rPr>
          <w:rFonts w:asciiTheme="majorBidi" w:eastAsia="Times New Roman" w:hAnsiTheme="majorBidi" w:cstheme="majorBidi"/>
          <w:b/>
          <w:sz w:val="24"/>
          <w:szCs w:val="24"/>
        </w:rPr>
      </w:pPr>
    </w:p>
    <w:p w14:paraId="5C1617A4" w14:textId="77777777" w:rsidR="008F4E90" w:rsidRPr="008F4E90" w:rsidRDefault="008F4E90" w:rsidP="008F330E">
      <w:pPr>
        <w:spacing w:line="480" w:lineRule="auto"/>
        <w:rPr>
          <w:rFonts w:asciiTheme="majorBidi" w:eastAsia="Times New Roman" w:hAnsiTheme="majorBidi" w:cstheme="majorBidi"/>
          <w:b/>
          <w:sz w:val="24"/>
          <w:szCs w:val="24"/>
        </w:rPr>
      </w:pPr>
    </w:p>
    <w:p w14:paraId="5695E33E" w14:textId="77777777" w:rsidR="008F4E90" w:rsidRPr="008F4E90" w:rsidRDefault="008F4E90" w:rsidP="008F330E">
      <w:pPr>
        <w:spacing w:line="480" w:lineRule="auto"/>
        <w:rPr>
          <w:rFonts w:asciiTheme="majorBidi" w:eastAsia="Times New Roman" w:hAnsiTheme="majorBidi" w:cstheme="majorBidi"/>
          <w:b/>
          <w:sz w:val="24"/>
          <w:szCs w:val="24"/>
        </w:rPr>
      </w:pPr>
    </w:p>
    <w:p w14:paraId="4F3B943E" w14:textId="77777777" w:rsidR="008F4E90" w:rsidRPr="008F4E90" w:rsidRDefault="008F4E90" w:rsidP="008F330E">
      <w:pPr>
        <w:spacing w:line="480" w:lineRule="auto"/>
        <w:rPr>
          <w:rFonts w:asciiTheme="majorBidi" w:eastAsia="Times New Roman" w:hAnsiTheme="majorBidi" w:cstheme="majorBidi"/>
          <w:b/>
          <w:sz w:val="24"/>
          <w:szCs w:val="24"/>
        </w:rPr>
      </w:pPr>
    </w:p>
    <w:p w14:paraId="3BB2FCBE" w14:textId="77777777" w:rsidR="008F4E90" w:rsidRPr="008F4E90" w:rsidRDefault="008F4E90" w:rsidP="008F330E">
      <w:pPr>
        <w:spacing w:line="480" w:lineRule="auto"/>
        <w:rPr>
          <w:rFonts w:asciiTheme="majorBidi" w:eastAsia="Times New Roman" w:hAnsiTheme="majorBidi" w:cstheme="majorBidi"/>
          <w:b/>
          <w:sz w:val="24"/>
          <w:szCs w:val="24"/>
        </w:rPr>
      </w:pPr>
    </w:p>
    <w:p w14:paraId="5C96E647" w14:textId="77777777" w:rsidR="008F4E90" w:rsidRPr="008F4E90" w:rsidRDefault="008F4E90" w:rsidP="008F330E">
      <w:pPr>
        <w:spacing w:line="480" w:lineRule="auto"/>
        <w:rPr>
          <w:rFonts w:asciiTheme="majorBidi" w:eastAsia="Times New Roman" w:hAnsiTheme="majorBidi" w:cstheme="majorBidi"/>
          <w:b/>
          <w:sz w:val="24"/>
          <w:szCs w:val="24"/>
        </w:rPr>
      </w:pPr>
    </w:p>
    <w:p w14:paraId="240D2928" w14:textId="77777777" w:rsidR="008F4E90" w:rsidRPr="008F4E90" w:rsidRDefault="008F4E90" w:rsidP="008F330E">
      <w:pPr>
        <w:spacing w:line="480" w:lineRule="auto"/>
        <w:rPr>
          <w:rFonts w:asciiTheme="majorBidi" w:eastAsia="Times New Roman" w:hAnsiTheme="majorBidi" w:cstheme="majorBidi"/>
          <w:b/>
          <w:sz w:val="24"/>
          <w:szCs w:val="24"/>
        </w:rPr>
      </w:pPr>
    </w:p>
    <w:p w14:paraId="27F0A492" w14:textId="77777777" w:rsidR="008F4E90" w:rsidRPr="008F4E90" w:rsidRDefault="008F4E90" w:rsidP="008F330E">
      <w:pPr>
        <w:spacing w:line="480" w:lineRule="auto"/>
        <w:rPr>
          <w:rFonts w:asciiTheme="majorBidi" w:eastAsia="Times New Roman" w:hAnsiTheme="majorBidi" w:cstheme="majorBidi"/>
          <w:b/>
          <w:sz w:val="24"/>
          <w:szCs w:val="24"/>
        </w:rPr>
      </w:pPr>
    </w:p>
    <w:p w14:paraId="77747356" w14:textId="77777777" w:rsidR="008F4E90" w:rsidRPr="008F4E90" w:rsidRDefault="008F4E90" w:rsidP="008F330E">
      <w:pPr>
        <w:spacing w:line="480" w:lineRule="auto"/>
        <w:rPr>
          <w:rFonts w:asciiTheme="majorBidi" w:eastAsia="Times New Roman" w:hAnsiTheme="majorBidi" w:cstheme="majorBidi"/>
          <w:b/>
          <w:sz w:val="24"/>
          <w:szCs w:val="24"/>
        </w:rPr>
      </w:pPr>
    </w:p>
    <w:p w14:paraId="4979AB32" w14:textId="77777777" w:rsidR="008F330E"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lastRenderedPageBreak/>
        <w:t>Figure 6</w:t>
      </w:r>
    </w:p>
    <w:p w14:paraId="5BA967DE" w14:textId="77777777" w:rsidR="00B50A42" w:rsidRDefault="00B50A42" w:rsidP="00B50A42">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Diagnosis group differences in MSE in each time scale factor within the Age 3 subgroup</w:t>
      </w:r>
      <w:r>
        <w:rPr>
          <w:rFonts w:asciiTheme="majorBidi" w:eastAsia="Times New Roman" w:hAnsiTheme="majorBidi" w:cstheme="majorBidi"/>
          <w:i/>
          <w:sz w:val="24"/>
          <w:szCs w:val="24"/>
        </w:rPr>
        <w:t>,</w:t>
      </w:r>
      <w:r w:rsidRPr="00B50A42">
        <w:rPr>
          <w:rFonts w:asciiTheme="majorBidi" w:eastAsia="Times New Roman" w:hAnsiTheme="majorBidi" w:cstheme="majorBidi"/>
          <w:i/>
          <w:sz w:val="24"/>
          <w:szCs w:val="24"/>
        </w:rPr>
        <w:t xml:space="preserve"> </w:t>
      </w:r>
    </w:p>
    <w:p w14:paraId="0D028D2A" w14:textId="77777777" w:rsidR="00B50A42" w:rsidRPr="00B50A42" w:rsidRDefault="00B50A42" w:rsidP="00B50A42">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noProof/>
          <w:sz w:val="24"/>
          <w:szCs w:val="24"/>
        </w:rPr>
        <w:drawing>
          <wp:anchor distT="0" distB="0" distL="114300" distR="114300" simplePos="0" relativeHeight="251676672" behindDoc="0" locked="0" layoutInCell="1" allowOverlap="1" wp14:anchorId="4F0CB8B6" wp14:editId="1FA68594">
            <wp:simplePos x="0" y="0"/>
            <wp:positionH relativeFrom="column">
              <wp:posOffset>431165</wp:posOffset>
            </wp:positionH>
            <wp:positionV relativeFrom="paragraph">
              <wp:posOffset>274320</wp:posOffset>
            </wp:positionV>
            <wp:extent cx="5457825" cy="7472045"/>
            <wp:effectExtent l="0" t="0" r="9525"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723" cstate="print">
                      <a:extLst>
                        <a:ext uri="{28A0092B-C50C-407E-A947-70E740481C1C}">
                          <a14:useLocalDpi xmlns:a14="http://schemas.microsoft.com/office/drawing/2010/main" val="0"/>
                        </a:ext>
                      </a:extLst>
                    </a:blip>
                    <a:srcRect t="1999"/>
                    <a:stretch/>
                  </pic:blipFill>
                  <pic:spPr bwMode="auto">
                    <a:xfrm>
                      <a:off x="0" y="0"/>
                      <a:ext cx="5457825" cy="7472045"/>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Bidi" w:eastAsia="Times New Roman" w:hAnsiTheme="majorBidi" w:cstheme="majorBidi"/>
          <w:i/>
          <w:sz w:val="24"/>
          <w:szCs w:val="24"/>
        </w:rPr>
        <w:t>,</w:t>
      </w:r>
      <w:r w:rsidRPr="00894065">
        <w:t xml:space="preserve"> </w:t>
      </w:r>
      <w:r w:rsidRPr="00894065">
        <w:rPr>
          <w:rFonts w:asciiTheme="majorBidi" w:eastAsia="Times New Roman" w:hAnsiTheme="majorBidi" w:cstheme="majorBidi"/>
          <w:i/>
          <w:sz w:val="24"/>
          <w:szCs w:val="24"/>
        </w:rPr>
        <w:t>corrected by permutation test with threshold-free cluster enhancement, with voxel level: p &lt; .05.</w:t>
      </w:r>
    </w:p>
    <w:p w14:paraId="35EE2BBF" w14:textId="77777777" w:rsidR="008F330E" w:rsidRPr="008F4E90" w:rsidRDefault="008F330E" w:rsidP="00B50A42">
      <w:pPr>
        <w:spacing w:line="480" w:lineRule="auto"/>
        <w:rPr>
          <w:rFonts w:asciiTheme="majorBidi" w:eastAsia="Times New Roman" w:hAnsiTheme="majorBidi" w:cstheme="majorBidi"/>
          <w:sz w:val="24"/>
          <w:szCs w:val="24"/>
        </w:rPr>
      </w:pPr>
    </w:p>
    <w:p w14:paraId="0D110DAA" w14:textId="21FFECA2" w:rsidR="008F330E" w:rsidRPr="008F4E90" w:rsidRDefault="008F330E" w:rsidP="001256E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i/>
          <w:sz w:val="24"/>
          <w:szCs w:val="24"/>
        </w:rPr>
        <w:lastRenderedPageBreak/>
        <w:t xml:space="preserve">Note. </w:t>
      </w:r>
      <w:r w:rsidRPr="008F4E90">
        <w:rPr>
          <w:rFonts w:asciiTheme="majorBidi" w:eastAsia="Times New Roman" w:hAnsiTheme="majorBidi" w:cstheme="majorBidi"/>
          <w:sz w:val="24"/>
          <w:szCs w:val="24"/>
        </w:rPr>
        <w:t xml:space="preserve">Hot colours at the middle panel indicate greater MSE in the ASC group of a given contrast (i.e., ASC </w:t>
      </w:r>
      <w:proofErr w:type="spellStart"/>
      <w:r w:rsidRPr="008F4E90">
        <w:rPr>
          <w:rFonts w:asciiTheme="majorBidi" w:eastAsia="Times New Roman" w:hAnsiTheme="majorBidi" w:cstheme="majorBidi"/>
          <w:sz w:val="24"/>
          <w:szCs w:val="24"/>
        </w:rPr>
        <w:t>v.s</w:t>
      </w:r>
      <w:proofErr w:type="spellEnd"/>
      <w:r w:rsidRPr="008F4E90">
        <w:rPr>
          <w:rFonts w:asciiTheme="majorBidi" w:eastAsia="Times New Roman" w:hAnsiTheme="majorBidi" w:cstheme="majorBidi"/>
          <w:sz w:val="24"/>
          <w:szCs w:val="24"/>
        </w:rPr>
        <w:t>. CON), masked by TFCE with a permutation test. Detailed descriptive graphs in the left and right panels depict individual sample entropy values acquired from participants in both ASC and CON groups, distinguished by purple and green respectively.</w:t>
      </w:r>
      <w:r w:rsidR="001256EE" w:rsidRPr="001256EE">
        <w:rPr>
          <w:rFonts w:asciiTheme="majorBidi" w:eastAsia="Times New Roman" w:hAnsiTheme="majorBidi" w:cstheme="majorBidi"/>
          <w:sz w:val="24"/>
          <w:szCs w:val="24"/>
        </w:rPr>
        <w:t xml:space="preserve"> </w:t>
      </w:r>
      <w:r w:rsidR="001256EE">
        <w:rPr>
          <w:rFonts w:asciiTheme="majorBidi" w:eastAsia="Times New Roman" w:hAnsiTheme="majorBidi" w:cstheme="majorBidi"/>
          <w:sz w:val="24"/>
          <w:szCs w:val="24"/>
        </w:rPr>
        <w:t>T value indicates t statistics obtained from the voxel-wise two sample t test.</w:t>
      </w:r>
    </w:p>
    <w:p w14:paraId="6245ECFA"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Table 4.</w:t>
      </w:r>
    </w:p>
    <w:p w14:paraId="2FA111D5" w14:textId="77777777" w:rsidR="008F330E" w:rsidRPr="008F4E90" w:rsidRDefault="008F330E" w:rsidP="008F330E">
      <w:pPr>
        <w:spacing w:line="480" w:lineRule="auto"/>
        <w:rPr>
          <w:rFonts w:asciiTheme="majorBidi" w:eastAsia="Times New Roman" w:hAnsiTheme="majorBidi" w:cstheme="majorBidi"/>
          <w:i/>
          <w:sz w:val="24"/>
          <w:szCs w:val="24"/>
        </w:rPr>
      </w:pPr>
      <w:r w:rsidRPr="008F4E90">
        <w:rPr>
          <w:rFonts w:asciiTheme="majorBidi" w:eastAsia="Times New Roman" w:hAnsiTheme="majorBidi" w:cstheme="majorBidi"/>
          <w:i/>
          <w:sz w:val="24"/>
          <w:szCs w:val="24"/>
        </w:rPr>
        <w:t>Significant cluster indicate diagnosis group differences at each time scale factor within Age 3 subgroup (p &lt; .05, corrected by TFCE with permutation test)</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100"/>
        <w:gridCol w:w="1950"/>
        <w:gridCol w:w="1650"/>
        <w:gridCol w:w="1800"/>
      </w:tblGrid>
      <w:tr w:rsidR="008F4E90" w:rsidRPr="008F4E90" w14:paraId="193B5F69" w14:textId="77777777" w:rsidTr="00ED0B86">
        <w:tc>
          <w:tcPr>
            <w:tcW w:w="150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5135D824"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Scale</w:t>
            </w:r>
          </w:p>
        </w:tc>
        <w:tc>
          <w:tcPr>
            <w:tcW w:w="210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19B1CD0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Brain Region</w:t>
            </w:r>
          </w:p>
        </w:tc>
        <w:tc>
          <w:tcPr>
            <w:tcW w:w="195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551320E4"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MNI Coordinates</w:t>
            </w:r>
          </w:p>
        </w:tc>
        <w:tc>
          <w:tcPr>
            <w:tcW w:w="165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59E1B021"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Peak Intensity t-value</w:t>
            </w:r>
          </w:p>
        </w:tc>
        <w:tc>
          <w:tcPr>
            <w:tcW w:w="180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vAlign w:val="bottom"/>
          </w:tcPr>
          <w:p w14:paraId="422ED202"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Volume (Voxels)</w:t>
            </w:r>
          </w:p>
        </w:tc>
      </w:tr>
      <w:tr w:rsidR="008F4E90" w:rsidRPr="008F4E90" w14:paraId="5BDBF309" w14:textId="77777777" w:rsidTr="00ED0B86">
        <w:tc>
          <w:tcPr>
            <w:tcW w:w="150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15C7F9F7"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w:t>
            </w:r>
          </w:p>
        </w:tc>
        <w:tc>
          <w:tcPr>
            <w:tcW w:w="210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3CD42C3"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Right Posterior Cingulate</w:t>
            </w:r>
          </w:p>
        </w:tc>
        <w:tc>
          <w:tcPr>
            <w:tcW w:w="195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6486F7FF" w14:textId="0CA9FFD2"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9 -</w:t>
            </w:r>
            <w:r w:rsidR="00A7168B" w:rsidRPr="008F4E90">
              <w:rPr>
                <w:rFonts w:asciiTheme="majorBidi" w:eastAsia="Times New Roman" w:hAnsiTheme="majorBidi" w:cstheme="majorBidi"/>
                <w:sz w:val="24"/>
                <w:szCs w:val="24"/>
              </w:rPr>
              <w:t>54 15</w:t>
            </w:r>
          </w:p>
        </w:tc>
        <w:tc>
          <w:tcPr>
            <w:tcW w:w="165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8E4E494"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5.2724</w:t>
            </w:r>
          </w:p>
        </w:tc>
        <w:tc>
          <w:tcPr>
            <w:tcW w:w="1800" w:type="dxa"/>
            <w:tcBorders>
              <w:top w:val="single" w:sz="6" w:space="0" w:color="000000"/>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7021CDAA"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277</w:t>
            </w:r>
          </w:p>
        </w:tc>
      </w:tr>
      <w:tr w:rsidR="008F4E90" w:rsidRPr="008F4E90" w14:paraId="1698626D"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00778E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9B657E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Right Medial Frontal Gyrus</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3577A9C" w14:textId="5C417899" w:rsidR="008F330E" w:rsidRPr="008F4E90" w:rsidRDefault="00A7168B"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6 </w:t>
            </w:r>
            <w:r w:rsidR="00F23034" w:rsidRPr="008F4E90">
              <w:rPr>
                <w:rFonts w:asciiTheme="majorBidi" w:eastAsia="Times New Roman" w:hAnsiTheme="majorBidi" w:cstheme="majorBidi"/>
                <w:sz w:val="24"/>
                <w:szCs w:val="24"/>
              </w:rPr>
              <w:t>45 30</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0E077AE8"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-3.6646</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002CDA7"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70</w:t>
            </w:r>
          </w:p>
        </w:tc>
      </w:tr>
      <w:tr w:rsidR="008F4E90" w:rsidRPr="008F4E90" w14:paraId="789CB851"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6F04B282"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24106EF"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Right Posterior Cingulate</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3B3D345" w14:textId="623347B6"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3 -</w:t>
            </w:r>
            <w:r w:rsidR="00A7168B" w:rsidRPr="008F4E90">
              <w:rPr>
                <w:rFonts w:asciiTheme="majorBidi" w:eastAsia="Times New Roman" w:hAnsiTheme="majorBidi" w:cstheme="majorBidi"/>
                <w:sz w:val="24"/>
                <w:szCs w:val="24"/>
              </w:rPr>
              <w:t>48 18</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14BCCCBE"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-3.9215</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A07643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93</w:t>
            </w:r>
          </w:p>
        </w:tc>
      </w:tr>
      <w:tr w:rsidR="008F4E90" w:rsidRPr="008F4E90" w14:paraId="4F3164D3"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F5804EC"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lastRenderedPageBreak/>
              <w:t>3</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EC19132"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Right Posterior Cingulate</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2EC2599" w14:textId="1499D8EB"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9 -</w:t>
            </w:r>
            <w:r w:rsidR="00F23034" w:rsidRPr="008F4E90">
              <w:rPr>
                <w:rFonts w:asciiTheme="majorBidi" w:eastAsia="Times New Roman" w:hAnsiTheme="majorBidi" w:cstheme="majorBidi"/>
                <w:sz w:val="24"/>
                <w:szCs w:val="24"/>
              </w:rPr>
              <w:t>57 24</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786B30C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-4.1017</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33B261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247</w:t>
            </w:r>
          </w:p>
        </w:tc>
      </w:tr>
      <w:tr w:rsidR="008F4E90" w:rsidRPr="008F4E90" w14:paraId="1D9CE7F9"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4F5C107"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2FB033B"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Left Cuneus</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02B7D88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-3 -96   6</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61FABB09"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3.9981</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6AE63C1C"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100</w:t>
            </w:r>
          </w:p>
        </w:tc>
      </w:tr>
      <w:tr w:rsidR="008F4E90" w:rsidRPr="008F4E90" w14:paraId="05797171"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277C0138"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B4778F0"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Left Cingulate Gyrus</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5FF786D9" w14:textId="00C219F3"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-6 -</w:t>
            </w:r>
            <w:r w:rsidR="00F23034" w:rsidRPr="008F4E90">
              <w:rPr>
                <w:rFonts w:asciiTheme="majorBidi" w:eastAsia="Times New Roman" w:hAnsiTheme="majorBidi" w:cstheme="majorBidi"/>
                <w:sz w:val="24"/>
                <w:szCs w:val="24"/>
              </w:rPr>
              <w:t>30 33</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35FD0FBE"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 -4.8101</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851CEDB"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541</w:t>
            </w:r>
          </w:p>
        </w:tc>
      </w:tr>
      <w:tr w:rsidR="008F4E90" w:rsidRPr="008F4E90" w14:paraId="078DAA50" w14:textId="77777777" w:rsidTr="00ED0B86">
        <w:tc>
          <w:tcPr>
            <w:tcW w:w="15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1F01B34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w:t>
            </w:r>
          </w:p>
        </w:tc>
        <w:tc>
          <w:tcPr>
            <w:tcW w:w="21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1F475940"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Left Sub-Gyral</w:t>
            </w:r>
          </w:p>
        </w:tc>
        <w:tc>
          <w:tcPr>
            <w:tcW w:w="19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0F37B768" w14:textId="5132B2E8"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-33 -</w:t>
            </w:r>
            <w:r w:rsidR="00F23034" w:rsidRPr="008F4E90">
              <w:rPr>
                <w:rFonts w:asciiTheme="majorBidi" w:eastAsia="Times New Roman" w:hAnsiTheme="majorBidi" w:cstheme="majorBidi"/>
                <w:sz w:val="24"/>
                <w:szCs w:val="24"/>
              </w:rPr>
              <w:t>57 -</w:t>
            </w:r>
            <w:r w:rsidRPr="008F4E90">
              <w:rPr>
                <w:rFonts w:asciiTheme="majorBidi" w:eastAsia="Times New Roman" w:hAnsiTheme="majorBidi" w:cstheme="majorBidi"/>
                <w:sz w:val="24"/>
                <w:szCs w:val="24"/>
              </w:rPr>
              <w:t>9</w:t>
            </w:r>
          </w:p>
        </w:tc>
        <w:tc>
          <w:tcPr>
            <w:tcW w:w="165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6783CB60"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-4.1198</w:t>
            </w:r>
          </w:p>
        </w:tc>
        <w:tc>
          <w:tcPr>
            <w:tcW w:w="180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vAlign w:val="center"/>
          </w:tcPr>
          <w:p w14:paraId="461DFD5D"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115</w:t>
            </w:r>
          </w:p>
        </w:tc>
      </w:tr>
      <w:tr w:rsidR="008F4E90" w:rsidRPr="008F4E90" w14:paraId="6735727C" w14:textId="77777777" w:rsidTr="00ED0B86">
        <w:tc>
          <w:tcPr>
            <w:tcW w:w="150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60CB6426"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5</w:t>
            </w:r>
          </w:p>
        </w:tc>
        <w:tc>
          <w:tcPr>
            <w:tcW w:w="210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75CE02A2"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Right </w:t>
            </w:r>
            <w:proofErr w:type="spellStart"/>
            <w:r w:rsidRPr="008F4E90">
              <w:rPr>
                <w:rFonts w:asciiTheme="majorBidi" w:eastAsia="Times New Roman" w:hAnsiTheme="majorBidi" w:cstheme="majorBidi"/>
                <w:sz w:val="24"/>
                <w:szCs w:val="24"/>
              </w:rPr>
              <w:t>Precuneus</w:t>
            </w:r>
            <w:proofErr w:type="spellEnd"/>
          </w:p>
        </w:tc>
        <w:tc>
          <w:tcPr>
            <w:tcW w:w="195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7B47F237" w14:textId="0C104C1F"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 6 -</w:t>
            </w:r>
            <w:r w:rsidR="00F23034" w:rsidRPr="008F4E90">
              <w:rPr>
                <w:rFonts w:asciiTheme="majorBidi" w:eastAsia="Times New Roman" w:hAnsiTheme="majorBidi" w:cstheme="majorBidi"/>
                <w:sz w:val="24"/>
                <w:szCs w:val="24"/>
              </w:rPr>
              <w:t>60 30</w:t>
            </w:r>
          </w:p>
        </w:tc>
        <w:tc>
          <w:tcPr>
            <w:tcW w:w="165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12242171"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-4.4665</w:t>
            </w:r>
          </w:p>
        </w:tc>
        <w:tc>
          <w:tcPr>
            <w:tcW w:w="1800" w:type="dxa"/>
            <w:tcBorders>
              <w:top w:val="single" w:sz="6" w:space="0" w:color="FFFFFF"/>
              <w:left w:val="single" w:sz="6" w:space="0" w:color="FFFFFF"/>
              <w:bottom w:val="single" w:sz="6" w:space="0" w:color="000000"/>
              <w:right w:val="single" w:sz="6" w:space="0" w:color="FFFFFF"/>
            </w:tcBorders>
            <w:tcMar>
              <w:top w:w="100" w:type="dxa"/>
              <w:left w:w="100" w:type="dxa"/>
              <w:bottom w:w="100" w:type="dxa"/>
              <w:right w:w="100" w:type="dxa"/>
            </w:tcMar>
            <w:vAlign w:val="center"/>
          </w:tcPr>
          <w:p w14:paraId="0F23B077" w14:textId="77777777" w:rsidR="008F330E" w:rsidRPr="008F4E90" w:rsidRDefault="008F330E" w:rsidP="00ED0B86">
            <w:pPr>
              <w:widowControl w:val="0"/>
              <w:spacing w:before="380" w:after="380"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227</w:t>
            </w:r>
          </w:p>
        </w:tc>
      </w:tr>
    </w:tbl>
    <w:p w14:paraId="0875F42A" w14:textId="77777777" w:rsidR="008F330E" w:rsidRPr="008F4E90" w:rsidRDefault="008F330E" w:rsidP="008F330E">
      <w:pPr>
        <w:spacing w:line="480" w:lineRule="auto"/>
        <w:rPr>
          <w:rFonts w:asciiTheme="majorBidi" w:eastAsia="Times New Roman" w:hAnsiTheme="majorBidi" w:cstheme="majorBidi"/>
          <w:b/>
          <w:sz w:val="24"/>
          <w:szCs w:val="24"/>
        </w:rPr>
      </w:pPr>
    </w:p>
    <w:p w14:paraId="30249F10" w14:textId="77777777" w:rsidR="008F330E" w:rsidRPr="008F4E90" w:rsidRDefault="008F330E" w:rsidP="008F330E">
      <w:pPr>
        <w:spacing w:line="480" w:lineRule="auto"/>
        <w:ind w:left="720"/>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t>Discussion</w:t>
      </w:r>
    </w:p>
    <w:p w14:paraId="07F6FE4F"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main focus of this chapter was to conduct a comprehensive investigation into the potential relationship between age and the previously identified neurophysiological biomarkers. Additionally, this chapter aimed to analyse the impact of age on multiscale sample entropy in both the ASC and control groups, utilising the resting-state EEG and fMRI data previously examined. The primary discovery of the study is a significant correlation between age and multiscale sample entropy in the neurotypical control group, which was observed consistently in both EEG and fMRI signals across distributed brain regions. This finding implies that the growth in neural complexity reflects a maturational transformation in the </w:t>
      </w:r>
      <w:r w:rsidRPr="008F4E90">
        <w:rPr>
          <w:rFonts w:asciiTheme="majorBidi" w:eastAsia="Times New Roman" w:hAnsiTheme="majorBidi" w:cstheme="majorBidi"/>
          <w:sz w:val="24"/>
          <w:szCs w:val="24"/>
        </w:rPr>
        <w:lastRenderedPageBreak/>
        <w:t xml:space="preserve">underlying brain networks. However, it is essential to note that the correlation observed is confined to the age range covered by the dataset, which spans from childhood to young adulthood. However, it also covers the whole human brain development, which is ongoing from childhood to at least 30 years of age </w:t>
      </w:r>
      <w:hyperlink r:id="rId724">
        <w:r w:rsidRPr="008F4E90">
          <w:rPr>
            <w:rFonts w:asciiTheme="majorBidi" w:eastAsia="Times New Roman" w:hAnsiTheme="majorBidi" w:cstheme="majorBidi"/>
            <w:sz w:val="24"/>
            <w:szCs w:val="24"/>
          </w:rPr>
          <w:t>(Kundu et al., 2018)</w:t>
        </w:r>
      </w:hyperlink>
      <w:r w:rsidRPr="008F4E90">
        <w:rPr>
          <w:rFonts w:asciiTheme="majorBidi" w:eastAsia="Times New Roman" w:hAnsiTheme="majorBidi" w:cstheme="majorBidi"/>
          <w:sz w:val="24"/>
          <w:szCs w:val="24"/>
        </w:rPr>
        <w:t>.</w:t>
      </w:r>
    </w:p>
    <w:p w14:paraId="2986D9D8"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t xml:space="preserve">Enhanced Age-Related Influence on Neurotypical Controls in Comparison to Individuals with ASC. </w:t>
      </w:r>
      <w:r w:rsidRPr="008F4E90">
        <w:rPr>
          <w:rFonts w:asciiTheme="majorBidi" w:eastAsia="Times New Roman" w:hAnsiTheme="majorBidi" w:cstheme="majorBidi"/>
          <w:sz w:val="24"/>
          <w:szCs w:val="24"/>
        </w:rPr>
        <w:t xml:space="preserve">Significant changes were observed within childhood (i.e., disparities between Age 1 and Age 2 subgroups, aged 7.13 - 16.61 in the ASC group; aged 7.19 - 16.66 in the CON group) and within the teenage years (i.e., distinctions between Age 2 and Age 3 groups, aged 16.61 - 42.33 in the ASC group; aged 16.66 - 39.39 in the CON group) were narrowed both spatially and temporally. In contrast, the contrasts between childhood and young adulthood became pronounced (refer to Fig. 2). The observation of a positive relationship between brain complexity and age from childhood to young adulthood among healthy controls in this study is in line with previous research utilising EEG </w:t>
      </w:r>
      <w:hyperlink r:id="rId725">
        <w:r w:rsidRPr="008F4E90">
          <w:rPr>
            <w:rFonts w:asciiTheme="majorBidi" w:eastAsia="Times New Roman" w:hAnsiTheme="majorBidi" w:cstheme="majorBidi"/>
            <w:sz w:val="24"/>
            <w:szCs w:val="24"/>
          </w:rPr>
          <w:t>(Anokhin et al., 1996; Easson &amp; McIntosh, 2019</w:t>
        </w:r>
      </w:hyperlink>
      <w:hyperlink r:id="rId726">
        <w:r w:rsidRPr="008F4E90">
          <w:rPr>
            <w:rFonts w:asciiTheme="majorBidi" w:eastAsia="Times New Roman" w:hAnsiTheme="majorBidi" w:cstheme="majorBidi"/>
            <w:sz w:val="24"/>
            <w:szCs w:val="24"/>
          </w:rPr>
          <w:t xml:space="preserve">; </w:t>
        </w:r>
      </w:hyperlink>
      <w:hyperlink r:id="rId727">
        <w:r w:rsidRPr="008F4E90">
          <w:rPr>
            <w:rFonts w:asciiTheme="majorBidi" w:eastAsia="Times New Roman" w:hAnsiTheme="majorBidi" w:cstheme="majorBidi"/>
            <w:sz w:val="24"/>
            <w:szCs w:val="24"/>
          </w:rPr>
          <w:t xml:space="preserve">van </w:t>
        </w:r>
        <w:proofErr w:type="spellStart"/>
        <w:r w:rsidRPr="008F4E90">
          <w:rPr>
            <w:rFonts w:asciiTheme="majorBidi" w:eastAsia="Times New Roman" w:hAnsiTheme="majorBidi" w:cstheme="majorBidi"/>
            <w:sz w:val="24"/>
            <w:szCs w:val="24"/>
          </w:rPr>
          <w:t>Noordt</w:t>
        </w:r>
        <w:proofErr w:type="spellEnd"/>
        <w:r w:rsidRPr="008F4E90">
          <w:rPr>
            <w:rFonts w:asciiTheme="majorBidi" w:eastAsia="Times New Roman" w:hAnsiTheme="majorBidi" w:cstheme="majorBidi"/>
            <w:sz w:val="24"/>
            <w:szCs w:val="24"/>
          </w:rPr>
          <w:t xml:space="preserve"> &amp; Willoughby, 2021)</w:t>
        </w:r>
      </w:hyperlink>
      <w:r w:rsidRPr="008F4E90">
        <w:rPr>
          <w:rFonts w:asciiTheme="majorBidi" w:eastAsia="Times New Roman" w:hAnsiTheme="majorBidi" w:cstheme="majorBidi"/>
          <w:sz w:val="24"/>
          <w:szCs w:val="24"/>
        </w:rPr>
        <w:t>.</w:t>
      </w:r>
    </w:p>
    <w:p w14:paraId="355FEF56"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Research has indicated that the raised entropy of EEG signals from childhood to adulthood is associated with enhanced accuracy and reduced variability in reaction times during task performance </w:t>
      </w:r>
      <w:hyperlink r:id="rId728">
        <w:r w:rsidRPr="008F4E90">
          <w:rPr>
            <w:rFonts w:asciiTheme="majorBidi" w:eastAsia="Times New Roman" w:hAnsiTheme="majorBidi" w:cstheme="majorBidi"/>
            <w:sz w:val="24"/>
            <w:szCs w:val="24"/>
          </w:rPr>
          <w:t xml:space="preserve">( McIntosh et al., 2008; </w:t>
        </w:r>
        <w:proofErr w:type="spellStart"/>
        <w:r w:rsidRPr="008F4E90">
          <w:rPr>
            <w:rFonts w:asciiTheme="majorBidi" w:eastAsia="Times New Roman" w:hAnsiTheme="majorBidi" w:cstheme="majorBidi"/>
            <w:sz w:val="24"/>
            <w:szCs w:val="24"/>
          </w:rPr>
          <w:t>Misić</w:t>
        </w:r>
        <w:proofErr w:type="spellEnd"/>
        <w:r w:rsidRPr="008F4E90">
          <w:rPr>
            <w:rFonts w:asciiTheme="majorBidi" w:eastAsia="Times New Roman" w:hAnsiTheme="majorBidi" w:cstheme="majorBidi"/>
            <w:sz w:val="24"/>
            <w:szCs w:val="24"/>
          </w:rPr>
          <w:t xml:space="preserve"> et al., 2010</w:t>
        </w:r>
      </w:hyperlink>
      <w:hyperlink r:id="rId729">
        <w:r w:rsidRPr="008F4E90">
          <w:rPr>
            <w:rFonts w:asciiTheme="majorBidi" w:eastAsia="Times New Roman" w:hAnsiTheme="majorBidi" w:cstheme="majorBidi"/>
            <w:sz w:val="24"/>
            <w:szCs w:val="24"/>
          </w:rPr>
          <w:t xml:space="preserve">; </w:t>
        </w:r>
      </w:hyperlink>
      <w:hyperlink r:id="rId730">
        <w:proofErr w:type="spellStart"/>
        <w:r w:rsidRPr="008F4E90">
          <w:rPr>
            <w:rFonts w:asciiTheme="majorBidi" w:eastAsia="Times New Roman" w:hAnsiTheme="majorBidi" w:cstheme="majorBidi"/>
            <w:sz w:val="24"/>
            <w:szCs w:val="24"/>
          </w:rPr>
          <w:t>Lippé</w:t>
        </w:r>
        <w:proofErr w:type="spellEnd"/>
        <w:r w:rsidRPr="008F4E90">
          <w:rPr>
            <w:rFonts w:asciiTheme="majorBidi" w:eastAsia="Times New Roman" w:hAnsiTheme="majorBidi" w:cstheme="majorBidi"/>
            <w:sz w:val="24"/>
            <w:szCs w:val="24"/>
          </w:rPr>
          <w:t xml:space="preserve"> et al., 2009)</w:t>
        </w:r>
      </w:hyperlink>
      <w:r w:rsidRPr="008F4E90">
        <w:rPr>
          <w:rFonts w:asciiTheme="majorBidi" w:eastAsia="Times New Roman" w:hAnsiTheme="majorBidi" w:cstheme="majorBidi"/>
          <w:sz w:val="24"/>
          <w:szCs w:val="24"/>
        </w:rPr>
        <w:t xml:space="preserve">. This rise in entropy is further believed to manifest the growing cognitive capacity during development </w:t>
      </w:r>
      <w:hyperlink r:id="rId731">
        <w:r w:rsidRPr="008F4E90">
          <w:rPr>
            <w:rFonts w:asciiTheme="majorBidi" w:eastAsia="Times New Roman" w:hAnsiTheme="majorBidi" w:cstheme="majorBidi"/>
            <w:sz w:val="24"/>
            <w:szCs w:val="24"/>
          </w:rPr>
          <w:t>(McIntosh et al., 2008)</w:t>
        </w:r>
      </w:hyperlink>
      <w:r w:rsidRPr="008F4E90">
        <w:rPr>
          <w:rFonts w:asciiTheme="majorBidi" w:eastAsia="Times New Roman" w:hAnsiTheme="majorBidi" w:cstheme="majorBidi"/>
          <w:sz w:val="24"/>
          <w:szCs w:val="24"/>
        </w:rPr>
        <w:t xml:space="preserve">. Previous research has proposed that this enhanced information processing capacity throughout adolescence arises from a greater number of possible configurations of functional networks </w:t>
      </w:r>
      <w:hyperlink r:id="rId732">
        <w:r w:rsidRPr="008F4E90">
          <w:rPr>
            <w:rFonts w:asciiTheme="majorBidi" w:eastAsia="Times New Roman" w:hAnsiTheme="majorBidi" w:cstheme="majorBidi"/>
            <w:sz w:val="24"/>
            <w:szCs w:val="24"/>
          </w:rPr>
          <w:t>(McIntosh et al., 2010)</w:t>
        </w:r>
      </w:hyperlink>
      <w:r w:rsidRPr="008F4E90">
        <w:rPr>
          <w:rFonts w:asciiTheme="majorBidi" w:eastAsia="Times New Roman" w:hAnsiTheme="majorBidi" w:cstheme="majorBidi"/>
          <w:sz w:val="24"/>
          <w:szCs w:val="24"/>
        </w:rPr>
        <w:t xml:space="preserve">, which is postulated to stem from improved functional segregation and integration processes within hierarchically organised networks </w:t>
      </w:r>
      <w:hyperlink r:id="rId733">
        <w:r w:rsidRPr="008F4E90">
          <w:rPr>
            <w:rFonts w:asciiTheme="majorBidi" w:eastAsia="Times New Roman" w:hAnsiTheme="majorBidi" w:cstheme="majorBidi"/>
            <w:sz w:val="24"/>
            <w:szCs w:val="24"/>
          </w:rPr>
          <w:t>(Ballard et al., 2023</w:t>
        </w:r>
      </w:hyperlink>
      <w:hyperlink r:id="rId734">
        <w:r w:rsidRPr="008F4E90">
          <w:rPr>
            <w:rFonts w:asciiTheme="majorBidi" w:eastAsia="Times New Roman" w:hAnsiTheme="majorBidi" w:cstheme="majorBidi"/>
            <w:sz w:val="24"/>
            <w:szCs w:val="24"/>
          </w:rPr>
          <w:t xml:space="preserve">; </w:t>
        </w:r>
      </w:hyperlink>
      <w:hyperlink r:id="rId735">
        <w:r w:rsidRPr="008F4E90">
          <w:rPr>
            <w:rFonts w:asciiTheme="majorBidi" w:eastAsia="Times New Roman" w:hAnsiTheme="majorBidi" w:cstheme="majorBidi"/>
            <w:sz w:val="24"/>
            <w:szCs w:val="24"/>
          </w:rPr>
          <w:t>Garrett et al., 2013</w:t>
        </w:r>
      </w:hyperlink>
      <w:hyperlink r:id="rId736">
        <w:r w:rsidRPr="008F4E90">
          <w:rPr>
            <w:rFonts w:asciiTheme="majorBidi" w:eastAsia="Times New Roman" w:hAnsiTheme="majorBidi" w:cstheme="majorBidi"/>
            <w:sz w:val="24"/>
            <w:szCs w:val="24"/>
          </w:rPr>
          <w:t xml:space="preserve">; </w:t>
        </w:r>
      </w:hyperlink>
      <w:hyperlink r:id="rId737">
        <w:r w:rsidRPr="008F4E90">
          <w:rPr>
            <w:rFonts w:asciiTheme="majorBidi" w:eastAsia="Times New Roman" w:hAnsiTheme="majorBidi" w:cstheme="majorBidi"/>
            <w:sz w:val="24"/>
            <w:szCs w:val="24"/>
          </w:rPr>
          <w:t>Johnson, 2001</w:t>
        </w:r>
      </w:hyperlink>
      <w:hyperlink r:id="rId738">
        <w:r w:rsidRPr="008F4E90">
          <w:rPr>
            <w:rFonts w:asciiTheme="majorBidi" w:eastAsia="Times New Roman" w:hAnsiTheme="majorBidi" w:cstheme="majorBidi"/>
            <w:sz w:val="24"/>
            <w:szCs w:val="24"/>
          </w:rPr>
          <w:t xml:space="preserve">; </w:t>
        </w:r>
      </w:hyperlink>
      <w:hyperlink r:id="rId739">
        <w:r w:rsidRPr="008F4E90">
          <w:rPr>
            <w:rFonts w:asciiTheme="majorBidi" w:eastAsia="Times New Roman" w:hAnsiTheme="majorBidi" w:cstheme="majorBidi"/>
            <w:sz w:val="24"/>
            <w:szCs w:val="24"/>
          </w:rPr>
          <w:t>Luna et al., 2010; Niu et al., 2022)</w:t>
        </w:r>
      </w:hyperlink>
      <w:r w:rsidRPr="008F4E90">
        <w:rPr>
          <w:rFonts w:asciiTheme="majorBidi" w:eastAsia="Times New Roman" w:hAnsiTheme="majorBidi" w:cstheme="majorBidi"/>
          <w:sz w:val="24"/>
          <w:szCs w:val="24"/>
        </w:rPr>
        <w:t xml:space="preserve">. During adolescence, there is a reduction in grey matter and an increase in white matter volume </w:t>
      </w:r>
      <w:hyperlink r:id="rId74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Pfefferbaum</w:t>
        </w:r>
        <w:proofErr w:type="spellEnd"/>
        <w:r w:rsidRPr="008F4E90">
          <w:rPr>
            <w:rFonts w:asciiTheme="majorBidi" w:eastAsia="Times New Roman" w:hAnsiTheme="majorBidi" w:cstheme="majorBidi"/>
            <w:sz w:val="24"/>
            <w:szCs w:val="24"/>
          </w:rPr>
          <w:t xml:space="preserve"> et al., 1994)</w:t>
        </w:r>
      </w:hyperlink>
      <w:r w:rsidRPr="008F4E90">
        <w:rPr>
          <w:rFonts w:asciiTheme="majorBidi" w:eastAsia="Times New Roman" w:hAnsiTheme="majorBidi" w:cstheme="majorBidi"/>
          <w:sz w:val="24"/>
          <w:szCs w:val="24"/>
        </w:rPr>
        <w:t xml:space="preserve">, which is associated with a transformation from primarily local connections to reinforced distributed long-distance connections, possibly due to the age-dependent systematic pruning of short-range functional connectivity </w:t>
      </w:r>
      <w:hyperlink r:id="rId741">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Supekar</w:t>
        </w:r>
        <w:proofErr w:type="spellEnd"/>
        <w:r w:rsidRPr="008F4E90">
          <w:rPr>
            <w:rFonts w:asciiTheme="majorBidi" w:eastAsia="Times New Roman" w:hAnsiTheme="majorBidi" w:cstheme="majorBidi"/>
            <w:sz w:val="24"/>
            <w:szCs w:val="24"/>
          </w:rPr>
          <w:t xml:space="preserve"> et al., 2009)</w:t>
        </w:r>
      </w:hyperlink>
      <w:r w:rsidRPr="008F4E90">
        <w:rPr>
          <w:rFonts w:asciiTheme="majorBidi" w:eastAsia="Times New Roman" w:hAnsiTheme="majorBidi" w:cstheme="majorBidi"/>
          <w:sz w:val="24"/>
          <w:szCs w:val="24"/>
        </w:rPr>
        <w:t xml:space="preserve">. As long-distance connections that facilitate </w:t>
      </w:r>
      <w:r w:rsidRPr="008F4E90">
        <w:rPr>
          <w:rFonts w:asciiTheme="majorBidi" w:eastAsia="Times New Roman" w:hAnsiTheme="majorBidi" w:cstheme="majorBidi"/>
          <w:sz w:val="24"/>
          <w:szCs w:val="24"/>
        </w:rPr>
        <w:lastRenderedPageBreak/>
        <w:t xml:space="preserve">integration and distributed processing become more developed, neural and cognitive specialisation also progresses accordingly </w:t>
      </w:r>
      <w:hyperlink r:id="rId742">
        <w:r w:rsidRPr="008F4E90">
          <w:rPr>
            <w:rFonts w:asciiTheme="majorBidi" w:eastAsia="Times New Roman" w:hAnsiTheme="majorBidi" w:cstheme="majorBidi"/>
            <w:sz w:val="24"/>
            <w:szCs w:val="24"/>
          </w:rPr>
          <w:t>(Luna et al. 2020)</w:t>
        </w:r>
      </w:hyperlink>
      <w:r w:rsidRPr="008F4E90">
        <w:rPr>
          <w:rFonts w:asciiTheme="majorBidi" w:eastAsia="Times New Roman" w:hAnsiTheme="majorBidi" w:cstheme="majorBidi"/>
          <w:sz w:val="24"/>
          <w:szCs w:val="24"/>
        </w:rPr>
        <w:t xml:space="preserve">, leading to extensive changes in the neurological, behavioural, and social domains during adolescence </w:t>
      </w:r>
      <w:hyperlink r:id="rId743">
        <w:r w:rsidRPr="008F4E90">
          <w:rPr>
            <w:rFonts w:asciiTheme="majorBidi" w:eastAsia="Times New Roman" w:hAnsiTheme="majorBidi" w:cstheme="majorBidi"/>
            <w:sz w:val="24"/>
            <w:szCs w:val="24"/>
          </w:rPr>
          <w:t>(Jaworska &amp; MacQueen, 2015)</w:t>
        </w:r>
      </w:hyperlink>
      <w:r w:rsidRPr="008F4E90">
        <w:rPr>
          <w:rFonts w:asciiTheme="majorBidi" w:eastAsia="Times New Roman" w:hAnsiTheme="majorBidi" w:cstheme="majorBidi"/>
          <w:sz w:val="24"/>
          <w:szCs w:val="24"/>
        </w:rPr>
        <w:t xml:space="preserve">. </w:t>
      </w:r>
    </w:p>
    <w:p w14:paraId="3C6D951A"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However, individuals with ASC exhibit a reduced age-dependent increase in entropy, suggesting a potentially delayed developmental pattern and indicating that their central nervous system processes information with reduced flexibility and efficiency despite following a similar developmental trajectory of brain complexity as their neurotypical counterparts. This reduced age-related rise in brain complexity observed in ASC may be attributed to an elevated ratio of excitatory to inhibitory coupling in the brain </w:t>
      </w:r>
      <w:hyperlink r:id="rId744">
        <w:r w:rsidRPr="008F4E90">
          <w:rPr>
            <w:rFonts w:asciiTheme="majorBidi" w:eastAsia="Times New Roman" w:hAnsiTheme="majorBidi" w:cstheme="majorBidi"/>
            <w:sz w:val="24"/>
            <w:szCs w:val="24"/>
          </w:rPr>
          <w:t>(</w:t>
        </w:r>
      </w:hyperlink>
      <w:hyperlink r:id="rId745">
        <w:r w:rsidRPr="008F4E90">
          <w:rPr>
            <w:rFonts w:asciiTheme="majorBidi" w:eastAsia="Times New Roman" w:hAnsiTheme="majorBidi" w:cstheme="majorBidi"/>
            <w:sz w:val="24"/>
            <w:szCs w:val="24"/>
          </w:rPr>
          <w:t>Easson and McIntosh 2019</w:t>
        </w:r>
      </w:hyperlink>
      <w:hyperlink r:id="rId746">
        <w:r w:rsidRPr="008F4E90">
          <w:rPr>
            <w:rFonts w:asciiTheme="majorBidi" w:eastAsia="Times New Roman" w:hAnsiTheme="majorBidi" w:cstheme="majorBidi"/>
            <w:sz w:val="24"/>
            <w:szCs w:val="24"/>
          </w:rPr>
          <w:t xml:space="preserve">; </w:t>
        </w:r>
      </w:hyperlink>
      <w:hyperlink r:id="rId747">
        <w:r w:rsidRPr="008F4E90">
          <w:rPr>
            <w:rFonts w:asciiTheme="majorBidi" w:eastAsia="Times New Roman" w:hAnsiTheme="majorBidi" w:cstheme="majorBidi"/>
            <w:sz w:val="24"/>
            <w:szCs w:val="24"/>
          </w:rPr>
          <w:t xml:space="preserve">Rubenstein &amp; </w:t>
        </w:r>
        <w:proofErr w:type="spellStart"/>
        <w:r w:rsidRPr="008F4E90">
          <w:rPr>
            <w:rFonts w:asciiTheme="majorBidi" w:eastAsia="Times New Roman" w:hAnsiTheme="majorBidi" w:cstheme="majorBidi"/>
            <w:sz w:val="24"/>
            <w:szCs w:val="24"/>
          </w:rPr>
          <w:t>Merzenich</w:t>
        </w:r>
        <w:proofErr w:type="spellEnd"/>
        <w:r w:rsidRPr="008F4E90">
          <w:rPr>
            <w:rFonts w:asciiTheme="majorBidi" w:eastAsia="Times New Roman" w:hAnsiTheme="majorBidi" w:cstheme="majorBidi"/>
            <w:sz w:val="24"/>
            <w:szCs w:val="24"/>
          </w:rPr>
          <w:t>, 2003)</w:t>
        </w:r>
      </w:hyperlink>
      <w:r w:rsidRPr="008F4E90">
        <w:rPr>
          <w:rFonts w:asciiTheme="majorBidi" w:eastAsia="Times New Roman" w:hAnsiTheme="majorBidi" w:cstheme="majorBidi"/>
          <w:sz w:val="24"/>
          <w:szCs w:val="24"/>
        </w:rPr>
        <w:t xml:space="preserve">, which could be associated with atypical neurodevelopmental trajectories in the ASC population, such as abnormal myelination and synaptic development </w:t>
      </w:r>
      <w:hyperlink r:id="rId748">
        <w:r w:rsidRPr="008F4E90">
          <w:rPr>
            <w:rFonts w:asciiTheme="majorBidi" w:eastAsia="Times New Roman" w:hAnsiTheme="majorBidi" w:cstheme="majorBidi"/>
            <w:sz w:val="24"/>
            <w:szCs w:val="24"/>
          </w:rPr>
          <w:t xml:space="preserve">(Rubenstein &amp; </w:t>
        </w:r>
        <w:proofErr w:type="spellStart"/>
        <w:r w:rsidRPr="008F4E90">
          <w:rPr>
            <w:rFonts w:asciiTheme="majorBidi" w:eastAsia="Times New Roman" w:hAnsiTheme="majorBidi" w:cstheme="majorBidi"/>
            <w:sz w:val="24"/>
            <w:szCs w:val="24"/>
          </w:rPr>
          <w:t>Merzenich</w:t>
        </w:r>
        <w:proofErr w:type="spellEnd"/>
        <w:r w:rsidRPr="008F4E90">
          <w:rPr>
            <w:rFonts w:asciiTheme="majorBidi" w:eastAsia="Times New Roman" w:hAnsiTheme="majorBidi" w:cstheme="majorBidi"/>
            <w:sz w:val="24"/>
            <w:szCs w:val="24"/>
          </w:rPr>
          <w:t>, 2003)</w:t>
        </w:r>
      </w:hyperlink>
      <w:r w:rsidRPr="008F4E90">
        <w:rPr>
          <w:rFonts w:asciiTheme="majorBidi" w:eastAsia="Times New Roman" w:hAnsiTheme="majorBidi" w:cstheme="majorBidi"/>
          <w:sz w:val="24"/>
          <w:szCs w:val="24"/>
        </w:rPr>
        <w:t xml:space="preserve">, as well as disparities in grey matter thinning </w:t>
      </w:r>
      <w:hyperlink r:id="rId749">
        <w:r w:rsidRPr="008F4E90">
          <w:rPr>
            <w:rFonts w:asciiTheme="majorBidi" w:eastAsia="Times New Roman" w:hAnsiTheme="majorBidi" w:cstheme="majorBidi"/>
            <w:sz w:val="24"/>
            <w:szCs w:val="24"/>
          </w:rPr>
          <w:t xml:space="preserve">(van </w:t>
        </w:r>
        <w:proofErr w:type="spellStart"/>
        <w:r w:rsidRPr="008F4E90">
          <w:rPr>
            <w:rFonts w:asciiTheme="majorBidi" w:eastAsia="Times New Roman" w:hAnsiTheme="majorBidi" w:cstheme="majorBidi"/>
            <w:sz w:val="24"/>
            <w:szCs w:val="24"/>
          </w:rPr>
          <w:t>Rooij</w:t>
        </w:r>
        <w:proofErr w:type="spellEnd"/>
        <w:r w:rsidRPr="008F4E90">
          <w:rPr>
            <w:rFonts w:asciiTheme="majorBidi" w:eastAsia="Times New Roman" w:hAnsiTheme="majorBidi" w:cstheme="majorBidi"/>
            <w:sz w:val="24"/>
            <w:szCs w:val="24"/>
          </w:rPr>
          <w:t xml:space="preserve"> et al., 2018)</w:t>
        </w:r>
      </w:hyperlink>
      <w:r w:rsidRPr="008F4E90">
        <w:rPr>
          <w:rFonts w:asciiTheme="majorBidi" w:eastAsia="Times New Roman" w:hAnsiTheme="majorBidi" w:cstheme="majorBidi"/>
          <w:sz w:val="24"/>
          <w:szCs w:val="24"/>
        </w:rPr>
        <w:t xml:space="preserve"> and a lack of typical maturational increases in cortical GABA level </w:t>
      </w:r>
      <w:hyperlink r:id="rId750">
        <w:r w:rsidRPr="008F4E90">
          <w:rPr>
            <w:rFonts w:asciiTheme="majorBidi" w:eastAsia="Times New Roman" w:hAnsiTheme="majorBidi" w:cstheme="majorBidi"/>
            <w:sz w:val="24"/>
            <w:szCs w:val="24"/>
          </w:rPr>
          <w:t>(Port et al., 2019)</w:t>
        </w:r>
      </w:hyperlink>
      <w:r w:rsidRPr="008F4E90">
        <w:rPr>
          <w:rFonts w:asciiTheme="majorBidi" w:eastAsia="Times New Roman" w:hAnsiTheme="majorBidi" w:cstheme="majorBidi"/>
          <w:sz w:val="24"/>
          <w:szCs w:val="24"/>
        </w:rPr>
        <w:t xml:space="preserve">. Inhibitory signalling is vital in enhancing the precision of excitatory brain signals. Thus, an increase in excitatory signalling and a decrease in inhibitory signalling could cause more chaotic and less stable signalling, decreased functional specialisation, and less efficient information processing </w:t>
      </w:r>
      <w:hyperlink r:id="rId751">
        <w:r w:rsidRPr="008F4E90">
          <w:rPr>
            <w:rFonts w:asciiTheme="majorBidi" w:eastAsia="Times New Roman" w:hAnsiTheme="majorBidi" w:cstheme="majorBidi"/>
            <w:sz w:val="24"/>
            <w:szCs w:val="24"/>
          </w:rPr>
          <w:t xml:space="preserve">(Nelson &amp; </w:t>
        </w:r>
        <w:proofErr w:type="spellStart"/>
        <w:r w:rsidRPr="008F4E90">
          <w:rPr>
            <w:rFonts w:asciiTheme="majorBidi" w:eastAsia="Times New Roman" w:hAnsiTheme="majorBidi" w:cstheme="majorBidi"/>
            <w:sz w:val="24"/>
            <w:szCs w:val="24"/>
          </w:rPr>
          <w:t>Valakh</w:t>
        </w:r>
        <w:proofErr w:type="spellEnd"/>
        <w:r w:rsidRPr="008F4E90">
          <w:rPr>
            <w:rFonts w:asciiTheme="majorBidi" w:eastAsia="Times New Roman" w:hAnsiTheme="majorBidi" w:cstheme="majorBidi"/>
            <w:sz w:val="24"/>
            <w:szCs w:val="24"/>
          </w:rPr>
          <w:t>, 2015)</w:t>
        </w:r>
      </w:hyperlink>
      <w:r w:rsidRPr="008F4E90">
        <w:rPr>
          <w:rFonts w:asciiTheme="majorBidi" w:eastAsia="Times New Roman" w:hAnsiTheme="majorBidi" w:cstheme="majorBidi"/>
          <w:sz w:val="24"/>
          <w:szCs w:val="24"/>
        </w:rPr>
        <w:t xml:space="preserve">, resulting in imprecise brain activity and this reduced age-dependent increase in brain complexity. </w:t>
      </w:r>
    </w:p>
    <w:p w14:paraId="52FDDEA3"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the behaviour context, as neurotypical individuals progress from childhood to young adulthood, an increase in entropy values indicates a higher information processing capacity and functional brain development. A vital characteristic of this specialisation during adolescence is the capacity to regulate behaviour adaptively </w:t>
      </w:r>
      <w:hyperlink r:id="rId752">
        <w:r w:rsidRPr="008F4E90">
          <w:rPr>
            <w:rFonts w:asciiTheme="majorBidi" w:eastAsia="Times New Roman" w:hAnsiTheme="majorBidi" w:cstheme="majorBidi"/>
            <w:sz w:val="24"/>
            <w:szCs w:val="24"/>
          </w:rPr>
          <w:t xml:space="preserve">(McCormick &amp; </w:t>
        </w:r>
        <w:proofErr w:type="spellStart"/>
        <w:r w:rsidRPr="008F4E90">
          <w:rPr>
            <w:rFonts w:asciiTheme="majorBidi" w:eastAsia="Times New Roman" w:hAnsiTheme="majorBidi" w:cstheme="majorBidi"/>
            <w:sz w:val="24"/>
            <w:szCs w:val="24"/>
          </w:rPr>
          <w:t>Telzer</w:t>
        </w:r>
        <w:proofErr w:type="spellEnd"/>
        <w:r w:rsidRPr="008F4E90">
          <w:rPr>
            <w:rFonts w:asciiTheme="majorBidi" w:eastAsia="Times New Roman" w:hAnsiTheme="majorBidi" w:cstheme="majorBidi"/>
            <w:sz w:val="24"/>
            <w:szCs w:val="24"/>
          </w:rPr>
          <w:t>, 2017)</w:t>
        </w:r>
      </w:hyperlink>
      <w:r w:rsidRPr="008F4E90">
        <w:rPr>
          <w:rFonts w:asciiTheme="majorBidi" w:eastAsia="Times New Roman" w:hAnsiTheme="majorBidi" w:cstheme="majorBidi"/>
          <w:sz w:val="24"/>
          <w:szCs w:val="24"/>
        </w:rPr>
        <w:t xml:space="preserve">, which becomes most evident when the demands of self-regulation coincide with heightened arousal, emotional saliency, and social pressures </w:t>
      </w:r>
      <w:hyperlink r:id="rId753">
        <w:r w:rsidRPr="008F4E90">
          <w:rPr>
            <w:rFonts w:asciiTheme="majorBidi" w:eastAsia="Times New Roman" w:hAnsiTheme="majorBidi" w:cstheme="majorBidi"/>
            <w:sz w:val="24"/>
            <w:szCs w:val="24"/>
          </w:rPr>
          <w:t>(Spear, 2013)</w:t>
        </w:r>
      </w:hyperlink>
      <w:r w:rsidRPr="008F4E90">
        <w:rPr>
          <w:rFonts w:asciiTheme="majorBidi" w:eastAsia="Times New Roman" w:hAnsiTheme="majorBidi" w:cstheme="majorBidi"/>
          <w:sz w:val="24"/>
          <w:szCs w:val="24"/>
        </w:rPr>
        <w:t xml:space="preserve">. However, individuals with ASC do not exhibit developments in many aspects observed into adulthood, as seen in neurotypical individuals. Current research indicates that individuals with ASC may not exhibit the expected developmental progress during adolescence in skills necessary for adulthood. These critical </w:t>
      </w:r>
      <w:r w:rsidRPr="008F4E90">
        <w:rPr>
          <w:rFonts w:asciiTheme="majorBidi" w:eastAsia="Times New Roman" w:hAnsiTheme="majorBidi" w:cstheme="majorBidi"/>
          <w:sz w:val="24"/>
          <w:szCs w:val="24"/>
        </w:rPr>
        <w:lastRenderedPageBreak/>
        <w:t>skills encompass executive function, social cognition and communication, emotional recognition and self-awareness</w:t>
      </w:r>
      <w:hyperlink r:id="rId754">
        <w:r w:rsidRPr="008F4E90">
          <w:rPr>
            <w:rFonts w:asciiTheme="majorBidi" w:eastAsia="Times New Roman" w:hAnsiTheme="majorBidi" w:cstheme="majorBidi"/>
            <w:sz w:val="24"/>
            <w:szCs w:val="24"/>
          </w:rPr>
          <w:t>(Andersen et al., 2015; Bal et al., 2013; Huggins et al., 2020)</w:t>
        </w:r>
      </w:hyperlink>
      <w:r w:rsidRPr="008F4E90">
        <w:rPr>
          <w:rFonts w:asciiTheme="majorBidi" w:eastAsia="Times New Roman" w:hAnsiTheme="majorBidi" w:cstheme="majorBidi"/>
          <w:sz w:val="24"/>
          <w:szCs w:val="24"/>
        </w:rPr>
        <w:t>. Specifically, young adults with ASC demonstrated thicker grey matter in frontal regions responsible for executive function and higher-order cognition. However, they experienced thinner grey matter in temporal and nearby parietal regions, such as the supramarginal gyrus, associated with social cognition and interaction, compared to their typically developing peers</w:t>
      </w:r>
      <w:hyperlink r:id="rId755">
        <w:r w:rsidRPr="008F4E90">
          <w:rPr>
            <w:rFonts w:asciiTheme="majorBidi" w:eastAsia="Times New Roman" w:hAnsiTheme="majorBidi" w:cstheme="majorBidi"/>
            <w:sz w:val="24"/>
            <w:szCs w:val="24"/>
          </w:rPr>
          <w:t xml:space="preserve">(van </w:t>
        </w:r>
        <w:proofErr w:type="spellStart"/>
        <w:r w:rsidRPr="008F4E90">
          <w:rPr>
            <w:rFonts w:asciiTheme="majorBidi" w:eastAsia="Times New Roman" w:hAnsiTheme="majorBidi" w:cstheme="majorBidi"/>
            <w:sz w:val="24"/>
            <w:szCs w:val="24"/>
          </w:rPr>
          <w:t>Rooij</w:t>
        </w:r>
        <w:proofErr w:type="spellEnd"/>
        <w:r w:rsidRPr="008F4E90">
          <w:rPr>
            <w:rFonts w:asciiTheme="majorBidi" w:eastAsia="Times New Roman" w:hAnsiTheme="majorBidi" w:cstheme="majorBidi"/>
            <w:sz w:val="24"/>
            <w:szCs w:val="24"/>
          </w:rPr>
          <w:t xml:space="preserve"> et al., 2018)</w:t>
        </w:r>
      </w:hyperlink>
      <w:r w:rsidRPr="008F4E90">
        <w:rPr>
          <w:rFonts w:asciiTheme="majorBidi" w:eastAsia="Times New Roman" w:hAnsiTheme="majorBidi" w:cstheme="majorBidi"/>
          <w:sz w:val="24"/>
          <w:szCs w:val="24"/>
        </w:rPr>
        <w:t>.</w:t>
      </w:r>
    </w:p>
    <w:p w14:paraId="7052E509"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t xml:space="preserve">Age-Related Brain Complexity: The medial posterior cortex. </w:t>
      </w:r>
      <w:r w:rsidRPr="008F4E90">
        <w:rPr>
          <w:rFonts w:asciiTheme="majorBidi" w:eastAsia="Times New Roman" w:hAnsiTheme="majorBidi" w:cstheme="majorBidi"/>
          <w:sz w:val="24"/>
          <w:szCs w:val="24"/>
        </w:rPr>
        <w:t xml:space="preserve">Age is broadly positively associated with the multiscale sample entropy among neurotypical controls in the EEG signal, covering the entire brain, as depicted in Figure 2. This finding aligns with established results in the ageing literature concerning the differences in EEG variability between younger and older individuals </w:t>
      </w:r>
      <w:hyperlink r:id="rId756">
        <w:r w:rsidRPr="008F4E90">
          <w:rPr>
            <w:rFonts w:asciiTheme="majorBidi" w:eastAsia="Times New Roman" w:hAnsiTheme="majorBidi" w:cstheme="majorBidi"/>
            <w:sz w:val="24"/>
            <w:szCs w:val="24"/>
          </w:rPr>
          <w:t>(McIntosh et al., 2014; McIntosh, 2018)</w:t>
        </w:r>
      </w:hyperlink>
      <w:r w:rsidRPr="008F4E90">
        <w:rPr>
          <w:rFonts w:asciiTheme="majorBidi" w:eastAsia="Times New Roman" w:hAnsiTheme="majorBidi" w:cstheme="majorBidi"/>
          <w:sz w:val="24"/>
          <w:szCs w:val="24"/>
        </w:rPr>
        <w:t xml:space="preserve">. As shown in Figure 4, the fMRI signals reveal specific brain regions contributing to age-related complexity. Generally, the grey matter demonstrates substantial age-related effects on brain complexity, whereas the white matter exhibits no age-related effects. This finding aligns with previous fMRI studies on functional property changes from childhood to adulthood </w:t>
      </w:r>
      <w:hyperlink r:id="rId757">
        <w:r w:rsidRPr="008F4E90">
          <w:rPr>
            <w:rFonts w:asciiTheme="majorBidi" w:eastAsia="Times New Roman" w:hAnsiTheme="majorBidi" w:cstheme="majorBidi"/>
            <w:sz w:val="24"/>
            <w:szCs w:val="24"/>
          </w:rPr>
          <w:t>(McIlvain et al., 2022)</w:t>
        </w:r>
      </w:hyperlink>
      <w:r w:rsidRPr="008F4E90">
        <w:rPr>
          <w:rFonts w:asciiTheme="majorBidi" w:eastAsia="Times New Roman" w:hAnsiTheme="majorBidi" w:cstheme="majorBidi"/>
          <w:sz w:val="24"/>
          <w:szCs w:val="24"/>
        </w:rPr>
        <w:t xml:space="preserve">. </w:t>
      </w:r>
    </w:p>
    <w:p w14:paraId="37297199"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Specifically, in the neurotypical control group, the prominent age-related brain regions are the medial posterior cortical areas, recognised as pivotal "network hubs" within the brain </w:t>
      </w:r>
      <w:hyperlink r:id="rId758">
        <w:r w:rsidRPr="008F4E90">
          <w:rPr>
            <w:rFonts w:asciiTheme="majorBidi" w:eastAsia="Times New Roman" w:hAnsiTheme="majorBidi" w:cstheme="majorBidi"/>
            <w:sz w:val="24"/>
            <w:szCs w:val="24"/>
          </w:rPr>
          <w:t>(Hagmann et al., 2008)</w:t>
        </w:r>
      </w:hyperlink>
      <w:r w:rsidRPr="008F4E90">
        <w:rPr>
          <w:rFonts w:asciiTheme="majorBidi" w:eastAsia="Times New Roman" w:hAnsiTheme="majorBidi" w:cstheme="majorBidi"/>
          <w:sz w:val="24"/>
          <w:szCs w:val="24"/>
        </w:rPr>
        <w:t xml:space="preserve">. This observation is highly consistent with another study on age-related brain complexity, which also identified that the contributing age-related clusters were predominantly located within the default mode network and somatosensory network among healthy controls </w:t>
      </w:r>
      <w:hyperlink r:id="rId759">
        <w:r w:rsidRPr="008F4E90">
          <w:rPr>
            <w:rFonts w:asciiTheme="majorBidi" w:eastAsia="Times New Roman" w:hAnsiTheme="majorBidi" w:cstheme="majorBidi"/>
            <w:sz w:val="24"/>
            <w:szCs w:val="24"/>
          </w:rPr>
          <w:t>(Niu et al., 2022)</w:t>
        </w:r>
      </w:hyperlink>
      <w:r w:rsidRPr="008F4E90">
        <w:rPr>
          <w:rFonts w:asciiTheme="majorBidi" w:eastAsia="Times New Roman" w:hAnsiTheme="majorBidi" w:cstheme="majorBidi"/>
          <w:sz w:val="24"/>
          <w:szCs w:val="24"/>
        </w:rPr>
        <w:t xml:space="preserve">. Additionally, it is also in line with another MEG study on age-related brain complexity, which highlighted the medial parietal regions, including the </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and posterior cingulate cortex, as the most notable age-related brain regions </w:t>
      </w:r>
      <w:hyperlink r:id="rId76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Dosenbach</w:t>
        </w:r>
        <w:proofErr w:type="spellEnd"/>
        <w:r w:rsidRPr="008F4E90">
          <w:rPr>
            <w:rFonts w:asciiTheme="majorBidi" w:eastAsia="Times New Roman" w:hAnsiTheme="majorBidi" w:cstheme="majorBidi"/>
            <w:sz w:val="24"/>
            <w:szCs w:val="24"/>
          </w:rPr>
          <w:t xml:space="preserve"> et al., 2010</w:t>
        </w:r>
      </w:hyperlink>
      <w:hyperlink r:id="rId761">
        <w:r w:rsidRPr="008F4E90">
          <w:rPr>
            <w:rFonts w:asciiTheme="majorBidi" w:eastAsia="Times New Roman" w:hAnsiTheme="majorBidi" w:cstheme="majorBidi"/>
            <w:sz w:val="24"/>
            <w:szCs w:val="24"/>
          </w:rPr>
          <w:t xml:space="preserve">; </w:t>
        </w:r>
      </w:hyperlink>
      <w:hyperlink r:id="rId762">
        <w:proofErr w:type="spellStart"/>
        <w:r w:rsidRPr="008F4E90">
          <w:rPr>
            <w:rFonts w:asciiTheme="majorBidi" w:eastAsia="Times New Roman" w:hAnsiTheme="majorBidi" w:cstheme="majorBidi"/>
            <w:sz w:val="24"/>
            <w:szCs w:val="24"/>
          </w:rPr>
          <w:t>Misić</w:t>
        </w:r>
        <w:proofErr w:type="spellEnd"/>
        <w:r w:rsidRPr="008F4E90">
          <w:rPr>
            <w:rFonts w:asciiTheme="majorBidi" w:eastAsia="Times New Roman" w:hAnsiTheme="majorBidi" w:cstheme="majorBidi"/>
            <w:sz w:val="24"/>
            <w:szCs w:val="24"/>
          </w:rPr>
          <w:t xml:space="preserve"> et al., 2010)</w:t>
        </w:r>
      </w:hyperlink>
      <w:r w:rsidRPr="008F4E90">
        <w:rPr>
          <w:rFonts w:asciiTheme="majorBidi" w:eastAsia="Times New Roman" w:hAnsiTheme="majorBidi" w:cstheme="majorBidi"/>
          <w:sz w:val="24"/>
          <w:szCs w:val="24"/>
        </w:rPr>
        <w:t xml:space="preserve">. These regions are distinguished by their strategic position within the structural hierarchy of the cerebral cortex </w:t>
      </w:r>
      <w:hyperlink r:id="rId763">
        <w:r w:rsidRPr="008F4E90">
          <w:rPr>
            <w:rFonts w:asciiTheme="majorBidi" w:eastAsia="Times New Roman" w:hAnsiTheme="majorBidi" w:cstheme="majorBidi"/>
            <w:sz w:val="24"/>
            <w:szCs w:val="24"/>
          </w:rPr>
          <w:t>(Al-Ramadhani et al., 2021)</w:t>
        </w:r>
      </w:hyperlink>
      <w:r w:rsidRPr="008F4E90">
        <w:rPr>
          <w:rFonts w:asciiTheme="majorBidi" w:eastAsia="Times New Roman" w:hAnsiTheme="majorBidi" w:cstheme="majorBidi"/>
          <w:sz w:val="24"/>
          <w:szCs w:val="24"/>
        </w:rPr>
        <w:t xml:space="preserve">. The medial posterior cortex, encompassing the </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and posterior cingulate, has been recognised as a potential structural core because of its distinctive topological characteristics, including dense connectivity </w:t>
      </w:r>
      <w:r w:rsidRPr="008F4E90">
        <w:rPr>
          <w:rFonts w:asciiTheme="majorBidi" w:eastAsia="Times New Roman" w:hAnsiTheme="majorBidi" w:cstheme="majorBidi"/>
          <w:sz w:val="24"/>
          <w:szCs w:val="24"/>
        </w:rPr>
        <w:lastRenderedPageBreak/>
        <w:t xml:space="preserve">(degree), efficient communication with other regions (efficiency), and its active involvement in a significant proportion of short paths between various brain regions (elevated betweenness centrality), playing a central role in a central role in integrating information across functionally segregated brain regions </w:t>
      </w:r>
      <w:hyperlink r:id="rId764">
        <w:r w:rsidRPr="008F4E90">
          <w:rPr>
            <w:rFonts w:asciiTheme="majorBidi" w:eastAsia="Times New Roman" w:hAnsiTheme="majorBidi" w:cstheme="majorBidi"/>
            <w:sz w:val="24"/>
            <w:szCs w:val="24"/>
          </w:rPr>
          <w:t xml:space="preserve">(Achard et al., 2006; Hagmann et al., 2008; </w:t>
        </w:r>
        <w:proofErr w:type="spellStart"/>
        <w:r w:rsidRPr="008F4E90">
          <w:rPr>
            <w:rFonts w:asciiTheme="majorBidi" w:eastAsia="Times New Roman" w:hAnsiTheme="majorBidi" w:cstheme="majorBidi"/>
            <w:sz w:val="24"/>
            <w:szCs w:val="24"/>
          </w:rPr>
          <w:t>Iturria</w:t>
        </w:r>
        <w:proofErr w:type="spellEnd"/>
        <w:r w:rsidRPr="008F4E90">
          <w:rPr>
            <w:rFonts w:asciiTheme="majorBidi" w:eastAsia="Times New Roman" w:hAnsiTheme="majorBidi" w:cstheme="majorBidi"/>
            <w:sz w:val="24"/>
            <w:szCs w:val="24"/>
          </w:rPr>
          <w:t>-Medina et al., 2008; Leech et al., 2012; Kundu et al., 2018; Tomasi &amp; Volkow, 2010)</w:t>
        </w:r>
      </w:hyperlink>
      <w:r w:rsidRPr="008F4E90">
        <w:rPr>
          <w:rFonts w:asciiTheme="majorBidi" w:eastAsia="Times New Roman" w:hAnsiTheme="majorBidi" w:cstheme="majorBidi"/>
          <w:sz w:val="24"/>
          <w:szCs w:val="24"/>
        </w:rPr>
        <w:t xml:space="preserve">. These areas also play prominent roles in the default mode </w:t>
      </w:r>
      <w:hyperlink r:id="rId765">
        <w:r w:rsidRPr="008F4E90">
          <w:rPr>
            <w:rFonts w:asciiTheme="majorBidi" w:eastAsia="Times New Roman" w:hAnsiTheme="majorBidi" w:cstheme="majorBidi"/>
            <w:sz w:val="24"/>
            <w:szCs w:val="24"/>
          </w:rPr>
          <w:t>(Leech et al., 2012</w:t>
        </w:r>
      </w:hyperlink>
      <w:hyperlink r:id="rId766">
        <w:r w:rsidRPr="008F4E90">
          <w:rPr>
            <w:rFonts w:asciiTheme="majorBidi" w:eastAsia="Times New Roman" w:hAnsiTheme="majorBidi" w:cstheme="majorBidi"/>
            <w:sz w:val="24"/>
            <w:szCs w:val="24"/>
          </w:rPr>
          <w:t xml:space="preserve">; </w:t>
        </w:r>
      </w:hyperlink>
      <w:hyperlink r:id="rId767">
        <w:r w:rsidRPr="008F4E90">
          <w:rPr>
            <w:rFonts w:asciiTheme="majorBidi" w:eastAsia="Times New Roman" w:hAnsiTheme="majorBidi" w:cstheme="majorBidi"/>
            <w:sz w:val="24"/>
            <w:szCs w:val="24"/>
          </w:rPr>
          <w:t>Raichle et al., 2001; Utevsky et al., 2014)</w:t>
        </w:r>
      </w:hyperlink>
      <w:r w:rsidRPr="008F4E90">
        <w:rPr>
          <w:rFonts w:asciiTheme="majorBidi" w:eastAsia="Times New Roman" w:hAnsiTheme="majorBidi" w:cstheme="majorBidi"/>
          <w:sz w:val="24"/>
          <w:szCs w:val="24"/>
        </w:rPr>
        <w:t xml:space="preserve"> or task-negative networks </w:t>
      </w:r>
      <w:hyperlink r:id="rId768">
        <w:r w:rsidRPr="008F4E90">
          <w:rPr>
            <w:rFonts w:asciiTheme="majorBidi" w:eastAsia="Times New Roman" w:hAnsiTheme="majorBidi" w:cstheme="majorBidi"/>
            <w:sz w:val="24"/>
            <w:szCs w:val="24"/>
          </w:rPr>
          <w:t>(Fox et al., 2005)</w:t>
        </w:r>
      </w:hyperlink>
      <w:r w:rsidRPr="008F4E90">
        <w:rPr>
          <w:rFonts w:asciiTheme="majorBidi" w:eastAsia="Times New Roman" w:hAnsiTheme="majorBidi" w:cstheme="majorBidi"/>
          <w:sz w:val="24"/>
          <w:szCs w:val="24"/>
        </w:rPr>
        <w:t>, as they display distinctive connectivity patterns compared to the more extensive network during both task-related activities and resting state: with increasing task difficulty, the ventral and dorsal posterior cingulate/</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demonstrate contrasting integration patterns with the default mode network; moreover, during rest, the dorsal posterior cingulate/</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exhibits connectivity with both the default mode network and task-positive networks </w:t>
      </w:r>
      <w:hyperlink r:id="rId769">
        <w:r w:rsidRPr="008F4E90">
          <w:rPr>
            <w:rFonts w:asciiTheme="majorBidi" w:eastAsia="Times New Roman" w:hAnsiTheme="majorBidi" w:cstheme="majorBidi"/>
            <w:sz w:val="24"/>
            <w:szCs w:val="24"/>
          </w:rPr>
          <w:t>(Leech et al., 2011)</w:t>
        </w:r>
      </w:hyperlink>
      <w:r w:rsidRPr="008F4E90">
        <w:rPr>
          <w:rFonts w:asciiTheme="majorBidi" w:eastAsia="Times New Roman" w:hAnsiTheme="majorBidi" w:cstheme="majorBidi"/>
          <w:sz w:val="24"/>
          <w:szCs w:val="24"/>
        </w:rPr>
        <w:t>.</w:t>
      </w:r>
    </w:p>
    <w:p w14:paraId="4BF7C0A4"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Furthermore, the neurotypical control group displays additional more substantial age-related brain regions, specifically the inferior frontal gyrus, postcentral gyrus, and prefrontal gyrus, which predominantly fall within the </w:t>
      </w:r>
      <w:proofErr w:type="spellStart"/>
      <w:r w:rsidRPr="008F4E90">
        <w:rPr>
          <w:rFonts w:asciiTheme="majorBidi" w:eastAsia="Times New Roman" w:hAnsiTheme="majorBidi" w:cstheme="majorBidi"/>
          <w:sz w:val="24"/>
          <w:szCs w:val="24"/>
        </w:rPr>
        <w:t>somatomotor</w:t>
      </w:r>
      <w:proofErr w:type="spellEnd"/>
      <w:r w:rsidRPr="008F4E90">
        <w:rPr>
          <w:rFonts w:asciiTheme="majorBidi" w:eastAsia="Times New Roman" w:hAnsiTheme="majorBidi" w:cstheme="majorBidi"/>
          <w:sz w:val="24"/>
          <w:szCs w:val="24"/>
        </w:rPr>
        <w:t xml:space="preserve"> network. Another study </w:t>
      </w:r>
      <w:hyperlink r:id="rId770">
        <w:r w:rsidRPr="008F4E90">
          <w:rPr>
            <w:rFonts w:asciiTheme="majorBidi" w:eastAsia="Times New Roman" w:hAnsiTheme="majorBidi" w:cstheme="majorBidi"/>
            <w:sz w:val="24"/>
            <w:szCs w:val="24"/>
          </w:rPr>
          <w:t>(Rosenberg et al., 2020)</w:t>
        </w:r>
      </w:hyperlink>
      <w:r w:rsidRPr="008F4E90">
        <w:rPr>
          <w:rFonts w:asciiTheme="majorBidi" w:eastAsia="Times New Roman" w:hAnsiTheme="majorBidi" w:cstheme="majorBidi"/>
          <w:sz w:val="24"/>
          <w:szCs w:val="24"/>
        </w:rPr>
        <w:t xml:space="preserve"> also reported notable age-related effects on static resting state functional connectivity within a circuit involving the dorsolateral prefrontal cortex, postcentral gyrus, and precentral gyrus. </w:t>
      </w:r>
    </w:p>
    <w:p w14:paraId="7AA6270C"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Remarkably, these regions do not simply demonstrate a straightforward positive correlation with age; a crossing point emerges since scale 3. This distinctive pattern of initially increasing and subsequently decreasing MSE has also emerged in analysing large time-scale EEG signals </w:t>
      </w:r>
      <w:hyperlink r:id="rId771">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 McIntosh et al., 2014)</w:t>
        </w:r>
      </w:hyperlink>
      <w:r w:rsidRPr="008F4E90">
        <w:rPr>
          <w:rFonts w:asciiTheme="majorBidi" w:eastAsia="Times New Roman" w:hAnsiTheme="majorBidi" w:cstheme="majorBidi"/>
          <w:sz w:val="24"/>
          <w:szCs w:val="24"/>
        </w:rPr>
        <w:t xml:space="preserve">. The MSE in the older age group is higher than in the younger age group from scale 1 to 20, followed by an opposite pattern after scale 20. This phenomenon can be attributed to the broader bandwidth of EEG activity in older individuals, where faster oscillations drive the dynamics, resulting in increased complexity at finer scales </w:t>
      </w:r>
      <w:hyperlink r:id="rId772">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w:t>
        </w:r>
      </w:hyperlink>
      <w:r w:rsidRPr="008F4E90">
        <w:rPr>
          <w:rFonts w:asciiTheme="majorBidi" w:eastAsia="Times New Roman" w:hAnsiTheme="majorBidi" w:cstheme="majorBidi"/>
          <w:sz w:val="24"/>
          <w:szCs w:val="24"/>
        </w:rPr>
        <w:t xml:space="preserve">. The reason for this distinctive trend solely observed in fMRI data analysis is probably due to the relatively narrow bandwidth of the </w:t>
      </w:r>
      <w:r w:rsidRPr="008F4E90">
        <w:rPr>
          <w:rFonts w:asciiTheme="majorBidi" w:eastAsia="Times New Roman" w:hAnsiTheme="majorBidi" w:cstheme="majorBidi"/>
          <w:sz w:val="24"/>
          <w:szCs w:val="24"/>
        </w:rPr>
        <w:lastRenderedPageBreak/>
        <w:t>fMRI signal and faster frequency decay as the time scale increases, and there could exist a correlation between time scales in fMRI and EEG signal analyses.</w:t>
      </w:r>
    </w:p>
    <w:p w14:paraId="5334DE89"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b/>
          <w:i/>
          <w:sz w:val="24"/>
          <w:szCs w:val="24"/>
        </w:rPr>
        <w:t>Age-Related Group Differences in Multiscale Sample Entropy: Unravelling Developmental Inconsistencies within the Default Mode Network.</w:t>
      </w:r>
      <w:r w:rsidRPr="008F4E90">
        <w:rPr>
          <w:rFonts w:asciiTheme="majorBidi" w:eastAsia="Times New Roman" w:hAnsiTheme="majorBidi" w:cstheme="majorBidi"/>
          <w:b/>
          <w:sz w:val="24"/>
          <w:szCs w:val="24"/>
        </w:rPr>
        <w:t xml:space="preserve"> </w:t>
      </w:r>
      <w:r w:rsidRPr="008F4E90">
        <w:rPr>
          <w:rFonts w:asciiTheme="majorBidi" w:eastAsia="Times New Roman" w:hAnsiTheme="majorBidi" w:cstheme="majorBidi"/>
          <w:sz w:val="24"/>
          <w:szCs w:val="24"/>
        </w:rPr>
        <w:t>Another pivotal discovery in this project is that the group differences observed between the ASC and control group in the previous chapter were further identified as age-related in this subsequent study. Specifically, the reduced multiscale sample entropy observed in the medial prefrontal cortex of the ASC group, indicating a typical decrease in brain complexity, was predominantly evident in the younger age group (between 7.13 and 12.8 in the ASC group; 7.19 and 12.8 in the control group). On the other hand, the atypical multiscale sample entropy identified in the posterior cingulate/</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was predominantly observed in the older age group (between 16.64 and 42.34 in the ASC group and between 16.66 and 39.39 in the control group). </w:t>
      </w:r>
    </w:p>
    <w:p w14:paraId="2E4A0C41"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Notably, no significant group differences were found in the middle age group (between 12.9 and 16.61 in both groups). Other </w:t>
      </w:r>
      <w:proofErr w:type="spellStart"/>
      <w:r w:rsidRPr="008F4E90">
        <w:rPr>
          <w:rFonts w:asciiTheme="majorBidi" w:eastAsia="Times New Roman" w:hAnsiTheme="majorBidi" w:cstheme="majorBidi"/>
          <w:sz w:val="24"/>
          <w:szCs w:val="24"/>
        </w:rPr>
        <w:t>rs</w:t>
      </w:r>
      <w:proofErr w:type="spellEnd"/>
      <w:r w:rsidRPr="008F4E90">
        <w:rPr>
          <w:rFonts w:asciiTheme="majorBidi" w:eastAsia="Times New Roman" w:hAnsiTheme="majorBidi" w:cstheme="majorBidi"/>
          <w:sz w:val="24"/>
          <w:szCs w:val="24"/>
        </w:rPr>
        <w:t xml:space="preserve">-fMRI studies investigating alterations in functional connectivity in individuals with ASC have similarly observed the lack of significant group differences in the middle age group </w:t>
      </w:r>
      <w:hyperlink r:id="rId773">
        <w:r w:rsidRPr="008F4E90">
          <w:rPr>
            <w:rFonts w:asciiTheme="majorBidi" w:eastAsia="Times New Roman" w:hAnsiTheme="majorBidi" w:cstheme="majorBidi"/>
            <w:sz w:val="24"/>
            <w:szCs w:val="24"/>
          </w:rPr>
          <w:t>(Long et al., 2016)</w:t>
        </w:r>
      </w:hyperlink>
      <w:r w:rsidRPr="008F4E90">
        <w:rPr>
          <w:rFonts w:asciiTheme="majorBidi" w:eastAsia="Times New Roman" w:hAnsiTheme="majorBidi" w:cstheme="majorBidi"/>
          <w:sz w:val="24"/>
          <w:szCs w:val="24"/>
        </w:rPr>
        <w:t xml:space="preserve">. While the exact mechanisms driving these developmental disparities remain uncertain, these age-related group differences could account for the discrepancies in brain complexity group differences observed in other studies. The absence of significant group differences in the middle-aged group was also observed in other fMRI studies on the functional connectivity alteration of individuals with ASC </w:t>
      </w:r>
      <w:hyperlink r:id="rId774">
        <w:r w:rsidRPr="008F4E90">
          <w:rPr>
            <w:rFonts w:asciiTheme="majorBidi" w:eastAsia="Times New Roman" w:hAnsiTheme="majorBidi" w:cstheme="majorBidi"/>
            <w:sz w:val="24"/>
            <w:szCs w:val="24"/>
          </w:rPr>
          <w:t>(Long et al., 2016)</w:t>
        </w:r>
      </w:hyperlink>
      <w:r w:rsidRPr="008F4E90">
        <w:rPr>
          <w:rFonts w:asciiTheme="majorBidi" w:eastAsia="Times New Roman" w:hAnsiTheme="majorBidi" w:cstheme="majorBidi"/>
          <w:sz w:val="24"/>
          <w:szCs w:val="24"/>
        </w:rPr>
        <w:t xml:space="preserve">, particularly concerning the default mode network </w:t>
      </w:r>
      <w:hyperlink r:id="rId775">
        <w:r w:rsidRPr="008F4E90">
          <w:rPr>
            <w:rFonts w:asciiTheme="majorBidi" w:eastAsia="Times New Roman" w:hAnsiTheme="majorBidi" w:cstheme="majorBidi"/>
            <w:sz w:val="24"/>
            <w:szCs w:val="24"/>
          </w:rPr>
          <w:t>(Marsh &amp; Hamilton, 2011)</w:t>
        </w:r>
      </w:hyperlink>
      <w:r w:rsidRPr="008F4E90">
        <w:rPr>
          <w:rFonts w:asciiTheme="majorBidi" w:eastAsia="Times New Roman" w:hAnsiTheme="majorBidi" w:cstheme="majorBidi"/>
          <w:sz w:val="24"/>
          <w:szCs w:val="24"/>
        </w:rPr>
        <w:t>. Although potential mechanisms underlying these developmental disparities are still unclear, these age-related group differences may explain the inconsistencies in brain complexity group differences observed in other studies with different age compositions of samples.</w:t>
      </w:r>
    </w:p>
    <w:p w14:paraId="69C4F553"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Moreover, the age-specific group differences in brain complexity observed in the medial prefrontal cortex and posterior cingulate/</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suggest that developmental dysfunction might be implicated in the pathology of ASC. Consistent research findings indicate that short-distance connectivity </w:t>
      </w:r>
      <w:r w:rsidRPr="008F4E90">
        <w:rPr>
          <w:rFonts w:asciiTheme="majorBidi" w:eastAsia="Times New Roman" w:hAnsiTheme="majorBidi" w:cstheme="majorBidi"/>
          <w:sz w:val="24"/>
          <w:szCs w:val="24"/>
        </w:rPr>
        <w:lastRenderedPageBreak/>
        <w:t xml:space="preserve">declines while long-distance connectivity increases as individuals age </w:t>
      </w:r>
      <w:hyperlink r:id="rId776">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Bagarinao</w:t>
        </w:r>
        <w:proofErr w:type="spellEnd"/>
        <w:r w:rsidRPr="008F4E90">
          <w:rPr>
            <w:rFonts w:asciiTheme="majorBidi" w:eastAsia="Times New Roman" w:hAnsiTheme="majorBidi" w:cstheme="majorBidi"/>
            <w:sz w:val="24"/>
            <w:szCs w:val="24"/>
          </w:rPr>
          <w:t xml:space="preserve"> et al., 2020)</w:t>
        </w:r>
      </w:hyperlink>
      <w:r w:rsidRPr="008F4E90">
        <w:rPr>
          <w:rFonts w:asciiTheme="majorBidi" w:eastAsia="Times New Roman" w:hAnsiTheme="majorBidi" w:cstheme="majorBidi"/>
          <w:sz w:val="24"/>
          <w:szCs w:val="24"/>
        </w:rPr>
        <w:t xml:space="preserve">. This age-related process also reduces the integration of functional organisation, as networks that are more regionally specific during younger ages integrate into anatomically distributed and functionally distinct networks throughout neurodevelopment </w:t>
      </w:r>
      <w:hyperlink r:id="rId777">
        <w:r w:rsidRPr="008F4E90">
          <w:rPr>
            <w:rFonts w:asciiTheme="majorBidi" w:eastAsia="Times New Roman" w:hAnsiTheme="majorBidi" w:cstheme="majorBidi"/>
            <w:sz w:val="24"/>
            <w:szCs w:val="24"/>
          </w:rPr>
          <w:t>(Fair et al., 2009</w:t>
        </w:r>
      </w:hyperlink>
      <w:hyperlink r:id="rId778">
        <w:r w:rsidRPr="008F4E90">
          <w:rPr>
            <w:rFonts w:asciiTheme="majorBidi" w:eastAsia="Times New Roman" w:hAnsiTheme="majorBidi" w:cstheme="majorBidi"/>
            <w:sz w:val="24"/>
            <w:szCs w:val="24"/>
          </w:rPr>
          <w:t xml:space="preserve">; </w:t>
        </w:r>
      </w:hyperlink>
      <w:hyperlink r:id="rId779">
        <w:r w:rsidRPr="008F4E90">
          <w:rPr>
            <w:rFonts w:asciiTheme="majorBidi" w:eastAsia="Times New Roman" w:hAnsiTheme="majorBidi" w:cstheme="majorBidi"/>
            <w:sz w:val="24"/>
            <w:szCs w:val="24"/>
          </w:rPr>
          <w:t>Kundu et al., 2018)</w:t>
        </w:r>
      </w:hyperlink>
      <w:r w:rsidRPr="008F4E90">
        <w:rPr>
          <w:rFonts w:asciiTheme="majorBidi" w:eastAsia="Times New Roman" w:hAnsiTheme="majorBidi" w:cstheme="majorBidi"/>
          <w:sz w:val="24"/>
          <w:szCs w:val="24"/>
        </w:rPr>
        <w:t xml:space="preserve">. However, research findings suggest that individuals with ASC may experience atypical neurodevelopment concerning the integration and segregation of brain networks </w:t>
      </w:r>
      <w:hyperlink r:id="rId780">
        <w:r w:rsidRPr="008F4E90">
          <w:rPr>
            <w:rFonts w:asciiTheme="majorBidi" w:eastAsia="Times New Roman" w:hAnsiTheme="majorBidi" w:cstheme="majorBidi"/>
            <w:sz w:val="24"/>
            <w:szCs w:val="24"/>
          </w:rPr>
          <w:t>(Long et al., 2016</w:t>
        </w:r>
      </w:hyperlink>
      <w:hyperlink r:id="rId781">
        <w:r w:rsidRPr="008F4E90">
          <w:rPr>
            <w:rFonts w:asciiTheme="majorBidi" w:eastAsia="Times New Roman" w:hAnsiTheme="majorBidi" w:cstheme="majorBidi"/>
            <w:sz w:val="24"/>
            <w:szCs w:val="24"/>
          </w:rPr>
          <w:t xml:space="preserve">; </w:t>
        </w:r>
      </w:hyperlink>
      <w:hyperlink r:id="rId782">
        <w:r w:rsidRPr="008F4E90">
          <w:rPr>
            <w:rFonts w:asciiTheme="majorBidi" w:eastAsia="Times New Roman" w:hAnsiTheme="majorBidi" w:cstheme="majorBidi"/>
            <w:sz w:val="24"/>
            <w:szCs w:val="24"/>
          </w:rPr>
          <w:t>Wass, 2011)</w:t>
        </w:r>
      </w:hyperlink>
      <w:r w:rsidRPr="008F4E90">
        <w:rPr>
          <w:rFonts w:asciiTheme="majorBidi" w:eastAsia="Times New Roman" w:hAnsiTheme="majorBidi" w:cstheme="majorBidi"/>
          <w:sz w:val="24"/>
          <w:szCs w:val="24"/>
        </w:rPr>
        <w:t xml:space="preserve">. This could manifest as an excess of disorganised and insufficiently selective local connectivity and poorly synchronised, weakly responsive, and information-limited long-distance connectivity </w:t>
      </w:r>
      <w:hyperlink r:id="rId783">
        <w:r w:rsidRPr="008F4E90">
          <w:rPr>
            <w:rFonts w:asciiTheme="majorBidi" w:eastAsia="Times New Roman" w:hAnsiTheme="majorBidi" w:cstheme="majorBidi"/>
            <w:sz w:val="24"/>
            <w:szCs w:val="24"/>
          </w:rPr>
          <w:t>(Courchesne &amp; Pierce, 2005)</w:t>
        </w:r>
      </w:hyperlink>
      <w:r w:rsidRPr="008F4E90">
        <w:rPr>
          <w:rFonts w:asciiTheme="majorBidi" w:eastAsia="Times New Roman" w:hAnsiTheme="majorBidi" w:cstheme="majorBidi"/>
          <w:sz w:val="24"/>
          <w:szCs w:val="24"/>
        </w:rPr>
        <w:t xml:space="preserve">. For instance, during typical development, there is a noticeable increase in intrinsic functional connectivity between nodes of the default mode network (DMN) from childhood to adulthood </w:t>
      </w:r>
      <w:hyperlink r:id="rId784">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Supekar</w:t>
        </w:r>
        <w:proofErr w:type="spellEnd"/>
        <w:r w:rsidRPr="008F4E90">
          <w:rPr>
            <w:rFonts w:asciiTheme="majorBidi" w:eastAsia="Times New Roman" w:hAnsiTheme="majorBidi" w:cstheme="majorBidi"/>
            <w:sz w:val="24"/>
            <w:szCs w:val="24"/>
          </w:rPr>
          <w:t xml:space="preserve"> et al., 2010)</w:t>
        </w:r>
      </w:hyperlink>
      <w:r w:rsidRPr="008F4E90">
        <w:rPr>
          <w:rFonts w:asciiTheme="majorBidi" w:eastAsia="Times New Roman" w:hAnsiTheme="majorBidi" w:cstheme="majorBidi"/>
          <w:sz w:val="24"/>
          <w:szCs w:val="24"/>
        </w:rPr>
        <w:t xml:space="preserve">. However, there is no consistent evidence in individuals with ASC that such connectivity increases with age within the DMN </w:t>
      </w:r>
      <w:hyperlink r:id="rId785">
        <w:r w:rsidRPr="008F4E90">
          <w:rPr>
            <w:rFonts w:asciiTheme="majorBidi" w:eastAsia="Times New Roman" w:hAnsiTheme="majorBidi" w:cstheme="majorBidi"/>
            <w:sz w:val="24"/>
            <w:szCs w:val="24"/>
          </w:rPr>
          <w:t>(Doyle-Thomas et al., 2015</w:t>
        </w:r>
      </w:hyperlink>
      <w:hyperlink r:id="rId786">
        <w:r w:rsidRPr="008F4E90">
          <w:rPr>
            <w:rFonts w:asciiTheme="majorBidi" w:eastAsia="Times New Roman" w:hAnsiTheme="majorBidi" w:cstheme="majorBidi"/>
            <w:sz w:val="24"/>
            <w:szCs w:val="24"/>
          </w:rPr>
          <w:t xml:space="preserve">; </w:t>
        </w:r>
      </w:hyperlink>
      <w:hyperlink r:id="rId787">
        <w:r w:rsidRPr="008F4E90">
          <w:rPr>
            <w:rFonts w:asciiTheme="majorBidi" w:eastAsia="Times New Roman" w:hAnsiTheme="majorBidi" w:cstheme="majorBidi"/>
            <w:sz w:val="24"/>
            <w:szCs w:val="24"/>
          </w:rPr>
          <w:t>Wiggins et al., 2012)</w:t>
        </w:r>
      </w:hyperlink>
      <w:r w:rsidRPr="008F4E90">
        <w:rPr>
          <w:rFonts w:asciiTheme="majorBidi" w:eastAsia="Times New Roman" w:hAnsiTheme="majorBidi" w:cstheme="majorBidi"/>
          <w:sz w:val="24"/>
          <w:szCs w:val="24"/>
        </w:rPr>
        <w:t>.</w:t>
      </w:r>
    </w:p>
    <w:p w14:paraId="44045794" w14:textId="77777777" w:rsidR="008F330E" w:rsidRPr="008F4E90" w:rsidRDefault="008F330E" w:rsidP="008F330E">
      <w:pPr>
        <w:spacing w:line="480" w:lineRule="auto"/>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Moreover, in neurotypical individuals, inter-network connectivity also tends to increase with age </w:t>
      </w:r>
      <w:hyperlink r:id="rId788">
        <w:r w:rsidRPr="008F4E90">
          <w:rPr>
            <w:rFonts w:asciiTheme="majorBidi" w:eastAsia="Times New Roman" w:hAnsiTheme="majorBidi" w:cstheme="majorBidi"/>
            <w:sz w:val="24"/>
            <w:szCs w:val="24"/>
          </w:rPr>
          <w:t>(Power et al., 2010)</w:t>
        </w:r>
      </w:hyperlink>
      <w:r w:rsidRPr="008F4E90">
        <w:rPr>
          <w:rFonts w:asciiTheme="majorBidi" w:eastAsia="Times New Roman" w:hAnsiTheme="majorBidi" w:cstheme="majorBidi"/>
          <w:sz w:val="24"/>
          <w:szCs w:val="24"/>
        </w:rPr>
        <w:t xml:space="preserve">. However, this pattern is also absent in ASC </w:t>
      </w:r>
      <w:hyperlink r:id="rId789">
        <w:r w:rsidRPr="008F4E90">
          <w:rPr>
            <w:rFonts w:asciiTheme="majorBidi" w:eastAsia="Times New Roman" w:hAnsiTheme="majorBidi" w:cstheme="majorBidi"/>
            <w:sz w:val="24"/>
            <w:szCs w:val="24"/>
          </w:rPr>
          <w:t>(Cheng et al., 2015)</w:t>
        </w:r>
      </w:hyperlink>
      <w:r w:rsidRPr="008F4E90">
        <w:rPr>
          <w:rFonts w:asciiTheme="majorBidi" w:eastAsia="Times New Roman" w:hAnsiTheme="majorBidi" w:cstheme="majorBidi"/>
          <w:sz w:val="24"/>
          <w:szCs w:val="24"/>
        </w:rPr>
        <w:t xml:space="preserve">, indicating altered development of critical intra- and inter-network connections in ASC. Given this distinct neurodevelopmental pattern observed in healthy controls and individuals with ASC, where the posterior cingulate and </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are also recognised as notable age-related brain areas </w:t>
      </w:r>
      <w:hyperlink r:id="rId790">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Dosenbach</w:t>
        </w:r>
        <w:proofErr w:type="spellEnd"/>
        <w:r w:rsidRPr="008F4E90">
          <w:rPr>
            <w:rFonts w:asciiTheme="majorBidi" w:eastAsia="Times New Roman" w:hAnsiTheme="majorBidi" w:cstheme="majorBidi"/>
            <w:sz w:val="24"/>
            <w:szCs w:val="24"/>
          </w:rPr>
          <w:t xml:space="preserve"> et al., 2010)</w:t>
        </w:r>
      </w:hyperlink>
      <w:r w:rsidRPr="008F4E90">
        <w:rPr>
          <w:rFonts w:asciiTheme="majorBidi" w:eastAsia="Times New Roman" w:hAnsiTheme="majorBidi" w:cstheme="majorBidi"/>
          <w:sz w:val="24"/>
          <w:szCs w:val="24"/>
        </w:rPr>
        <w:t>, it is not surprising that the atypical multiscale sample entropy observed in the posterior cingulate/</w:t>
      </w:r>
      <w:proofErr w:type="spellStart"/>
      <w:r w:rsidRPr="008F4E90">
        <w:rPr>
          <w:rFonts w:asciiTheme="majorBidi" w:eastAsia="Times New Roman" w:hAnsiTheme="majorBidi" w:cstheme="majorBidi"/>
          <w:sz w:val="24"/>
          <w:szCs w:val="24"/>
        </w:rPr>
        <w:t>precuneus</w:t>
      </w:r>
      <w:proofErr w:type="spellEnd"/>
      <w:r w:rsidRPr="008F4E90">
        <w:rPr>
          <w:rFonts w:asciiTheme="majorBidi" w:eastAsia="Times New Roman" w:hAnsiTheme="majorBidi" w:cstheme="majorBidi"/>
          <w:sz w:val="24"/>
          <w:szCs w:val="24"/>
        </w:rPr>
        <w:t xml:space="preserve"> would predominantly appear in the young adult group in this study.</w:t>
      </w:r>
    </w:p>
    <w:p w14:paraId="75A0AE37"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On the other hand, the specific atypical brain complexity observed in the prefrontal cortex, particularly in the children groups, is likely attributed to aberrant brain growth in individuals with ASC during early ages, which has been shown to mainly affect the frontal lobe  </w:t>
      </w:r>
      <w:hyperlink r:id="rId791">
        <w:r w:rsidRPr="008F4E90">
          <w:rPr>
            <w:rFonts w:asciiTheme="majorBidi" w:eastAsia="Times New Roman" w:hAnsiTheme="majorBidi" w:cstheme="majorBidi"/>
            <w:sz w:val="24"/>
            <w:szCs w:val="24"/>
          </w:rPr>
          <w:t xml:space="preserve">(Amaral et al., 2008; </w:t>
        </w:r>
        <w:proofErr w:type="spellStart"/>
        <w:r w:rsidRPr="008F4E90">
          <w:rPr>
            <w:rFonts w:asciiTheme="majorBidi" w:eastAsia="Times New Roman" w:hAnsiTheme="majorBidi" w:cstheme="majorBidi"/>
            <w:sz w:val="24"/>
            <w:szCs w:val="24"/>
          </w:rPr>
          <w:t>Carper</w:t>
        </w:r>
        <w:proofErr w:type="spellEnd"/>
        <w:r w:rsidRPr="008F4E90">
          <w:rPr>
            <w:rFonts w:asciiTheme="majorBidi" w:eastAsia="Times New Roman" w:hAnsiTheme="majorBidi" w:cstheme="majorBidi"/>
            <w:sz w:val="24"/>
            <w:szCs w:val="24"/>
          </w:rPr>
          <w:t xml:space="preserve"> et al., 2002; </w:t>
        </w:r>
        <w:proofErr w:type="spellStart"/>
        <w:r w:rsidRPr="008F4E90">
          <w:rPr>
            <w:rFonts w:asciiTheme="majorBidi" w:eastAsia="Times New Roman" w:hAnsiTheme="majorBidi" w:cstheme="majorBidi"/>
            <w:sz w:val="24"/>
            <w:szCs w:val="24"/>
          </w:rPr>
          <w:t>Carper</w:t>
        </w:r>
        <w:proofErr w:type="spellEnd"/>
        <w:r w:rsidRPr="008F4E90">
          <w:rPr>
            <w:rFonts w:asciiTheme="majorBidi" w:eastAsia="Times New Roman" w:hAnsiTheme="majorBidi" w:cstheme="majorBidi"/>
            <w:sz w:val="24"/>
            <w:szCs w:val="24"/>
          </w:rPr>
          <w:t xml:space="preserve"> &amp; Courchesne, 2005; </w:t>
        </w:r>
      </w:hyperlink>
      <w:hyperlink r:id="rId792">
        <w:r w:rsidRPr="008F4E90">
          <w:rPr>
            <w:rFonts w:asciiTheme="majorBidi" w:eastAsia="Times New Roman" w:hAnsiTheme="majorBidi" w:cstheme="majorBidi"/>
            <w:sz w:val="24"/>
            <w:szCs w:val="24"/>
          </w:rPr>
          <w:t>Courchesne &amp; Pierce, 2005)</w:t>
        </w:r>
      </w:hyperlink>
      <w:r w:rsidRPr="008F4E90">
        <w:rPr>
          <w:rFonts w:asciiTheme="majorBidi" w:eastAsia="Times New Roman" w:hAnsiTheme="majorBidi" w:cstheme="majorBidi"/>
          <w:sz w:val="24"/>
          <w:szCs w:val="24"/>
        </w:rPr>
        <w:t xml:space="preserve"> presented both macroscopic and microscopic evidence of frontal maldevelopment, indicating that atypical overgrowth of grey and white matter in the frontal lobes hinders the usual progression of the prefrontal lobe, resulting in abnormal </w:t>
      </w:r>
      <w:r w:rsidRPr="008F4E90">
        <w:rPr>
          <w:rFonts w:asciiTheme="majorBidi" w:eastAsia="Times New Roman" w:hAnsiTheme="majorBidi" w:cstheme="majorBidi"/>
          <w:sz w:val="24"/>
          <w:szCs w:val="24"/>
        </w:rPr>
        <w:lastRenderedPageBreak/>
        <w:t xml:space="preserve">frontal-mediated behaviour. Numerous neuroimaging studies have demonstrated the critical role of the prefrontal cortex in various functions, including mentalising </w:t>
      </w:r>
      <w:hyperlink r:id="rId793">
        <w:r w:rsidRPr="008F4E90">
          <w:rPr>
            <w:rFonts w:asciiTheme="majorBidi" w:eastAsia="Times New Roman" w:hAnsiTheme="majorBidi" w:cstheme="majorBidi"/>
            <w:sz w:val="24"/>
            <w:szCs w:val="24"/>
          </w:rPr>
          <w:t>(Ibrahim et al., 2021)</w:t>
        </w:r>
      </w:hyperlink>
      <w:r w:rsidRPr="008F4E90">
        <w:rPr>
          <w:rFonts w:asciiTheme="majorBidi" w:eastAsia="Times New Roman" w:hAnsiTheme="majorBidi" w:cstheme="majorBidi"/>
          <w:sz w:val="24"/>
          <w:szCs w:val="24"/>
        </w:rPr>
        <w:t xml:space="preserve">, basic emotional processing </w:t>
      </w:r>
      <w:hyperlink r:id="rId794">
        <w:r w:rsidRPr="008F4E90">
          <w:rPr>
            <w:rFonts w:asciiTheme="majorBidi" w:eastAsia="Times New Roman" w:hAnsiTheme="majorBidi" w:cstheme="majorBidi"/>
            <w:sz w:val="24"/>
            <w:szCs w:val="24"/>
          </w:rPr>
          <w:t>(</w:t>
        </w:r>
      </w:hyperlink>
      <w:hyperlink r:id="rId795">
        <w:r w:rsidRPr="008F4E90">
          <w:rPr>
            <w:rFonts w:asciiTheme="majorBidi" w:eastAsia="Times New Roman" w:hAnsiTheme="majorBidi" w:cstheme="majorBidi"/>
            <w:sz w:val="24"/>
            <w:szCs w:val="24"/>
          </w:rPr>
          <w:t>Ibrahim et al., 2021</w:t>
        </w:r>
      </w:hyperlink>
      <w:hyperlink r:id="rId796">
        <w:r w:rsidRPr="008F4E90">
          <w:rPr>
            <w:rFonts w:asciiTheme="majorBidi" w:eastAsia="Times New Roman" w:hAnsiTheme="majorBidi" w:cstheme="majorBidi"/>
            <w:sz w:val="24"/>
            <w:szCs w:val="24"/>
          </w:rPr>
          <w:t xml:space="preserve">; </w:t>
        </w:r>
      </w:hyperlink>
      <w:hyperlink r:id="rId797">
        <w:r w:rsidRPr="008F4E90">
          <w:rPr>
            <w:rFonts w:asciiTheme="majorBidi" w:eastAsia="Times New Roman" w:hAnsiTheme="majorBidi" w:cstheme="majorBidi"/>
            <w:sz w:val="24"/>
            <w:szCs w:val="24"/>
          </w:rPr>
          <w:t>Wang et al., 2007</w:t>
        </w:r>
      </w:hyperlink>
      <w:hyperlink r:id="rId798">
        <w:r w:rsidRPr="008F4E90">
          <w:rPr>
            <w:rFonts w:asciiTheme="majorBidi" w:eastAsia="Times New Roman" w:hAnsiTheme="majorBidi" w:cstheme="majorBidi"/>
            <w:sz w:val="24"/>
            <w:szCs w:val="24"/>
          </w:rPr>
          <w:t>)</w:t>
        </w:r>
      </w:hyperlink>
      <w:r w:rsidRPr="008F4E90">
        <w:rPr>
          <w:rFonts w:asciiTheme="majorBidi" w:eastAsia="Times New Roman" w:hAnsiTheme="majorBidi" w:cstheme="majorBidi"/>
          <w:sz w:val="24"/>
          <w:szCs w:val="24"/>
        </w:rPr>
        <w:t xml:space="preserve">, irony comprehension </w:t>
      </w:r>
      <w:hyperlink r:id="rId799">
        <w:r w:rsidRPr="008F4E90">
          <w:rPr>
            <w:rFonts w:asciiTheme="majorBidi" w:eastAsia="Times New Roman" w:hAnsiTheme="majorBidi" w:cstheme="majorBidi"/>
            <w:sz w:val="24"/>
            <w:szCs w:val="24"/>
          </w:rPr>
          <w:t>(Ibrahim et al., 2021)</w:t>
        </w:r>
      </w:hyperlink>
      <w:r w:rsidRPr="008F4E90">
        <w:rPr>
          <w:rFonts w:asciiTheme="majorBidi" w:eastAsia="Times New Roman" w:hAnsiTheme="majorBidi" w:cstheme="majorBidi"/>
          <w:sz w:val="24"/>
          <w:szCs w:val="24"/>
        </w:rPr>
        <w:t xml:space="preserve">, social judgement </w:t>
      </w:r>
      <w:hyperlink r:id="rId800">
        <w:r w:rsidRPr="008F4E90">
          <w:rPr>
            <w:rFonts w:asciiTheme="majorBidi" w:eastAsia="Times New Roman" w:hAnsiTheme="majorBidi" w:cstheme="majorBidi"/>
            <w:sz w:val="24"/>
            <w:szCs w:val="24"/>
          </w:rPr>
          <w:t>(Li et al., 2021</w:t>
        </w:r>
      </w:hyperlink>
      <w:hyperlink r:id="rId801">
        <w:r w:rsidRPr="008F4E90">
          <w:rPr>
            <w:rFonts w:asciiTheme="majorBidi" w:eastAsia="Times New Roman" w:hAnsiTheme="majorBidi" w:cstheme="majorBidi"/>
            <w:sz w:val="24"/>
            <w:szCs w:val="24"/>
          </w:rPr>
          <w:t xml:space="preserve">; </w:t>
        </w:r>
      </w:hyperlink>
      <w:hyperlink r:id="rId802">
        <w:r w:rsidRPr="008F4E90">
          <w:rPr>
            <w:rFonts w:asciiTheme="majorBidi" w:eastAsia="Times New Roman" w:hAnsiTheme="majorBidi" w:cstheme="majorBidi"/>
            <w:sz w:val="24"/>
            <w:szCs w:val="24"/>
          </w:rPr>
          <w:t>Watanabe et al., 2012)</w:t>
        </w:r>
      </w:hyperlink>
      <w:r w:rsidRPr="008F4E90">
        <w:rPr>
          <w:rFonts w:asciiTheme="majorBidi" w:eastAsia="Times New Roman" w:hAnsiTheme="majorBidi" w:cstheme="majorBidi"/>
          <w:sz w:val="24"/>
          <w:szCs w:val="24"/>
        </w:rPr>
        <w:t xml:space="preserve">, and self-referencing </w:t>
      </w:r>
      <w:hyperlink r:id="rId803">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Leshikar</w:t>
        </w:r>
        <w:proofErr w:type="spellEnd"/>
        <w:r w:rsidRPr="008F4E90">
          <w:rPr>
            <w:rFonts w:asciiTheme="majorBidi" w:eastAsia="Times New Roman" w:hAnsiTheme="majorBidi" w:cstheme="majorBidi"/>
            <w:sz w:val="24"/>
            <w:szCs w:val="24"/>
          </w:rPr>
          <w:t xml:space="preserve"> &amp; Duarte, 2012)</w:t>
        </w:r>
      </w:hyperlink>
      <w:r w:rsidRPr="008F4E90">
        <w:rPr>
          <w:rFonts w:asciiTheme="majorBidi" w:eastAsia="Times New Roman" w:hAnsiTheme="majorBidi" w:cstheme="majorBidi"/>
          <w:sz w:val="24"/>
          <w:szCs w:val="24"/>
        </w:rPr>
        <w:t xml:space="preserve">, which represent core features of ASC. For early diagnosis of autism, certain clinical features have shown consistent reliability. These include reduced interaction and attention towards others, diminished focus on others' eyes, lack of response to one's name being called, and an inability to engage in imitative games and reciprocal vocalisations </w:t>
      </w:r>
      <w:hyperlink r:id="rId804">
        <w:r w:rsidRPr="008F4E90">
          <w:rPr>
            <w:rFonts w:asciiTheme="majorBidi" w:eastAsia="Times New Roman" w:hAnsiTheme="majorBidi" w:cstheme="majorBidi"/>
            <w:sz w:val="24"/>
            <w:szCs w:val="24"/>
          </w:rPr>
          <w:t>(Klin et al., 2015</w:t>
        </w:r>
      </w:hyperlink>
      <w:hyperlink r:id="rId805">
        <w:r w:rsidRPr="008F4E90">
          <w:rPr>
            <w:rFonts w:asciiTheme="majorBidi" w:eastAsia="Times New Roman" w:hAnsiTheme="majorBidi" w:cstheme="majorBidi"/>
            <w:sz w:val="24"/>
            <w:szCs w:val="24"/>
          </w:rPr>
          <w:t xml:space="preserve">; </w:t>
        </w:r>
      </w:hyperlink>
      <w:hyperlink r:id="rId806">
        <w:r w:rsidRPr="008F4E90">
          <w:rPr>
            <w:rFonts w:asciiTheme="majorBidi" w:eastAsia="Times New Roman" w:hAnsiTheme="majorBidi" w:cstheme="majorBidi"/>
            <w:sz w:val="24"/>
            <w:szCs w:val="24"/>
          </w:rPr>
          <w:t>Wetherby et al., 2004)</w:t>
        </w:r>
      </w:hyperlink>
      <w:r w:rsidRPr="008F4E90">
        <w:rPr>
          <w:rFonts w:asciiTheme="majorBidi" w:eastAsia="Times New Roman" w:hAnsiTheme="majorBidi" w:cstheme="majorBidi"/>
          <w:sz w:val="24"/>
          <w:szCs w:val="24"/>
        </w:rPr>
        <w:t xml:space="preserve">. These indicators signify difficulties in achieving normative social interaction and communication skills that are crucial developmental milestones. Such challenges can contribute to atypical developmental trajectories and the manifestation of more severe symptoms </w:t>
      </w:r>
      <w:hyperlink r:id="rId807">
        <w:r w:rsidRPr="008F4E90">
          <w:rPr>
            <w:rFonts w:asciiTheme="majorBidi" w:eastAsia="Times New Roman" w:hAnsiTheme="majorBidi" w:cstheme="majorBidi"/>
            <w:sz w:val="24"/>
            <w:szCs w:val="24"/>
          </w:rPr>
          <w:t>(Klin et al., 2003)</w:t>
        </w:r>
      </w:hyperlink>
      <w:r w:rsidRPr="008F4E90">
        <w:rPr>
          <w:rFonts w:asciiTheme="majorBidi" w:eastAsia="Times New Roman" w:hAnsiTheme="majorBidi" w:cstheme="majorBidi"/>
          <w:sz w:val="24"/>
          <w:szCs w:val="24"/>
        </w:rPr>
        <w:t>.</w:t>
      </w:r>
    </w:p>
    <w:p w14:paraId="304871F0" w14:textId="77777777" w:rsidR="008F330E" w:rsidRPr="008F4E90" w:rsidRDefault="008F330E" w:rsidP="008F4E90">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In summary, the variations seen in the DMN among different age groups suggested the neurodevelopmental role of DMN in the neurophysiological characteristics of ASC, viewed from a nonlinear perspective. Furthermore, this discovery also gives rise to a concern regarding the identification of classification biomarkers for ASC. That is, the biomarker only applies to a limited subgroup exhibiting a homogeneous characteristic, such as age, in this study, which could potentially limit its generalizability to a broader population and applicability to the clinical setting. Additionally, given the acknowledged characterisation of ASC as a neurodevelopmental condition with high heterogeneity, a single universal classification biomarker might be unlikely. As highlighted by Lombardo, if autism is a broad description encompassing various distinct genetic and neurological conditions, then particular biomarkers may only reflect specific subsets of autistic individuals. However, they might not consistently differentiate all individuals diagnosed with ASC from a neurotypical sample </w:t>
      </w:r>
      <w:hyperlink r:id="rId808">
        <w:r w:rsidRPr="008F4E90">
          <w:rPr>
            <w:rFonts w:asciiTheme="majorBidi" w:eastAsia="Times New Roman" w:hAnsiTheme="majorBidi" w:cstheme="majorBidi"/>
            <w:sz w:val="24"/>
            <w:szCs w:val="24"/>
          </w:rPr>
          <w:t>(Lombardo et al., 2019)</w:t>
        </w:r>
      </w:hyperlink>
      <w:r w:rsidRPr="008F4E90">
        <w:rPr>
          <w:rFonts w:asciiTheme="majorBidi" w:eastAsia="Times New Roman" w:hAnsiTheme="majorBidi" w:cstheme="majorBidi"/>
          <w:sz w:val="24"/>
          <w:szCs w:val="24"/>
        </w:rPr>
        <w:t xml:space="preserve">. This could also explain why the use of a uniform sample dataset is more effective in accurately classifying ASC compared to employing a varied sample dataset with diverse characteristics </w:t>
      </w:r>
      <w:hyperlink r:id="rId809">
        <w:r w:rsidRPr="008F4E90">
          <w:rPr>
            <w:rFonts w:asciiTheme="majorBidi" w:eastAsia="Times New Roman" w:hAnsiTheme="majorBidi" w:cstheme="majorBidi"/>
            <w:sz w:val="24"/>
            <w:szCs w:val="24"/>
          </w:rPr>
          <w:t>(Reiter et al., 2021)</w:t>
        </w:r>
      </w:hyperlink>
      <w:r w:rsidRPr="008F4E90">
        <w:rPr>
          <w:rFonts w:asciiTheme="majorBidi" w:eastAsia="Times New Roman" w:hAnsiTheme="majorBidi" w:cstheme="majorBidi"/>
          <w:sz w:val="24"/>
          <w:szCs w:val="24"/>
        </w:rPr>
        <w:t xml:space="preserve">, as well as the generally limited reliability of the biomarker observed in the majority of studies </w:t>
      </w:r>
      <w:hyperlink r:id="rId810">
        <w:r w:rsidRPr="008F4E90">
          <w:rPr>
            <w:rFonts w:asciiTheme="majorBidi" w:eastAsia="Times New Roman" w:hAnsiTheme="majorBidi" w:cstheme="majorBidi"/>
            <w:sz w:val="24"/>
            <w:szCs w:val="24"/>
          </w:rPr>
          <w:t>(Dede et al., 2023)</w:t>
        </w:r>
      </w:hyperlink>
      <w:r w:rsidRPr="008F4E90">
        <w:rPr>
          <w:rFonts w:asciiTheme="majorBidi" w:eastAsia="Times New Roman" w:hAnsiTheme="majorBidi" w:cstheme="majorBidi"/>
          <w:sz w:val="24"/>
          <w:szCs w:val="24"/>
        </w:rPr>
        <w:t>.</w:t>
      </w:r>
    </w:p>
    <w:p w14:paraId="6647C4B3" w14:textId="77777777" w:rsidR="008F330E" w:rsidRPr="008F4E90" w:rsidRDefault="008F330E" w:rsidP="008F330E">
      <w:pPr>
        <w:spacing w:line="480" w:lineRule="auto"/>
        <w:jc w:val="center"/>
        <w:rPr>
          <w:rFonts w:asciiTheme="majorBidi" w:eastAsia="Times New Roman" w:hAnsiTheme="majorBidi" w:cstheme="majorBidi"/>
          <w:sz w:val="24"/>
          <w:szCs w:val="24"/>
        </w:rPr>
      </w:pPr>
      <w:r w:rsidRPr="008F4E90">
        <w:rPr>
          <w:rFonts w:asciiTheme="majorBidi" w:eastAsia="Times New Roman" w:hAnsiTheme="majorBidi" w:cstheme="majorBidi"/>
          <w:b/>
          <w:sz w:val="24"/>
          <w:szCs w:val="24"/>
        </w:rPr>
        <w:lastRenderedPageBreak/>
        <w:t>Limitation</w:t>
      </w:r>
    </w:p>
    <w:p w14:paraId="6A51EFED" w14:textId="77777777" w:rsidR="008F330E" w:rsidRPr="008F4E90" w:rsidRDefault="008F330E" w:rsidP="008F330E">
      <w:pPr>
        <w:spacing w:line="480" w:lineRule="auto"/>
        <w:rPr>
          <w:rFonts w:asciiTheme="majorBidi" w:eastAsia="Times New Roman" w:hAnsiTheme="majorBidi" w:cstheme="majorBidi"/>
          <w:b/>
          <w:sz w:val="24"/>
          <w:szCs w:val="24"/>
        </w:rPr>
      </w:pPr>
      <w:r w:rsidRPr="008F4E90">
        <w:rPr>
          <w:rFonts w:asciiTheme="majorBidi" w:eastAsia="Times New Roman" w:hAnsiTheme="majorBidi" w:cstheme="majorBidi"/>
          <w:b/>
          <w:sz w:val="24"/>
          <w:szCs w:val="24"/>
        </w:rPr>
        <w:t>Methodological concern</w:t>
      </w:r>
    </w:p>
    <w:p w14:paraId="646E3C53"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The age-induced alterations in MSE profiles of the fMRI signals showed a temporally dependent inverted U-shaped trend. This trend implies that, compared to their younger counterparts, fast oscillations could lead the dynamics and yield greater complexity at finer scales (e.g., scale 1 in fMRI signal and scale &lt;20 in EEG signal). Additional investigation into MSE at a larger time scale (&gt;20) within the context of EEG signal analysis is required to validate the potential existence of such a pattern, but it has already been confirmed in numerous studies </w:t>
      </w:r>
      <w:hyperlink r:id="rId811">
        <w:r w:rsidRPr="008F4E90">
          <w:rPr>
            <w:rFonts w:asciiTheme="majorBidi" w:eastAsia="Times New Roman" w:hAnsiTheme="majorBidi" w:cstheme="majorBidi"/>
            <w:sz w:val="24"/>
            <w:szCs w:val="24"/>
          </w:rPr>
          <w:t>(</w:t>
        </w:r>
        <w:proofErr w:type="spellStart"/>
        <w:r w:rsidRPr="008F4E90">
          <w:rPr>
            <w:rFonts w:asciiTheme="majorBidi" w:eastAsia="Times New Roman" w:hAnsiTheme="majorBidi" w:cstheme="majorBidi"/>
            <w:sz w:val="24"/>
            <w:szCs w:val="24"/>
          </w:rPr>
          <w:t>Courtiol</w:t>
        </w:r>
        <w:proofErr w:type="spellEnd"/>
        <w:r w:rsidRPr="008F4E90">
          <w:rPr>
            <w:rFonts w:asciiTheme="majorBidi" w:eastAsia="Times New Roman" w:hAnsiTheme="majorBidi" w:cstheme="majorBidi"/>
            <w:sz w:val="24"/>
            <w:szCs w:val="24"/>
          </w:rPr>
          <w:t xml:space="preserve"> et al., 2016; McIntosh et al., 2014; McIntosh, 2018)</w:t>
        </w:r>
      </w:hyperlink>
      <w:r w:rsidRPr="008F4E90">
        <w:rPr>
          <w:rFonts w:asciiTheme="majorBidi" w:eastAsia="Times New Roman" w:hAnsiTheme="majorBidi" w:cstheme="majorBidi"/>
          <w:sz w:val="24"/>
          <w:szCs w:val="24"/>
        </w:rPr>
        <w:t>.</w:t>
      </w:r>
    </w:p>
    <w:p w14:paraId="740D2533"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Considering that the fast oscillation is determined by local neural connections due to the anti-correlations between spectral and spatial frequencies in neurophysiological signals </w:t>
      </w:r>
      <w:hyperlink r:id="rId812">
        <w:r w:rsidRPr="008F4E90">
          <w:rPr>
            <w:rFonts w:asciiTheme="majorBidi" w:eastAsia="Times New Roman" w:hAnsiTheme="majorBidi" w:cstheme="majorBidi"/>
            <w:sz w:val="24"/>
            <w:szCs w:val="24"/>
          </w:rPr>
          <w:t>(Nunez, 1989)</w:t>
        </w:r>
      </w:hyperlink>
      <w:r w:rsidRPr="008F4E90">
        <w:rPr>
          <w:rFonts w:asciiTheme="majorBidi" w:eastAsia="Times New Roman" w:hAnsiTheme="majorBidi" w:cstheme="majorBidi"/>
          <w:sz w:val="24"/>
          <w:szCs w:val="24"/>
        </w:rPr>
        <w:t xml:space="preserve">. This temporally dependent inverted U-shaped trend in MSE could have been anticipated based on changes in spectral power during normal ageing. Typically, lower frequencies experience a decline in power, while higher frequencies tend to exhibit an increase </w:t>
      </w:r>
      <w:hyperlink r:id="rId813">
        <w:r w:rsidRPr="008F4E90">
          <w:rPr>
            <w:rFonts w:asciiTheme="majorBidi" w:eastAsia="Times New Roman" w:hAnsiTheme="majorBidi" w:cstheme="majorBidi"/>
            <w:sz w:val="24"/>
            <w:szCs w:val="24"/>
          </w:rPr>
          <w:t>(Dustman et al., 1993; Gasser et al., 1988)</w:t>
        </w:r>
      </w:hyperlink>
      <w:r w:rsidRPr="008F4E90">
        <w:rPr>
          <w:rFonts w:asciiTheme="majorBidi" w:eastAsia="Times New Roman" w:hAnsiTheme="majorBidi" w:cstheme="majorBidi"/>
          <w:sz w:val="24"/>
          <w:szCs w:val="24"/>
        </w:rPr>
        <w:t xml:space="preserve">. It becomes evident that the ageing brain is marked by a heightened emphasis on localised, segregated information processing </w:t>
      </w:r>
      <w:hyperlink r:id="rId814">
        <w:r w:rsidRPr="008F4E90">
          <w:rPr>
            <w:rFonts w:asciiTheme="majorBidi" w:eastAsia="Times New Roman" w:hAnsiTheme="majorBidi" w:cstheme="majorBidi"/>
            <w:sz w:val="24"/>
            <w:szCs w:val="24"/>
          </w:rPr>
          <w:t>(He and Evans 2010)</w:t>
        </w:r>
      </w:hyperlink>
      <w:r w:rsidRPr="008F4E90">
        <w:rPr>
          <w:rFonts w:asciiTheme="majorBidi" w:eastAsia="Times New Roman" w:hAnsiTheme="majorBidi" w:cstheme="majorBidi"/>
          <w:sz w:val="24"/>
          <w:szCs w:val="24"/>
        </w:rPr>
        <w:t xml:space="preserve">, and this trend is less pronounced in individuals with ASC and can also be attributed to their atypical neurodevelopmental trajectories </w:t>
      </w:r>
      <w:hyperlink r:id="rId815">
        <w:r w:rsidRPr="008F4E90">
          <w:rPr>
            <w:rFonts w:asciiTheme="majorBidi" w:eastAsia="Times New Roman" w:hAnsiTheme="majorBidi" w:cstheme="majorBidi"/>
            <w:sz w:val="24"/>
            <w:szCs w:val="24"/>
          </w:rPr>
          <w:t>(Lawrence et al., 2019)</w:t>
        </w:r>
      </w:hyperlink>
      <w:r w:rsidRPr="008F4E90">
        <w:rPr>
          <w:rFonts w:asciiTheme="majorBidi" w:eastAsia="Times New Roman" w:hAnsiTheme="majorBidi" w:cstheme="majorBidi"/>
          <w:sz w:val="24"/>
          <w:szCs w:val="24"/>
        </w:rPr>
        <w:t xml:space="preserve">. However, the inclusion of additional evidence is essential to support such strong arguments, such as establishing correlations of local effects of MSE at fine or coarse scales with functional connectivity at fast or slow frequencies </w:t>
      </w:r>
      <w:hyperlink r:id="rId816">
        <w:r w:rsidRPr="008F4E90">
          <w:rPr>
            <w:rFonts w:asciiTheme="majorBidi" w:eastAsia="Times New Roman" w:hAnsiTheme="majorBidi" w:cstheme="majorBidi"/>
            <w:sz w:val="24"/>
            <w:szCs w:val="24"/>
          </w:rPr>
          <w:t>(Wang et al., 2018)</w:t>
        </w:r>
      </w:hyperlink>
      <w:r w:rsidRPr="008F4E90">
        <w:rPr>
          <w:rFonts w:asciiTheme="majorBidi" w:eastAsia="Times New Roman" w:hAnsiTheme="majorBidi" w:cstheme="majorBidi"/>
          <w:sz w:val="24"/>
          <w:szCs w:val="24"/>
        </w:rPr>
        <w:t xml:space="preserve"> as well as with local or distributed entropy </w:t>
      </w:r>
      <w:hyperlink r:id="rId817">
        <w:r w:rsidRPr="008F4E90">
          <w:rPr>
            <w:rFonts w:asciiTheme="majorBidi" w:eastAsia="Times New Roman" w:hAnsiTheme="majorBidi" w:cstheme="majorBidi"/>
            <w:sz w:val="24"/>
            <w:szCs w:val="24"/>
          </w:rPr>
          <w:t>(McIntosh et al., 2014)</w:t>
        </w:r>
      </w:hyperlink>
      <w:r w:rsidRPr="008F4E90">
        <w:rPr>
          <w:rFonts w:asciiTheme="majorBidi" w:eastAsia="Times New Roman" w:hAnsiTheme="majorBidi" w:cstheme="majorBidi"/>
          <w:sz w:val="24"/>
          <w:szCs w:val="24"/>
        </w:rPr>
        <w:t xml:space="preserve"> in EEG and fMRI signal analysis.</w:t>
      </w:r>
    </w:p>
    <w:p w14:paraId="375908B1" w14:textId="77777777" w:rsidR="008F330E" w:rsidRPr="008F4E90" w:rsidRDefault="008F330E" w:rsidP="008F330E">
      <w:pPr>
        <w:spacing w:line="480" w:lineRule="auto"/>
        <w:ind w:firstLine="720"/>
        <w:rPr>
          <w:rFonts w:asciiTheme="majorBidi" w:eastAsia="Times New Roman" w:hAnsiTheme="majorBidi" w:cstheme="majorBidi"/>
          <w:sz w:val="24"/>
          <w:szCs w:val="24"/>
        </w:rPr>
      </w:pPr>
      <w:r w:rsidRPr="008F4E90">
        <w:rPr>
          <w:rFonts w:asciiTheme="majorBidi" w:eastAsia="Times New Roman" w:hAnsiTheme="majorBidi" w:cstheme="majorBidi"/>
          <w:sz w:val="24"/>
          <w:szCs w:val="24"/>
        </w:rPr>
        <w:t xml:space="preserve">This study primarily established the age-related MSE in the ASC population and neurotypical controls. Machine learning techniques can be integrated into future studies to identify neurodevelopmental abnormalities by employing normative modelling </w:t>
      </w:r>
      <w:hyperlink r:id="rId818">
        <w:r w:rsidRPr="008F4E90">
          <w:rPr>
            <w:rFonts w:asciiTheme="majorBidi" w:eastAsia="Times New Roman" w:hAnsiTheme="majorBidi" w:cstheme="majorBidi"/>
            <w:sz w:val="24"/>
            <w:szCs w:val="24"/>
          </w:rPr>
          <w:t>(Marquand et al., 2016)</w:t>
        </w:r>
      </w:hyperlink>
      <w:r w:rsidRPr="008F4E90">
        <w:rPr>
          <w:rFonts w:asciiTheme="majorBidi" w:eastAsia="Times New Roman" w:hAnsiTheme="majorBidi" w:cstheme="majorBidi"/>
          <w:sz w:val="24"/>
          <w:szCs w:val="24"/>
        </w:rPr>
        <w:t xml:space="preserve">. This approach entails creating brain development growth charts to monitor how an individual's biology deviates from the expected trajectory based on age. In psychiatry research, normative models have </w:t>
      </w:r>
      <w:r w:rsidRPr="008F4E90">
        <w:rPr>
          <w:rFonts w:asciiTheme="majorBidi" w:eastAsia="Times New Roman" w:hAnsiTheme="majorBidi" w:cstheme="majorBidi"/>
          <w:sz w:val="24"/>
          <w:szCs w:val="24"/>
        </w:rPr>
        <w:lastRenderedPageBreak/>
        <w:t xml:space="preserve">previously demonstrated the considerable variability in brain structure observed within ASC conditions </w:t>
      </w:r>
      <w:hyperlink r:id="rId819">
        <w:r w:rsidRPr="008F4E90">
          <w:rPr>
            <w:rFonts w:asciiTheme="majorBidi" w:eastAsia="Times New Roman" w:hAnsiTheme="majorBidi" w:cstheme="majorBidi"/>
            <w:sz w:val="24"/>
            <w:szCs w:val="24"/>
          </w:rPr>
          <w:t>(Zabihi et al., 2019)</w:t>
        </w:r>
      </w:hyperlink>
      <w:r w:rsidRPr="008F4E90">
        <w:rPr>
          <w:rFonts w:asciiTheme="majorBidi" w:eastAsia="Times New Roman" w:hAnsiTheme="majorBidi" w:cstheme="majorBidi"/>
          <w:sz w:val="24"/>
          <w:szCs w:val="24"/>
        </w:rPr>
        <w:t>.</w:t>
      </w:r>
    </w:p>
    <w:p w14:paraId="720E30EA" w14:textId="77777777" w:rsidR="00903556" w:rsidRDefault="00903556" w:rsidP="00903556">
      <w:pPr>
        <w:spacing w:line="480" w:lineRule="auto"/>
        <w:ind w:left="708" w:hanging="708"/>
        <w:rPr>
          <w:rFonts w:asciiTheme="majorBidi" w:eastAsia="Times New Roman" w:hAnsiTheme="majorBidi" w:cstheme="majorBidi"/>
          <w:b/>
          <w:sz w:val="24"/>
          <w:szCs w:val="24"/>
        </w:rPr>
      </w:pPr>
    </w:p>
    <w:p w14:paraId="3531DF08" w14:textId="77777777" w:rsidR="00BA74C4" w:rsidRDefault="00BA74C4" w:rsidP="00903556">
      <w:pPr>
        <w:spacing w:line="480" w:lineRule="auto"/>
        <w:ind w:left="708" w:hanging="708"/>
        <w:rPr>
          <w:rFonts w:asciiTheme="majorBidi" w:eastAsia="Times New Roman" w:hAnsiTheme="majorBidi" w:cstheme="majorBidi"/>
          <w:b/>
          <w:sz w:val="24"/>
          <w:szCs w:val="24"/>
        </w:rPr>
      </w:pPr>
    </w:p>
    <w:p w14:paraId="7C46FF03" w14:textId="77777777" w:rsidR="00BA74C4" w:rsidRPr="00B71272" w:rsidRDefault="00BA74C4" w:rsidP="00903556">
      <w:pPr>
        <w:spacing w:line="480" w:lineRule="auto"/>
        <w:ind w:left="708" w:hanging="708"/>
        <w:rPr>
          <w:rFonts w:asciiTheme="majorBidi" w:eastAsia="Times New Roman" w:hAnsiTheme="majorBidi" w:cstheme="majorBidi"/>
          <w:sz w:val="24"/>
          <w:szCs w:val="24"/>
        </w:rPr>
      </w:pPr>
    </w:p>
    <w:p w14:paraId="25778602" w14:textId="77777777" w:rsidR="008F330E" w:rsidRPr="008F4E90" w:rsidRDefault="008F330E" w:rsidP="008F330E">
      <w:pPr>
        <w:spacing w:line="480" w:lineRule="auto"/>
        <w:ind w:left="708"/>
        <w:rPr>
          <w:rFonts w:asciiTheme="majorBidi" w:eastAsia="Times New Roman" w:hAnsiTheme="majorBidi" w:cstheme="majorBidi"/>
          <w:sz w:val="24"/>
          <w:szCs w:val="24"/>
        </w:rPr>
      </w:pPr>
    </w:p>
    <w:p w14:paraId="755CBE16" w14:textId="77777777" w:rsidR="008F330E" w:rsidRPr="008F4E90" w:rsidRDefault="008F330E" w:rsidP="008F330E">
      <w:pPr>
        <w:spacing w:line="480" w:lineRule="auto"/>
        <w:ind w:firstLine="720"/>
        <w:jc w:val="center"/>
        <w:rPr>
          <w:rFonts w:asciiTheme="majorBidi" w:eastAsia="Times New Roman" w:hAnsiTheme="majorBidi" w:cstheme="majorBidi"/>
          <w:b/>
          <w:sz w:val="24"/>
          <w:szCs w:val="24"/>
        </w:rPr>
      </w:pPr>
    </w:p>
    <w:p w14:paraId="01F53726" w14:textId="77777777" w:rsidR="008F330E" w:rsidRPr="008F4E90" w:rsidRDefault="008F330E" w:rsidP="008F330E">
      <w:pPr>
        <w:spacing w:line="480" w:lineRule="auto"/>
        <w:rPr>
          <w:rFonts w:asciiTheme="majorBidi" w:eastAsia="Times New Roman" w:hAnsiTheme="majorBidi" w:cstheme="majorBidi"/>
          <w:sz w:val="24"/>
          <w:szCs w:val="24"/>
        </w:rPr>
      </w:pPr>
    </w:p>
    <w:p w14:paraId="375168AC" w14:textId="77777777" w:rsidR="008F330E" w:rsidRPr="008F4E90" w:rsidRDefault="008F330E" w:rsidP="008F330E">
      <w:pPr>
        <w:spacing w:line="480" w:lineRule="auto"/>
        <w:rPr>
          <w:rFonts w:asciiTheme="majorBidi" w:eastAsia="Times New Roman" w:hAnsiTheme="majorBidi" w:cstheme="majorBidi"/>
          <w:sz w:val="24"/>
          <w:szCs w:val="24"/>
        </w:rPr>
      </w:pPr>
    </w:p>
    <w:p w14:paraId="49296D58" w14:textId="77777777" w:rsidR="008F330E" w:rsidRPr="008F4E90" w:rsidRDefault="008F330E" w:rsidP="008F330E">
      <w:pPr>
        <w:spacing w:line="480" w:lineRule="auto"/>
        <w:rPr>
          <w:rFonts w:asciiTheme="majorBidi" w:eastAsia="Times New Roman" w:hAnsiTheme="majorBidi" w:cstheme="majorBidi"/>
          <w:sz w:val="24"/>
          <w:szCs w:val="24"/>
        </w:rPr>
      </w:pPr>
    </w:p>
    <w:p w14:paraId="5554B829" w14:textId="77777777" w:rsidR="008F330E" w:rsidRPr="008F4E90" w:rsidRDefault="008F330E" w:rsidP="008F330E">
      <w:pPr>
        <w:spacing w:line="480" w:lineRule="auto"/>
        <w:rPr>
          <w:rFonts w:asciiTheme="majorBidi" w:eastAsia="Times New Roman" w:hAnsiTheme="majorBidi" w:cstheme="majorBidi"/>
          <w:sz w:val="24"/>
          <w:szCs w:val="24"/>
        </w:rPr>
      </w:pPr>
    </w:p>
    <w:p w14:paraId="2E29EC04" w14:textId="77777777" w:rsidR="008F330E" w:rsidRPr="008F4E90" w:rsidRDefault="008F330E" w:rsidP="00676D2F">
      <w:pPr>
        <w:pStyle w:val="NormalWeb"/>
        <w:spacing w:before="0" w:beforeAutospacing="0" w:after="0" w:afterAutospacing="0" w:line="480" w:lineRule="auto"/>
        <w:jc w:val="center"/>
        <w:rPr>
          <w:rFonts w:asciiTheme="majorBidi" w:hAnsiTheme="majorBidi" w:cstheme="majorBidi"/>
          <w:b/>
          <w:bCs/>
        </w:rPr>
      </w:pPr>
    </w:p>
    <w:p w14:paraId="1950173E" w14:textId="77777777" w:rsidR="00E9557F" w:rsidRDefault="00E9557F" w:rsidP="00676D2F">
      <w:pPr>
        <w:pStyle w:val="NormalWeb"/>
        <w:spacing w:before="0" w:beforeAutospacing="0" w:after="0" w:afterAutospacing="0" w:line="480" w:lineRule="auto"/>
        <w:jc w:val="center"/>
        <w:rPr>
          <w:rFonts w:asciiTheme="majorBidi" w:hAnsiTheme="majorBidi" w:cstheme="majorBidi"/>
          <w:b/>
          <w:bCs/>
        </w:rPr>
      </w:pPr>
    </w:p>
    <w:p w14:paraId="30986B6F" w14:textId="77777777" w:rsidR="00903556" w:rsidRDefault="00903556" w:rsidP="00676D2F">
      <w:pPr>
        <w:pStyle w:val="NormalWeb"/>
        <w:spacing w:before="0" w:beforeAutospacing="0" w:after="0" w:afterAutospacing="0" w:line="480" w:lineRule="auto"/>
        <w:jc w:val="center"/>
        <w:rPr>
          <w:rFonts w:asciiTheme="majorBidi" w:hAnsiTheme="majorBidi" w:cstheme="majorBidi"/>
          <w:b/>
          <w:bCs/>
        </w:rPr>
      </w:pPr>
    </w:p>
    <w:p w14:paraId="625E46DB" w14:textId="77777777" w:rsidR="00903556" w:rsidRDefault="00903556" w:rsidP="00676D2F">
      <w:pPr>
        <w:pStyle w:val="NormalWeb"/>
        <w:spacing w:before="0" w:beforeAutospacing="0" w:after="0" w:afterAutospacing="0" w:line="480" w:lineRule="auto"/>
        <w:jc w:val="center"/>
        <w:rPr>
          <w:rFonts w:asciiTheme="majorBidi" w:hAnsiTheme="majorBidi" w:cstheme="majorBidi"/>
          <w:b/>
          <w:bCs/>
        </w:rPr>
      </w:pPr>
    </w:p>
    <w:p w14:paraId="55D12EFA" w14:textId="77777777" w:rsidR="003C001C" w:rsidRDefault="003C001C" w:rsidP="00676D2F">
      <w:pPr>
        <w:pStyle w:val="NormalWeb"/>
        <w:spacing w:before="0" w:beforeAutospacing="0" w:after="0" w:afterAutospacing="0" w:line="480" w:lineRule="auto"/>
        <w:jc w:val="center"/>
        <w:rPr>
          <w:rFonts w:asciiTheme="majorBidi" w:hAnsiTheme="majorBidi" w:cstheme="majorBidi"/>
          <w:b/>
          <w:bCs/>
        </w:rPr>
      </w:pPr>
    </w:p>
    <w:p w14:paraId="55040A7B" w14:textId="77777777" w:rsidR="003C001C" w:rsidRDefault="003C001C" w:rsidP="00676D2F">
      <w:pPr>
        <w:pStyle w:val="NormalWeb"/>
        <w:spacing w:before="0" w:beforeAutospacing="0" w:after="0" w:afterAutospacing="0" w:line="480" w:lineRule="auto"/>
        <w:jc w:val="center"/>
        <w:rPr>
          <w:rFonts w:asciiTheme="majorBidi" w:hAnsiTheme="majorBidi" w:cstheme="majorBidi"/>
          <w:b/>
          <w:bCs/>
        </w:rPr>
      </w:pPr>
    </w:p>
    <w:p w14:paraId="1712EC79" w14:textId="77777777" w:rsidR="003C001C" w:rsidRDefault="003C001C" w:rsidP="00676D2F">
      <w:pPr>
        <w:pStyle w:val="NormalWeb"/>
        <w:spacing w:before="0" w:beforeAutospacing="0" w:after="0" w:afterAutospacing="0" w:line="480" w:lineRule="auto"/>
        <w:jc w:val="center"/>
        <w:rPr>
          <w:rFonts w:asciiTheme="majorBidi" w:hAnsiTheme="majorBidi" w:cstheme="majorBidi"/>
          <w:b/>
          <w:bCs/>
        </w:rPr>
      </w:pPr>
    </w:p>
    <w:p w14:paraId="4C06A4FD" w14:textId="77777777" w:rsidR="003C001C" w:rsidRDefault="003C001C" w:rsidP="00676D2F">
      <w:pPr>
        <w:pStyle w:val="NormalWeb"/>
        <w:spacing w:before="0" w:beforeAutospacing="0" w:after="0" w:afterAutospacing="0" w:line="480" w:lineRule="auto"/>
        <w:jc w:val="center"/>
        <w:rPr>
          <w:rFonts w:asciiTheme="majorBidi" w:hAnsiTheme="majorBidi" w:cstheme="majorBidi"/>
          <w:b/>
          <w:bCs/>
        </w:rPr>
      </w:pPr>
    </w:p>
    <w:p w14:paraId="35F45F3E" w14:textId="77777777" w:rsidR="003C001C" w:rsidRDefault="003C001C" w:rsidP="00676D2F">
      <w:pPr>
        <w:pStyle w:val="NormalWeb"/>
        <w:spacing w:before="0" w:beforeAutospacing="0" w:after="0" w:afterAutospacing="0" w:line="480" w:lineRule="auto"/>
        <w:jc w:val="center"/>
        <w:rPr>
          <w:rFonts w:asciiTheme="majorBidi" w:hAnsiTheme="majorBidi" w:cstheme="majorBidi"/>
          <w:b/>
          <w:bCs/>
        </w:rPr>
      </w:pPr>
    </w:p>
    <w:p w14:paraId="7AF6A57C" w14:textId="77777777" w:rsidR="003C001C" w:rsidRDefault="003C001C" w:rsidP="00676D2F">
      <w:pPr>
        <w:pStyle w:val="NormalWeb"/>
        <w:spacing w:before="0" w:beforeAutospacing="0" w:after="0" w:afterAutospacing="0" w:line="480" w:lineRule="auto"/>
        <w:jc w:val="center"/>
        <w:rPr>
          <w:rFonts w:asciiTheme="majorBidi" w:hAnsiTheme="majorBidi" w:cstheme="majorBidi"/>
          <w:b/>
          <w:bCs/>
        </w:rPr>
      </w:pPr>
    </w:p>
    <w:p w14:paraId="63378FB0" w14:textId="77777777" w:rsidR="003C001C" w:rsidRDefault="003C001C" w:rsidP="00676D2F">
      <w:pPr>
        <w:pStyle w:val="NormalWeb"/>
        <w:spacing w:before="0" w:beforeAutospacing="0" w:after="0" w:afterAutospacing="0" w:line="480" w:lineRule="auto"/>
        <w:jc w:val="center"/>
        <w:rPr>
          <w:rFonts w:asciiTheme="majorBidi" w:hAnsiTheme="majorBidi" w:cstheme="majorBidi"/>
          <w:b/>
          <w:bCs/>
        </w:rPr>
      </w:pPr>
    </w:p>
    <w:p w14:paraId="659046B3" w14:textId="77777777" w:rsidR="00903556" w:rsidRDefault="00903556" w:rsidP="00676D2F">
      <w:pPr>
        <w:pStyle w:val="NormalWeb"/>
        <w:spacing w:before="0" w:beforeAutospacing="0" w:after="0" w:afterAutospacing="0" w:line="480" w:lineRule="auto"/>
        <w:jc w:val="center"/>
        <w:rPr>
          <w:rFonts w:asciiTheme="majorBidi" w:hAnsiTheme="majorBidi" w:cstheme="majorBidi"/>
          <w:b/>
          <w:bCs/>
        </w:rPr>
      </w:pPr>
    </w:p>
    <w:p w14:paraId="6AF53337" w14:textId="77777777" w:rsidR="00903556" w:rsidRPr="008F4E90" w:rsidRDefault="00903556" w:rsidP="00676D2F">
      <w:pPr>
        <w:pStyle w:val="NormalWeb"/>
        <w:spacing w:before="0" w:beforeAutospacing="0" w:after="0" w:afterAutospacing="0" w:line="480" w:lineRule="auto"/>
        <w:jc w:val="center"/>
        <w:rPr>
          <w:rFonts w:asciiTheme="majorBidi" w:hAnsiTheme="majorBidi" w:cstheme="majorBidi"/>
          <w:b/>
          <w:bCs/>
        </w:rPr>
      </w:pPr>
    </w:p>
    <w:p w14:paraId="5BBABE4A" w14:textId="77777777" w:rsidR="00E9557F" w:rsidRPr="008F4E90" w:rsidRDefault="00E9557F" w:rsidP="00676D2F">
      <w:pPr>
        <w:pStyle w:val="NormalWeb"/>
        <w:spacing w:before="0" w:beforeAutospacing="0" w:after="0" w:afterAutospacing="0" w:line="480" w:lineRule="auto"/>
        <w:jc w:val="center"/>
        <w:rPr>
          <w:rFonts w:asciiTheme="majorBidi" w:hAnsiTheme="majorBidi" w:cstheme="majorBidi"/>
          <w:b/>
          <w:bCs/>
        </w:rPr>
      </w:pPr>
    </w:p>
    <w:p w14:paraId="2622F9B9" w14:textId="77777777" w:rsidR="0081065D" w:rsidRPr="008F4E90" w:rsidRDefault="0081065D" w:rsidP="0081065D">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lastRenderedPageBreak/>
        <w:t>Chapter 6</w:t>
      </w:r>
    </w:p>
    <w:p w14:paraId="26D2E3B5" w14:textId="77777777" w:rsidR="0081065D" w:rsidRPr="008F4E90" w:rsidRDefault="0081065D" w:rsidP="0081065D">
      <w:pPr>
        <w:pStyle w:val="NormalWeb"/>
        <w:spacing w:before="0" w:beforeAutospacing="0" w:after="0" w:afterAutospacing="0" w:line="480" w:lineRule="auto"/>
        <w:jc w:val="center"/>
        <w:rPr>
          <w:rFonts w:asciiTheme="majorBidi" w:hAnsiTheme="majorBidi" w:cstheme="majorBidi"/>
        </w:rPr>
      </w:pPr>
      <w:r w:rsidRPr="008F4E90">
        <w:rPr>
          <w:rFonts w:asciiTheme="majorBidi" w:hAnsiTheme="majorBidi" w:cstheme="majorBidi"/>
          <w:b/>
          <w:bCs/>
        </w:rPr>
        <w:t>General Discussion</w:t>
      </w:r>
    </w:p>
    <w:p w14:paraId="037664C2" w14:textId="77777777" w:rsidR="0081065D" w:rsidRPr="008F4E90" w:rsidRDefault="0081065D" w:rsidP="0081065D">
      <w:pPr>
        <w:rPr>
          <w:rFonts w:asciiTheme="majorBidi" w:hAnsiTheme="majorBidi" w:cstheme="majorBidi"/>
        </w:rPr>
      </w:pPr>
    </w:p>
    <w:p w14:paraId="70041D52" w14:textId="5CE01923"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This PhD thesis aimed to contribute to understanding the multiscale sample entropy profile of the resting state EEG and fMRI signal. Specifically, the study aimed to investigate this nonlinear neurophysiological characteristic of individuals with autistic spectrum conditions (ASC) compared to neurotypical controls (CON). Additionally, the investigation also </w:t>
      </w:r>
      <w:r w:rsidR="00D429BB" w:rsidRPr="008F4E90">
        <w:rPr>
          <w:rFonts w:asciiTheme="majorBidi" w:hAnsiTheme="majorBidi" w:cstheme="majorBidi"/>
        </w:rPr>
        <w:t>considered</w:t>
      </w:r>
      <w:r w:rsidRPr="008F4E90">
        <w:rPr>
          <w:rFonts w:asciiTheme="majorBidi" w:hAnsiTheme="majorBidi" w:cstheme="majorBidi"/>
        </w:rPr>
        <w:t xml:space="preserve"> potential confounding factors such as eye conditions (i.e., eyes-open and eyes-closed condition) (Chapter 2 and Chapter 3, Studies 1 and 2) and age (Chapter 4), which may have influenced the observed group differences. This study utilised multimodal techniques to obtain temporal-based measurements of multiscale sample entropy in simultaneous EEG (Chapter 2) and fMRI signals (Chapter 3). The EEG measurements provided high temporal resolution, while the fMRI measurements offered high spatial resolution. The analyses were conducted on two large existing datasets, with 300 participants in the EEG project from the National Institute of Mental Health (NIMH) </w:t>
      </w:r>
      <w:hyperlink r:id="rId820" w:history="1">
        <w:r w:rsidRPr="008F4E90">
          <w:rPr>
            <w:rStyle w:val="Hyperlink"/>
            <w:rFonts w:asciiTheme="majorBidi" w:hAnsiTheme="majorBidi" w:cstheme="majorBidi"/>
            <w:color w:val="auto"/>
            <w:u w:val="none"/>
          </w:rPr>
          <w:t>(Sayers et al. 2022)</w:t>
        </w:r>
      </w:hyperlink>
      <w:r w:rsidRPr="008F4E90">
        <w:rPr>
          <w:rFonts w:asciiTheme="majorBidi" w:hAnsiTheme="majorBidi" w:cstheme="majorBidi"/>
        </w:rPr>
        <w:t xml:space="preserve"> and 500 participants in the fMRI project from the Autism Brain Imaging Data Exchange (ABIDE) I </w:t>
      </w:r>
      <w:hyperlink r:id="rId821" w:history="1">
        <w:r w:rsidRPr="008F4E90">
          <w:rPr>
            <w:rStyle w:val="Hyperlink"/>
            <w:rFonts w:asciiTheme="majorBidi" w:hAnsiTheme="majorBidi" w:cstheme="majorBidi"/>
            <w:color w:val="auto"/>
            <w:u w:val="none"/>
          </w:rPr>
          <w:t>(Di Martino et al., 2014)</w:t>
        </w:r>
      </w:hyperlink>
      <w:r w:rsidRPr="008F4E90">
        <w:rPr>
          <w:rFonts w:asciiTheme="majorBidi" w:hAnsiTheme="majorBidi" w:cstheme="majorBidi"/>
        </w:rPr>
        <w:t>. It is important to note that this study referred to secondary data analysis.</w:t>
      </w:r>
    </w:p>
    <w:p w14:paraId="68E5D17E"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This concluding chapter will discuss the critical contributions of this research to understanding the multiscale sample entropy profile of resting-state EEG and fMRI signals in individuals with ASC. The first section will summarise the key findings from Chapters 2, 3, and 4 of the four studies. The second section will focus on the key contributions and implications of the research. The third section will outline the limitations of the work and propose directions for future research. Finally, the fourth section will conclude, emphasising the validity of using multiscale sample entropy as a classification measure for ASC and neurotypical controls.</w:t>
      </w:r>
    </w:p>
    <w:p w14:paraId="53A2AE9B" w14:textId="77777777" w:rsidR="0081065D" w:rsidRPr="008F4E90" w:rsidRDefault="0081065D" w:rsidP="0081065D">
      <w:pPr>
        <w:rPr>
          <w:rFonts w:asciiTheme="majorBidi" w:hAnsiTheme="majorBidi" w:cstheme="majorBidi"/>
        </w:rPr>
      </w:pPr>
    </w:p>
    <w:p w14:paraId="2311565D"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Summary of the Conducted Studies</w:t>
      </w:r>
    </w:p>
    <w:p w14:paraId="6B2AF065"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i/>
          <w:iCs/>
        </w:rPr>
        <w:t>Study 1: </w:t>
      </w:r>
    </w:p>
    <w:p w14:paraId="69553EE3"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i/>
          <w:iCs/>
        </w:rPr>
        <w:lastRenderedPageBreak/>
        <w:t>Complexity of resting state EEG signals in Neurotypical and Autistic Spectrum Conditions (ASC) collected during eyes open and eyes closed (Chapter 2)</w:t>
      </w:r>
    </w:p>
    <w:p w14:paraId="065A6F66"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The primary objective of Study 1 (Chapter 2) was to investigate the resting state EEG measurements, particularly the multiscale sample entropy profile and relative power spectrum, in individuals with ASC and neurotypical controls under both eyes-open and eyes-closed conditions. The study aimed to identify potential group differences related to the eye condition. In this study, the overall diagnosis group differences of the resting state EEG measures in predicting the diagnosis groups were relatively modest. However, these resting state EEG measures in predicting the diagnosis groups were significantly more pronounced during the eyes-closed condition compared to the eyes-open condition. Specifically, the ASC group exhibited a reduction in multiscale sample entropy at the coarse time scale across all brain regions.</w:t>
      </w:r>
    </w:p>
    <w:p w14:paraId="567042DE"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Furthermore, the differences between the eyes-open and eyes-closed conditions were more pronounced in the ASC group than in controls, particularly in the frontal region. Consequently, there was a specific reduction in multiscale sample entropy at the coarse scale in the frontal region, explicitly concerning the differences between the eyes-open and eyes-closed conditions (i.e., eyes-open minus eyes-closed data). These results not only indicate that group differences seem to be more prominent during the eyes closed condition, which offers a promising avenue for future research in exploring differences between ASC and neurotypical controls, but also suggest that the consistent findings of reduced frontal multiscale sample entropy in ASC may be linked to the differences between the eyes-open and eyes-closed conditions at the frontal region in ASC. This highlights the significance for researchers to meticulously consider the eye conditions during resting state in future investigations. </w:t>
      </w:r>
    </w:p>
    <w:p w14:paraId="2BC21BF0"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Moreover, individuals with ASC showed elevated relative delta power and reduced relative alpha power compared to neurotypical controls. Again, this altered relative delta/alpha power ratio was particularly noticeable during the eyes-closed condition and is in line with findings from other studies, providing strong consistency in the results.</w:t>
      </w:r>
    </w:p>
    <w:p w14:paraId="50B67F22"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lastRenderedPageBreak/>
        <w:t>Study 1 advanced the multiscale sample entropy literature by first evaluating and comparing the eye conditions (i.e., eyes-open and eyes-closed condition) differences between individuals with and without ASC. Findings indicate that the eyes-closed condition provided more valuable insights in exploring group differences between ASC and neurotypical controls. Nevertheless, the exact reason why the eyes-closed condition offers more fruitful results in exploring these group differences remains uncertain. One potential hypothesis is that the DMN (DMN) is more engaged during the eyes-closed condition, and the DMN is a highly clinically relevant brain network for ASC individuals. Thus, when individuals with ASC close their eyes, it may lead to more atypical brain activity, particularly within the DMN. To investigate this assumption, it is evident that the low spatial resolution EEG technique is insufficient. Therefore, in the subsequent study (Chapter 3), the resting state fMRI technique with relatively high spatial resolution was employed to examine further the multiscale sample entropy profile of individuals with ASC and neurotypical controls.</w:t>
      </w:r>
    </w:p>
    <w:p w14:paraId="043816FE"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Studies 2a and 2b:</w:t>
      </w:r>
    </w:p>
    <w:p w14:paraId="76D6C75E"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i/>
          <w:iCs/>
        </w:rPr>
        <w:t>Mapping Multiscale Entropy of Resting State fMRI Signals in Neurotypical Individuals and Autistic Spectrum Conditions (ASC) (</w:t>
      </w:r>
      <w:bookmarkStart w:id="18" w:name="_Hlk145601176"/>
      <w:r w:rsidRPr="008F4E90">
        <w:rPr>
          <w:rFonts w:asciiTheme="majorBidi" w:hAnsiTheme="majorBidi" w:cstheme="majorBidi"/>
          <w:b/>
          <w:bCs/>
          <w:i/>
          <w:iCs/>
        </w:rPr>
        <w:t>Chapters 3 and 4</w:t>
      </w:r>
      <w:bookmarkEnd w:id="18"/>
      <w:r w:rsidRPr="008F4E90">
        <w:rPr>
          <w:rFonts w:asciiTheme="majorBidi" w:hAnsiTheme="majorBidi" w:cstheme="majorBidi"/>
          <w:b/>
          <w:bCs/>
          <w:i/>
          <w:iCs/>
        </w:rPr>
        <w:t>):</w:t>
      </w:r>
    </w:p>
    <w:p w14:paraId="28AB4AB9"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The primary objectives of Studies 2a and 2b (Chapters 3 and 4) were to construct and compare the multiscale sample entropy profile of the brain mapping in individuals with ASC and neurotypical controls, using resting state fMRI signals from an extensive database (i.e., ABIDE I). This study divided the dataset into two subsets based on the eyes-open and eyes-closed conditions, resulting in Study 2a and Study 2b, respectively. However, both subsets followed the same data-driven statistical procedure. Here, the voxel-wise two-sample t-test with the threshold-free cluster enhancement correction and multivoxel pattern analyses were utilised separately to identify the most contributing brain regions in classifying the individuals with and without ASC. </w:t>
      </w:r>
    </w:p>
    <w:p w14:paraId="4E5E727F"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The results suggest that individuals with ASC display abnormal brain complexity in the DMN at both eyes-open and eyes-closed conditions, explicitly showing a significant normal-form decrease in </w:t>
      </w:r>
      <w:r w:rsidRPr="008F4E90">
        <w:rPr>
          <w:rFonts w:asciiTheme="majorBidi" w:hAnsiTheme="majorBidi" w:cstheme="majorBidi"/>
        </w:rPr>
        <w:lastRenderedPageBreak/>
        <w:t xml:space="preserve">multiscale sample entropy, particularly at the coarse time scale, predominantly in the medial frontal cortex. Additionally, there is an uncorrelated random pattern of reduced multiscale sample entropy, mainly observed at the </w:t>
      </w:r>
      <w:proofErr w:type="spellStart"/>
      <w:r w:rsidRPr="008F4E90">
        <w:rPr>
          <w:rFonts w:asciiTheme="majorBidi" w:hAnsiTheme="majorBidi" w:cstheme="majorBidi"/>
        </w:rPr>
        <w:t>precuneus</w:t>
      </w:r>
      <w:proofErr w:type="spellEnd"/>
      <w:r w:rsidRPr="008F4E90">
        <w:rPr>
          <w:rFonts w:asciiTheme="majorBidi" w:hAnsiTheme="majorBidi" w:cstheme="majorBidi"/>
        </w:rPr>
        <w:t xml:space="preserve"> in individuals with ASC. Only the reduction of brain complexity in the medial frontal cortex was replicated in the eyes-closed condition. Subsequently, these identified brain regions were further assessed using a linear Support Vector Machine (SVM) in machine learning with a 10-fold cross-validation to evaluate accuracy. </w:t>
      </w:r>
    </w:p>
    <w:p w14:paraId="185B636E"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The multivoxel pattern analysis with the feature selection method (Sequential et al. - SFFS) identified more brain regions within the DMN, resulting in slightly higher accuracy compared to the fewer significant clusters obtained from the voxel-wise two-sample t-test in both eyes-open and eyes-closed conditions. However, the voxel-wise two-sample t-test provides more detailed information about the magnitude and direction of the atypical brain complexity in the ASC group. Generally, the classification accuracy of the DMN is relatively low in the eyes-open condition dataset. However, it is higher in the eyes-closed condition dataset (i.e., the highest accuracy is 87%), which aligns with the findings from the previous EEG study (Chapter 2). However, it is essential to note that the datasets used in this study did not collect both eyes-open and eyes-closed condition data from the same participant, unlike the previous EEG study. As a result, it is not feasible to directly compare the multiscale sample entropy profile between the eyes-open and eyes-closed conditions and draw definitive conclusions. However, these results suggest that the eyes-closed condition provides more valuable insights in classifying individuals with and without ASC, as it exhibits more significant diagnosis group differences (Chapter 2) and higher accuracy (Chapter 3) than the eyes-open condition. Therefore, this research underscores the significance of carefully considering the eye condition when investigating the group differences between ASC and neurotypical controls, an aspect that was previously overlooked in most studies. Moreover, the fMRI study 2a and 2b (Chapters 3 and 4) validates the role of the DMN in classifying individuals with ASC, thereby expanding on the previous findings limited to the frontal lobe only.</w:t>
      </w:r>
    </w:p>
    <w:p w14:paraId="05023F04"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lastRenderedPageBreak/>
        <w:t xml:space="preserve">Considering that ASC is a neurodevelopmental condition </w:t>
      </w:r>
      <w:hyperlink r:id="rId822" w:history="1">
        <w:r w:rsidRPr="008F4E90">
          <w:rPr>
            <w:rStyle w:val="Hyperlink"/>
            <w:rFonts w:asciiTheme="majorBidi" w:hAnsiTheme="majorBidi" w:cstheme="majorBidi"/>
            <w:color w:val="auto"/>
            <w:u w:val="none"/>
          </w:rPr>
          <w:t>(Tuchman &amp; Cuccaro, 2011)</w:t>
        </w:r>
      </w:hyperlink>
      <w:r w:rsidRPr="008F4E90">
        <w:rPr>
          <w:rFonts w:asciiTheme="majorBidi" w:hAnsiTheme="majorBidi" w:cstheme="majorBidi"/>
        </w:rPr>
        <w:t xml:space="preserve"> and age is a significant factor affecting resting-state brain activity </w:t>
      </w:r>
      <w:hyperlink r:id="rId823" w:history="1">
        <w:r w:rsidRPr="008F4E90">
          <w:rPr>
            <w:rStyle w:val="Hyperlink"/>
            <w:rFonts w:asciiTheme="majorBidi" w:hAnsiTheme="majorBidi" w:cstheme="majorBidi"/>
            <w:color w:val="auto"/>
            <w:u w:val="none"/>
          </w:rPr>
          <w:t>(Dede et al., 2023)</w:t>
        </w:r>
      </w:hyperlink>
      <w:r w:rsidRPr="008F4E90">
        <w:rPr>
          <w:rFonts w:asciiTheme="majorBidi" w:hAnsiTheme="majorBidi" w:cstheme="majorBidi"/>
        </w:rPr>
        <w:t>, the subsequent studies in Chapter 5 aimed to explore how cortical maturation from childhood to young adulthood is manifested in the multiscale sample entropy of resting state EEG and fMRI signals analysed in the previous studies (Chapter 2 and 3).</w:t>
      </w:r>
    </w:p>
    <w:p w14:paraId="42383DF1"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Study 3:</w:t>
      </w:r>
    </w:p>
    <w:p w14:paraId="02AD16F4"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 </w:t>
      </w:r>
      <w:r w:rsidRPr="008F4E90">
        <w:rPr>
          <w:rFonts w:asciiTheme="majorBidi" w:hAnsiTheme="majorBidi" w:cstheme="majorBidi"/>
          <w:b/>
          <w:bCs/>
          <w:i/>
          <w:iCs/>
        </w:rPr>
        <w:t>Decreased Cortical Maturation from Childhood to Young Adulthood Manifests in Complexity of Resting State EEG and fMRI Signals (Chapter 5)</w:t>
      </w:r>
    </w:p>
    <w:p w14:paraId="45563E4C"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In Study 3, the dataset used in the previous studies (Chapters 2 and 3) was partitioned into three equal sections to examine multiscale sample entropy variations between and within age subgroups of the diagnosis groups. The dataset utilised in these previous studies only covered the age range from childhood to young adulthood, ranging from approximately 7 to 30 years old. </w:t>
      </w:r>
    </w:p>
    <w:p w14:paraId="18A0B12C"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t xml:space="preserve">This study successfully replicated the positive correlation between age and multiscale sample entropy in neurotypical controls </w:t>
      </w:r>
      <w:hyperlink r:id="rId824" w:history="1">
        <w:r w:rsidRPr="008F4E90">
          <w:rPr>
            <w:rStyle w:val="Hyperlink"/>
            <w:rFonts w:asciiTheme="majorBidi" w:hAnsiTheme="majorBidi" w:cstheme="majorBidi"/>
            <w:color w:val="auto"/>
            <w:u w:val="none"/>
          </w:rPr>
          <w:t>(Polizzotto et al., 2015)</w:t>
        </w:r>
      </w:hyperlink>
      <w:r w:rsidRPr="008F4E90">
        <w:rPr>
          <w:rFonts w:asciiTheme="majorBidi" w:hAnsiTheme="majorBidi" w:cstheme="majorBidi"/>
        </w:rPr>
        <w:t>, thereby validating the data integrity and the analysis approach employed in all the studies within this thesis. The most prominent and consistent findings from the EEG and fMRI datasets revealed that the age-related positive association in multiscale sample entropy is less pronounced in individuals with ASC when compared to neurotypical controls. These findings suggest that cortical maturation from childhood to young adulthood, as reflected in increasing brain complexity, may be delayed or impaired in individuals with ASC, resulting in a diminished magnitude of the positive age-related association in brain complexity.</w:t>
      </w:r>
    </w:p>
    <w:p w14:paraId="67B99B01"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Furthermore, the previously identified group differences in Chapters 2 and 3 in multiscale sample entropy were found to be highly dependent on age. Specifically, the reduction in multiscale sample entropy at the frontal region was observed and replicated only at the young age group, which included participants aged from 11.25 to 14.17 in the EEG study (Chapter 2) and aged from 7.13 to 12.8 in the fMRI study (Study 2a in Chapter 3). </w:t>
      </w:r>
    </w:p>
    <w:p w14:paraId="567C7424"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lastRenderedPageBreak/>
        <w:t xml:space="preserve">The additional presence of atypical multiscale sample entropy in the </w:t>
      </w:r>
      <w:proofErr w:type="spellStart"/>
      <w:r w:rsidRPr="008F4E90">
        <w:rPr>
          <w:rFonts w:asciiTheme="majorBidi" w:hAnsiTheme="majorBidi" w:cstheme="majorBidi"/>
        </w:rPr>
        <w:t>precuneus</w:t>
      </w:r>
      <w:proofErr w:type="spellEnd"/>
      <w:r w:rsidRPr="008F4E90">
        <w:rPr>
          <w:rFonts w:asciiTheme="majorBidi" w:hAnsiTheme="majorBidi" w:cstheme="majorBidi"/>
        </w:rPr>
        <w:t xml:space="preserve"> was only replicated in the young adult group in the fMRI study, comprising participants aged from 16.64 to 42.33 in the ASC group and 16.66 to 39.39 in the neurotypical control group. This observation may be attributed to the fact that the </w:t>
      </w:r>
      <w:proofErr w:type="spellStart"/>
      <w:r w:rsidRPr="008F4E90">
        <w:rPr>
          <w:rFonts w:asciiTheme="majorBidi" w:hAnsiTheme="majorBidi" w:cstheme="majorBidi"/>
        </w:rPr>
        <w:t>precuneus</w:t>
      </w:r>
      <w:proofErr w:type="spellEnd"/>
      <w:r w:rsidRPr="008F4E90">
        <w:rPr>
          <w:rFonts w:asciiTheme="majorBidi" w:hAnsiTheme="majorBidi" w:cstheme="majorBidi"/>
        </w:rPr>
        <w:t xml:space="preserve"> is a highly age-related brain region </w:t>
      </w:r>
      <w:hyperlink r:id="rId825" w:history="1">
        <w:r w:rsidRPr="008F4E90">
          <w:rPr>
            <w:rStyle w:val="Hyperlink"/>
            <w:rFonts w:asciiTheme="majorBidi" w:hAnsiTheme="majorBidi" w:cstheme="majorBidi"/>
            <w:color w:val="auto"/>
            <w:u w:val="none"/>
          </w:rPr>
          <w:t xml:space="preserve">(Li et al., 2019; </w:t>
        </w:r>
        <w:proofErr w:type="spellStart"/>
        <w:r w:rsidRPr="008F4E90">
          <w:rPr>
            <w:rStyle w:val="Hyperlink"/>
            <w:rFonts w:asciiTheme="majorBidi" w:hAnsiTheme="majorBidi" w:cstheme="majorBidi"/>
            <w:color w:val="auto"/>
            <w:u w:val="none"/>
          </w:rPr>
          <w:t>Dosenbach</w:t>
        </w:r>
        <w:proofErr w:type="spellEnd"/>
        <w:r w:rsidRPr="008F4E90">
          <w:rPr>
            <w:rStyle w:val="Hyperlink"/>
            <w:rFonts w:asciiTheme="majorBidi" w:hAnsiTheme="majorBidi" w:cstheme="majorBidi"/>
            <w:color w:val="auto"/>
            <w:u w:val="none"/>
          </w:rPr>
          <w:t xml:space="preserve"> et al., 2010)</w:t>
        </w:r>
      </w:hyperlink>
      <w:r w:rsidRPr="008F4E90">
        <w:rPr>
          <w:rFonts w:asciiTheme="majorBidi" w:hAnsiTheme="majorBidi" w:cstheme="majorBidi"/>
        </w:rPr>
        <w:t xml:space="preserve">, and the pronounced group difference in this region may be more evident due to atypical integration and segregation of functional organisation during development in ASC </w:t>
      </w:r>
      <w:hyperlink r:id="rId826" w:history="1">
        <w:r w:rsidRPr="008F4E90">
          <w:rPr>
            <w:rStyle w:val="Hyperlink"/>
            <w:rFonts w:asciiTheme="majorBidi" w:hAnsiTheme="majorBidi" w:cstheme="majorBidi"/>
            <w:color w:val="auto"/>
            <w:u w:val="none"/>
          </w:rPr>
          <w:t>(Long et al., 2016; Wass, 2011)</w:t>
        </w:r>
      </w:hyperlink>
      <w:r w:rsidRPr="008F4E90">
        <w:rPr>
          <w:rFonts w:asciiTheme="majorBidi" w:hAnsiTheme="majorBidi" w:cstheme="majorBidi"/>
        </w:rPr>
        <w:t>, as observed in the adult group.</w:t>
      </w:r>
    </w:p>
    <w:p w14:paraId="7F806FCD" w14:textId="77777777" w:rsidR="0081065D" w:rsidRPr="008F4E90" w:rsidRDefault="0081065D" w:rsidP="0081065D">
      <w:pPr>
        <w:rPr>
          <w:rFonts w:asciiTheme="majorBidi" w:hAnsiTheme="majorBidi" w:cstheme="majorBidi"/>
        </w:rPr>
      </w:pPr>
    </w:p>
    <w:p w14:paraId="7D4E0CCC" w14:textId="62D924D4"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Contributions of the Present Programs of Research </w:t>
      </w:r>
    </w:p>
    <w:p w14:paraId="364DDBBB"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This thesis contributes to the literature on ASC's multiscale sample entropy profile in four keyways. Firstly, it highlights the importance of considering the eye condition while collecting resting state EEG and fMRI data. Secondly, it underscores the DMN in distinguishing individuals with and without ASC. Thirdly, it investigates multimodal neuroimaging signals using large sample size, thereby expanding the knowledge of multiscale sample entropy in fMRI signal analysis. MSE might be the potential indicator for this multimodality approach. Lastly, it emphasises the influence of age on resting state brain complexity in multimodal neuroimaging signals, thus providing further insights into the heterogeneity of ASC.</w:t>
      </w:r>
    </w:p>
    <w:p w14:paraId="63F364E1"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Importance of considering the eyes condition. </w:t>
      </w:r>
      <w:r w:rsidRPr="008F4E90">
        <w:rPr>
          <w:rFonts w:asciiTheme="majorBidi" w:hAnsiTheme="majorBidi" w:cstheme="majorBidi"/>
        </w:rPr>
        <w:t xml:space="preserve">A large body of literature shows that resting-state paradigms using eyes-open versus closed produce distinct results </w:t>
      </w:r>
      <w:hyperlink r:id="rId827"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Agcaoglu</w:t>
        </w:r>
        <w:proofErr w:type="spellEnd"/>
        <w:r w:rsidRPr="008F4E90">
          <w:rPr>
            <w:rStyle w:val="Hyperlink"/>
            <w:rFonts w:asciiTheme="majorBidi" w:hAnsiTheme="majorBidi" w:cstheme="majorBidi"/>
            <w:color w:val="auto"/>
            <w:u w:val="none"/>
          </w:rPr>
          <w:t xml:space="preserve"> et al., 2019; Petro et al., 2022)</w:t>
        </w:r>
      </w:hyperlink>
      <w:r w:rsidRPr="008F4E90">
        <w:rPr>
          <w:rFonts w:asciiTheme="majorBidi" w:hAnsiTheme="majorBidi" w:cstheme="majorBidi"/>
        </w:rPr>
        <w:t xml:space="preserve">. In a comprehensive review of studies combining eyes-open and eyes-closed conditions, it revealed a U-shaped pattern of atypical power spectrum in individuals with ASC, characterised by increased power in low-frequency bands, decreased alpha power, and increased power in high-frequency bands </w:t>
      </w:r>
      <w:hyperlink r:id="rId828" w:history="1">
        <w:r w:rsidRPr="008F4E90">
          <w:rPr>
            <w:rStyle w:val="Hyperlink"/>
            <w:rFonts w:asciiTheme="majorBidi" w:hAnsiTheme="majorBidi" w:cstheme="majorBidi"/>
            <w:color w:val="auto"/>
            <w:u w:val="none"/>
          </w:rPr>
          <w:t>(Wang et al., 2013)</w:t>
        </w:r>
      </w:hyperlink>
      <w:r w:rsidRPr="008F4E90">
        <w:rPr>
          <w:rFonts w:asciiTheme="majorBidi" w:hAnsiTheme="majorBidi" w:cstheme="majorBidi"/>
        </w:rPr>
        <w:t xml:space="preserve">. However, another review that separately considered eyes-open and eyes-closed conditions failed to replicate this finding and reported highly inconsistent results for ASC </w:t>
      </w:r>
      <w:hyperlink r:id="rId829" w:history="1">
        <w:r w:rsidRPr="008F4E90">
          <w:rPr>
            <w:rStyle w:val="Hyperlink"/>
            <w:rFonts w:asciiTheme="majorBidi" w:hAnsiTheme="majorBidi" w:cstheme="majorBidi"/>
            <w:color w:val="auto"/>
            <w:u w:val="none"/>
          </w:rPr>
          <w:t>(Newson &amp; Thiagarajan, 2018)</w:t>
        </w:r>
      </w:hyperlink>
      <w:r w:rsidRPr="008F4E90">
        <w:rPr>
          <w:rFonts w:asciiTheme="majorBidi" w:hAnsiTheme="majorBidi" w:cstheme="majorBidi"/>
        </w:rPr>
        <w:t>. </w:t>
      </w:r>
    </w:p>
    <w:p w14:paraId="0B7204AD"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lastRenderedPageBreak/>
        <w:t xml:space="preserve">On the other hand, a specific study focusing on children with ASC demonstrated a distinct reduction in absolute alpha power, irrespective of the eye condition </w:t>
      </w:r>
      <w:hyperlink r:id="rId830"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Bellato</w:t>
        </w:r>
        <w:proofErr w:type="spellEnd"/>
        <w:r w:rsidRPr="008F4E90">
          <w:rPr>
            <w:rStyle w:val="Hyperlink"/>
            <w:rFonts w:asciiTheme="majorBidi" w:hAnsiTheme="majorBidi" w:cstheme="majorBidi"/>
            <w:color w:val="auto"/>
            <w:u w:val="none"/>
          </w:rPr>
          <w:t xml:space="preserve"> et al., 2020)</w:t>
        </w:r>
      </w:hyperlink>
      <w:r w:rsidRPr="008F4E90">
        <w:rPr>
          <w:rFonts w:asciiTheme="majorBidi" w:hAnsiTheme="majorBidi" w:cstheme="majorBidi"/>
        </w:rPr>
        <w:t>. The divergent findings for ASC may be attributed to the variability in the usage of different eye conditions during data collection, which motivated the focus of this study. The study in Chapter 2 was the first to directly assess and compare the eye conditions (i.e., eyes-open and eyes-closed condition) differences in both the relative power spectrum and brain complexity between individuals with and without ASC.</w:t>
      </w:r>
    </w:p>
    <w:p w14:paraId="302A1AC5"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Further emphasising the finding from Chapter 3, the study revealed a higher accuracy in distinguishing individuals with ASC from neurotypical controls using the multiscale sample entropy in the eyes-closed condition (87%) compared to the eyes-open condition (68%). The findings indicated that the state where participants had their eyes closed yielded more valuable outcomes in distinguishing individuals with ASC. This was achieved by studying the relative power spectrum obtained from resting-state EEG signals and the multiscale sample entropy derived from resting-state EEG and fMRI signals. This observation not only confirms the significance of accounting for eye conditions when studying neuropsychological conditions </w:t>
      </w:r>
      <w:hyperlink r:id="rId831" w:history="1">
        <w:r w:rsidRPr="008F4E90">
          <w:rPr>
            <w:rStyle w:val="Hyperlink"/>
            <w:rFonts w:asciiTheme="majorBidi" w:hAnsiTheme="majorBidi" w:cstheme="majorBidi"/>
            <w:color w:val="auto"/>
            <w:u w:val="none"/>
          </w:rPr>
          <w:t>(Newson &amp; Thiagarajan, 2018)</w:t>
        </w:r>
      </w:hyperlink>
      <w:r w:rsidRPr="008F4E90">
        <w:rPr>
          <w:rFonts w:asciiTheme="majorBidi" w:hAnsiTheme="majorBidi" w:cstheme="majorBidi"/>
        </w:rPr>
        <w:t xml:space="preserve"> but also expands the scope from solely focusing on ADHD </w:t>
      </w:r>
      <w:hyperlink r:id="rId832"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Bellato</w:t>
        </w:r>
        <w:proofErr w:type="spellEnd"/>
        <w:r w:rsidRPr="008F4E90">
          <w:rPr>
            <w:rStyle w:val="Hyperlink"/>
            <w:rFonts w:asciiTheme="majorBidi" w:hAnsiTheme="majorBidi" w:cstheme="majorBidi"/>
            <w:color w:val="auto"/>
            <w:u w:val="none"/>
          </w:rPr>
          <w:t xml:space="preserve"> et al., 2020)</w:t>
        </w:r>
      </w:hyperlink>
      <w:r w:rsidRPr="008F4E90">
        <w:rPr>
          <w:rFonts w:asciiTheme="majorBidi" w:hAnsiTheme="majorBidi" w:cstheme="majorBidi"/>
        </w:rPr>
        <w:t xml:space="preserve"> to encompass ASC as well.</w:t>
      </w:r>
    </w:p>
    <w:p w14:paraId="5A51BAB3"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Unveiling the DMN in Distinguishing Individuals with and without ASC.</w:t>
      </w:r>
      <w:r w:rsidRPr="008F4E90">
        <w:rPr>
          <w:rFonts w:asciiTheme="majorBidi" w:hAnsiTheme="majorBidi" w:cstheme="majorBidi"/>
          <w:b/>
          <w:bCs/>
        </w:rPr>
        <w:t xml:space="preserve"> </w:t>
      </w:r>
      <w:r w:rsidRPr="008F4E90">
        <w:rPr>
          <w:rFonts w:asciiTheme="majorBidi" w:hAnsiTheme="majorBidi" w:cstheme="majorBidi"/>
        </w:rPr>
        <w:t xml:space="preserve">To illustrate the reasons behind the eyes-closed condition yielding more significant outcomes in distinguishing individuals with ASC, a larger dataset (ABIDE I) acquired through the resting state fMRI technique was applied in Chapters 3 and 4. The primary brain regions for distinguishing individuals with ASC were within the DMN (DMN). The DMN has been recognized as a crucial brain system involved in processing self and others </w:t>
      </w:r>
      <w:hyperlink r:id="rId833" w:history="1">
        <w:r w:rsidRPr="008F4E90">
          <w:rPr>
            <w:rStyle w:val="Hyperlink"/>
            <w:rFonts w:asciiTheme="majorBidi" w:hAnsiTheme="majorBidi" w:cstheme="majorBidi"/>
            <w:color w:val="auto"/>
            <w:u w:val="none"/>
          </w:rPr>
          <w:t>(Davey et al., 2016; Mars et al., 2012)</w:t>
        </w:r>
      </w:hyperlink>
      <w:r w:rsidRPr="008F4E90">
        <w:rPr>
          <w:rFonts w:asciiTheme="majorBidi" w:hAnsiTheme="majorBidi" w:cstheme="majorBidi"/>
        </w:rPr>
        <w:t xml:space="preserve">, and it is associated with social dysfunction in ASC </w:t>
      </w:r>
      <w:hyperlink r:id="rId834" w:history="1">
        <w:r w:rsidRPr="008F4E90">
          <w:rPr>
            <w:rStyle w:val="Hyperlink"/>
            <w:rFonts w:asciiTheme="majorBidi" w:hAnsiTheme="majorBidi" w:cstheme="majorBidi"/>
            <w:color w:val="auto"/>
            <w:u w:val="none"/>
          </w:rPr>
          <w:t>(Lynch et al., 2013; Nair et al., 2020)</w:t>
        </w:r>
      </w:hyperlink>
      <w:r w:rsidRPr="008F4E90">
        <w:rPr>
          <w:rFonts w:asciiTheme="majorBidi" w:hAnsiTheme="majorBidi" w:cstheme="majorBidi"/>
        </w:rPr>
        <w:t xml:space="preserve">. However, the atypical brain complexity observed within the components of the DMN in this study does not correlate with the available ADOS scores in the dataset. This lack of correlation could be attributed to atypical brain complexity in the DMN, which may not be specific to ASC, as similar atypical findings have been reported in the DMN of individuals with other psychiatric </w:t>
      </w:r>
      <w:r w:rsidRPr="008F4E90">
        <w:rPr>
          <w:rFonts w:asciiTheme="majorBidi" w:hAnsiTheme="majorBidi" w:cstheme="majorBidi"/>
        </w:rPr>
        <w:lastRenderedPageBreak/>
        <w:t xml:space="preserve">disorders </w:t>
      </w:r>
      <w:hyperlink r:id="rId835" w:history="1">
        <w:r w:rsidRPr="008F4E90">
          <w:rPr>
            <w:rStyle w:val="Hyperlink"/>
            <w:rFonts w:asciiTheme="majorBidi" w:hAnsiTheme="majorBidi" w:cstheme="majorBidi"/>
            <w:color w:val="auto"/>
            <w:u w:val="none"/>
          </w:rPr>
          <w:t>(Hu et al., 2021)</w:t>
        </w:r>
      </w:hyperlink>
      <w:r w:rsidRPr="008F4E90">
        <w:rPr>
          <w:rFonts w:asciiTheme="majorBidi" w:hAnsiTheme="majorBidi" w:cstheme="majorBidi"/>
        </w:rPr>
        <w:t xml:space="preserve">. As a result, this finding does not directly support the Theory-of-Mind hypothesis of ASC </w:t>
      </w:r>
      <w:hyperlink r:id="rId836" w:history="1">
        <w:r w:rsidRPr="008F4E90">
          <w:rPr>
            <w:rStyle w:val="Hyperlink"/>
            <w:rFonts w:asciiTheme="majorBidi" w:hAnsiTheme="majorBidi" w:cstheme="majorBidi"/>
            <w:color w:val="auto"/>
            <w:u w:val="none"/>
          </w:rPr>
          <w:t>(Lombardo et al., 2010</w:t>
        </w:r>
      </w:hyperlink>
      <w:hyperlink r:id="rId837" w:history="1">
        <w:r w:rsidRPr="008F4E90">
          <w:rPr>
            <w:rStyle w:val="Hyperlink"/>
            <w:rFonts w:asciiTheme="majorBidi" w:hAnsiTheme="majorBidi" w:cstheme="majorBidi"/>
            <w:color w:val="auto"/>
            <w:u w:val="none"/>
          </w:rPr>
          <w:t xml:space="preserve">; </w:t>
        </w:r>
      </w:hyperlink>
      <w:hyperlink r:id="rId838" w:history="1">
        <w:r w:rsidRPr="008F4E90">
          <w:rPr>
            <w:rStyle w:val="Hyperlink"/>
            <w:rFonts w:asciiTheme="majorBidi" w:hAnsiTheme="majorBidi" w:cstheme="majorBidi"/>
            <w:color w:val="auto"/>
            <w:u w:val="none"/>
          </w:rPr>
          <w:t>Tager-</w:t>
        </w:r>
        <w:proofErr w:type="spellStart"/>
        <w:r w:rsidRPr="008F4E90">
          <w:rPr>
            <w:rStyle w:val="Hyperlink"/>
            <w:rFonts w:asciiTheme="majorBidi" w:hAnsiTheme="majorBidi" w:cstheme="majorBidi"/>
            <w:color w:val="auto"/>
            <w:u w:val="none"/>
          </w:rPr>
          <w:t>Flusberg</w:t>
        </w:r>
        <w:proofErr w:type="spellEnd"/>
        <w:r w:rsidRPr="008F4E90">
          <w:rPr>
            <w:rStyle w:val="Hyperlink"/>
            <w:rFonts w:asciiTheme="majorBidi" w:hAnsiTheme="majorBidi" w:cstheme="majorBidi"/>
            <w:color w:val="auto"/>
            <w:u w:val="none"/>
          </w:rPr>
          <w:t>, 2007)</w:t>
        </w:r>
      </w:hyperlink>
      <w:r w:rsidRPr="008F4E90">
        <w:rPr>
          <w:rFonts w:asciiTheme="majorBidi" w:hAnsiTheme="majorBidi" w:cstheme="majorBidi"/>
        </w:rPr>
        <w:t>. </w:t>
      </w:r>
    </w:p>
    <w:p w14:paraId="0C745BA4"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However, the potential significance of the DMN in classifying individuals with ASC must be considered. The atypical brain complexity consistently observed in the DMN is evident in the dataset under the eyes-closed condition, which has a small sample size but extends to the larger dataset under the eyes-open condition.</w:t>
      </w:r>
    </w:p>
    <w:p w14:paraId="66EC6AA8"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MSE could be a potential indicator for the multimodal neuroimaging signals. </w:t>
      </w:r>
      <w:r w:rsidRPr="008F4E90">
        <w:rPr>
          <w:rFonts w:asciiTheme="majorBidi" w:hAnsiTheme="majorBidi" w:cstheme="majorBidi"/>
        </w:rPr>
        <w:t>MSE has the potential to serve as an indicator for both EEG and fMRI signals, as evidenced by the consistent results across these two multimodal neuroimaging signals. First, in these research investigations, MSE efficiently identified heightened irregularity within phase-shuffled surrogate time series derived from EEG and fMRI data (Chapter 1). Specifically, when the temporal structure of the EEG and fMRI phase-shuffled surrogate time series was disrupted while keeping their spectral properties unchanged, the resulting surrogate time series lost some of their inherent regularity and predictability. This enhanced irregularity was effectively identified by the MSE, which appropriately assigned a greater value to the surrogate time series. </w:t>
      </w:r>
    </w:p>
    <w:p w14:paraId="16C4A532"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Second, MSE accurately distinguished variations between states of eyes being open and closed in both EEG and fMRI signals (Chapter 2 and Chapters 3 and 4). Importantly, all these alterations between eye conditions remain consistent across both ASC and neurotypical control groups. Regarding the resting state EEG signal, the multiscale sample entropy during the eyes-open condition surpasses that observed during the eyes-closed condition. This distinction is established using resting state EEG data obtained from the same participant under both eyes-open and eyes-closed conditions. </w:t>
      </w:r>
    </w:p>
    <w:p w14:paraId="110233CD"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While lacking an accessible fMRI dataset that would enable a direct comparison of multiscale sample entropy variations between different eye conditions, consistent disparities in multiscale sample entropy across eye conditions have also been identified within fMRI signals. Precisely, the multiscale sample entropy pattern within the visual network during the eyes-closed condition displays fractal-like attributes, while the eyes-open condition exhibits a typical behaviour. Furthermore, the correlation </w:t>
      </w:r>
      <w:r w:rsidRPr="008F4E90">
        <w:rPr>
          <w:rFonts w:asciiTheme="majorBidi" w:hAnsiTheme="majorBidi" w:cstheme="majorBidi"/>
        </w:rPr>
        <w:lastRenderedPageBreak/>
        <w:t>between MSE within the visual network and other brain networks is diminished during the eyes-closed condition compared to the eyes-open condition. It is worth noting that these correlations related to the visual networks are relatively low in both scenarios, as expected with resting state signals. These phenomena might arise from inhibiting visual information processing during the eyes-closed condition. Further investigation is required to understand why the fMRI signal becomes more self-similar and demonstrates an increased fractal structure under these circumstances.</w:t>
      </w:r>
    </w:p>
    <w:p w14:paraId="1C8A01A3"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Third, MSE effectively identified age-related alterations in EEG and fMRI signals (Chapter 4). Specifically, age significantly correlates with multiscale sample entropy, as shown in resting state EEG signals among neurotypical controls. Concerning the resting state fMRI data, MSE effectively identified age-related changes in numerous cortical regions that were associated with ageing, including the posterior cingulate, prefrontal gyrus, postcentral gyrus and precentral gyrus </w:t>
      </w:r>
      <w:hyperlink r:id="rId839"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Dosenbach</w:t>
        </w:r>
        <w:proofErr w:type="spellEnd"/>
        <w:r w:rsidRPr="008F4E90">
          <w:rPr>
            <w:rStyle w:val="Hyperlink"/>
            <w:rFonts w:asciiTheme="majorBidi" w:hAnsiTheme="majorBidi" w:cstheme="majorBidi"/>
            <w:color w:val="auto"/>
            <w:u w:val="none"/>
          </w:rPr>
          <w:t xml:space="preserve"> et al., 2010</w:t>
        </w:r>
      </w:hyperlink>
      <w:hyperlink r:id="rId840" w:history="1">
        <w:r w:rsidRPr="008F4E90">
          <w:rPr>
            <w:rStyle w:val="Hyperlink"/>
            <w:rFonts w:asciiTheme="majorBidi" w:hAnsiTheme="majorBidi" w:cstheme="majorBidi"/>
            <w:color w:val="auto"/>
            <w:u w:val="none"/>
          </w:rPr>
          <w:t xml:space="preserve">; </w:t>
        </w:r>
      </w:hyperlink>
      <w:hyperlink r:id="rId841" w:history="1">
        <w:proofErr w:type="spellStart"/>
        <w:r w:rsidRPr="008F4E90">
          <w:rPr>
            <w:rStyle w:val="Hyperlink"/>
            <w:rFonts w:asciiTheme="majorBidi" w:hAnsiTheme="majorBidi" w:cstheme="majorBidi"/>
            <w:color w:val="auto"/>
            <w:u w:val="none"/>
          </w:rPr>
          <w:t>Misić</w:t>
        </w:r>
        <w:proofErr w:type="spellEnd"/>
        <w:r w:rsidRPr="008F4E90">
          <w:rPr>
            <w:rStyle w:val="Hyperlink"/>
            <w:rFonts w:asciiTheme="majorBidi" w:hAnsiTheme="majorBidi" w:cstheme="majorBidi"/>
            <w:color w:val="auto"/>
            <w:u w:val="none"/>
          </w:rPr>
          <w:t xml:space="preserve"> et al., 2010)</w:t>
        </w:r>
      </w:hyperlink>
      <w:r w:rsidRPr="008F4E90">
        <w:rPr>
          <w:rFonts w:asciiTheme="majorBidi" w:hAnsiTheme="majorBidi" w:cstheme="majorBidi"/>
        </w:rPr>
        <w:t xml:space="preserve">. These age-related alterations in specific brain regions could be due to the cortical maturation from childhood to young adulthood </w:t>
      </w:r>
      <w:hyperlink r:id="rId842" w:history="1">
        <w:r w:rsidRPr="008F4E90">
          <w:rPr>
            <w:rStyle w:val="Hyperlink"/>
            <w:rFonts w:asciiTheme="majorBidi" w:hAnsiTheme="majorBidi" w:cstheme="majorBidi"/>
            <w:color w:val="auto"/>
            <w:u w:val="none"/>
          </w:rPr>
          <w:t xml:space="preserve">(van </w:t>
        </w:r>
        <w:proofErr w:type="spellStart"/>
        <w:r w:rsidRPr="008F4E90">
          <w:rPr>
            <w:rStyle w:val="Hyperlink"/>
            <w:rFonts w:asciiTheme="majorBidi" w:hAnsiTheme="majorBidi" w:cstheme="majorBidi"/>
            <w:color w:val="auto"/>
            <w:u w:val="none"/>
          </w:rPr>
          <w:t>Noordt</w:t>
        </w:r>
        <w:proofErr w:type="spellEnd"/>
        <w:r w:rsidRPr="008F4E90">
          <w:rPr>
            <w:rStyle w:val="Hyperlink"/>
            <w:rFonts w:asciiTheme="majorBidi" w:hAnsiTheme="majorBidi" w:cstheme="majorBidi"/>
            <w:color w:val="auto"/>
            <w:u w:val="none"/>
          </w:rPr>
          <w:t xml:space="preserve"> &amp; Willoughby, 2021)</w:t>
        </w:r>
      </w:hyperlink>
      <w:r w:rsidRPr="008F4E90">
        <w:rPr>
          <w:rFonts w:asciiTheme="majorBidi" w:hAnsiTheme="majorBidi" w:cstheme="majorBidi"/>
        </w:rPr>
        <w:t xml:space="preserve"> and the engagement of stimulus-independent thoughts at the resting state </w:t>
      </w:r>
      <w:hyperlink r:id="rId843" w:history="1">
        <w:r w:rsidRPr="008F4E90">
          <w:rPr>
            <w:rStyle w:val="Hyperlink"/>
            <w:rFonts w:asciiTheme="majorBidi" w:hAnsiTheme="majorBidi" w:cstheme="majorBidi"/>
            <w:color w:val="auto"/>
            <w:u w:val="none"/>
          </w:rPr>
          <w:t>(Maillet et al., 2019)</w:t>
        </w:r>
      </w:hyperlink>
      <w:r w:rsidRPr="008F4E90">
        <w:rPr>
          <w:rFonts w:asciiTheme="majorBidi" w:hAnsiTheme="majorBidi" w:cstheme="majorBidi"/>
        </w:rPr>
        <w:t>.</w:t>
      </w:r>
    </w:p>
    <w:p w14:paraId="756D8C99"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 xml:space="preserve">Emphasising The Impact of Age on Resting State Brain Complexity: Unravelling Developmental Inconsistencies within the DMN. </w:t>
      </w:r>
      <w:r w:rsidRPr="008F4E90">
        <w:rPr>
          <w:rFonts w:asciiTheme="majorBidi" w:hAnsiTheme="majorBidi" w:cstheme="majorBidi"/>
        </w:rPr>
        <w:t xml:space="preserve">Furthermore, the subsequent study (Chapter 4) revealed that this atypical brain complexity within the default mode network (DMN) in individuals with ASC highly depends on age. In particular, the uncorrelated random alteration in multiscale sample entropy (MSE) in individuals with ASC at the </w:t>
      </w:r>
      <w:proofErr w:type="spellStart"/>
      <w:r w:rsidRPr="008F4E90">
        <w:rPr>
          <w:rFonts w:asciiTheme="majorBidi" w:hAnsiTheme="majorBidi" w:cstheme="majorBidi"/>
        </w:rPr>
        <w:t>precuneus</w:t>
      </w:r>
      <w:proofErr w:type="spellEnd"/>
      <w:r w:rsidRPr="008F4E90">
        <w:rPr>
          <w:rFonts w:asciiTheme="majorBidi" w:hAnsiTheme="majorBidi" w:cstheme="majorBidi"/>
        </w:rPr>
        <w:t xml:space="preserve"> and posterior cingulate cortex was predominantly observed in the adult group. In contrast, during childhood, the typical decrease in MSE in ASC at the medial prefrontal cortex was mainly found in the youngest age group. </w:t>
      </w:r>
    </w:p>
    <w:p w14:paraId="06B7C73E"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These results suggest that the altered brain complexity of the DMN and its atypical developmental trajectory are prominent neurobiological characteristics of ASC. The atypical developmental trajectory is also observed in the intrinsic functional connectivity within the nodes of the DMN in individuals with ASC. Studies focusing on intrinsic functional connectivity in children with ASC mostly report increased </w:t>
      </w:r>
      <w:r w:rsidRPr="008F4E90">
        <w:rPr>
          <w:rFonts w:asciiTheme="majorBidi" w:hAnsiTheme="majorBidi" w:cstheme="majorBidi"/>
        </w:rPr>
        <w:lastRenderedPageBreak/>
        <w:t xml:space="preserve">intra-network connectivity between core DMN nodes </w:t>
      </w:r>
      <w:hyperlink r:id="rId844" w:history="1">
        <w:r w:rsidRPr="008F4E90">
          <w:rPr>
            <w:rStyle w:val="Hyperlink"/>
            <w:rFonts w:asciiTheme="majorBidi" w:hAnsiTheme="majorBidi" w:cstheme="majorBidi"/>
            <w:color w:val="auto"/>
            <w:u w:val="none"/>
          </w:rPr>
          <w:t>(Assaf et al., 2010</w:t>
        </w:r>
      </w:hyperlink>
      <w:hyperlink r:id="rId845" w:history="1">
        <w:r w:rsidRPr="008F4E90">
          <w:rPr>
            <w:rStyle w:val="Hyperlink"/>
            <w:rFonts w:asciiTheme="majorBidi" w:hAnsiTheme="majorBidi" w:cstheme="majorBidi"/>
            <w:color w:val="auto"/>
            <w:u w:val="none"/>
          </w:rPr>
          <w:t xml:space="preserve">; </w:t>
        </w:r>
      </w:hyperlink>
      <w:hyperlink r:id="rId846" w:history="1">
        <w:r w:rsidRPr="008F4E90">
          <w:rPr>
            <w:rStyle w:val="Hyperlink"/>
            <w:rFonts w:asciiTheme="majorBidi" w:hAnsiTheme="majorBidi" w:cstheme="majorBidi"/>
            <w:color w:val="auto"/>
            <w:u w:val="none"/>
          </w:rPr>
          <w:t>Lynch et al., 2013</w:t>
        </w:r>
      </w:hyperlink>
      <w:hyperlink r:id="rId847" w:history="1">
        <w:r w:rsidRPr="008F4E90">
          <w:rPr>
            <w:rStyle w:val="Hyperlink"/>
            <w:rFonts w:asciiTheme="majorBidi" w:hAnsiTheme="majorBidi" w:cstheme="majorBidi"/>
            <w:color w:val="auto"/>
            <w:u w:val="none"/>
          </w:rPr>
          <w:t>)</w:t>
        </w:r>
      </w:hyperlink>
      <w:r w:rsidRPr="008F4E90">
        <w:rPr>
          <w:rFonts w:asciiTheme="majorBidi" w:hAnsiTheme="majorBidi" w:cstheme="majorBidi"/>
        </w:rPr>
        <w:t xml:space="preserve">, whereas studies in adolescents and adults tend to report decreased connectivity </w:t>
      </w:r>
      <w:hyperlink r:id="rId848" w:history="1">
        <w:r w:rsidRPr="008F4E90">
          <w:rPr>
            <w:rStyle w:val="Hyperlink"/>
            <w:rFonts w:asciiTheme="majorBidi" w:hAnsiTheme="majorBidi" w:cstheme="majorBidi"/>
            <w:color w:val="auto"/>
            <w:u w:val="none"/>
          </w:rPr>
          <w:t>(Jung et al., 2014</w:t>
        </w:r>
      </w:hyperlink>
      <w:hyperlink r:id="rId849" w:history="1">
        <w:r w:rsidRPr="008F4E90">
          <w:rPr>
            <w:rStyle w:val="Hyperlink"/>
            <w:rFonts w:asciiTheme="majorBidi" w:hAnsiTheme="majorBidi" w:cstheme="majorBidi"/>
            <w:color w:val="auto"/>
            <w:u w:val="none"/>
          </w:rPr>
          <w:t xml:space="preserve">; </w:t>
        </w:r>
      </w:hyperlink>
      <w:hyperlink r:id="rId850" w:history="1">
        <w:r w:rsidRPr="008F4E90">
          <w:rPr>
            <w:rStyle w:val="Hyperlink"/>
            <w:rFonts w:asciiTheme="majorBidi" w:hAnsiTheme="majorBidi" w:cstheme="majorBidi"/>
            <w:color w:val="auto"/>
            <w:u w:val="none"/>
          </w:rPr>
          <w:t>Kennedy &amp; Courchesne, 2008; Monk et al., 2009; Wiggins et al., 2011)</w:t>
        </w:r>
      </w:hyperlink>
      <w:r w:rsidRPr="008F4E90">
        <w:rPr>
          <w:rFonts w:asciiTheme="majorBidi" w:hAnsiTheme="majorBidi" w:cstheme="majorBidi"/>
        </w:rPr>
        <w:t xml:space="preserve">. In mixed age groups, findings are varied, showing both increases and decreases in connectivity </w:t>
      </w:r>
      <w:hyperlink r:id="rId851" w:history="1">
        <w:r w:rsidRPr="008F4E90">
          <w:rPr>
            <w:rStyle w:val="Hyperlink"/>
            <w:rFonts w:asciiTheme="majorBidi" w:hAnsiTheme="majorBidi" w:cstheme="majorBidi"/>
            <w:color w:val="auto"/>
            <w:u w:val="none"/>
          </w:rPr>
          <w:t>(Fishman et al., 2014; Funakoshi et al., 2016</w:t>
        </w:r>
      </w:hyperlink>
      <w:hyperlink r:id="rId852" w:history="1">
        <w:r w:rsidRPr="008F4E90">
          <w:rPr>
            <w:rStyle w:val="Hyperlink"/>
            <w:rFonts w:asciiTheme="majorBidi" w:hAnsiTheme="majorBidi" w:cstheme="majorBidi"/>
            <w:color w:val="auto"/>
            <w:u w:val="none"/>
          </w:rPr>
          <w:t xml:space="preserve">; </w:t>
        </w:r>
      </w:hyperlink>
      <w:hyperlink r:id="rId853" w:history="1">
        <w:proofErr w:type="spellStart"/>
        <w:r w:rsidRPr="008F4E90">
          <w:rPr>
            <w:rStyle w:val="Hyperlink"/>
            <w:rFonts w:asciiTheme="majorBidi" w:hAnsiTheme="majorBidi" w:cstheme="majorBidi"/>
            <w:color w:val="auto"/>
            <w:u w:val="none"/>
          </w:rPr>
          <w:t>Supekar</w:t>
        </w:r>
        <w:proofErr w:type="spellEnd"/>
        <w:r w:rsidRPr="008F4E90">
          <w:rPr>
            <w:rStyle w:val="Hyperlink"/>
            <w:rFonts w:asciiTheme="majorBidi" w:hAnsiTheme="majorBidi" w:cstheme="majorBidi"/>
            <w:color w:val="auto"/>
            <w:u w:val="none"/>
          </w:rPr>
          <w:t xml:space="preserve"> et al., 2013</w:t>
        </w:r>
      </w:hyperlink>
      <w:hyperlink r:id="rId854" w:history="1">
        <w:r w:rsidRPr="008F4E90">
          <w:rPr>
            <w:rStyle w:val="Hyperlink"/>
            <w:rFonts w:asciiTheme="majorBidi" w:hAnsiTheme="majorBidi" w:cstheme="majorBidi"/>
            <w:color w:val="auto"/>
            <w:u w:val="none"/>
          </w:rPr>
          <w:t xml:space="preserve">; </w:t>
        </w:r>
      </w:hyperlink>
      <w:hyperlink r:id="rId855" w:history="1">
        <w:r w:rsidRPr="008F4E90">
          <w:rPr>
            <w:rStyle w:val="Hyperlink"/>
            <w:rFonts w:asciiTheme="majorBidi" w:hAnsiTheme="majorBidi" w:cstheme="majorBidi"/>
            <w:color w:val="auto"/>
            <w:u w:val="none"/>
          </w:rPr>
          <w:t>Uddin et al., 2013)</w:t>
        </w:r>
      </w:hyperlink>
      <w:r w:rsidRPr="008F4E90">
        <w:rPr>
          <w:rFonts w:asciiTheme="majorBidi" w:hAnsiTheme="majorBidi" w:cstheme="majorBidi"/>
        </w:rPr>
        <w:t xml:space="preserve">. Even though there is no apparent correlation between multiscale sample entropy and functional connectivity </w:t>
      </w:r>
      <w:hyperlink r:id="rId856"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Courtiol</w:t>
        </w:r>
        <w:proofErr w:type="spellEnd"/>
        <w:r w:rsidRPr="008F4E90">
          <w:rPr>
            <w:rStyle w:val="Hyperlink"/>
            <w:rFonts w:asciiTheme="majorBidi" w:hAnsiTheme="majorBidi" w:cstheme="majorBidi"/>
            <w:color w:val="auto"/>
            <w:u w:val="none"/>
          </w:rPr>
          <w:t xml:space="preserve"> et al., 2016)</w:t>
        </w:r>
      </w:hyperlink>
      <w:r w:rsidRPr="008F4E90">
        <w:rPr>
          <w:rFonts w:asciiTheme="majorBidi" w:hAnsiTheme="majorBidi" w:cstheme="majorBidi"/>
        </w:rPr>
        <w:t>, these variations in connectivity and multiscale sample entropy profiles across different nodes of the DMN</w:t>
      </w:r>
      <w:r w:rsidR="00484F62" w:rsidRPr="008F4E90">
        <w:rPr>
          <w:rFonts w:asciiTheme="majorBidi" w:hAnsiTheme="majorBidi" w:cstheme="majorBidi"/>
        </w:rPr>
        <w:t xml:space="preserve"> </w:t>
      </w:r>
      <w:r w:rsidRPr="008F4E90">
        <w:rPr>
          <w:rFonts w:asciiTheme="majorBidi" w:hAnsiTheme="majorBidi" w:cstheme="majorBidi"/>
        </w:rPr>
        <w:t xml:space="preserve">reflect underlying developmental changes in ASC </w:t>
      </w:r>
      <w:hyperlink r:id="rId857" w:history="1">
        <w:r w:rsidRPr="008F4E90">
          <w:rPr>
            <w:rStyle w:val="Hyperlink"/>
            <w:rFonts w:asciiTheme="majorBidi" w:hAnsiTheme="majorBidi" w:cstheme="majorBidi"/>
            <w:color w:val="auto"/>
            <w:u w:val="none"/>
          </w:rPr>
          <w:t>(Funakoshi et al., 2016)</w:t>
        </w:r>
      </w:hyperlink>
      <w:r w:rsidRPr="008F4E90">
        <w:rPr>
          <w:rFonts w:asciiTheme="majorBidi" w:hAnsiTheme="majorBidi" w:cstheme="majorBidi"/>
        </w:rPr>
        <w:t>.</w:t>
      </w:r>
    </w:p>
    <w:p w14:paraId="53633A2A"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Similar atypical age-related structural changes in DMN subcomponents have also been reported in other developmental studies on individuals with ASC. For instance, there was an accelerated thinning in the bilateral posterior cingulate cortex (PCC) between childhood and adulthood, which was found to be correlated with social deficits </w:t>
      </w:r>
      <w:hyperlink r:id="rId858" w:history="1">
        <w:r w:rsidRPr="008F4E90">
          <w:rPr>
            <w:rStyle w:val="Hyperlink"/>
            <w:rFonts w:asciiTheme="majorBidi" w:hAnsiTheme="majorBidi" w:cstheme="majorBidi"/>
            <w:color w:val="auto"/>
            <w:u w:val="none"/>
          </w:rPr>
          <w:t>(Doyle-Thomas et al., 2013)</w:t>
        </w:r>
      </w:hyperlink>
      <w:r w:rsidRPr="008F4E90">
        <w:rPr>
          <w:rFonts w:asciiTheme="majorBidi" w:hAnsiTheme="majorBidi" w:cstheme="majorBidi"/>
        </w:rPr>
        <w:t>. Additionally, there was a decelerated volume reduction with age (ages 7–29) in the ventromedial prefrontal cortex (</w:t>
      </w:r>
      <w:proofErr w:type="spellStart"/>
      <w:r w:rsidRPr="008F4E90">
        <w:rPr>
          <w:rFonts w:asciiTheme="majorBidi" w:hAnsiTheme="majorBidi" w:cstheme="majorBidi"/>
        </w:rPr>
        <w:t>mPFC</w:t>
      </w:r>
      <w:proofErr w:type="spellEnd"/>
      <w:r w:rsidRPr="008F4E90">
        <w:rPr>
          <w:rFonts w:asciiTheme="majorBidi" w:hAnsiTheme="majorBidi" w:cstheme="majorBidi"/>
        </w:rPr>
        <w:t xml:space="preserve">) and the temporal, parietal junction (TPJ) </w:t>
      </w:r>
      <w:hyperlink r:id="rId859" w:history="1">
        <w:r w:rsidRPr="008F4E90">
          <w:rPr>
            <w:rStyle w:val="Hyperlink"/>
            <w:rFonts w:asciiTheme="majorBidi" w:hAnsiTheme="majorBidi" w:cstheme="majorBidi"/>
            <w:color w:val="auto"/>
            <w:u w:val="none"/>
          </w:rPr>
          <w:t>(Lin et al., 2015)</w:t>
        </w:r>
      </w:hyperlink>
      <w:r w:rsidRPr="008F4E90">
        <w:rPr>
          <w:rFonts w:asciiTheme="majorBidi" w:hAnsiTheme="majorBidi" w:cstheme="majorBidi"/>
        </w:rPr>
        <w:t>. Moreover, in children with ASC, the internodal DMN functional connectivity fails to develop during adolescence. These results suggest that the atypical brain complexity may be attributed to the underlying atypical structural basis. To gain a comprehensive understanding, future research should focus on reconciling the disparities between atypical brain complexity and the rates of change in volumetric and cortical thickness. </w:t>
      </w:r>
    </w:p>
    <w:p w14:paraId="4837F786"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b/>
          <w:bCs/>
        </w:rPr>
        <w:t>Limitations and Future Research</w:t>
      </w:r>
    </w:p>
    <w:p w14:paraId="261FA074"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Beyond the limitations specific to each of the four studies discussed in their respective chapters, there are limitations across studies that are important to acknowledge.</w:t>
      </w:r>
    </w:p>
    <w:p w14:paraId="265B54A3"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Limited Classification Performance with Multiscale Sample Entropy</w:t>
      </w:r>
      <w:r w:rsidRPr="008F4E90">
        <w:rPr>
          <w:rFonts w:asciiTheme="majorBidi" w:hAnsiTheme="majorBidi" w:cstheme="majorBidi"/>
          <w:i/>
          <w:iCs/>
        </w:rPr>
        <w:t>.</w:t>
      </w:r>
      <w:r w:rsidRPr="008F4E90">
        <w:rPr>
          <w:rFonts w:asciiTheme="majorBidi" w:hAnsiTheme="majorBidi" w:cstheme="majorBidi"/>
        </w:rPr>
        <w:t xml:space="preserve"> In general, the classification performance using the univariate potential biomarker, multiscale sample entropy, in ASC is relatively low in these studies. However, it is worth noting that an increasing number of studies have reported high levels of classification accuracy using multivariate, machine-learning approaches to classify </w:t>
      </w:r>
      <w:r w:rsidRPr="008F4E90">
        <w:rPr>
          <w:rFonts w:asciiTheme="majorBidi" w:hAnsiTheme="majorBidi" w:cstheme="majorBidi"/>
        </w:rPr>
        <w:lastRenderedPageBreak/>
        <w:t xml:space="preserve">neurophysiological data obtained from autistic and neurotypical samples </w:t>
      </w:r>
      <w:hyperlink r:id="rId860" w:history="1">
        <w:r w:rsidRPr="008F4E90">
          <w:rPr>
            <w:rStyle w:val="Hyperlink"/>
            <w:rFonts w:asciiTheme="majorBidi" w:hAnsiTheme="majorBidi" w:cstheme="majorBidi"/>
            <w:color w:val="auto"/>
            <w:u w:val="none"/>
          </w:rPr>
          <w:t>(Bi et al., 2018; Vargason et al., 2020)</w:t>
        </w:r>
      </w:hyperlink>
      <w:r w:rsidRPr="008F4E90">
        <w:rPr>
          <w:rFonts w:asciiTheme="majorBidi" w:hAnsiTheme="majorBidi" w:cstheme="majorBidi"/>
        </w:rPr>
        <w:t>. This points towards a potential future direction, where a combination of multivariate biomarkers could be utilised instead of relying solely on univariate biomarkers for improved classification accuracy. However, it is crucial to take into account the issue of overfitting. This risk is particularly elevated for approaches based on support vector machines, especially when the number of features significantly surpasses the number of participants. This is a common scenario in machine-learning approaches to autism diagnostic classification. In the future, machine learning studies will likely gain advantages from the availability of larger datasets that are now publicly accessible.</w:t>
      </w:r>
    </w:p>
    <w:p w14:paraId="18CACA88"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The unsatisfactory classification performance could also be attributed to the challenge of identifying developmentally invariant biomarkers for ASC due to the unfolding of phenotypic manifestations over time, especially during early childhood, which involves dynamic interactions among multiple risk factors </w:t>
      </w:r>
      <w:hyperlink r:id="rId861" w:history="1">
        <w:r w:rsidRPr="008F4E90">
          <w:rPr>
            <w:rStyle w:val="Hyperlink"/>
            <w:rFonts w:asciiTheme="majorBidi" w:hAnsiTheme="majorBidi" w:cstheme="majorBidi"/>
            <w:color w:val="auto"/>
            <w:u w:val="none"/>
          </w:rPr>
          <w:t>(Goldman et al., 2011</w:t>
        </w:r>
      </w:hyperlink>
      <w:hyperlink r:id="rId862" w:history="1">
        <w:r w:rsidRPr="008F4E90">
          <w:rPr>
            <w:rStyle w:val="Hyperlink"/>
            <w:rFonts w:asciiTheme="majorBidi" w:hAnsiTheme="majorBidi" w:cstheme="majorBidi"/>
            <w:color w:val="auto"/>
            <w:u w:val="none"/>
          </w:rPr>
          <w:t xml:space="preserve">; </w:t>
        </w:r>
      </w:hyperlink>
      <w:hyperlink r:id="rId863" w:history="1">
        <w:r w:rsidRPr="008F4E90">
          <w:rPr>
            <w:rStyle w:val="Hyperlink"/>
            <w:rFonts w:asciiTheme="majorBidi" w:hAnsiTheme="majorBidi" w:cstheme="majorBidi"/>
            <w:color w:val="auto"/>
            <w:u w:val="none"/>
          </w:rPr>
          <w:t>Ruggeri et al., 2014)</w:t>
        </w:r>
      </w:hyperlink>
      <w:r w:rsidRPr="008F4E90">
        <w:rPr>
          <w:rFonts w:asciiTheme="majorBidi" w:hAnsiTheme="majorBidi" w:cstheme="majorBidi"/>
        </w:rPr>
        <w:t xml:space="preserve">. As indicated by previous entropy-based studies, the classification of Autism Spectrum Disorder (ASC) is consistently dependent on age </w:t>
      </w:r>
      <w:hyperlink r:id="rId864" w:history="1">
        <w:r w:rsidRPr="008F4E90">
          <w:rPr>
            <w:rStyle w:val="Hyperlink"/>
            <w:rFonts w:asciiTheme="majorBidi" w:hAnsiTheme="majorBidi" w:cstheme="majorBidi"/>
            <w:color w:val="auto"/>
            <w:u w:val="none"/>
          </w:rPr>
          <w:t>(Kang et al., 2019)</w:t>
        </w:r>
      </w:hyperlink>
      <w:r w:rsidRPr="008F4E90">
        <w:rPr>
          <w:rFonts w:asciiTheme="majorBidi" w:hAnsiTheme="majorBidi" w:cstheme="majorBidi"/>
        </w:rPr>
        <w:t xml:space="preserve">. Consequently, in this study, the ASC population was further divided into age subgroups to investigate and account for age-related variations. Nonetheless, this presence of phenotypic heterogeneity presents challenges in achieving replicability and generalizability of findings </w:t>
      </w:r>
      <w:hyperlink r:id="rId865" w:history="1">
        <w:r w:rsidRPr="008F4E90">
          <w:rPr>
            <w:rStyle w:val="Hyperlink"/>
            <w:rFonts w:asciiTheme="majorBidi" w:hAnsiTheme="majorBidi" w:cstheme="majorBidi"/>
            <w:color w:val="auto"/>
            <w:u w:val="none"/>
          </w:rPr>
          <w:t>(Reiter et al., 2021)</w:t>
        </w:r>
      </w:hyperlink>
      <w:r w:rsidRPr="008F4E90">
        <w:rPr>
          <w:rFonts w:asciiTheme="majorBidi" w:hAnsiTheme="majorBidi" w:cstheme="majorBidi"/>
        </w:rPr>
        <w:t>, a common issue in many ASC studies, particularly those with small sample sizes or convenience samples.</w:t>
      </w:r>
    </w:p>
    <w:p w14:paraId="36C88AAA"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b/>
          <w:bCs/>
          <w:i/>
          <w:iCs/>
        </w:rPr>
        <w:t>Challenges and Limitations in Identifying Biomarkers for ASC Diagnosis</w:t>
      </w:r>
      <w:r w:rsidRPr="008F4E90">
        <w:rPr>
          <w:rFonts w:asciiTheme="majorBidi" w:hAnsiTheme="majorBidi" w:cstheme="majorBidi"/>
          <w:i/>
          <w:iCs/>
        </w:rPr>
        <w:t xml:space="preserve">. </w:t>
      </w:r>
      <w:r w:rsidRPr="008F4E90">
        <w:rPr>
          <w:rFonts w:asciiTheme="majorBidi" w:hAnsiTheme="majorBidi" w:cstheme="majorBidi"/>
        </w:rPr>
        <w:t xml:space="preserve">Furthermore, it is essential to acknowledge that the common challenges in identifying reproducible biomarkers for ASC were also inherent in the conducted studies. Several biomarkers are associated with neuropsychiatric conditions other than ASC, compromising their specificity. An illustrative example is the elevated whole blood serotonin, the first biomarker identified for ASC </w:t>
      </w:r>
      <w:hyperlink r:id="rId866" w:history="1">
        <w:r w:rsidRPr="008F4E90">
          <w:rPr>
            <w:rStyle w:val="Hyperlink"/>
            <w:rFonts w:asciiTheme="majorBidi" w:hAnsiTheme="majorBidi" w:cstheme="majorBidi"/>
            <w:color w:val="auto"/>
            <w:u w:val="none"/>
          </w:rPr>
          <w:t>(Schain &amp; Freedman, 1961)</w:t>
        </w:r>
      </w:hyperlink>
      <w:r w:rsidRPr="008F4E90">
        <w:rPr>
          <w:rFonts w:asciiTheme="majorBidi" w:hAnsiTheme="majorBidi" w:cstheme="majorBidi"/>
        </w:rPr>
        <w:t xml:space="preserve">. It is associated with various neuropsychiatric and nonpsychiatric medical conditions </w:t>
      </w:r>
      <w:hyperlink r:id="rId867" w:history="1">
        <w:r w:rsidRPr="008F4E90">
          <w:rPr>
            <w:rStyle w:val="Hyperlink"/>
            <w:rFonts w:asciiTheme="majorBidi" w:hAnsiTheme="majorBidi" w:cstheme="majorBidi"/>
            <w:color w:val="auto"/>
            <w:u w:val="none"/>
          </w:rPr>
          <w:t>(Lin et al., 2014)</w:t>
        </w:r>
      </w:hyperlink>
      <w:r w:rsidRPr="008F4E90">
        <w:rPr>
          <w:rFonts w:asciiTheme="majorBidi" w:hAnsiTheme="majorBidi" w:cstheme="majorBidi"/>
        </w:rPr>
        <w:t>. The connection is likely due to shared genetic mutations implicated in both autism and other conditions.</w:t>
      </w:r>
    </w:p>
    <w:p w14:paraId="467C6BA2" w14:textId="77777777" w:rsidR="0081065D" w:rsidRPr="008F4E90" w:rsidRDefault="0081065D" w:rsidP="0081065D">
      <w:pPr>
        <w:pStyle w:val="NormalWeb"/>
        <w:spacing w:before="0" w:beforeAutospacing="0" w:after="0" w:afterAutospacing="0" w:line="480" w:lineRule="auto"/>
        <w:rPr>
          <w:rFonts w:asciiTheme="majorBidi" w:hAnsiTheme="majorBidi" w:cstheme="majorBidi"/>
        </w:rPr>
      </w:pPr>
      <w:r w:rsidRPr="008F4E90">
        <w:rPr>
          <w:rFonts w:asciiTheme="majorBidi" w:hAnsiTheme="majorBidi" w:cstheme="majorBidi"/>
        </w:rPr>
        <w:lastRenderedPageBreak/>
        <w:t xml:space="preserve">Furthermore, this association extends to children with obsessive-compulsive disorder (OCD) who exhibit symptoms similar to ASD, such as repetitive behaviours, but only among those with a family history of OCD and not those without such a family history </w:t>
      </w:r>
      <w:hyperlink r:id="rId868" w:history="1">
        <w:r w:rsidRPr="008F4E90">
          <w:rPr>
            <w:rStyle w:val="Hyperlink"/>
            <w:rFonts w:asciiTheme="majorBidi" w:hAnsiTheme="majorBidi" w:cstheme="majorBidi"/>
            <w:color w:val="auto"/>
            <w:u w:val="none"/>
          </w:rPr>
          <w:t>(Hanna et al., 1991)</w:t>
        </w:r>
      </w:hyperlink>
      <w:r w:rsidRPr="008F4E90">
        <w:rPr>
          <w:rFonts w:asciiTheme="majorBidi" w:hAnsiTheme="majorBidi" w:cstheme="majorBidi"/>
        </w:rPr>
        <w:t>. In this thesis, although atypical brain complexity was observed through EEG and fMRI techniques, it did not show any significant association with the atypical behavioural symptoms of ASC traits. Specifically, although the findings in these studies reveal the importance of considering the conditions of eyes and the role of DMN when classifying ASC from the neurotypical controls at rest, the underlying theory has not yet been established because of the lack of association with the symptoms' severity or traits in ASC. One possible solution is to expand the dataset and separate the ASC group into severe ASC group and mild ASC group based on the ADOS score or other diagnosis tools. Therefore, the further association between alteration in EEG and fMRI brain complexity and severity in ASC will be established.</w:t>
      </w:r>
    </w:p>
    <w:p w14:paraId="2E39F175"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Another concern is the sensitivity. Like many other proposed biomarkers, from gene expression profiles to brain structure and connectivity measures, they show limited sensitivity and fail to consistently identify most samples studied </w:t>
      </w:r>
      <w:hyperlink r:id="rId869" w:history="1">
        <w:r w:rsidRPr="008F4E90">
          <w:rPr>
            <w:rStyle w:val="Hyperlink"/>
            <w:rFonts w:asciiTheme="majorBidi" w:hAnsiTheme="majorBidi" w:cstheme="majorBidi"/>
            <w:color w:val="auto"/>
            <w:u w:val="none"/>
          </w:rPr>
          <w:t>(</w:t>
        </w:r>
        <w:proofErr w:type="spellStart"/>
        <w:r w:rsidRPr="008F4E90">
          <w:rPr>
            <w:rStyle w:val="Hyperlink"/>
            <w:rFonts w:asciiTheme="majorBidi" w:hAnsiTheme="majorBidi" w:cstheme="majorBidi"/>
            <w:color w:val="auto"/>
            <w:u w:val="none"/>
          </w:rPr>
          <w:t>Bosl</w:t>
        </w:r>
        <w:proofErr w:type="spellEnd"/>
        <w:r w:rsidRPr="008F4E90">
          <w:rPr>
            <w:rStyle w:val="Hyperlink"/>
            <w:rFonts w:asciiTheme="majorBidi" w:hAnsiTheme="majorBidi" w:cstheme="majorBidi"/>
            <w:color w:val="auto"/>
            <w:u w:val="none"/>
          </w:rPr>
          <w:t xml:space="preserve"> et al., 2011</w:t>
        </w:r>
      </w:hyperlink>
      <w:hyperlink r:id="rId870" w:history="1">
        <w:r w:rsidRPr="008F4E90">
          <w:rPr>
            <w:rStyle w:val="Hyperlink"/>
            <w:rFonts w:asciiTheme="majorBidi" w:hAnsiTheme="majorBidi" w:cstheme="majorBidi"/>
            <w:color w:val="auto"/>
            <w:u w:val="none"/>
          </w:rPr>
          <w:t xml:space="preserve">; </w:t>
        </w:r>
      </w:hyperlink>
      <w:hyperlink r:id="rId871" w:history="1">
        <w:r w:rsidRPr="008F4E90">
          <w:rPr>
            <w:rStyle w:val="Hyperlink"/>
            <w:rFonts w:asciiTheme="majorBidi" w:hAnsiTheme="majorBidi" w:cstheme="majorBidi"/>
            <w:color w:val="auto"/>
            <w:u w:val="none"/>
          </w:rPr>
          <w:t>Ecker et al., 2010; Scherer &amp; Dawson, 2011)</w:t>
        </w:r>
      </w:hyperlink>
      <w:r w:rsidRPr="008F4E90">
        <w:rPr>
          <w:rFonts w:asciiTheme="majorBidi" w:hAnsiTheme="majorBidi" w:cstheme="majorBidi"/>
        </w:rPr>
        <w:t>. The alteration in brain complexity identified in ASC in studies in this thesis is also limited to specific age subgroups.</w:t>
      </w:r>
    </w:p>
    <w:p w14:paraId="7FF0D38A"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r w:rsidRPr="008F4E90">
        <w:rPr>
          <w:rFonts w:asciiTheme="majorBidi" w:hAnsiTheme="majorBidi" w:cstheme="majorBidi"/>
        </w:rPr>
        <w:t xml:space="preserve">Altogether, applying a biomarker for diagnosing ASC in the clinical setting is challenging. For example, a significant achievement in EEG biomarkers for diagnosing ASC is that N170 latency has become the first autism biomarker to gain approval from the US Food and Drug Administration (FDA) for inclusion in its biomarker qualification program. Furthermore, the European Medicines Agency (EMA) has also supported using N170 latency as an autism biomarker. </w:t>
      </w:r>
      <w:hyperlink r:id="rId872" w:history="1">
        <w:r w:rsidRPr="008F4E90">
          <w:rPr>
            <w:rStyle w:val="Hyperlink"/>
            <w:rFonts w:asciiTheme="majorBidi" w:hAnsiTheme="majorBidi" w:cstheme="majorBidi"/>
            <w:color w:val="auto"/>
            <w:u w:val="none"/>
          </w:rPr>
          <w:t>Letter of support for N170 ERP as a prognostic biomarker for adaptive social functioning and its potential to stratify study populations</w:t>
        </w:r>
      </w:hyperlink>
      <w:r w:rsidRPr="008F4E90">
        <w:rPr>
          <w:rFonts w:asciiTheme="majorBidi" w:hAnsiTheme="majorBidi" w:cstheme="majorBidi"/>
        </w:rPr>
        <w:t xml:space="preserve">. However, considering the variability of N170 across development, its uncertain correlation with behaviour, and its high individual variability </w:t>
      </w:r>
      <w:hyperlink r:id="rId873" w:history="1">
        <w:r w:rsidRPr="008F4E90">
          <w:rPr>
            <w:rStyle w:val="Hyperlink"/>
            <w:rFonts w:asciiTheme="majorBidi" w:hAnsiTheme="majorBidi" w:cstheme="majorBidi"/>
            <w:color w:val="auto"/>
            <w:u w:val="none"/>
          </w:rPr>
          <w:t>(Vettori et al., 2019)</w:t>
        </w:r>
      </w:hyperlink>
      <w:r w:rsidRPr="008F4E90">
        <w:rPr>
          <w:rFonts w:asciiTheme="majorBidi" w:hAnsiTheme="majorBidi" w:cstheme="majorBidi"/>
        </w:rPr>
        <w:t xml:space="preserve">, the N170 may not be a dependable biomarker. This is because the effect size of the group difference between individuals with autism and </w:t>
      </w:r>
      <w:r w:rsidRPr="008F4E90">
        <w:rPr>
          <w:rFonts w:asciiTheme="majorBidi" w:hAnsiTheme="majorBidi" w:cstheme="majorBidi"/>
        </w:rPr>
        <w:lastRenderedPageBreak/>
        <w:t xml:space="preserve">neurotypical participants falls within a range where the current analysis indicates that the information gained will be insufficient. The risk of false positives will be too high to make a clinically significant impact on real-world diagnosis. A recent study from the same group proposing the N170 as a biomarker reported a Partial Eta Squared of .084 for a diagnosis X task condition interaction </w:t>
      </w:r>
      <w:hyperlink r:id="rId874" w:history="1">
        <w:r w:rsidRPr="008F4E90">
          <w:rPr>
            <w:rStyle w:val="Hyperlink"/>
            <w:rFonts w:asciiTheme="majorBidi" w:hAnsiTheme="majorBidi" w:cstheme="majorBidi"/>
            <w:color w:val="auto"/>
            <w:u w:val="none"/>
          </w:rPr>
          <w:t>(Parker et al., 2021)</w:t>
        </w:r>
      </w:hyperlink>
      <w:r w:rsidRPr="008F4E90">
        <w:rPr>
          <w:rFonts w:asciiTheme="majorBidi" w:hAnsiTheme="majorBidi" w:cstheme="majorBidi"/>
        </w:rPr>
        <w:t>. In this thesis, the alteration in brain complexity in ASC also exhibits variations across development and lacks a clear association with ASC traits. These are the main limitations of this finding and the common difficulties encountered in the realm of biomarkers for ASC diagnosis.</w:t>
      </w:r>
    </w:p>
    <w:p w14:paraId="54F0649F" w14:textId="77777777" w:rsidR="00B71272" w:rsidRPr="008F4E90" w:rsidRDefault="00B71272" w:rsidP="0081065D">
      <w:pPr>
        <w:pStyle w:val="NormalWeb"/>
        <w:spacing w:before="0" w:beforeAutospacing="0" w:after="0" w:afterAutospacing="0" w:line="480" w:lineRule="auto"/>
        <w:ind w:firstLine="720"/>
        <w:rPr>
          <w:rFonts w:asciiTheme="majorBidi" w:hAnsiTheme="majorBidi" w:cstheme="majorBidi"/>
        </w:rPr>
      </w:pPr>
    </w:p>
    <w:p w14:paraId="18BE3349" w14:textId="227939AE" w:rsidR="00ED57EB" w:rsidRPr="00ED57EB" w:rsidRDefault="0081065D" w:rsidP="00ED57EB">
      <w:pPr>
        <w:spacing w:line="480" w:lineRule="auto"/>
        <w:ind w:firstLine="720"/>
        <w:jc w:val="center"/>
        <w:rPr>
          <w:rFonts w:asciiTheme="majorBidi" w:eastAsia="Times New Roman" w:hAnsiTheme="majorBidi" w:cstheme="majorBidi"/>
          <w:sz w:val="24"/>
          <w:szCs w:val="24"/>
        </w:rPr>
      </w:pPr>
      <w:r w:rsidRPr="00305114">
        <w:rPr>
          <w:rFonts w:asciiTheme="majorBidi" w:eastAsia="Times New Roman" w:hAnsiTheme="majorBidi" w:cstheme="majorBidi"/>
          <w:b/>
          <w:bCs/>
          <w:sz w:val="24"/>
          <w:szCs w:val="24"/>
        </w:rPr>
        <w:t>References</w:t>
      </w:r>
    </w:p>
    <w:p w14:paraId="53C240A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Abrahams, B. S., &amp; Geschwind, D. H. (2008). </w:t>
      </w:r>
      <w:r w:rsidRPr="005C650F">
        <w:rPr>
          <w:rFonts w:ascii="Times New Roman" w:eastAsia="Times New Roman" w:hAnsi="Times New Roman" w:cs="Times New Roman"/>
          <w:sz w:val="24"/>
          <w:szCs w:val="24"/>
        </w:rPr>
        <w:t xml:space="preserve">Advances in autism genetics: on the threshold of a new neurobiology. </w:t>
      </w:r>
      <w:r w:rsidRPr="005C650F">
        <w:rPr>
          <w:rFonts w:ascii="Times New Roman" w:eastAsia="Times New Roman" w:hAnsi="Times New Roman" w:cs="Times New Roman"/>
          <w:i/>
          <w:iCs/>
          <w:sz w:val="24"/>
          <w:szCs w:val="24"/>
        </w:rPr>
        <w:t>Nature Reviews. Genetics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(5), 341–355. https://doi.org/10.1038/nrg2346</w:t>
      </w:r>
    </w:p>
    <w:p w14:paraId="5E3704E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Achard, S., Salvador, R., Whitcher, B., Suckling, J., &amp; Bullmore, E. (2006). A resilient, low-frequency, small-world human brain functional network with highly connected association cortical hubs.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26</w:t>
      </w:r>
      <w:r w:rsidRPr="005C650F">
        <w:rPr>
          <w:rFonts w:ascii="Times New Roman" w:eastAsia="Times New Roman" w:hAnsi="Times New Roman" w:cs="Times New Roman"/>
          <w:sz w:val="24"/>
          <w:szCs w:val="24"/>
        </w:rPr>
        <w:t>(1), 63–72. https://doi.org/10.1523/JNEUROSCI.3874-05.2006</w:t>
      </w:r>
    </w:p>
    <w:p w14:paraId="7FC51C7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Achuthan, S. K., Coburn, K. L., </w:t>
      </w:r>
      <w:proofErr w:type="spellStart"/>
      <w:r w:rsidRPr="005C650F">
        <w:rPr>
          <w:rFonts w:ascii="Times New Roman" w:eastAsia="Times New Roman" w:hAnsi="Times New Roman" w:cs="Times New Roman"/>
          <w:sz w:val="24"/>
          <w:szCs w:val="24"/>
        </w:rPr>
        <w:t>Beckerson</w:t>
      </w:r>
      <w:proofErr w:type="spellEnd"/>
      <w:r w:rsidRPr="005C650F">
        <w:rPr>
          <w:rFonts w:ascii="Times New Roman" w:eastAsia="Times New Roman" w:hAnsi="Times New Roman" w:cs="Times New Roman"/>
          <w:sz w:val="24"/>
          <w:szCs w:val="24"/>
        </w:rPr>
        <w:t xml:space="preserve">, M. E., &amp; Kana, R. K. (2023). Amplitude of low frequency fluctuations during resting state fMRI in autistic children. </w:t>
      </w:r>
      <w:r w:rsidRPr="005C650F">
        <w:rPr>
          <w:rFonts w:ascii="Times New Roman" w:eastAsia="Times New Roman" w:hAnsi="Times New Roman" w:cs="Times New Roman"/>
          <w:i/>
          <w:iCs/>
          <w:sz w:val="24"/>
          <w:szCs w:val="24"/>
        </w:rPr>
        <w:t>Autism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16</w:t>
      </w:r>
      <w:r w:rsidRPr="005C650F">
        <w:rPr>
          <w:rFonts w:ascii="Times New Roman" w:eastAsia="Times New Roman" w:hAnsi="Times New Roman" w:cs="Times New Roman"/>
          <w:sz w:val="24"/>
          <w:szCs w:val="24"/>
        </w:rPr>
        <w:t>(1), 84–98.</w:t>
      </w:r>
    </w:p>
    <w:p w14:paraId="47E2D52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Afifi, L., Raafat, H., Abdullah, K., </w:t>
      </w:r>
      <w:proofErr w:type="spellStart"/>
      <w:r w:rsidRPr="00203582">
        <w:rPr>
          <w:rFonts w:ascii="Times New Roman" w:eastAsia="Times New Roman" w:hAnsi="Times New Roman" w:cs="Times New Roman"/>
          <w:sz w:val="24"/>
          <w:szCs w:val="24"/>
        </w:rPr>
        <w:t>Elhabashy</w:t>
      </w:r>
      <w:proofErr w:type="spellEnd"/>
      <w:r w:rsidRPr="00203582">
        <w:rPr>
          <w:rFonts w:ascii="Times New Roman" w:eastAsia="Times New Roman" w:hAnsi="Times New Roman" w:cs="Times New Roman"/>
          <w:sz w:val="24"/>
          <w:szCs w:val="24"/>
        </w:rPr>
        <w:t xml:space="preserve">, H., &amp; Raafat, O. (2015). Quantitative EEG in autistic children. </w:t>
      </w:r>
      <w:r w:rsidRPr="00203582">
        <w:rPr>
          <w:rFonts w:ascii="Times New Roman" w:eastAsia="Times New Roman" w:hAnsi="Times New Roman" w:cs="Times New Roman"/>
          <w:i/>
          <w:sz w:val="24"/>
          <w:szCs w:val="24"/>
        </w:rPr>
        <w:t>The Egyptian Journal of Neurology, Psychiatry and Neurosurgery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52</w:t>
      </w:r>
      <w:r w:rsidRPr="00203582">
        <w:rPr>
          <w:rFonts w:ascii="Times New Roman" w:eastAsia="Times New Roman" w:hAnsi="Times New Roman" w:cs="Times New Roman"/>
          <w:sz w:val="24"/>
          <w:szCs w:val="24"/>
        </w:rPr>
        <w:t>(3), 176. https://doi.org/10.4103/1110-1083.162031</w:t>
      </w:r>
    </w:p>
    <w:p w14:paraId="64192398"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Agcaoglu</w:t>
      </w:r>
      <w:proofErr w:type="spellEnd"/>
      <w:r w:rsidRPr="00203582">
        <w:rPr>
          <w:rFonts w:ascii="Times New Roman" w:eastAsia="Times New Roman" w:hAnsi="Times New Roman" w:cs="Times New Roman"/>
          <w:sz w:val="24"/>
          <w:szCs w:val="24"/>
        </w:rPr>
        <w:t xml:space="preserve">, O., Wilson, T. W., Wang, Y.-P., Stephen, J., &amp; Calhoun, V. D. (2019). Resting state connectivity differences in eyes open versus eyes closed conditions. </w:t>
      </w:r>
      <w:r w:rsidRPr="00203582">
        <w:rPr>
          <w:rFonts w:ascii="Times New Roman" w:eastAsia="Times New Roman" w:hAnsi="Times New Roman" w:cs="Times New Roman"/>
          <w:i/>
          <w:sz w:val="24"/>
          <w:szCs w:val="24"/>
        </w:rPr>
        <w:t>Human Brain Mapping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40</w:t>
      </w:r>
      <w:r w:rsidRPr="00203582">
        <w:rPr>
          <w:rFonts w:ascii="Times New Roman" w:eastAsia="Times New Roman" w:hAnsi="Times New Roman" w:cs="Times New Roman"/>
          <w:sz w:val="24"/>
          <w:szCs w:val="24"/>
        </w:rPr>
        <w:t>(8), 2488–2498. https://doi.org/10.1002/hbm.24539</w:t>
      </w:r>
    </w:p>
    <w:p w14:paraId="33776EE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Agcaoglu</w:t>
      </w:r>
      <w:proofErr w:type="spellEnd"/>
      <w:r w:rsidRPr="005C650F">
        <w:rPr>
          <w:rFonts w:ascii="Times New Roman" w:eastAsia="Times New Roman" w:hAnsi="Times New Roman" w:cs="Times New Roman"/>
          <w:sz w:val="24"/>
          <w:szCs w:val="24"/>
        </w:rPr>
        <w:t xml:space="preserve">, O., Wilson, T. W., Wang, Y.-P., Stephen, J., &amp; Calhoun, V. D. (2019). Resting state connectivity differences in eyes open versus eyes closed conditions.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40</w:t>
      </w:r>
      <w:r w:rsidRPr="005C650F">
        <w:rPr>
          <w:rFonts w:ascii="Times New Roman" w:eastAsia="Times New Roman" w:hAnsi="Times New Roman" w:cs="Times New Roman"/>
          <w:sz w:val="24"/>
          <w:szCs w:val="24"/>
        </w:rPr>
        <w:t>(8), 2488–2498. https://doi.org/10.1002/hbm.24539</w:t>
      </w:r>
    </w:p>
    <w:p w14:paraId="07E6C1A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lastRenderedPageBreak/>
        <w:t>Alaerts</w:t>
      </w:r>
      <w:proofErr w:type="spellEnd"/>
      <w:r w:rsidRPr="00203582">
        <w:rPr>
          <w:rFonts w:ascii="Times New Roman" w:eastAsia="Times New Roman" w:hAnsi="Times New Roman" w:cs="Times New Roman"/>
          <w:sz w:val="24"/>
          <w:szCs w:val="24"/>
        </w:rPr>
        <w:t xml:space="preserve">, K., Nayar, K., Kelly, C., Raithel, J., Milham, M. P., &amp; Di Martino, A. (2015). Age-related changes in intrinsic function of the superior temporal sulcus in autism spectrum disorders. </w:t>
      </w:r>
      <w:r w:rsidRPr="00203582">
        <w:rPr>
          <w:rFonts w:ascii="Times New Roman" w:eastAsia="Times New Roman" w:hAnsi="Times New Roman" w:cs="Times New Roman"/>
          <w:i/>
          <w:sz w:val="24"/>
          <w:szCs w:val="24"/>
        </w:rPr>
        <w:t>Social Cognitive and Affective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w:t>
      </w:r>
      <w:r w:rsidRPr="00203582">
        <w:rPr>
          <w:rFonts w:ascii="Times New Roman" w:eastAsia="Times New Roman" w:hAnsi="Times New Roman" w:cs="Times New Roman"/>
          <w:sz w:val="24"/>
          <w:szCs w:val="24"/>
        </w:rPr>
        <w:t>(10), 1413–1423. https://doi.org/10.1093/scan/nsv029</w:t>
      </w:r>
    </w:p>
    <w:p w14:paraId="3AA0EC4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Al-Ramadhani, R. R., </w:t>
      </w:r>
      <w:proofErr w:type="spellStart"/>
      <w:r w:rsidRPr="005C650F">
        <w:rPr>
          <w:rFonts w:ascii="Times New Roman" w:eastAsia="Times New Roman" w:hAnsi="Times New Roman" w:cs="Times New Roman"/>
          <w:sz w:val="24"/>
          <w:szCs w:val="24"/>
        </w:rPr>
        <w:t>Shivamurthy</w:t>
      </w:r>
      <w:proofErr w:type="spellEnd"/>
      <w:r w:rsidRPr="005C650F">
        <w:rPr>
          <w:rFonts w:ascii="Times New Roman" w:eastAsia="Times New Roman" w:hAnsi="Times New Roman" w:cs="Times New Roman"/>
          <w:sz w:val="24"/>
          <w:szCs w:val="24"/>
        </w:rPr>
        <w:t xml:space="preserve">, V. K. N., Elkins, K., </w:t>
      </w:r>
      <w:proofErr w:type="spellStart"/>
      <w:r w:rsidRPr="005C650F">
        <w:rPr>
          <w:rFonts w:ascii="Times New Roman" w:eastAsia="Times New Roman" w:hAnsi="Times New Roman" w:cs="Times New Roman"/>
          <w:sz w:val="24"/>
          <w:szCs w:val="24"/>
        </w:rPr>
        <w:t>Gedela</w:t>
      </w:r>
      <w:proofErr w:type="spellEnd"/>
      <w:r w:rsidRPr="005C650F">
        <w:rPr>
          <w:rFonts w:ascii="Times New Roman" w:eastAsia="Times New Roman" w:hAnsi="Times New Roman" w:cs="Times New Roman"/>
          <w:sz w:val="24"/>
          <w:szCs w:val="24"/>
        </w:rPr>
        <w:t xml:space="preserve">, S., Pedersen, N. P., &amp; </w:t>
      </w:r>
      <w:proofErr w:type="spellStart"/>
      <w:r w:rsidRPr="005C650F">
        <w:rPr>
          <w:rFonts w:ascii="Times New Roman" w:eastAsia="Times New Roman" w:hAnsi="Times New Roman" w:cs="Times New Roman"/>
          <w:sz w:val="24"/>
          <w:szCs w:val="24"/>
        </w:rPr>
        <w:t>Kheder</w:t>
      </w:r>
      <w:proofErr w:type="spellEnd"/>
      <w:r w:rsidRPr="005C650F">
        <w:rPr>
          <w:rFonts w:ascii="Times New Roman" w:eastAsia="Times New Roman" w:hAnsi="Times New Roman" w:cs="Times New Roman"/>
          <w:sz w:val="24"/>
          <w:szCs w:val="24"/>
        </w:rPr>
        <w:t xml:space="preserve">, A. (2021). The </w:t>
      </w:r>
      <w:proofErr w:type="spellStart"/>
      <w:r w:rsidRPr="005C650F">
        <w:rPr>
          <w:rFonts w:ascii="Times New Roman" w:eastAsia="Times New Roman" w:hAnsi="Times New Roman" w:cs="Times New Roman"/>
          <w:sz w:val="24"/>
          <w:szCs w:val="24"/>
        </w:rPr>
        <w:t>precuneal</w:t>
      </w:r>
      <w:proofErr w:type="spellEnd"/>
      <w:r w:rsidRPr="005C650F">
        <w:rPr>
          <w:rFonts w:ascii="Times New Roman" w:eastAsia="Times New Roman" w:hAnsi="Times New Roman" w:cs="Times New Roman"/>
          <w:sz w:val="24"/>
          <w:szCs w:val="24"/>
        </w:rPr>
        <w:t xml:space="preserve"> cortex: anatomy and seizure semiology. </w:t>
      </w:r>
      <w:r w:rsidRPr="005C650F">
        <w:rPr>
          <w:rFonts w:ascii="Times New Roman" w:eastAsia="Times New Roman" w:hAnsi="Times New Roman" w:cs="Times New Roman"/>
          <w:i/>
          <w:iCs/>
          <w:sz w:val="24"/>
          <w:szCs w:val="24"/>
        </w:rPr>
        <w:t>Epileptic Disorders : International Epilepsy Journal with Videotape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23</w:t>
      </w:r>
      <w:r w:rsidRPr="005C650F">
        <w:rPr>
          <w:rFonts w:ascii="Times New Roman" w:eastAsia="Times New Roman" w:hAnsi="Times New Roman" w:cs="Times New Roman"/>
          <w:sz w:val="24"/>
          <w:szCs w:val="24"/>
        </w:rPr>
        <w:t>(2), 218–227. https://doi.org/10.1684/epd.2021.1257</w:t>
      </w:r>
    </w:p>
    <w:p w14:paraId="4A9639B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Al-Zubaidi, A., Mertins, A., Heldmann, M., Jauch-Chara, K., &amp; </w:t>
      </w:r>
      <w:proofErr w:type="spellStart"/>
      <w:r w:rsidRPr="005C650F">
        <w:rPr>
          <w:rFonts w:ascii="Times New Roman" w:eastAsia="Times New Roman" w:hAnsi="Times New Roman" w:cs="Times New Roman"/>
          <w:sz w:val="24"/>
          <w:szCs w:val="24"/>
        </w:rPr>
        <w:t>Münte</w:t>
      </w:r>
      <w:proofErr w:type="spellEnd"/>
      <w:r w:rsidRPr="005C650F">
        <w:rPr>
          <w:rFonts w:ascii="Times New Roman" w:eastAsia="Times New Roman" w:hAnsi="Times New Roman" w:cs="Times New Roman"/>
          <w:sz w:val="24"/>
          <w:szCs w:val="24"/>
        </w:rPr>
        <w:t xml:space="preserve">, T. F. (2019). Machine Learning Based Classification of Resting-State fMRI Features Exemplified by Metabolic State (Hunger/Satiety).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w:t>
      </w:r>
      <w:r w:rsidRPr="005C650F">
        <w:rPr>
          <w:rFonts w:ascii="Times New Roman" w:eastAsia="Times New Roman" w:hAnsi="Times New Roman" w:cs="Times New Roman"/>
          <w:sz w:val="24"/>
          <w:szCs w:val="24"/>
        </w:rPr>
        <w:t>, 164. https://doi.org/10.3389/fnhum.2019.00164</w:t>
      </w:r>
    </w:p>
    <w:p w14:paraId="0031D37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Amaral, D. G., Schumann, C. M., &amp; Nordahl, C. W. (2008). </w:t>
      </w:r>
      <w:r w:rsidRPr="005C650F">
        <w:rPr>
          <w:rFonts w:ascii="Times New Roman" w:eastAsia="Times New Roman" w:hAnsi="Times New Roman" w:cs="Times New Roman"/>
          <w:sz w:val="24"/>
          <w:szCs w:val="24"/>
        </w:rPr>
        <w:t xml:space="preserve">Neuroanatomy of autism. </w:t>
      </w:r>
      <w:r w:rsidRPr="005C650F">
        <w:rPr>
          <w:rFonts w:ascii="Times New Roman" w:eastAsia="Times New Roman" w:hAnsi="Times New Roman" w:cs="Times New Roman"/>
          <w:i/>
          <w:iCs/>
          <w:sz w:val="24"/>
          <w:szCs w:val="24"/>
        </w:rPr>
        <w:t>Trends in Neurosciences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31</w:t>
      </w:r>
      <w:r w:rsidRPr="005C650F">
        <w:rPr>
          <w:rFonts w:ascii="Times New Roman" w:eastAsia="Times New Roman" w:hAnsi="Times New Roman" w:cs="Times New Roman"/>
          <w:sz w:val="24"/>
          <w:szCs w:val="24"/>
        </w:rPr>
        <w:t>(3), 137–145. https://doi.org/10.1016/j.tins.2007.12.005</w:t>
      </w:r>
    </w:p>
    <w:p w14:paraId="128B355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Amodio, D. M., &amp; Frith, C. D. (2006). Meeting of minds: the medial frontal cortex and social cognition. </w:t>
      </w:r>
      <w:r w:rsidRPr="00203582">
        <w:rPr>
          <w:rFonts w:ascii="Times New Roman" w:eastAsia="Times New Roman" w:hAnsi="Times New Roman" w:cs="Times New Roman"/>
          <w:i/>
          <w:sz w:val="24"/>
          <w:szCs w:val="24"/>
        </w:rPr>
        <w:t>Nature Reviews.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w:t>
      </w:r>
      <w:r w:rsidRPr="00203582">
        <w:rPr>
          <w:rFonts w:ascii="Times New Roman" w:eastAsia="Times New Roman" w:hAnsi="Times New Roman" w:cs="Times New Roman"/>
          <w:sz w:val="24"/>
          <w:szCs w:val="24"/>
        </w:rPr>
        <w:t>(4), 268–277. https://doi.org/10.1038/nrn1884</w:t>
      </w:r>
    </w:p>
    <w:p w14:paraId="018AC0D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Amzica</w:t>
      </w:r>
      <w:proofErr w:type="spellEnd"/>
      <w:r w:rsidRPr="005C650F">
        <w:rPr>
          <w:rFonts w:ascii="Times New Roman" w:eastAsia="Times New Roman" w:hAnsi="Times New Roman" w:cs="Times New Roman"/>
          <w:sz w:val="24"/>
          <w:szCs w:val="24"/>
        </w:rPr>
        <w:t xml:space="preserve">, F., &amp; </w:t>
      </w:r>
      <w:proofErr w:type="spellStart"/>
      <w:r w:rsidRPr="005C650F">
        <w:rPr>
          <w:rFonts w:ascii="Times New Roman" w:eastAsia="Times New Roman" w:hAnsi="Times New Roman" w:cs="Times New Roman"/>
          <w:sz w:val="24"/>
          <w:szCs w:val="24"/>
        </w:rPr>
        <w:t>Steriade</w:t>
      </w:r>
      <w:proofErr w:type="spellEnd"/>
      <w:r w:rsidRPr="005C650F">
        <w:rPr>
          <w:rFonts w:ascii="Times New Roman" w:eastAsia="Times New Roman" w:hAnsi="Times New Roman" w:cs="Times New Roman"/>
          <w:sz w:val="24"/>
          <w:szCs w:val="24"/>
        </w:rPr>
        <w:t xml:space="preserve">, M. (1995). Short- and long-range neuronal synchronization of the slow (&lt; 1 Hz) cortical oscillation. </w:t>
      </w:r>
      <w:r w:rsidRPr="005C650F">
        <w:rPr>
          <w:rFonts w:ascii="Times New Roman" w:eastAsia="Times New Roman" w:hAnsi="Times New Roman" w:cs="Times New Roman"/>
          <w:i/>
          <w:iCs/>
          <w:sz w:val="24"/>
          <w:szCs w:val="24"/>
        </w:rPr>
        <w:t>Journal of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73</w:t>
      </w:r>
      <w:r w:rsidRPr="005C650F">
        <w:rPr>
          <w:rFonts w:ascii="Times New Roman" w:eastAsia="Times New Roman" w:hAnsi="Times New Roman" w:cs="Times New Roman"/>
          <w:sz w:val="24"/>
          <w:szCs w:val="24"/>
        </w:rPr>
        <w:t>(1), 20–38. https://doi.org/10.1152/jn.1995.73.1.20</w:t>
      </w:r>
    </w:p>
    <w:p w14:paraId="43141B8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Andersen, P. N., Skogli, E. W., Hovik, K. T., Geurts, H., Egeland, J., &amp; Øie, M. (2015). </w:t>
      </w:r>
      <w:r w:rsidRPr="005C650F">
        <w:rPr>
          <w:rFonts w:ascii="Times New Roman" w:eastAsia="Times New Roman" w:hAnsi="Times New Roman" w:cs="Times New Roman"/>
          <w:sz w:val="24"/>
          <w:szCs w:val="24"/>
        </w:rPr>
        <w:t xml:space="preserve">Working memory arrest in children with high-functioning autism compared to children with attention-deficit/hyperactivity disorder: results from a 2-year longitudinal study. </w:t>
      </w:r>
      <w:r w:rsidRPr="005C650F">
        <w:rPr>
          <w:rFonts w:ascii="Times New Roman" w:eastAsia="Times New Roman" w:hAnsi="Times New Roman" w:cs="Times New Roman"/>
          <w:i/>
          <w:iCs/>
          <w:sz w:val="24"/>
          <w:szCs w:val="24"/>
        </w:rPr>
        <w:t>Autism: The International Journal of Research and Practice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19</w:t>
      </w:r>
      <w:r w:rsidRPr="005C650F">
        <w:rPr>
          <w:rFonts w:ascii="Times New Roman" w:eastAsia="Times New Roman" w:hAnsi="Times New Roman" w:cs="Times New Roman"/>
          <w:sz w:val="24"/>
          <w:szCs w:val="24"/>
        </w:rPr>
        <w:t>(4), 443–450. https://doi.org/10.1177/1362361314524844</w:t>
      </w:r>
    </w:p>
    <w:p w14:paraId="7571C56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Andrews-Hanna, J. R., Reidler, J. S., </w:t>
      </w:r>
      <w:proofErr w:type="spellStart"/>
      <w:r w:rsidRPr="00203582">
        <w:rPr>
          <w:rFonts w:ascii="Times New Roman" w:eastAsia="Times New Roman" w:hAnsi="Times New Roman" w:cs="Times New Roman"/>
          <w:sz w:val="24"/>
          <w:szCs w:val="24"/>
        </w:rPr>
        <w:t>Sepulcre</w:t>
      </w:r>
      <w:proofErr w:type="spellEnd"/>
      <w:r w:rsidRPr="00203582">
        <w:rPr>
          <w:rFonts w:ascii="Times New Roman" w:eastAsia="Times New Roman" w:hAnsi="Times New Roman" w:cs="Times New Roman"/>
          <w:sz w:val="24"/>
          <w:szCs w:val="24"/>
        </w:rPr>
        <w:t xml:space="preserve">, J., Poulin, R., &amp; Buckner, R. L. (2010). Functional-anatomic fractionation of the brain’s default network. </w:t>
      </w:r>
      <w:r w:rsidRPr="00203582">
        <w:rPr>
          <w:rFonts w:ascii="Times New Roman" w:eastAsia="Times New Roman" w:hAnsi="Times New Roman" w:cs="Times New Roman"/>
          <w:i/>
          <w:sz w:val="24"/>
          <w:szCs w:val="24"/>
        </w:rPr>
        <w:t>Neuron</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65</w:t>
      </w:r>
      <w:r w:rsidRPr="00203582">
        <w:rPr>
          <w:rFonts w:ascii="Times New Roman" w:eastAsia="Times New Roman" w:hAnsi="Times New Roman" w:cs="Times New Roman"/>
          <w:sz w:val="24"/>
          <w:szCs w:val="24"/>
        </w:rPr>
        <w:t>(4), 550–562. https://doi.org/10.1016/j.neuron.2010.02.005</w:t>
      </w:r>
    </w:p>
    <w:p w14:paraId="28AEB50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Andrews-Hanna, J. R., Reidler, J. S., </w:t>
      </w:r>
      <w:proofErr w:type="spellStart"/>
      <w:r w:rsidRPr="005C650F">
        <w:rPr>
          <w:rFonts w:ascii="Times New Roman" w:eastAsia="Times New Roman" w:hAnsi="Times New Roman" w:cs="Times New Roman"/>
          <w:sz w:val="24"/>
          <w:szCs w:val="24"/>
        </w:rPr>
        <w:t>Sepulcre</w:t>
      </w:r>
      <w:proofErr w:type="spellEnd"/>
      <w:r w:rsidRPr="005C650F">
        <w:rPr>
          <w:rFonts w:ascii="Times New Roman" w:eastAsia="Times New Roman" w:hAnsi="Times New Roman" w:cs="Times New Roman"/>
          <w:sz w:val="24"/>
          <w:szCs w:val="24"/>
        </w:rPr>
        <w:t xml:space="preserve">, J., Poulin, R., &amp; Buckner, R. L. (2010). Functional-anatomic fractionation of the brain’s default network. </w:t>
      </w:r>
      <w:r w:rsidRPr="005C650F">
        <w:rPr>
          <w:rFonts w:ascii="Times New Roman" w:eastAsia="Times New Roman" w:hAnsi="Times New Roman" w:cs="Times New Roman"/>
          <w:i/>
          <w:iCs/>
          <w:sz w:val="24"/>
          <w:szCs w:val="24"/>
        </w:rPr>
        <w:t>Neuron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65</w:t>
      </w:r>
      <w:r w:rsidRPr="005C650F">
        <w:rPr>
          <w:rFonts w:ascii="Times New Roman" w:eastAsia="Times New Roman" w:hAnsi="Times New Roman" w:cs="Times New Roman"/>
          <w:sz w:val="24"/>
          <w:szCs w:val="24"/>
        </w:rPr>
        <w:t>(4), 550–562. https://doi.org/10.1016/j.neuron.2010.02.005</w:t>
      </w:r>
    </w:p>
    <w:p w14:paraId="5163481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Angelakis, E., Lubar, J. F., &amp; Stathopoulou, S. (2004). Electroencephalographic peak alpha frequency correlates of cognitive traits. </w:t>
      </w:r>
      <w:r w:rsidRPr="005C650F">
        <w:rPr>
          <w:rFonts w:ascii="Times New Roman" w:eastAsia="Times New Roman" w:hAnsi="Times New Roman" w:cs="Times New Roman"/>
          <w:i/>
          <w:iCs/>
          <w:sz w:val="24"/>
          <w:szCs w:val="24"/>
        </w:rPr>
        <w:t>Neuroscience Letters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371</w:t>
      </w:r>
      <w:r w:rsidRPr="005C650F">
        <w:rPr>
          <w:rFonts w:ascii="Times New Roman" w:eastAsia="Times New Roman" w:hAnsi="Times New Roman" w:cs="Times New Roman"/>
          <w:sz w:val="24"/>
          <w:szCs w:val="24"/>
        </w:rPr>
        <w:t>(1), 60–63. https://doi.org/10.1016/j.neulet.2004.08.041</w:t>
      </w:r>
    </w:p>
    <w:p w14:paraId="68D0D0C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es-ES_tradnl"/>
        </w:rPr>
        <w:t xml:space="preserve">Angulo-Ruiz, B. Y., Muñoz, V., Rodríguez-Martínez, E. I., Cabello-Navarro, C., &amp; Gómez, C. M. (2023). </w:t>
      </w:r>
      <w:r w:rsidRPr="005C650F">
        <w:rPr>
          <w:rFonts w:ascii="Times New Roman" w:eastAsia="Times New Roman" w:hAnsi="Times New Roman" w:cs="Times New Roman"/>
          <w:sz w:val="24"/>
          <w:szCs w:val="24"/>
        </w:rPr>
        <w:t xml:space="preserve">Multiscale entropy of ADHD children during resting state condition. </w:t>
      </w:r>
      <w:r w:rsidRPr="005C650F">
        <w:rPr>
          <w:rFonts w:ascii="Times New Roman" w:eastAsia="Times New Roman" w:hAnsi="Times New Roman" w:cs="Times New Roman"/>
          <w:i/>
          <w:iCs/>
          <w:sz w:val="24"/>
          <w:szCs w:val="24"/>
        </w:rPr>
        <w:t xml:space="preserve">Cognitive </w:t>
      </w:r>
      <w:proofErr w:type="spellStart"/>
      <w:r w:rsidRPr="005C650F">
        <w:rPr>
          <w:rFonts w:ascii="Times New Roman" w:eastAsia="Times New Roman" w:hAnsi="Times New Roman" w:cs="Times New Roman"/>
          <w:i/>
          <w:iCs/>
          <w:sz w:val="24"/>
          <w:szCs w:val="24"/>
        </w:rPr>
        <w:t>Neurodynamics</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w:t>
      </w:r>
      <w:r w:rsidRPr="005C650F">
        <w:rPr>
          <w:rFonts w:ascii="Times New Roman" w:eastAsia="Times New Roman" w:hAnsi="Times New Roman" w:cs="Times New Roman"/>
          <w:sz w:val="24"/>
          <w:szCs w:val="24"/>
        </w:rPr>
        <w:t>(4), 869–891. https://doi.org/10.1007/s11571-022-09869-0</w:t>
      </w:r>
    </w:p>
    <w:p w14:paraId="2DE62DE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Angulo-Ruiz, B. Y., Ruiz-Martínez, F. J., Rodríguez-Martínez, E. I., Ionescu, A., Saldaña, D., &amp; Gómez, C. M. (2023). Linear and Non-linear Analyses of EEG in a Group of ASD Children During Resting State Condition.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https://doi.org/10.1007/s10548-023-00976-7</w:t>
      </w:r>
    </w:p>
    <w:p w14:paraId="727B8E9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Anokhin, A. P., Birbaumer, N., Lutzenberger, W., Nikolaev, A., &amp; Vogel, F. (1996). Age increases brain complexity. </w:t>
      </w:r>
      <w:r w:rsidRPr="005C650F">
        <w:rPr>
          <w:rFonts w:ascii="Times New Roman" w:eastAsia="Times New Roman" w:hAnsi="Times New Roman" w:cs="Times New Roman"/>
          <w:i/>
          <w:iCs/>
          <w:sz w:val="24"/>
          <w:szCs w:val="24"/>
        </w:rPr>
        <w:t>Electroencephalography and 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99</w:t>
      </w:r>
      <w:r w:rsidRPr="005C650F">
        <w:rPr>
          <w:rFonts w:ascii="Times New Roman" w:eastAsia="Times New Roman" w:hAnsi="Times New Roman" w:cs="Times New Roman"/>
          <w:sz w:val="24"/>
          <w:szCs w:val="24"/>
        </w:rPr>
        <w:t>(1), 63–68. https://doi.org/10.1016/0921-884x(96)95573-3</w:t>
      </w:r>
    </w:p>
    <w:p w14:paraId="091A4659"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pt-PT"/>
        </w:rPr>
      </w:pPr>
      <w:r w:rsidRPr="00203582">
        <w:rPr>
          <w:rFonts w:ascii="Times New Roman" w:eastAsia="Times New Roman" w:hAnsi="Times New Roman" w:cs="Times New Roman"/>
          <w:sz w:val="24"/>
          <w:szCs w:val="24"/>
        </w:rPr>
        <w:t xml:space="preserve">Assaf, M., Jagannathan, K., Calhoun, V. D., Miller, L., Stevens, M. C., Sahl, R., O’Boyle, J. G., Schultz, R. T., &amp; </w:t>
      </w:r>
      <w:proofErr w:type="spellStart"/>
      <w:r w:rsidRPr="00203582">
        <w:rPr>
          <w:rFonts w:ascii="Times New Roman" w:eastAsia="Times New Roman" w:hAnsi="Times New Roman" w:cs="Times New Roman"/>
          <w:sz w:val="24"/>
          <w:szCs w:val="24"/>
        </w:rPr>
        <w:t>Pearlson</w:t>
      </w:r>
      <w:proofErr w:type="spellEnd"/>
      <w:r w:rsidRPr="00203582">
        <w:rPr>
          <w:rFonts w:ascii="Times New Roman" w:eastAsia="Times New Roman" w:hAnsi="Times New Roman" w:cs="Times New Roman"/>
          <w:sz w:val="24"/>
          <w:szCs w:val="24"/>
        </w:rPr>
        <w:t xml:space="preserve">, G. D. (2010). Abnormal functional connectivity of default mode sub-networks in autism spectrum disorder patients. </w:t>
      </w:r>
      <w:r w:rsidRPr="00203582">
        <w:rPr>
          <w:rFonts w:ascii="Times New Roman" w:eastAsia="Times New Roman" w:hAnsi="Times New Roman" w:cs="Times New Roman"/>
          <w:i/>
          <w:sz w:val="24"/>
          <w:szCs w:val="24"/>
          <w:lang w:val="pt-PT"/>
        </w:rPr>
        <w:t>Neuroimage</w:t>
      </w:r>
      <w:r w:rsidRPr="00203582">
        <w:rPr>
          <w:rFonts w:ascii="Times New Roman" w:eastAsia="Times New Roman" w:hAnsi="Times New Roman" w:cs="Times New Roman"/>
          <w:sz w:val="24"/>
          <w:szCs w:val="24"/>
          <w:lang w:val="pt-PT"/>
        </w:rPr>
        <w:t xml:space="preserve">, </w:t>
      </w:r>
      <w:r w:rsidRPr="00203582">
        <w:rPr>
          <w:rFonts w:ascii="Times New Roman" w:eastAsia="Times New Roman" w:hAnsi="Times New Roman" w:cs="Times New Roman"/>
          <w:i/>
          <w:sz w:val="24"/>
          <w:szCs w:val="24"/>
          <w:lang w:val="pt-PT"/>
        </w:rPr>
        <w:t>53</w:t>
      </w:r>
      <w:r w:rsidRPr="00203582">
        <w:rPr>
          <w:rFonts w:ascii="Times New Roman" w:eastAsia="Times New Roman" w:hAnsi="Times New Roman" w:cs="Times New Roman"/>
          <w:sz w:val="24"/>
          <w:szCs w:val="24"/>
          <w:lang w:val="pt-PT"/>
        </w:rPr>
        <w:t>(1), 247–256. https://doi.org/10.1016/j.neuroimage.2010.05.067</w:t>
      </w:r>
    </w:p>
    <w:p w14:paraId="500971D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Assaf, M., Jagannathan, K., Calhoun, V. D., Miller, L., Stevens, M. C., Sahl, R., O’Boyle, J. G., Schultz, R. T., &amp; </w:t>
      </w:r>
      <w:proofErr w:type="spellStart"/>
      <w:r w:rsidRPr="005C650F">
        <w:rPr>
          <w:rFonts w:ascii="Times New Roman" w:eastAsia="Times New Roman" w:hAnsi="Times New Roman" w:cs="Times New Roman"/>
          <w:sz w:val="24"/>
          <w:szCs w:val="24"/>
        </w:rPr>
        <w:t>Pearlson</w:t>
      </w:r>
      <w:proofErr w:type="spellEnd"/>
      <w:r w:rsidRPr="005C650F">
        <w:rPr>
          <w:rFonts w:ascii="Times New Roman" w:eastAsia="Times New Roman" w:hAnsi="Times New Roman" w:cs="Times New Roman"/>
          <w:sz w:val="24"/>
          <w:szCs w:val="24"/>
        </w:rPr>
        <w:t xml:space="preserve">, G. D. (2010). Abnormal functional connectivity of default mode sub-networks in autism spectrum disorder patients.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53</w:t>
      </w:r>
      <w:r w:rsidRPr="005C650F">
        <w:rPr>
          <w:rFonts w:ascii="Times New Roman" w:eastAsia="Times New Roman" w:hAnsi="Times New Roman" w:cs="Times New Roman"/>
          <w:sz w:val="24"/>
          <w:szCs w:val="24"/>
        </w:rPr>
        <w:t>(1), 247–256. https://doi.org/10.1016/j.neuroimage.2010.05.067</w:t>
      </w:r>
    </w:p>
    <w:p w14:paraId="15601C38"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lastRenderedPageBreak/>
        <w:t>Atkinson, D., Hill, D. L., Stoyle, P. N., Summers, P. E., &amp; Keevil, S. F. (1997). Automatic correction of motion artifacts in magnetic resonance images using an entropy focus criterion. IEEE Transactions on Medical Imaging, 16(6), 903–910. https://doi.org/10.1109/42.650886</w:t>
      </w:r>
    </w:p>
    <w:p w14:paraId="23275A2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Attwell, D., &amp; Laughlin, S. B. (2001). An energy budget for </w:t>
      </w:r>
      <w:proofErr w:type="spellStart"/>
      <w:r w:rsidRPr="005C650F">
        <w:rPr>
          <w:rFonts w:ascii="Times New Roman" w:eastAsia="Times New Roman" w:hAnsi="Times New Roman" w:cs="Times New Roman"/>
          <w:sz w:val="24"/>
          <w:szCs w:val="24"/>
        </w:rPr>
        <w:t>signaling</w:t>
      </w:r>
      <w:proofErr w:type="spellEnd"/>
      <w:r w:rsidRPr="005C650F">
        <w:rPr>
          <w:rFonts w:ascii="Times New Roman" w:eastAsia="Times New Roman" w:hAnsi="Times New Roman" w:cs="Times New Roman"/>
          <w:sz w:val="24"/>
          <w:szCs w:val="24"/>
        </w:rPr>
        <w:t xml:space="preserve"> in the grey matter of the brain. </w:t>
      </w:r>
      <w:r w:rsidRPr="005C650F">
        <w:rPr>
          <w:rFonts w:ascii="Times New Roman" w:eastAsia="Times New Roman" w:hAnsi="Times New Roman" w:cs="Times New Roman"/>
          <w:i/>
          <w:iCs/>
          <w:sz w:val="24"/>
          <w:szCs w:val="24"/>
        </w:rPr>
        <w:t>Journal of Cerebral Blood Flow and Metabolism</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21</w:t>
      </w:r>
      <w:r w:rsidRPr="005C650F">
        <w:rPr>
          <w:rFonts w:ascii="Times New Roman" w:eastAsia="Times New Roman" w:hAnsi="Times New Roman" w:cs="Times New Roman"/>
          <w:sz w:val="24"/>
          <w:szCs w:val="24"/>
        </w:rPr>
        <w:t>(10), 1133–1145. https://doi.org/10.1097/00004647-200110000-00001</w:t>
      </w:r>
    </w:p>
    <w:p w14:paraId="37BA3A6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pt-PT"/>
        </w:rPr>
        <w:t xml:space="preserve">Azami, H., Abásolo, D., Simons, S., &amp; Escudero, J. (2017). </w:t>
      </w:r>
      <w:r w:rsidRPr="00203582">
        <w:rPr>
          <w:rFonts w:ascii="Times New Roman" w:eastAsia="Times New Roman" w:hAnsi="Times New Roman" w:cs="Times New Roman"/>
          <w:sz w:val="24"/>
          <w:szCs w:val="24"/>
        </w:rPr>
        <w:t xml:space="preserve">Univariate and multivariate generalized multiscale entropy to characterise EEG signals in </w:t>
      </w:r>
      <w:proofErr w:type="spellStart"/>
      <w:r w:rsidRPr="00203582">
        <w:rPr>
          <w:rFonts w:ascii="Times New Roman" w:eastAsia="Times New Roman" w:hAnsi="Times New Roman" w:cs="Times New Roman"/>
          <w:sz w:val="24"/>
          <w:szCs w:val="24"/>
        </w:rPr>
        <w:t>alzheimer’s</w:t>
      </w:r>
      <w:proofErr w:type="spellEnd"/>
      <w:r w:rsidRPr="00203582">
        <w:rPr>
          <w:rFonts w:ascii="Times New Roman" w:eastAsia="Times New Roman" w:hAnsi="Times New Roman" w:cs="Times New Roman"/>
          <w:sz w:val="24"/>
          <w:szCs w:val="24"/>
        </w:rPr>
        <w:t xml:space="preserve"> disease. </w:t>
      </w:r>
      <w:r w:rsidRPr="00203582">
        <w:rPr>
          <w:rFonts w:ascii="Times New Roman" w:eastAsia="Times New Roman" w:hAnsi="Times New Roman" w:cs="Times New Roman"/>
          <w:i/>
          <w:sz w:val="24"/>
          <w:szCs w:val="24"/>
        </w:rPr>
        <w:t>Entropy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19</w:t>
      </w:r>
      <w:r w:rsidRPr="00203582">
        <w:rPr>
          <w:rFonts w:ascii="Times New Roman" w:eastAsia="Times New Roman" w:hAnsi="Times New Roman" w:cs="Times New Roman"/>
          <w:sz w:val="24"/>
          <w:szCs w:val="24"/>
        </w:rPr>
        <w:t>(1), 31. https://doi.org/10.3390/e19010031</w:t>
      </w:r>
    </w:p>
    <w:p w14:paraId="7E601A2C"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it-IT"/>
        </w:rPr>
      </w:pPr>
      <w:r w:rsidRPr="00203582">
        <w:rPr>
          <w:rFonts w:ascii="Times New Roman" w:eastAsia="Times New Roman" w:hAnsi="Times New Roman" w:cs="Times New Roman"/>
          <w:sz w:val="24"/>
          <w:szCs w:val="24"/>
          <w:lang w:val="pt-PT"/>
        </w:rPr>
        <w:t xml:space="preserve">Azami, H., Fernández, A., &amp; Escudero, J. (2017). </w:t>
      </w:r>
      <w:r w:rsidRPr="00203582">
        <w:rPr>
          <w:rFonts w:ascii="Times New Roman" w:eastAsia="Times New Roman" w:hAnsi="Times New Roman" w:cs="Times New Roman"/>
          <w:sz w:val="24"/>
          <w:szCs w:val="24"/>
        </w:rPr>
        <w:t xml:space="preserve">Refined multiscale fuzzy entropy based on standard deviation for biomedical signal analysis. </w:t>
      </w:r>
      <w:r w:rsidRPr="00203582">
        <w:rPr>
          <w:rFonts w:ascii="Times New Roman" w:eastAsia="Times New Roman" w:hAnsi="Times New Roman" w:cs="Times New Roman"/>
          <w:i/>
          <w:sz w:val="24"/>
          <w:szCs w:val="24"/>
          <w:lang w:val="it-IT"/>
        </w:rPr>
        <w:t>Medical &amp; Biological Engineering &amp; Computing</w:t>
      </w:r>
      <w:r w:rsidRPr="00203582">
        <w:rPr>
          <w:rFonts w:ascii="Times New Roman" w:eastAsia="Times New Roman" w:hAnsi="Times New Roman" w:cs="Times New Roman"/>
          <w:sz w:val="24"/>
          <w:szCs w:val="24"/>
          <w:lang w:val="it-IT"/>
        </w:rPr>
        <w:t xml:space="preserve">, </w:t>
      </w:r>
      <w:r w:rsidRPr="00203582">
        <w:rPr>
          <w:rFonts w:ascii="Times New Roman" w:eastAsia="Times New Roman" w:hAnsi="Times New Roman" w:cs="Times New Roman"/>
          <w:i/>
          <w:sz w:val="24"/>
          <w:szCs w:val="24"/>
          <w:lang w:val="it-IT"/>
        </w:rPr>
        <w:t>55</w:t>
      </w:r>
      <w:r w:rsidRPr="00203582">
        <w:rPr>
          <w:rFonts w:ascii="Times New Roman" w:eastAsia="Times New Roman" w:hAnsi="Times New Roman" w:cs="Times New Roman"/>
          <w:sz w:val="24"/>
          <w:szCs w:val="24"/>
          <w:lang w:val="it-IT"/>
        </w:rPr>
        <w:t>(11), 2037–2052. https://doi.org/10.1007/s11517-017-1647-5</w:t>
      </w:r>
    </w:p>
    <w:p w14:paraId="47D8FB2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t-PT"/>
        </w:rPr>
        <w:t xml:space="preserve">Azami, H., Fernández, A., &amp; Escudero, J. (2017). </w:t>
      </w:r>
      <w:r w:rsidRPr="005C650F">
        <w:rPr>
          <w:rFonts w:ascii="Times New Roman" w:eastAsia="Times New Roman" w:hAnsi="Times New Roman" w:cs="Times New Roman"/>
          <w:sz w:val="24"/>
          <w:szCs w:val="24"/>
        </w:rPr>
        <w:t xml:space="preserve">Refined multiscale fuzzy entropy based on standard deviation for biomedical signal analysis. </w:t>
      </w:r>
      <w:r w:rsidRPr="005C650F">
        <w:rPr>
          <w:rFonts w:ascii="Times New Roman" w:eastAsia="Times New Roman" w:hAnsi="Times New Roman" w:cs="Times New Roman"/>
          <w:i/>
          <w:iCs/>
          <w:sz w:val="24"/>
          <w:szCs w:val="24"/>
        </w:rPr>
        <w:t>Medical &amp; Biological Engineering &amp; Computing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55</w:t>
      </w:r>
      <w:r w:rsidRPr="005C650F">
        <w:rPr>
          <w:rFonts w:ascii="Times New Roman" w:eastAsia="Times New Roman" w:hAnsi="Times New Roman" w:cs="Times New Roman"/>
          <w:sz w:val="24"/>
          <w:szCs w:val="24"/>
        </w:rPr>
        <w:t>(11), 2037–2052. https://doi.org/10.1007/s11517-017-1647-5</w:t>
      </w:r>
    </w:p>
    <w:p w14:paraId="6A26DF4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it-IT"/>
        </w:rPr>
        <w:t xml:space="preserve">Babiloni, C., Binetti, G., Cassarino, A., Dal Forno, G., Del Percio, C., Ferreri, F., Ferri, R., Frisoni, G., Galderisi, S., Hirata, K., Lanuzza, B., Miniussi, C., Mucci, A., Nobili, F., Rodriguez, G., Luca Romani, G., &amp; Rossini, P. M. (2006). </w:t>
      </w:r>
      <w:r w:rsidRPr="00203582">
        <w:rPr>
          <w:rFonts w:ascii="Times New Roman" w:eastAsia="Times New Roman" w:hAnsi="Times New Roman" w:cs="Times New Roman"/>
          <w:sz w:val="24"/>
          <w:szCs w:val="24"/>
        </w:rPr>
        <w:t xml:space="preserve">Sources of cortical rhythms in adults during physiological aging: a multicentric EEG study. </w:t>
      </w:r>
      <w:r w:rsidRPr="00203582">
        <w:rPr>
          <w:rFonts w:ascii="Times New Roman" w:eastAsia="Times New Roman" w:hAnsi="Times New Roman" w:cs="Times New Roman"/>
          <w:i/>
          <w:sz w:val="24"/>
          <w:szCs w:val="24"/>
        </w:rPr>
        <w:t>Human Brain Mapping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27</w:t>
      </w:r>
      <w:r w:rsidRPr="00203582">
        <w:rPr>
          <w:rFonts w:ascii="Times New Roman" w:eastAsia="Times New Roman" w:hAnsi="Times New Roman" w:cs="Times New Roman"/>
          <w:sz w:val="24"/>
          <w:szCs w:val="24"/>
        </w:rPr>
        <w:t>(2), 162–172. https://doi.org/10.1002/hbm.20175</w:t>
      </w:r>
    </w:p>
    <w:p w14:paraId="704F984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Bagarinao</w:t>
      </w:r>
      <w:proofErr w:type="spellEnd"/>
      <w:r w:rsidRPr="005C650F">
        <w:rPr>
          <w:rFonts w:ascii="Times New Roman" w:eastAsia="Times New Roman" w:hAnsi="Times New Roman" w:cs="Times New Roman"/>
          <w:sz w:val="24"/>
          <w:szCs w:val="24"/>
        </w:rPr>
        <w:t xml:space="preserve">, E., Watanabe, H., </w:t>
      </w:r>
      <w:proofErr w:type="spellStart"/>
      <w:r w:rsidRPr="005C650F">
        <w:rPr>
          <w:rFonts w:ascii="Times New Roman" w:eastAsia="Times New Roman" w:hAnsi="Times New Roman" w:cs="Times New Roman"/>
          <w:sz w:val="24"/>
          <w:szCs w:val="24"/>
        </w:rPr>
        <w:t>Maesawa</w:t>
      </w:r>
      <w:proofErr w:type="spellEnd"/>
      <w:r w:rsidRPr="005C650F">
        <w:rPr>
          <w:rFonts w:ascii="Times New Roman" w:eastAsia="Times New Roman" w:hAnsi="Times New Roman" w:cs="Times New Roman"/>
          <w:sz w:val="24"/>
          <w:szCs w:val="24"/>
        </w:rPr>
        <w:t xml:space="preserve">, S., Mori, D., Hara, K., Kawabata, K., Yoneyama, N., </w:t>
      </w:r>
      <w:proofErr w:type="spellStart"/>
      <w:r w:rsidRPr="005C650F">
        <w:rPr>
          <w:rFonts w:ascii="Times New Roman" w:eastAsia="Times New Roman" w:hAnsi="Times New Roman" w:cs="Times New Roman"/>
          <w:sz w:val="24"/>
          <w:szCs w:val="24"/>
        </w:rPr>
        <w:t>Ohdake</w:t>
      </w:r>
      <w:proofErr w:type="spellEnd"/>
      <w:r w:rsidRPr="005C650F">
        <w:rPr>
          <w:rFonts w:ascii="Times New Roman" w:eastAsia="Times New Roman" w:hAnsi="Times New Roman" w:cs="Times New Roman"/>
          <w:sz w:val="24"/>
          <w:szCs w:val="24"/>
        </w:rPr>
        <w:t xml:space="preserve">, R., Imai, K., Masuda, M., Yokoi, T., Ogura, A., Taoka, T., Koyama, S., Tanabe, H. C., </w:t>
      </w:r>
      <w:proofErr w:type="spellStart"/>
      <w:r w:rsidRPr="005C650F">
        <w:rPr>
          <w:rFonts w:ascii="Times New Roman" w:eastAsia="Times New Roman" w:hAnsi="Times New Roman" w:cs="Times New Roman"/>
          <w:sz w:val="24"/>
          <w:szCs w:val="24"/>
        </w:rPr>
        <w:t>Katsuno</w:t>
      </w:r>
      <w:proofErr w:type="spellEnd"/>
      <w:r w:rsidRPr="005C650F">
        <w:rPr>
          <w:rFonts w:ascii="Times New Roman" w:eastAsia="Times New Roman" w:hAnsi="Times New Roman" w:cs="Times New Roman"/>
          <w:sz w:val="24"/>
          <w:szCs w:val="24"/>
        </w:rPr>
        <w:t xml:space="preserve">, M., Wakabayashi, T., </w:t>
      </w:r>
      <w:proofErr w:type="spellStart"/>
      <w:r w:rsidRPr="005C650F">
        <w:rPr>
          <w:rFonts w:ascii="Times New Roman" w:eastAsia="Times New Roman" w:hAnsi="Times New Roman" w:cs="Times New Roman"/>
          <w:sz w:val="24"/>
          <w:szCs w:val="24"/>
        </w:rPr>
        <w:t>Kuzuya</w:t>
      </w:r>
      <w:proofErr w:type="spellEnd"/>
      <w:r w:rsidRPr="005C650F">
        <w:rPr>
          <w:rFonts w:ascii="Times New Roman" w:eastAsia="Times New Roman" w:hAnsi="Times New Roman" w:cs="Times New Roman"/>
          <w:sz w:val="24"/>
          <w:szCs w:val="24"/>
        </w:rPr>
        <w:t xml:space="preserve">, M., Hoshiyama, M., … </w:t>
      </w:r>
      <w:proofErr w:type="spellStart"/>
      <w:r w:rsidRPr="005C650F">
        <w:rPr>
          <w:rFonts w:ascii="Times New Roman" w:eastAsia="Times New Roman" w:hAnsi="Times New Roman" w:cs="Times New Roman"/>
          <w:sz w:val="24"/>
          <w:szCs w:val="24"/>
        </w:rPr>
        <w:t>Sobue</w:t>
      </w:r>
      <w:proofErr w:type="spellEnd"/>
      <w:r w:rsidRPr="005C650F">
        <w:rPr>
          <w:rFonts w:ascii="Times New Roman" w:eastAsia="Times New Roman" w:hAnsi="Times New Roman" w:cs="Times New Roman"/>
          <w:sz w:val="24"/>
          <w:szCs w:val="24"/>
        </w:rPr>
        <w:t xml:space="preserve">, G. (2020). Aging impacts the overall connectivity strength of regions critical for information transfer among brain networks. </w:t>
      </w:r>
      <w:r w:rsidRPr="005C650F">
        <w:rPr>
          <w:rFonts w:ascii="Times New Roman" w:eastAsia="Times New Roman" w:hAnsi="Times New Roman" w:cs="Times New Roman"/>
          <w:i/>
          <w:iCs/>
          <w:sz w:val="24"/>
          <w:szCs w:val="24"/>
        </w:rPr>
        <w:t>Frontiers in Aging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592469. https://doi.org/10.3389/fnagi.2020.592469</w:t>
      </w:r>
    </w:p>
    <w:p w14:paraId="3891C99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Bal, E., </w:t>
      </w:r>
      <w:proofErr w:type="spellStart"/>
      <w:r w:rsidRPr="005C650F">
        <w:rPr>
          <w:rFonts w:ascii="Times New Roman" w:eastAsia="Times New Roman" w:hAnsi="Times New Roman" w:cs="Times New Roman"/>
          <w:sz w:val="24"/>
          <w:szCs w:val="24"/>
        </w:rPr>
        <w:t>Yerys</w:t>
      </w:r>
      <w:proofErr w:type="spellEnd"/>
      <w:r w:rsidRPr="005C650F">
        <w:rPr>
          <w:rFonts w:ascii="Times New Roman" w:eastAsia="Times New Roman" w:hAnsi="Times New Roman" w:cs="Times New Roman"/>
          <w:sz w:val="24"/>
          <w:szCs w:val="24"/>
        </w:rPr>
        <w:t xml:space="preserve">, B. E., Sokoloff, J. L., Celano, M. J., Kenworthy, L., Giedd, J. N., &amp; Wallace, G. L. (2013). Do Social Attribution Skills Improve with Age in Children with High Functioning Autism Spectrum Disorders? </w:t>
      </w:r>
      <w:r w:rsidRPr="005C650F">
        <w:rPr>
          <w:rFonts w:ascii="Times New Roman" w:eastAsia="Times New Roman" w:hAnsi="Times New Roman" w:cs="Times New Roman"/>
          <w:i/>
          <w:iCs/>
          <w:sz w:val="24"/>
          <w:szCs w:val="24"/>
        </w:rPr>
        <w:t>Research in Autism Spectrum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(1), 9–16. https://doi.org/10.1016/j.rasd.2012.07.004</w:t>
      </w:r>
    </w:p>
    <w:p w14:paraId="4BEE773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Bal, V. H., Kim, S.-H., Fok, M., &amp; Lord, C. (2019). Autism spectrum disorder symptoms from ages 2 to 19 years: Implications for diagnosing adolescents and young adults. </w:t>
      </w:r>
      <w:r w:rsidRPr="00203582">
        <w:rPr>
          <w:rFonts w:ascii="Times New Roman" w:eastAsia="Times New Roman" w:hAnsi="Times New Roman" w:cs="Times New Roman"/>
          <w:i/>
          <w:sz w:val="24"/>
          <w:szCs w:val="24"/>
        </w:rPr>
        <w:t>Autism Research : Official Journal of the International Society for Autism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(1), 89–99. https://doi.org/10.1002/aur.2004</w:t>
      </w:r>
    </w:p>
    <w:p w14:paraId="165FA9D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Ballard, H. K., Jackson, T. B., Symm, A. C., Hicks, T. H., &amp; Bernard, J. A. (2023). Age-related differences in functional network segregation in the context of sex and reproductive stage. </w:t>
      </w:r>
      <w:r w:rsidRPr="00203582">
        <w:rPr>
          <w:rFonts w:ascii="Times New Roman" w:eastAsia="Times New Roman" w:hAnsi="Times New Roman" w:cs="Times New Roman"/>
          <w:i/>
          <w:sz w:val="24"/>
          <w:szCs w:val="24"/>
        </w:rPr>
        <w:t>Human Brain Mapping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44</w:t>
      </w:r>
      <w:r w:rsidRPr="00203582">
        <w:rPr>
          <w:rFonts w:ascii="Times New Roman" w:eastAsia="Times New Roman" w:hAnsi="Times New Roman" w:cs="Times New Roman"/>
          <w:sz w:val="24"/>
          <w:szCs w:val="24"/>
        </w:rPr>
        <w:t>(5), 1949–1963. https://doi.org/10.1002/hbm.26184</w:t>
      </w:r>
    </w:p>
    <w:p w14:paraId="6F04179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Ballard, H. K., Jackson, T. B., Symm, A. C., Hicks, T. H., &amp; Bernard, J. A. (2023). Age-related differences in functional network segregation in the context of sex and reproductive stage.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44</w:t>
      </w:r>
      <w:r w:rsidRPr="005C650F">
        <w:rPr>
          <w:rFonts w:ascii="Times New Roman" w:eastAsia="Times New Roman" w:hAnsi="Times New Roman" w:cs="Times New Roman"/>
          <w:sz w:val="24"/>
          <w:szCs w:val="24"/>
        </w:rPr>
        <w:t>(5), 1949–1963. https://doi.org/10.1002/hbm.26184</w:t>
      </w:r>
    </w:p>
    <w:p w14:paraId="0B09DE5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Barrett, H. C. (2012). A hierarchical model of the evolution of human brain specializations. </w:t>
      </w:r>
      <w:r w:rsidRPr="00203582">
        <w:rPr>
          <w:rFonts w:ascii="Times New Roman" w:eastAsia="Times New Roman" w:hAnsi="Times New Roman" w:cs="Times New Roman"/>
          <w:i/>
          <w:sz w:val="24"/>
          <w:szCs w:val="24"/>
        </w:rPr>
        <w:t>Proceedings of the National Academy of Sciences of the United States of America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 xml:space="preserve">109 </w:t>
      </w:r>
      <w:proofErr w:type="spellStart"/>
      <w:r w:rsidRPr="00203582">
        <w:rPr>
          <w:rFonts w:ascii="Times New Roman" w:eastAsia="Times New Roman" w:hAnsi="Times New Roman" w:cs="Times New Roman"/>
          <w:i/>
          <w:sz w:val="24"/>
          <w:szCs w:val="24"/>
        </w:rPr>
        <w:t>Suppl</w:t>
      </w:r>
      <w:proofErr w:type="spellEnd"/>
      <w:r w:rsidRPr="00203582">
        <w:rPr>
          <w:rFonts w:ascii="Times New Roman" w:eastAsia="Times New Roman" w:hAnsi="Times New Roman" w:cs="Times New Roman"/>
          <w:i/>
          <w:sz w:val="24"/>
          <w:szCs w:val="24"/>
        </w:rPr>
        <w:t xml:space="preserve"> 1</w:t>
      </w:r>
      <w:r w:rsidRPr="00203582">
        <w:rPr>
          <w:rFonts w:ascii="Times New Roman" w:eastAsia="Times New Roman" w:hAnsi="Times New Roman" w:cs="Times New Roman"/>
          <w:sz w:val="24"/>
          <w:szCs w:val="24"/>
        </w:rPr>
        <w:t>(</w:t>
      </w:r>
      <w:proofErr w:type="spellStart"/>
      <w:r w:rsidRPr="00203582">
        <w:rPr>
          <w:rFonts w:ascii="Times New Roman" w:eastAsia="Times New Roman" w:hAnsi="Times New Roman" w:cs="Times New Roman"/>
          <w:sz w:val="24"/>
          <w:szCs w:val="24"/>
        </w:rPr>
        <w:t>Suppl</w:t>
      </w:r>
      <w:proofErr w:type="spellEnd"/>
      <w:r w:rsidRPr="00203582">
        <w:rPr>
          <w:rFonts w:ascii="Times New Roman" w:eastAsia="Times New Roman" w:hAnsi="Times New Roman" w:cs="Times New Roman"/>
          <w:sz w:val="24"/>
          <w:szCs w:val="24"/>
        </w:rPr>
        <w:t xml:space="preserve"> 1), 10733–10740. https://doi.org/10.1073/pnas.1201898109</w:t>
      </w:r>
    </w:p>
    <w:p w14:paraId="14A2709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fr-FR"/>
        </w:rPr>
        <w:t xml:space="preserve">Barry, R. J., &amp; De </w:t>
      </w:r>
      <w:proofErr w:type="spellStart"/>
      <w:r w:rsidRPr="005C650F">
        <w:rPr>
          <w:rFonts w:ascii="Times New Roman" w:eastAsia="Times New Roman" w:hAnsi="Times New Roman" w:cs="Times New Roman"/>
          <w:sz w:val="24"/>
          <w:szCs w:val="24"/>
          <w:lang w:val="fr-FR"/>
        </w:rPr>
        <w:t>Blasio</w:t>
      </w:r>
      <w:proofErr w:type="spellEnd"/>
      <w:r w:rsidRPr="005C650F">
        <w:rPr>
          <w:rFonts w:ascii="Times New Roman" w:eastAsia="Times New Roman" w:hAnsi="Times New Roman" w:cs="Times New Roman"/>
          <w:sz w:val="24"/>
          <w:szCs w:val="24"/>
          <w:lang w:val="fr-FR"/>
        </w:rPr>
        <w:t xml:space="preserve">, F. M. (2017). </w:t>
      </w:r>
      <w:r w:rsidRPr="005C650F">
        <w:rPr>
          <w:rFonts w:ascii="Times New Roman" w:eastAsia="Times New Roman" w:hAnsi="Times New Roman" w:cs="Times New Roman"/>
          <w:sz w:val="24"/>
          <w:szCs w:val="24"/>
        </w:rPr>
        <w:t xml:space="preserve">EEG differences between eyes-closed and eyes-open resting remain in healthy ageing. </w:t>
      </w:r>
      <w:r w:rsidRPr="005C650F">
        <w:rPr>
          <w:rFonts w:ascii="Times New Roman" w:eastAsia="Times New Roman" w:hAnsi="Times New Roman" w:cs="Times New Roman"/>
          <w:i/>
          <w:iCs/>
          <w:sz w:val="24"/>
          <w:szCs w:val="24"/>
        </w:rPr>
        <w:t>Biological Psychology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129</w:t>
      </w:r>
      <w:r w:rsidRPr="005C650F">
        <w:rPr>
          <w:rFonts w:ascii="Times New Roman" w:eastAsia="Times New Roman" w:hAnsi="Times New Roman" w:cs="Times New Roman"/>
          <w:sz w:val="24"/>
          <w:szCs w:val="24"/>
        </w:rPr>
        <w:t>, 293–304. https://doi.org/10.1016/j.biopsycho.2017.09.010</w:t>
      </w:r>
    </w:p>
    <w:p w14:paraId="36C710C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Barry, R. J., Clarke, A. R., Johnstone, S. J., Magee, C. A., &amp; Rushby, J. A. (2007). EEG differences between eyes-closed and eyes-open resting conditions. </w:t>
      </w:r>
      <w:r w:rsidRPr="00203582">
        <w:rPr>
          <w:rFonts w:ascii="Times New Roman" w:eastAsia="Times New Roman" w:hAnsi="Times New Roman" w:cs="Times New Roman"/>
          <w:i/>
          <w:sz w:val="24"/>
          <w:szCs w:val="24"/>
        </w:rPr>
        <w:t>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118</w:t>
      </w:r>
      <w:r w:rsidRPr="00203582">
        <w:rPr>
          <w:rFonts w:ascii="Times New Roman" w:eastAsia="Times New Roman" w:hAnsi="Times New Roman" w:cs="Times New Roman"/>
          <w:sz w:val="24"/>
          <w:szCs w:val="24"/>
        </w:rPr>
        <w:t>(12), 2765–2773. https://doi.org/10.1016/j.clinph.2007.07.028</w:t>
      </w:r>
    </w:p>
    <w:p w14:paraId="0DDC532E"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lastRenderedPageBreak/>
        <w:t xml:space="preserve">Barry, R. J., Clarke, A. R., Johnstone, S. J., Magee, C. A., &amp; Rushby, J. A. (2007). EEG differences between eyes-closed and eyes-open resting conditions. </w:t>
      </w:r>
      <w:proofErr w:type="spellStart"/>
      <w:r w:rsidRPr="005C650F">
        <w:rPr>
          <w:rFonts w:ascii="Times New Roman" w:eastAsia="Times New Roman" w:hAnsi="Times New Roman" w:cs="Times New Roman"/>
          <w:i/>
          <w:iCs/>
          <w:sz w:val="24"/>
          <w:szCs w:val="24"/>
          <w:lang w:val="fr-FR"/>
        </w:rPr>
        <w:t>Clinical</w:t>
      </w:r>
      <w:proofErr w:type="spellEnd"/>
      <w:r w:rsidRPr="005C650F">
        <w:rPr>
          <w:rFonts w:ascii="Times New Roman" w:eastAsia="Times New Roman" w:hAnsi="Times New Roman" w:cs="Times New Roman"/>
          <w:i/>
          <w:iCs/>
          <w:sz w:val="24"/>
          <w:szCs w:val="24"/>
          <w:lang w:val="fr-FR"/>
        </w:rPr>
        <w:t xml:space="preserve"> </w:t>
      </w:r>
      <w:proofErr w:type="spellStart"/>
      <w:r w:rsidRPr="005C650F">
        <w:rPr>
          <w:rFonts w:ascii="Times New Roman" w:eastAsia="Times New Roman" w:hAnsi="Times New Roman" w:cs="Times New Roman"/>
          <w:i/>
          <w:iCs/>
          <w:sz w:val="24"/>
          <w:szCs w:val="24"/>
          <w:lang w:val="fr-FR"/>
        </w:rPr>
        <w:t>Neurophysiology</w:t>
      </w:r>
      <w:proofErr w:type="spellEnd"/>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118</w:t>
      </w:r>
      <w:r w:rsidRPr="005C650F">
        <w:rPr>
          <w:rFonts w:ascii="Times New Roman" w:eastAsia="Times New Roman" w:hAnsi="Times New Roman" w:cs="Times New Roman"/>
          <w:sz w:val="24"/>
          <w:szCs w:val="24"/>
          <w:lang w:val="fr-FR"/>
        </w:rPr>
        <w:t>(12), 2765–2773. https://doi.org/10.1016/j.clinph.2007.07.028</w:t>
      </w:r>
    </w:p>
    <w:p w14:paraId="586FC2D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Bassett, D. S., &amp; Gazzaniga, M. S. (2011). Understanding complexity in the human brain. </w:t>
      </w:r>
      <w:r w:rsidRPr="00203582">
        <w:rPr>
          <w:rFonts w:ascii="Times New Roman" w:eastAsia="Times New Roman" w:hAnsi="Times New Roman" w:cs="Times New Roman"/>
          <w:i/>
          <w:sz w:val="24"/>
          <w:szCs w:val="24"/>
        </w:rPr>
        <w:t>Trends in Cognitive Sciences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15</w:t>
      </w:r>
      <w:r w:rsidRPr="00203582">
        <w:rPr>
          <w:rFonts w:ascii="Times New Roman" w:eastAsia="Times New Roman" w:hAnsi="Times New Roman" w:cs="Times New Roman"/>
          <w:sz w:val="24"/>
          <w:szCs w:val="24"/>
        </w:rPr>
        <w:t>(5), 200–209. https://doi.org/10.1016/j.tics.2011.03.006</w:t>
      </w:r>
    </w:p>
    <w:p w14:paraId="52933FC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Bathelt</w:t>
      </w:r>
      <w:proofErr w:type="spellEnd"/>
      <w:r w:rsidRPr="00203582">
        <w:rPr>
          <w:rFonts w:ascii="Times New Roman" w:eastAsia="Times New Roman" w:hAnsi="Times New Roman" w:cs="Times New Roman"/>
          <w:sz w:val="24"/>
          <w:szCs w:val="24"/>
        </w:rPr>
        <w:t xml:space="preserve">, J., &amp; Geurts, H. M. (2021). Difference in default mode network subsystems in autism across childhood and adolescence. </w:t>
      </w:r>
      <w:r w:rsidRPr="00203582">
        <w:rPr>
          <w:rFonts w:ascii="Times New Roman" w:eastAsia="Times New Roman" w:hAnsi="Times New Roman" w:cs="Times New Roman"/>
          <w:i/>
          <w:sz w:val="24"/>
          <w:szCs w:val="24"/>
        </w:rPr>
        <w:t>Autism: The International Journal of Research and Practice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25</w:t>
      </w:r>
      <w:r w:rsidRPr="00203582">
        <w:rPr>
          <w:rFonts w:ascii="Times New Roman" w:eastAsia="Times New Roman" w:hAnsi="Times New Roman" w:cs="Times New Roman"/>
          <w:sz w:val="24"/>
          <w:szCs w:val="24"/>
        </w:rPr>
        <w:t>(2), 556–565. https://doi.org/10.1177/1362361320969258</w:t>
      </w:r>
    </w:p>
    <w:p w14:paraId="76025E3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Bathelt</w:t>
      </w:r>
      <w:proofErr w:type="spellEnd"/>
      <w:r w:rsidRPr="005C650F">
        <w:rPr>
          <w:rFonts w:ascii="Times New Roman" w:eastAsia="Times New Roman" w:hAnsi="Times New Roman" w:cs="Times New Roman"/>
          <w:sz w:val="24"/>
          <w:szCs w:val="24"/>
        </w:rPr>
        <w:t xml:space="preserve">, J., &amp; Geurts, H. M. (2021). Difference in default mode network subsystems in autism across childhood and adolescence. </w:t>
      </w:r>
      <w:r w:rsidRPr="005C650F">
        <w:rPr>
          <w:rFonts w:ascii="Times New Roman" w:eastAsia="Times New Roman" w:hAnsi="Times New Roman" w:cs="Times New Roman"/>
          <w:i/>
          <w:iCs/>
          <w:sz w:val="24"/>
          <w:szCs w:val="24"/>
        </w:rPr>
        <w:t>Autism: The International Journal of Research and Practice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25</w:t>
      </w:r>
      <w:r w:rsidRPr="005C650F">
        <w:rPr>
          <w:rFonts w:ascii="Times New Roman" w:eastAsia="Times New Roman" w:hAnsi="Times New Roman" w:cs="Times New Roman"/>
          <w:sz w:val="24"/>
          <w:szCs w:val="24"/>
        </w:rPr>
        <w:t>(2), 556–565. https://doi.org/10.1177/1362361320969258</w:t>
      </w:r>
    </w:p>
    <w:p w14:paraId="53E4D17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Bathelt</w:t>
      </w:r>
      <w:proofErr w:type="spellEnd"/>
      <w:r w:rsidRPr="005C650F">
        <w:rPr>
          <w:rFonts w:ascii="Times New Roman" w:eastAsia="Times New Roman" w:hAnsi="Times New Roman" w:cs="Times New Roman"/>
          <w:sz w:val="24"/>
          <w:szCs w:val="24"/>
        </w:rPr>
        <w:t xml:space="preserve">, J., &amp; Geurts, H. M. (2021). Difference in default mode network subsystems in autism across childhood and adolescence. </w:t>
      </w:r>
      <w:r w:rsidRPr="005C650F">
        <w:rPr>
          <w:rFonts w:ascii="Times New Roman" w:eastAsia="Times New Roman" w:hAnsi="Times New Roman" w:cs="Times New Roman"/>
          <w:i/>
          <w:iCs/>
          <w:sz w:val="24"/>
          <w:szCs w:val="24"/>
        </w:rPr>
        <w:t>Autism: The International Journal of Research and Practice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25</w:t>
      </w:r>
      <w:r w:rsidRPr="005C650F">
        <w:rPr>
          <w:rFonts w:ascii="Times New Roman" w:eastAsia="Times New Roman" w:hAnsi="Times New Roman" w:cs="Times New Roman"/>
          <w:sz w:val="24"/>
          <w:szCs w:val="24"/>
        </w:rPr>
        <w:t>(2), 556–565. https://doi.org/10.1177/1362361320969258</w:t>
      </w:r>
    </w:p>
    <w:p w14:paraId="0C44EE0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nl-NL"/>
        </w:rPr>
        <w:t xml:space="preserve">Bathelt, J., Koolschijn, P. C., &amp; Geurts, H. M. (2020). </w:t>
      </w:r>
      <w:r w:rsidRPr="005C650F">
        <w:rPr>
          <w:rFonts w:ascii="Times New Roman" w:eastAsia="Times New Roman" w:hAnsi="Times New Roman" w:cs="Times New Roman"/>
          <w:sz w:val="24"/>
          <w:szCs w:val="24"/>
        </w:rPr>
        <w:t xml:space="preserve">Age-variant and age-invariant features of functional brain organization in middle-aged and older autistic adults. </w:t>
      </w:r>
      <w:r w:rsidRPr="005C650F">
        <w:rPr>
          <w:rFonts w:ascii="Times New Roman" w:eastAsia="Times New Roman" w:hAnsi="Times New Roman" w:cs="Times New Roman"/>
          <w:i/>
          <w:iCs/>
          <w:sz w:val="24"/>
          <w:szCs w:val="24"/>
        </w:rPr>
        <w:t>Molecular Autism</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w:t>
      </w:r>
      <w:r w:rsidRPr="005C650F">
        <w:rPr>
          <w:rFonts w:ascii="Times New Roman" w:eastAsia="Times New Roman" w:hAnsi="Times New Roman" w:cs="Times New Roman"/>
          <w:sz w:val="24"/>
          <w:szCs w:val="24"/>
        </w:rPr>
        <w:t>(1), 9. https://doi.org/10.1186/s13229-020-0316-y</w:t>
      </w:r>
    </w:p>
    <w:p w14:paraId="4B6CE2B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lang w:val="es-ES_tradnl"/>
        </w:rPr>
        <w:t>Baumgratz</w:t>
      </w:r>
      <w:proofErr w:type="spellEnd"/>
      <w:r w:rsidRPr="00203582">
        <w:rPr>
          <w:rFonts w:ascii="Times New Roman" w:eastAsia="Times New Roman" w:hAnsi="Times New Roman" w:cs="Times New Roman"/>
          <w:sz w:val="24"/>
          <w:szCs w:val="24"/>
          <w:lang w:val="es-ES_tradnl"/>
        </w:rPr>
        <w:t xml:space="preserve">, T., Cramer, M., &amp; </w:t>
      </w:r>
      <w:proofErr w:type="spellStart"/>
      <w:r w:rsidRPr="00203582">
        <w:rPr>
          <w:rFonts w:ascii="Times New Roman" w:eastAsia="Times New Roman" w:hAnsi="Times New Roman" w:cs="Times New Roman"/>
          <w:sz w:val="24"/>
          <w:szCs w:val="24"/>
          <w:lang w:val="es-ES_tradnl"/>
        </w:rPr>
        <w:t>Plenio</w:t>
      </w:r>
      <w:proofErr w:type="spellEnd"/>
      <w:r w:rsidRPr="00203582">
        <w:rPr>
          <w:rFonts w:ascii="Times New Roman" w:eastAsia="Times New Roman" w:hAnsi="Times New Roman" w:cs="Times New Roman"/>
          <w:sz w:val="24"/>
          <w:szCs w:val="24"/>
          <w:lang w:val="es-ES_tradnl"/>
        </w:rPr>
        <w:t xml:space="preserve">, M. B. (2014). </w:t>
      </w:r>
      <w:r w:rsidRPr="00203582">
        <w:rPr>
          <w:rFonts w:ascii="Times New Roman" w:eastAsia="Times New Roman" w:hAnsi="Times New Roman" w:cs="Times New Roman"/>
          <w:sz w:val="24"/>
          <w:szCs w:val="24"/>
        </w:rPr>
        <w:t xml:space="preserve">Quantifying coherence. </w:t>
      </w:r>
      <w:r w:rsidRPr="00203582">
        <w:rPr>
          <w:rFonts w:ascii="Times New Roman" w:eastAsia="Times New Roman" w:hAnsi="Times New Roman" w:cs="Times New Roman"/>
          <w:i/>
          <w:sz w:val="24"/>
          <w:szCs w:val="24"/>
        </w:rPr>
        <w:t>Physical Review Letters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113</w:t>
      </w:r>
      <w:r w:rsidRPr="00203582">
        <w:rPr>
          <w:rFonts w:ascii="Times New Roman" w:eastAsia="Times New Roman" w:hAnsi="Times New Roman" w:cs="Times New Roman"/>
          <w:sz w:val="24"/>
          <w:szCs w:val="24"/>
        </w:rPr>
        <w:t>(14), 140401. https://doi.org/10.1103/PhysRevLett.113.140401</w:t>
      </w:r>
    </w:p>
    <w:p w14:paraId="2B42E56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Baxandall, P. J. (1968). Noise in transistor circuits. </w:t>
      </w:r>
      <w:r w:rsidRPr="00203582">
        <w:rPr>
          <w:rFonts w:ascii="Times New Roman" w:eastAsia="Times New Roman" w:hAnsi="Times New Roman" w:cs="Times New Roman"/>
          <w:i/>
          <w:sz w:val="24"/>
          <w:szCs w:val="24"/>
        </w:rPr>
        <w:t>Wireless World</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74</w:t>
      </w:r>
      <w:r w:rsidRPr="00203582">
        <w:rPr>
          <w:rFonts w:ascii="Times New Roman" w:eastAsia="Times New Roman" w:hAnsi="Times New Roman" w:cs="Times New Roman"/>
          <w:sz w:val="24"/>
          <w:szCs w:val="24"/>
        </w:rPr>
        <w:t>, 388–392.</w:t>
      </w:r>
    </w:p>
    <w:p w14:paraId="406715C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Bell, C. C. (1994). DSM-IV: Diagnostic and Statistical Manual of Mental Disorders. </w:t>
      </w:r>
      <w:r w:rsidRPr="00203582">
        <w:rPr>
          <w:rFonts w:ascii="Times New Roman" w:eastAsia="Times New Roman" w:hAnsi="Times New Roman" w:cs="Times New Roman"/>
          <w:i/>
          <w:sz w:val="24"/>
          <w:szCs w:val="24"/>
        </w:rPr>
        <w:t>The Journal of the American Medical Association</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272</w:t>
      </w:r>
      <w:r w:rsidRPr="00203582">
        <w:rPr>
          <w:rFonts w:ascii="Times New Roman" w:eastAsia="Times New Roman" w:hAnsi="Times New Roman" w:cs="Times New Roman"/>
          <w:sz w:val="24"/>
          <w:szCs w:val="24"/>
        </w:rPr>
        <w:t>(10), 828. https://doi.org/10.1001/jama.1994.03520100096046</w:t>
      </w:r>
    </w:p>
    <w:p w14:paraId="4DBB551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Bellato</w:t>
      </w:r>
      <w:proofErr w:type="spellEnd"/>
      <w:r w:rsidRPr="00203582">
        <w:rPr>
          <w:rFonts w:ascii="Times New Roman" w:eastAsia="Times New Roman" w:hAnsi="Times New Roman" w:cs="Times New Roman"/>
          <w:sz w:val="24"/>
          <w:szCs w:val="24"/>
        </w:rPr>
        <w:t xml:space="preserve">, A., Arora, I., Kochhar, P., Hollis, C., &amp; Groom, M. J. (2020). Atypical Electrophysiological Indices of Eyes-Open and Eyes-Closed Resting-State in Children and Adolescents with ADHD and Autism. </w:t>
      </w:r>
      <w:r w:rsidRPr="00203582">
        <w:rPr>
          <w:rFonts w:ascii="Times New Roman" w:eastAsia="Times New Roman" w:hAnsi="Times New Roman" w:cs="Times New Roman"/>
          <w:i/>
          <w:sz w:val="24"/>
          <w:szCs w:val="24"/>
        </w:rPr>
        <w:t>Brain Sciences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w:t>
      </w:r>
      <w:r w:rsidRPr="00203582">
        <w:rPr>
          <w:rFonts w:ascii="Times New Roman" w:eastAsia="Times New Roman" w:hAnsi="Times New Roman" w:cs="Times New Roman"/>
          <w:sz w:val="24"/>
          <w:szCs w:val="24"/>
        </w:rPr>
        <w:t>(5). https://doi.org/10.3390/brainsci10050272</w:t>
      </w:r>
    </w:p>
    <w:p w14:paraId="26BB955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Bellato</w:t>
      </w:r>
      <w:proofErr w:type="spellEnd"/>
      <w:r w:rsidRPr="005C650F">
        <w:rPr>
          <w:rFonts w:ascii="Times New Roman" w:eastAsia="Times New Roman" w:hAnsi="Times New Roman" w:cs="Times New Roman"/>
          <w:sz w:val="24"/>
          <w:szCs w:val="24"/>
        </w:rPr>
        <w:t xml:space="preserve">, A., Arora, I., Kochhar, P., Hollis, C., &amp; Groom, M. J. (2020). Atypical Electrophysiological Indices of Eyes-Open and Eyes-Closed Resting-State in Children and Adolescents with ADHD and Autism. </w:t>
      </w:r>
      <w:r w:rsidRPr="005C650F">
        <w:rPr>
          <w:rFonts w:ascii="Times New Roman" w:eastAsia="Times New Roman" w:hAnsi="Times New Roman" w:cs="Times New Roman"/>
          <w:i/>
          <w:iCs/>
          <w:sz w:val="24"/>
          <w:szCs w:val="24"/>
        </w:rPr>
        <w:t>Brain Sciences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w:t>
      </w:r>
      <w:r w:rsidRPr="005C650F">
        <w:rPr>
          <w:rFonts w:ascii="Times New Roman" w:eastAsia="Times New Roman" w:hAnsi="Times New Roman" w:cs="Times New Roman"/>
          <w:sz w:val="24"/>
          <w:szCs w:val="24"/>
        </w:rPr>
        <w:t>(5). https://doi.org/10.3390/brainsci10050272</w:t>
      </w:r>
    </w:p>
    <w:p w14:paraId="055C0EF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Bellato</w:t>
      </w:r>
      <w:proofErr w:type="spellEnd"/>
      <w:r w:rsidRPr="005C650F">
        <w:rPr>
          <w:rFonts w:ascii="Times New Roman" w:eastAsia="Times New Roman" w:hAnsi="Times New Roman" w:cs="Times New Roman"/>
          <w:sz w:val="24"/>
          <w:szCs w:val="24"/>
        </w:rPr>
        <w:t xml:space="preserve">, A., Arora, I., Kochhar, P., Hollis, C., &amp; Groom, M. J. (2020). Atypical Electrophysiological Indices of Eyes-Open and Eyes-Closed Resting-State in Children and Adolescents with ADHD and Autism. </w:t>
      </w:r>
      <w:r w:rsidRPr="005C650F">
        <w:rPr>
          <w:rFonts w:ascii="Times New Roman" w:eastAsia="Times New Roman" w:hAnsi="Times New Roman" w:cs="Times New Roman"/>
          <w:i/>
          <w:iCs/>
          <w:sz w:val="24"/>
          <w:szCs w:val="24"/>
        </w:rPr>
        <w:t>Brain Sciences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w:t>
      </w:r>
      <w:r w:rsidRPr="005C650F">
        <w:rPr>
          <w:rFonts w:ascii="Times New Roman" w:eastAsia="Times New Roman" w:hAnsi="Times New Roman" w:cs="Times New Roman"/>
          <w:sz w:val="24"/>
          <w:szCs w:val="24"/>
        </w:rPr>
        <w:t>(5). https://doi.org/10.3390/brainsci10050272</w:t>
      </w:r>
    </w:p>
    <w:p w14:paraId="37B782C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Belmonte, M. (2000). Abnormal Attention in Autism Shown by Steady-State Visual Evoked Potentials. </w:t>
      </w:r>
      <w:r w:rsidRPr="00203582">
        <w:rPr>
          <w:rFonts w:ascii="Times New Roman" w:eastAsia="Times New Roman" w:hAnsi="Times New Roman" w:cs="Times New Roman"/>
          <w:i/>
          <w:sz w:val="24"/>
          <w:szCs w:val="24"/>
        </w:rPr>
        <w:t>Autism: The International Journal of Research and Practice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w:t>
      </w:r>
      <w:r w:rsidRPr="00203582">
        <w:rPr>
          <w:rFonts w:ascii="Times New Roman" w:eastAsia="Times New Roman" w:hAnsi="Times New Roman" w:cs="Times New Roman"/>
          <w:sz w:val="24"/>
          <w:szCs w:val="24"/>
        </w:rPr>
        <w:t>(3), 269–285. https://doi.org/10.1177/1362361300004003004</w:t>
      </w:r>
    </w:p>
    <w:p w14:paraId="1620229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Bi, X.-A., Wang, Y., Shu, Q., Sun, Q., &amp; Xu, Q. (2018). Classification of autism spectrum disorder using random support vector machine cluster. </w:t>
      </w:r>
      <w:r w:rsidRPr="005C650F">
        <w:rPr>
          <w:rFonts w:ascii="Times New Roman" w:eastAsia="Times New Roman" w:hAnsi="Times New Roman" w:cs="Times New Roman"/>
          <w:i/>
          <w:iCs/>
          <w:sz w:val="24"/>
          <w:szCs w:val="24"/>
        </w:rPr>
        <w:t>Frontiers in Genetics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18. https://doi.org/10.3389/fgene.2018.00018</w:t>
      </w:r>
    </w:p>
    <w:p w14:paraId="69DB099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it-IT"/>
        </w:rPr>
        <w:t xml:space="preserve">Billeci, L., Sicca, F., Maharatna, K., Apicella, F., Narzisi, A., Campatelli, G., Calderoni, S., Pioggia, G., &amp; Muratori, F. (2013). </w:t>
      </w:r>
      <w:r w:rsidRPr="00203582">
        <w:rPr>
          <w:rFonts w:ascii="Times New Roman" w:eastAsia="Times New Roman" w:hAnsi="Times New Roman" w:cs="Times New Roman"/>
          <w:sz w:val="24"/>
          <w:szCs w:val="24"/>
        </w:rPr>
        <w:t xml:space="preserve">On the application of quantitative EEG for characterizing autistic brain: a systematic review.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w:t>
      </w:r>
      <w:r w:rsidRPr="00203582">
        <w:rPr>
          <w:rFonts w:ascii="Times New Roman" w:eastAsia="Times New Roman" w:hAnsi="Times New Roman" w:cs="Times New Roman"/>
          <w:sz w:val="24"/>
          <w:szCs w:val="24"/>
        </w:rPr>
        <w:t>, 442. https://doi.org/10.3389/fnhum.2013.00442</w:t>
      </w:r>
    </w:p>
    <w:p w14:paraId="130AC0F1"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t xml:space="preserve">Biswal, B. B. (2012). Resting state fMRI: a personal history. </w:t>
      </w:r>
      <w:proofErr w:type="spellStart"/>
      <w:r w:rsidRPr="005C650F">
        <w:rPr>
          <w:rFonts w:ascii="Times New Roman" w:eastAsia="Times New Roman" w:hAnsi="Times New Roman" w:cs="Times New Roman"/>
          <w:i/>
          <w:iCs/>
          <w:sz w:val="24"/>
          <w:szCs w:val="24"/>
          <w:lang w:val="fr-FR"/>
        </w:rPr>
        <w:t>Neuroimage</w:t>
      </w:r>
      <w:proofErr w:type="spellEnd"/>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62</w:t>
      </w:r>
      <w:r w:rsidRPr="005C650F">
        <w:rPr>
          <w:rFonts w:ascii="Times New Roman" w:eastAsia="Times New Roman" w:hAnsi="Times New Roman" w:cs="Times New Roman"/>
          <w:sz w:val="24"/>
          <w:szCs w:val="24"/>
          <w:lang w:val="fr-FR"/>
        </w:rPr>
        <w:t>(2), 938–944. https://doi.org/10.1016/j.neuroimage.2012.01.090</w:t>
      </w:r>
    </w:p>
    <w:p w14:paraId="1E98990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Biswal, B., Yetkin, F. Z., Haughton, V. M., &amp; Hyde, J. S. (1995). Functional connectivity in the motor cortex of resting human brain using echo-planar MRI. </w:t>
      </w:r>
      <w:r w:rsidRPr="00203582">
        <w:rPr>
          <w:rFonts w:ascii="Times New Roman" w:eastAsia="Times New Roman" w:hAnsi="Times New Roman" w:cs="Times New Roman"/>
          <w:i/>
          <w:sz w:val="24"/>
          <w:szCs w:val="24"/>
        </w:rPr>
        <w:t>Magnetic Resonance in 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34</w:t>
      </w:r>
      <w:r w:rsidRPr="00203582">
        <w:rPr>
          <w:rFonts w:ascii="Times New Roman" w:eastAsia="Times New Roman" w:hAnsi="Times New Roman" w:cs="Times New Roman"/>
          <w:sz w:val="24"/>
          <w:szCs w:val="24"/>
        </w:rPr>
        <w:t>(4), 537–541. https://doi.org/10.1002/mrm.1910340409</w:t>
      </w:r>
    </w:p>
    <w:p w14:paraId="5F341D6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Blume, W. T. (2006). Drug effects on EEG. </w:t>
      </w:r>
      <w:r w:rsidRPr="005C650F">
        <w:rPr>
          <w:rFonts w:ascii="Times New Roman" w:eastAsia="Times New Roman" w:hAnsi="Times New Roman" w:cs="Times New Roman"/>
          <w:i/>
          <w:iCs/>
          <w:sz w:val="24"/>
          <w:szCs w:val="24"/>
        </w:rPr>
        <w:t>Journal of 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23</w:t>
      </w:r>
      <w:r w:rsidRPr="005C650F">
        <w:rPr>
          <w:rFonts w:ascii="Times New Roman" w:eastAsia="Times New Roman" w:hAnsi="Times New Roman" w:cs="Times New Roman"/>
          <w:sz w:val="24"/>
          <w:szCs w:val="24"/>
        </w:rPr>
        <w:t>(4), 306–311. https://doi.org/10.1097/01.wnp.0000229137.94384.fa</w:t>
      </w:r>
    </w:p>
    <w:p w14:paraId="6D57D8A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Blumenfeld, H. (2010). Areas of the CNS made up mainly of myelinated axons are called white matter. </w:t>
      </w:r>
      <w:r w:rsidRPr="005C650F">
        <w:rPr>
          <w:rFonts w:ascii="Times New Roman" w:eastAsia="Times New Roman" w:hAnsi="Times New Roman" w:cs="Times New Roman"/>
          <w:i/>
          <w:iCs/>
          <w:sz w:val="24"/>
          <w:szCs w:val="24"/>
        </w:rPr>
        <w:t>De Neuroanatomy through Clinical Cases (2nd Ed.), Sunderland, Sinauer Associates Inc</w:t>
      </w:r>
      <w:r w:rsidRPr="005C650F">
        <w:rPr>
          <w:rFonts w:ascii="Times New Roman" w:eastAsia="Times New Roman" w:hAnsi="Times New Roman" w:cs="Times New Roman"/>
          <w:sz w:val="24"/>
          <w:szCs w:val="24"/>
        </w:rPr>
        <w:t>.</w:t>
      </w:r>
    </w:p>
    <w:p w14:paraId="5E200E6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Boksem</w:t>
      </w:r>
      <w:proofErr w:type="spellEnd"/>
      <w:r w:rsidRPr="005C650F">
        <w:rPr>
          <w:rFonts w:ascii="Times New Roman" w:eastAsia="Times New Roman" w:hAnsi="Times New Roman" w:cs="Times New Roman"/>
          <w:sz w:val="24"/>
          <w:szCs w:val="24"/>
        </w:rPr>
        <w:t xml:space="preserve">, M. A. S., </w:t>
      </w:r>
      <w:proofErr w:type="spellStart"/>
      <w:r w:rsidRPr="005C650F">
        <w:rPr>
          <w:rFonts w:ascii="Times New Roman" w:eastAsia="Times New Roman" w:hAnsi="Times New Roman" w:cs="Times New Roman"/>
          <w:sz w:val="24"/>
          <w:szCs w:val="24"/>
        </w:rPr>
        <w:t>Meijman</w:t>
      </w:r>
      <w:proofErr w:type="spellEnd"/>
      <w:r w:rsidRPr="005C650F">
        <w:rPr>
          <w:rFonts w:ascii="Times New Roman" w:eastAsia="Times New Roman" w:hAnsi="Times New Roman" w:cs="Times New Roman"/>
          <w:sz w:val="24"/>
          <w:szCs w:val="24"/>
        </w:rPr>
        <w:t xml:space="preserve">, T. F., &amp; </w:t>
      </w:r>
      <w:proofErr w:type="spellStart"/>
      <w:r w:rsidRPr="005C650F">
        <w:rPr>
          <w:rFonts w:ascii="Times New Roman" w:eastAsia="Times New Roman" w:hAnsi="Times New Roman" w:cs="Times New Roman"/>
          <w:sz w:val="24"/>
          <w:szCs w:val="24"/>
        </w:rPr>
        <w:t>Lorist</w:t>
      </w:r>
      <w:proofErr w:type="spellEnd"/>
      <w:r w:rsidRPr="005C650F">
        <w:rPr>
          <w:rFonts w:ascii="Times New Roman" w:eastAsia="Times New Roman" w:hAnsi="Times New Roman" w:cs="Times New Roman"/>
          <w:sz w:val="24"/>
          <w:szCs w:val="24"/>
        </w:rPr>
        <w:t xml:space="preserve">, M. M. (2005). Effects of mental fatigue on attention: an ERP study. </w:t>
      </w:r>
      <w:r w:rsidRPr="005C650F">
        <w:rPr>
          <w:rFonts w:ascii="Times New Roman" w:eastAsia="Times New Roman" w:hAnsi="Times New Roman" w:cs="Times New Roman"/>
          <w:i/>
          <w:iCs/>
          <w:sz w:val="24"/>
          <w:szCs w:val="24"/>
        </w:rPr>
        <w:t>Brain Research. Cognitive Brain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25</w:t>
      </w:r>
      <w:r w:rsidRPr="005C650F">
        <w:rPr>
          <w:rFonts w:ascii="Times New Roman" w:eastAsia="Times New Roman" w:hAnsi="Times New Roman" w:cs="Times New Roman"/>
          <w:sz w:val="24"/>
          <w:szCs w:val="24"/>
        </w:rPr>
        <w:t>(1), 107–116. https://doi.org/10.1016/j.cogbrainres.2005.04.011</w:t>
      </w:r>
    </w:p>
    <w:p w14:paraId="0ED68AF9"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Boly, M., Phillips, C., Tshibanda, L., </w:t>
      </w:r>
      <w:proofErr w:type="spellStart"/>
      <w:r w:rsidRPr="00203582">
        <w:rPr>
          <w:rFonts w:ascii="Times New Roman" w:eastAsia="Times New Roman" w:hAnsi="Times New Roman" w:cs="Times New Roman"/>
          <w:sz w:val="24"/>
          <w:szCs w:val="24"/>
        </w:rPr>
        <w:t>Vanhaudenhuyse</w:t>
      </w:r>
      <w:proofErr w:type="spellEnd"/>
      <w:r w:rsidRPr="00203582">
        <w:rPr>
          <w:rFonts w:ascii="Times New Roman" w:eastAsia="Times New Roman" w:hAnsi="Times New Roman" w:cs="Times New Roman"/>
          <w:sz w:val="24"/>
          <w:szCs w:val="24"/>
        </w:rPr>
        <w:t xml:space="preserve">, A., </w:t>
      </w:r>
      <w:proofErr w:type="spellStart"/>
      <w:r w:rsidRPr="00203582">
        <w:rPr>
          <w:rFonts w:ascii="Times New Roman" w:eastAsia="Times New Roman" w:hAnsi="Times New Roman" w:cs="Times New Roman"/>
          <w:sz w:val="24"/>
          <w:szCs w:val="24"/>
        </w:rPr>
        <w:t>Schabus</w:t>
      </w:r>
      <w:proofErr w:type="spellEnd"/>
      <w:r w:rsidRPr="00203582">
        <w:rPr>
          <w:rFonts w:ascii="Times New Roman" w:eastAsia="Times New Roman" w:hAnsi="Times New Roman" w:cs="Times New Roman"/>
          <w:sz w:val="24"/>
          <w:szCs w:val="24"/>
        </w:rPr>
        <w:t xml:space="preserve">, M., Dang-Vu, T. T., Moonen, G., Hustinx, R., Maquet, P., &amp; Laureys, S. (2008). Intrinsic brain activity in altered states of consciousness: how conscious is the default mode of brain function? </w:t>
      </w:r>
      <w:r w:rsidRPr="00203582">
        <w:rPr>
          <w:rFonts w:ascii="Times New Roman" w:eastAsia="Times New Roman" w:hAnsi="Times New Roman" w:cs="Times New Roman"/>
          <w:i/>
          <w:sz w:val="24"/>
          <w:szCs w:val="24"/>
        </w:rPr>
        <w:t>Annals of the New York Academy of Sciences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1129</w:t>
      </w:r>
      <w:r w:rsidRPr="00203582">
        <w:rPr>
          <w:rFonts w:ascii="Times New Roman" w:eastAsia="Times New Roman" w:hAnsi="Times New Roman" w:cs="Times New Roman"/>
          <w:sz w:val="24"/>
          <w:szCs w:val="24"/>
        </w:rPr>
        <w:t>, 119–129. https://doi.org/10.1196/annals.1417.015</w:t>
      </w:r>
    </w:p>
    <w:p w14:paraId="579E3358"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Bomba, M. D., &amp; Pang, E. W. (2004). Cortical auditory evoked potentials in autism: a review. </w:t>
      </w:r>
      <w:r w:rsidRPr="00203582">
        <w:rPr>
          <w:rFonts w:ascii="Times New Roman" w:eastAsia="Times New Roman" w:hAnsi="Times New Roman" w:cs="Times New Roman"/>
          <w:i/>
          <w:sz w:val="24"/>
          <w:szCs w:val="24"/>
        </w:rPr>
        <w:t>International Journal of Psychophysiology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53</w:t>
      </w:r>
      <w:r w:rsidRPr="00203582">
        <w:rPr>
          <w:rFonts w:ascii="Times New Roman" w:eastAsia="Times New Roman" w:hAnsi="Times New Roman" w:cs="Times New Roman"/>
          <w:sz w:val="24"/>
          <w:szCs w:val="24"/>
        </w:rPr>
        <w:t>(3), 161–169. https://doi.org/10.1016/j.ijpsycho.2004.04.001</w:t>
      </w:r>
    </w:p>
    <w:p w14:paraId="6B249C5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Bosl, W. J., Loddenkemper, T., &amp; Nelson, C. A. (2017). </w:t>
      </w:r>
      <w:r w:rsidRPr="005C650F">
        <w:rPr>
          <w:rFonts w:ascii="Times New Roman" w:eastAsia="Times New Roman" w:hAnsi="Times New Roman" w:cs="Times New Roman"/>
          <w:sz w:val="24"/>
          <w:szCs w:val="24"/>
        </w:rPr>
        <w:t xml:space="preserve">Nonlinear EEG biomarker profiles for autism and absence epilepsy. </w:t>
      </w:r>
      <w:r w:rsidRPr="005C650F">
        <w:rPr>
          <w:rFonts w:ascii="Times New Roman" w:eastAsia="Times New Roman" w:hAnsi="Times New Roman" w:cs="Times New Roman"/>
          <w:i/>
          <w:iCs/>
          <w:sz w:val="24"/>
          <w:szCs w:val="24"/>
        </w:rPr>
        <w:t>Neuropsychiatric Electrophysiology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w:t>
      </w:r>
      <w:r w:rsidRPr="005C650F">
        <w:rPr>
          <w:rFonts w:ascii="Times New Roman" w:eastAsia="Times New Roman" w:hAnsi="Times New Roman" w:cs="Times New Roman"/>
          <w:sz w:val="24"/>
          <w:szCs w:val="24"/>
        </w:rPr>
        <w:t>(1). https://doi.org/10.1186/s40810-017-0023-x</w:t>
      </w:r>
    </w:p>
    <w:p w14:paraId="768ED2F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Bosl</w:t>
      </w:r>
      <w:proofErr w:type="spellEnd"/>
      <w:r w:rsidRPr="00203582">
        <w:rPr>
          <w:rFonts w:ascii="Times New Roman" w:eastAsia="Times New Roman" w:hAnsi="Times New Roman" w:cs="Times New Roman"/>
          <w:sz w:val="24"/>
          <w:szCs w:val="24"/>
        </w:rPr>
        <w:t xml:space="preserve">, W. J., </w:t>
      </w:r>
      <w:proofErr w:type="spellStart"/>
      <w:r w:rsidRPr="00203582">
        <w:rPr>
          <w:rFonts w:ascii="Times New Roman" w:eastAsia="Times New Roman" w:hAnsi="Times New Roman" w:cs="Times New Roman"/>
          <w:sz w:val="24"/>
          <w:szCs w:val="24"/>
        </w:rPr>
        <w:t>Loddenkemper</w:t>
      </w:r>
      <w:proofErr w:type="spellEnd"/>
      <w:r w:rsidRPr="00203582">
        <w:rPr>
          <w:rFonts w:ascii="Times New Roman" w:eastAsia="Times New Roman" w:hAnsi="Times New Roman" w:cs="Times New Roman"/>
          <w:sz w:val="24"/>
          <w:szCs w:val="24"/>
        </w:rPr>
        <w:t xml:space="preserve">, T., &amp; </w:t>
      </w:r>
      <w:proofErr w:type="spellStart"/>
      <w:r w:rsidRPr="00203582">
        <w:rPr>
          <w:rFonts w:ascii="Times New Roman" w:eastAsia="Times New Roman" w:hAnsi="Times New Roman" w:cs="Times New Roman"/>
          <w:sz w:val="24"/>
          <w:szCs w:val="24"/>
        </w:rPr>
        <w:t>Vieluf</w:t>
      </w:r>
      <w:proofErr w:type="spellEnd"/>
      <w:r w:rsidRPr="00203582">
        <w:rPr>
          <w:rFonts w:ascii="Times New Roman" w:eastAsia="Times New Roman" w:hAnsi="Times New Roman" w:cs="Times New Roman"/>
          <w:sz w:val="24"/>
          <w:szCs w:val="24"/>
        </w:rPr>
        <w:t xml:space="preserve">, S. (2022). Coarse-graining and the Haar wavelet transform for multiscale analysis. </w:t>
      </w:r>
      <w:r w:rsidRPr="00203582">
        <w:rPr>
          <w:rFonts w:ascii="Times New Roman" w:eastAsia="Times New Roman" w:hAnsi="Times New Roman" w:cs="Times New Roman"/>
          <w:i/>
          <w:sz w:val="24"/>
          <w:szCs w:val="24"/>
        </w:rPr>
        <w:t>Bioelectronic 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w:t>
      </w:r>
      <w:r w:rsidRPr="00203582">
        <w:rPr>
          <w:rFonts w:ascii="Times New Roman" w:eastAsia="Times New Roman" w:hAnsi="Times New Roman" w:cs="Times New Roman"/>
          <w:sz w:val="24"/>
          <w:szCs w:val="24"/>
        </w:rPr>
        <w:t>(1), 3. https://doi.org/10.1186/s42234-022-00085-z</w:t>
      </w:r>
    </w:p>
    <w:p w14:paraId="603FC59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Bosl</w:t>
      </w:r>
      <w:proofErr w:type="spellEnd"/>
      <w:r w:rsidRPr="00203582">
        <w:rPr>
          <w:rFonts w:ascii="Times New Roman" w:eastAsia="Times New Roman" w:hAnsi="Times New Roman" w:cs="Times New Roman"/>
          <w:sz w:val="24"/>
          <w:szCs w:val="24"/>
        </w:rPr>
        <w:t>, W. J., Tager-</w:t>
      </w:r>
      <w:proofErr w:type="spellStart"/>
      <w:r w:rsidRPr="00203582">
        <w:rPr>
          <w:rFonts w:ascii="Times New Roman" w:eastAsia="Times New Roman" w:hAnsi="Times New Roman" w:cs="Times New Roman"/>
          <w:sz w:val="24"/>
          <w:szCs w:val="24"/>
        </w:rPr>
        <w:t>Flusberg</w:t>
      </w:r>
      <w:proofErr w:type="spellEnd"/>
      <w:r w:rsidRPr="00203582">
        <w:rPr>
          <w:rFonts w:ascii="Times New Roman" w:eastAsia="Times New Roman" w:hAnsi="Times New Roman" w:cs="Times New Roman"/>
          <w:sz w:val="24"/>
          <w:szCs w:val="24"/>
        </w:rPr>
        <w:t xml:space="preserve">, H., &amp; Nelson, C. A. (2018). EEG Analytics for Early Detection of Autism Spectrum Disorder: A data-driven approach. </w:t>
      </w:r>
      <w:r w:rsidRPr="00203582">
        <w:rPr>
          <w:rFonts w:ascii="Times New Roman" w:eastAsia="Times New Roman" w:hAnsi="Times New Roman" w:cs="Times New Roman"/>
          <w:i/>
          <w:sz w:val="24"/>
          <w:szCs w:val="24"/>
        </w:rPr>
        <w:t>Scientific Reports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w:t>
      </w:r>
      <w:r w:rsidRPr="00203582">
        <w:rPr>
          <w:rFonts w:ascii="Times New Roman" w:eastAsia="Times New Roman" w:hAnsi="Times New Roman" w:cs="Times New Roman"/>
          <w:sz w:val="24"/>
          <w:szCs w:val="24"/>
        </w:rPr>
        <w:t>(1), 6828. https://doi.org/10.1038/s41598-018-24318-x</w:t>
      </w:r>
    </w:p>
    <w:p w14:paraId="098B06F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Bosl</w:t>
      </w:r>
      <w:proofErr w:type="spellEnd"/>
      <w:r w:rsidRPr="00203582">
        <w:rPr>
          <w:rFonts w:ascii="Times New Roman" w:eastAsia="Times New Roman" w:hAnsi="Times New Roman" w:cs="Times New Roman"/>
          <w:sz w:val="24"/>
          <w:szCs w:val="24"/>
        </w:rPr>
        <w:t>, W., Tierney, A., Tager-</w:t>
      </w:r>
      <w:proofErr w:type="spellStart"/>
      <w:r w:rsidRPr="00203582">
        <w:rPr>
          <w:rFonts w:ascii="Times New Roman" w:eastAsia="Times New Roman" w:hAnsi="Times New Roman" w:cs="Times New Roman"/>
          <w:sz w:val="24"/>
          <w:szCs w:val="24"/>
        </w:rPr>
        <w:t>Flusberg</w:t>
      </w:r>
      <w:proofErr w:type="spellEnd"/>
      <w:r w:rsidRPr="00203582">
        <w:rPr>
          <w:rFonts w:ascii="Times New Roman" w:eastAsia="Times New Roman" w:hAnsi="Times New Roman" w:cs="Times New Roman"/>
          <w:sz w:val="24"/>
          <w:szCs w:val="24"/>
        </w:rPr>
        <w:t xml:space="preserve">, H., &amp; Nelson, C. (2011). EEG complexity as a biomarker for autism spectrum disorder risk. </w:t>
      </w:r>
      <w:r w:rsidRPr="00203582">
        <w:rPr>
          <w:rFonts w:ascii="Times New Roman" w:eastAsia="Times New Roman" w:hAnsi="Times New Roman" w:cs="Times New Roman"/>
          <w:i/>
          <w:sz w:val="24"/>
          <w:szCs w:val="24"/>
        </w:rPr>
        <w:t>BMC 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w:t>
      </w:r>
      <w:r w:rsidRPr="00203582">
        <w:rPr>
          <w:rFonts w:ascii="Times New Roman" w:eastAsia="Times New Roman" w:hAnsi="Times New Roman" w:cs="Times New Roman"/>
          <w:sz w:val="24"/>
          <w:szCs w:val="24"/>
        </w:rPr>
        <w:t>, 18. https://doi.org/10.1186/1741-7015-9-18</w:t>
      </w:r>
    </w:p>
    <w:p w14:paraId="35963F6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Bosl</w:t>
      </w:r>
      <w:proofErr w:type="spellEnd"/>
      <w:r w:rsidRPr="005C650F">
        <w:rPr>
          <w:rFonts w:ascii="Times New Roman" w:eastAsia="Times New Roman" w:hAnsi="Times New Roman" w:cs="Times New Roman"/>
          <w:sz w:val="24"/>
          <w:szCs w:val="24"/>
        </w:rPr>
        <w:t>, W., Tierney, A., Tager-</w:t>
      </w:r>
      <w:proofErr w:type="spellStart"/>
      <w:r w:rsidRPr="005C650F">
        <w:rPr>
          <w:rFonts w:ascii="Times New Roman" w:eastAsia="Times New Roman" w:hAnsi="Times New Roman" w:cs="Times New Roman"/>
          <w:sz w:val="24"/>
          <w:szCs w:val="24"/>
        </w:rPr>
        <w:t>Flusberg</w:t>
      </w:r>
      <w:proofErr w:type="spellEnd"/>
      <w:r w:rsidRPr="005C650F">
        <w:rPr>
          <w:rFonts w:ascii="Times New Roman" w:eastAsia="Times New Roman" w:hAnsi="Times New Roman" w:cs="Times New Roman"/>
          <w:sz w:val="24"/>
          <w:szCs w:val="24"/>
        </w:rPr>
        <w:t xml:space="preserve">, H., &amp; Nelson, C. (2011). EEG complexity as a biomarker for autism spectrum disorder risk. </w:t>
      </w:r>
      <w:r w:rsidRPr="005C650F">
        <w:rPr>
          <w:rFonts w:ascii="Times New Roman" w:eastAsia="Times New Roman" w:hAnsi="Times New Roman" w:cs="Times New Roman"/>
          <w:i/>
          <w:iCs/>
          <w:sz w:val="24"/>
          <w:szCs w:val="24"/>
        </w:rPr>
        <w:t>BMC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18. https://doi.org/10.1186/1741-7015-9-18</w:t>
      </w:r>
    </w:p>
    <w:p w14:paraId="600AB21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Bosl</w:t>
      </w:r>
      <w:proofErr w:type="spellEnd"/>
      <w:r w:rsidRPr="005C650F">
        <w:rPr>
          <w:rFonts w:ascii="Times New Roman" w:eastAsia="Times New Roman" w:hAnsi="Times New Roman" w:cs="Times New Roman"/>
          <w:sz w:val="24"/>
          <w:szCs w:val="24"/>
        </w:rPr>
        <w:t>, W., Tierney, A., Tager-</w:t>
      </w:r>
      <w:proofErr w:type="spellStart"/>
      <w:r w:rsidRPr="005C650F">
        <w:rPr>
          <w:rFonts w:ascii="Times New Roman" w:eastAsia="Times New Roman" w:hAnsi="Times New Roman" w:cs="Times New Roman"/>
          <w:sz w:val="24"/>
          <w:szCs w:val="24"/>
        </w:rPr>
        <w:t>Flusberg</w:t>
      </w:r>
      <w:proofErr w:type="spellEnd"/>
      <w:r w:rsidRPr="005C650F">
        <w:rPr>
          <w:rFonts w:ascii="Times New Roman" w:eastAsia="Times New Roman" w:hAnsi="Times New Roman" w:cs="Times New Roman"/>
          <w:sz w:val="24"/>
          <w:szCs w:val="24"/>
        </w:rPr>
        <w:t xml:space="preserve">, H., &amp; Nelson, C. (2011). EEG complexity as a biomarker for autism spectrum disorder risk. </w:t>
      </w:r>
      <w:r w:rsidRPr="005C650F">
        <w:rPr>
          <w:rFonts w:ascii="Times New Roman" w:eastAsia="Times New Roman" w:hAnsi="Times New Roman" w:cs="Times New Roman"/>
          <w:i/>
          <w:iCs/>
          <w:sz w:val="24"/>
          <w:szCs w:val="24"/>
        </w:rPr>
        <w:t>BMC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18. https://doi.org/10.1186/1741-7015-9-18</w:t>
      </w:r>
    </w:p>
    <w:p w14:paraId="1560447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Bosl</w:t>
      </w:r>
      <w:proofErr w:type="spellEnd"/>
      <w:r w:rsidRPr="005C650F">
        <w:rPr>
          <w:rFonts w:ascii="Times New Roman" w:eastAsia="Times New Roman" w:hAnsi="Times New Roman" w:cs="Times New Roman"/>
          <w:sz w:val="24"/>
          <w:szCs w:val="24"/>
        </w:rPr>
        <w:t>, W., Tierney, A., Tager-</w:t>
      </w:r>
      <w:proofErr w:type="spellStart"/>
      <w:r w:rsidRPr="005C650F">
        <w:rPr>
          <w:rFonts w:ascii="Times New Roman" w:eastAsia="Times New Roman" w:hAnsi="Times New Roman" w:cs="Times New Roman"/>
          <w:sz w:val="24"/>
          <w:szCs w:val="24"/>
        </w:rPr>
        <w:t>Flusberg</w:t>
      </w:r>
      <w:proofErr w:type="spellEnd"/>
      <w:r w:rsidRPr="005C650F">
        <w:rPr>
          <w:rFonts w:ascii="Times New Roman" w:eastAsia="Times New Roman" w:hAnsi="Times New Roman" w:cs="Times New Roman"/>
          <w:sz w:val="24"/>
          <w:szCs w:val="24"/>
        </w:rPr>
        <w:t xml:space="preserve">, H., &amp; Nelson, C. (2011). EEG complexity as a biomarker for autism spectrum disorder risk. </w:t>
      </w:r>
      <w:r w:rsidRPr="005C650F">
        <w:rPr>
          <w:rFonts w:ascii="Times New Roman" w:eastAsia="Times New Roman" w:hAnsi="Times New Roman" w:cs="Times New Roman"/>
          <w:i/>
          <w:iCs/>
          <w:sz w:val="24"/>
          <w:szCs w:val="24"/>
        </w:rPr>
        <w:t>BMC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18. https://doi.org/10.1186/1741-7015-9-18</w:t>
      </w:r>
    </w:p>
    <w:p w14:paraId="292ECCEA"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proofErr w:type="spellStart"/>
      <w:r w:rsidRPr="00F97EDC">
        <w:rPr>
          <w:rFonts w:ascii="Times New Roman" w:eastAsia="Times New Roman" w:hAnsi="Times New Roman" w:cs="Times New Roman"/>
          <w:sz w:val="24"/>
          <w:szCs w:val="24"/>
        </w:rPr>
        <w:t>Bosl</w:t>
      </w:r>
      <w:proofErr w:type="spellEnd"/>
      <w:r w:rsidRPr="00F97EDC">
        <w:rPr>
          <w:rFonts w:ascii="Times New Roman" w:eastAsia="Times New Roman" w:hAnsi="Times New Roman" w:cs="Times New Roman"/>
          <w:sz w:val="24"/>
          <w:szCs w:val="24"/>
        </w:rPr>
        <w:t>, W., Tierney, A., Tager-</w:t>
      </w:r>
      <w:proofErr w:type="spellStart"/>
      <w:r w:rsidRPr="00F97EDC">
        <w:rPr>
          <w:rFonts w:ascii="Times New Roman" w:eastAsia="Times New Roman" w:hAnsi="Times New Roman" w:cs="Times New Roman"/>
          <w:sz w:val="24"/>
          <w:szCs w:val="24"/>
        </w:rPr>
        <w:t>Flusberg</w:t>
      </w:r>
      <w:proofErr w:type="spellEnd"/>
      <w:r w:rsidRPr="00F97EDC">
        <w:rPr>
          <w:rFonts w:ascii="Times New Roman" w:eastAsia="Times New Roman" w:hAnsi="Times New Roman" w:cs="Times New Roman"/>
          <w:sz w:val="24"/>
          <w:szCs w:val="24"/>
        </w:rPr>
        <w:t>, H., &amp; Nelson, C. (2011). EEG complexity as a biomarker for autism spectrum disorder risk. BMC Medicine, 9, 18. https://doi.org/10.1186/1741-7015-9-18</w:t>
      </w:r>
    </w:p>
    <w:p w14:paraId="0377FE62"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it-IT"/>
        </w:rPr>
      </w:pPr>
      <w:proofErr w:type="spellStart"/>
      <w:r w:rsidRPr="00203582">
        <w:rPr>
          <w:rFonts w:ascii="Times New Roman" w:eastAsia="Times New Roman" w:hAnsi="Times New Roman" w:cs="Times New Roman"/>
          <w:sz w:val="24"/>
          <w:szCs w:val="24"/>
        </w:rPr>
        <w:t>Boubela</w:t>
      </w:r>
      <w:proofErr w:type="spellEnd"/>
      <w:r w:rsidRPr="00203582">
        <w:rPr>
          <w:rFonts w:ascii="Times New Roman" w:eastAsia="Times New Roman" w:hAnsi="Times New Roman" w:cs="Times New Roman"/>
          <w:sz w:val="24"/>
          <w:szCs w:val="24"/>
        </w:rPr>
        <w:t xml:space="preserve">, R. N., </w:t>
      </w:r>
      <w:proofErr w:type="spellStart"/>
      <w:r w:rsidRPr="00203582">
        <w:rPr>
          <w:rFonts w:ascii="Times New Roman" w:eastAsia="Times New Roman" w:hAnsi="Times New Roman" w:cs="Times New Roman"/>
          <w:sz w:val="24"/>
          <w:szCs w:val="24"/>
        </w:rPr>
        <w:t>Kalcher</w:t>
      </w:r>
      <w:proofErr w:type="spellEnd"/>
      <w:r w:rsidRPr="00203582">
        <w:rPr>
          <w:rFonts w:ascii="Times New Roman" w:eastAsia="Times New Roman" w:hAnsi="Times New Roman" w:cs="Times New Roman"/>
          <w:sz w:val="24"/>
          <w:szCs w:val="24"/>
        </w:rPr>
        <w:t xml:space="preserve">, K., </w:t>
      </w:r>
      <w:proofErr w:type="spellStart"/>
      <w:r w:rsidRPr="00203582">
        <w:rPr>
          <w:rFonts w:ascii="Times New Roman" w:eastAsia="Times New Roman" w:hAnsi="Times New Roman" w:cs="Times New Roman"/>
          <w:sz w:val="24"/>
          <w:szCs w:val="24"/>
        </w:rPr>
        <w:t>Huf</w:t>
      </w:r>
      <w:proofErr w:type="spellEnd"/>
      <w:r w:rsidRPr="00203582">
        <w:rPr>
          <w:rFonts w:ascii="Times New Roman" w:eastAsia="Times New Roman" w:hAnsi="Times New Roman" w:cs="Times New Roman"/>
          <w:sz w:val="24"/>
          <w:szCs w:val="24"/>
        </w:rPr>
        <w:t xml:space="preserve">, W., </w:t>
      </w:r>
      <w:proofErr w:type="spellStart"/>
      <w:r w:rsidRPr="00203582">
        <w:rPr>
          <w:rFonts w:ascii="Times New Roman" w:eastAsia="Times New Roman" w:hAnsi="Times New Roman" w:cs="Times New Roman"/>
          <w:sz w:val="24"/>
          <w:szCs w:val="24"/>
        </w:rPr>
        <w:t>Kronnerwetter</w:t>
      </w:r>
      <w:proofErr w:type="spellEnd"/>
      <w:r w:rsidRPr="00203582">
        <w:rPr>
          <w:rFonts w:ascii="Times New Roman" w:eastAsia="Times New Roman" w:hAnsi="Times New Roman" w:cs="Times New Roman"/>
          <w:sz w:val="24"/>
          <w:szCs w:val="24"/>
        </w:rPr>
        <w:t xml:space="preserve">, C., </w:t>
      </w:r>
      <w:proofErr w:type="spellStart"/>
      <w:r w:rsidRPr="00203582">
        <w:rPr>
          <w:rFonts w:ascii="Times New Roman" w:eastAsia="Times New Roman" w:hAnsi="Times New Roman" w:cs="Times New Roman"/>
          <w:sz w:val="24"/>
          <w:szCs w:val="24"/>
        </w:rPr>
        <w:t>Filzmoser</w:t>
      </w:r>
      <w:proofErr w:type="spellEnd"/>
      <w:r w:rsidRPr="00203582">
        <w:rPr>
          <w:rFonts w:ascii="Times New Roman" w:eastAsia="Times New Roman" w:hAnsi="Times New Roman" w:cs="Times New Roman"/>
          <w:sz w:val="24"/>
          <w:szCs w:val="24"/>
        </w:rPr>
        <w:t xml:space="preserve">, P., &amp; Moser, E. (2013). Beyond Noise: Using Temporal ICA to Extract Meaningful Information from High-Frequency fMRI Signal Fluctuations during Rest. </w:t>
      </w:r>
      <w:r w:rsidRPr="00203582">
        <w:rPr>
          <w:rFonts w:ascii="Times New Roman" w:eastAsia="Times New Roman" w:hAnsi="Times New Roman" w:cs="Times New Roman"/>
          <w:i/>
          <w:sz w:val="24"/>
          <w:szCs w:val="24"/>
          <w:lang w:val="it-IT"/>
        </w:rPr>
        <w:t>Frontiers in Human Neuroscience</w:t>
      </w:r>
      <w:r w:rsidRPr="00203582">
        <w:rPr>
          <w:rFonts w:ascii="Times New Roman" w:eastAsia="Times New Roman" w:hAnsi="Times New Roman" w:cs="Times New Roman"/>
          <w:sz w:val="24"/>
          <w:szCs w:val="24"/>
          <w:lang w:val="it-IT"/>
        </w:rPr>
        <w:t xml:space="preserve">, </w:t>
      </w:r>
      <w:r w:rsidRPr="00203582">
        <w:rPr>
          <w:rFonts w:ascii="Times New Roman" w:eastAsia="Times New Roman" w:hAnsi="Times New Roman" w:cs="Times New Roman"/>
          <w:i/>
          <w:sz w:val="24"/>
          <w:szCs w:val="24"/>
          <w:lang w:val="it-IT"/>
        </w:rPr>
        <w:t>7</w:t>
      </w:r>
      <w:r w:rsidRPr="00203582">
        <w:rPr>
          <w:rFonts w:ascii="Times New Roman" w:eastAsia="Times New Roman" w:hAnsi="Times New Roman" w:cs="Times New Roman"/>
          <w:sz w:val="24"/>
          <w:szCs w:val="24"/>
          <w:lang w:val="it-IT"/>
        </w:rPr>
        <w:t>, 168. https://doi.org/10.3389/fnhum.2013.00168</w:t>
      </w:r>
    </w:p>
    <w:p w14:paraId="2D66B31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Bowman, A. D., Griffis, J. C., Visscher, K. M., Dobbins, A. C., Gawne, T. J., DiFrancesco, M. W., &amp; Szaflarski, J. P. (2017). Relationship Between Alpha Rhythm and the Default Mode Network: An EEG-fMRI Study. </w:t>
      </w:r>
      <w:r w:rsidRPr="005C650F">
        <w:rPr>
          <w:rFonts w:ascii="Times New Roman" w:eastAsia="Times New Roman" w:hAnsi="Times New Roman" w:cs="Times New Roman"/>
          <w:i/>
          <w:iCs/>
          <w:sz w:val="24"/>
          <w:szCs w:val="24"/>
        </w:rPr>
        <w:t>Journal of 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34</w:t>
      </w:r>
      <w:r w:rsidRPr="005C650F">
        <w:rPr>
          <w:rFonts w:ascii="Times New Roman" w:eastAsia="Times New Roman" w:hAnsi="Times New Roman" w:cs="Times New Roman"/>
          <w:sz w:val="24"/>
          <w:szCs w:val="24"/>
        </w:rPr>
        <w:t>(6), 527–533. https://doi.org/10.1097/WNP.0000000000000411</w:t>
      </w:r>
    </w:p>
    <w:p w14:paraId="57F2649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Boytsova</w:t>
      </w:r>
      <w:proofErr w:type="spellEnd"/>
      <w:r w:rsidRPr="005C650F">
        <w:rPr>
          <w:rFonts w:ascii="Times New Roman" w:eastAsia="Times New Roman" w:hAnsi="Times New Roman" w:cs="Times New Roman"/>
          <w:sz w:val="24"/>
          <w:szCs w:val="24"/>
        </w:rPr>
        <w:t xml:space="preserve">, Yu. A., &amp; Danko, S. G. (2010). EEG differences between resting states with eyes open and closed in darkness. </w:t>
      </w:r>
      <w:r w:rsidRPr="005C650F">
        <w:rPr>
          <w:rFonts w:ascii="Times New Roman" w:eastAsia="Times New Roman" w:hAnsi="Times New Roman" w:cs="Times New Roman"/>
          <w:i/>
          <w:iCs/>
          <w:sz w:val="24"/>
          <w:szCs w:val="24"/>
        </w:rPr>
        <w:t>Human 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36</w:t>
      </w:r>
      <w:r w:rsidRPr="005C650F">
        <w:rPr>
          <w:rFonts w:ascii="Times New Roman" w:eastAsia="Times New Roman" w:hAnsi="Times New Roman" w:cs="Times New Roman"/>
          <w:sz w:val="24"/>
          <w:szCs w:val="24"/>
        </w:rPr>
        <w:t>(3), 367–369. https://doi.org/10.1134/S0362119710030199</w:t>
      </w:r>
    </w:p>
    <w:p w14:paraId="090A7EEE"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it-IT"/>
        </w:rPr>
      </w:pPr>
      <w:r w:rsidRPr="00203582">
        <w:rPr>
          <w:rFonts w:ascii="Times New Roman" w:eastAsia="Times New Roman" w:hAnsi="Times New Roman" w:cs="Times New Roman"/>
          <w:sz w:val="24"/>
          <w:szCs w:val="24"/>
          <w:lang w:val="it-IT"/>
        </w:rPr>
        <w:t xml:space="preserve">Brentani, H., Paula, C. S. de, Bordini, D., Rolim, D., Sato, F., Portolese, J., Pacifico, M. C., &amp; McCracken, J. T. (2013). Autism spectrum disorders: an overview on diagnosis and treatment. </w:t>
      </w:r>
      <w:r w:rsidRPr="00203582">
        <w:rPr>
          <w:rFonts w:ascii="Times New Roman" w:eastAsia="Times New Roman" w:hAnsi="Times New Roman" w:cs="Times New Roman"/>
          <w:i/>
          <w:sz w:val="24"/>
          <w:szCs w:val="24"/>
          <w:lang w:val="it-IT"/>
        </w:rPr>
        <w:t>Revista Brasileira de Psiquiatria (Sao Paulo, Brazil : 1999)</w:t>
      </w:r>
      <w:r w:rsidRPr="00203582">
        <w:rPr>
          <w:rFonts w:ascii="Times New Roman" w:eastAsia="Times New Roman" w:hAnsi="Times New Roman" w:cs="Times New Roman"/>
          <w:sz w:val="24"/>
          <w:szCs w:val="24"/>
          <w:lang w:val="it-IT"/>
        </w:rPr>
        <w:t xml:space="preserve">, </w:t>
      </w:r>
      <w:r w:rsidRPr="00203582">
        <w:rPr>
          <w:rFonts w:ascii="Times New Roman" w:eastAsia="Times New Roman" w:hAnsi="Times New Roman" w:cs="Times New Roman"/>
          <w:i/>
          <w:sz w:val="24"/>
          <w:szCs w:val="24"/>
          <w:lang w:val="it-IT"/>
        </w:rPr>
        <w:t>35 Suppl 1</w:t>
      </w:r>
      <w:r w:rsidRPr="00203582">
        <w:rPr>
          <w:rFonts w:ascii="Times New Roman" w:eastAsia="Times New Roman" w:hAnsi="Times New Roman" w:cs="Times New Roman"/>
          <w:sz w:val="24"/>
          <w:szCs w:val="24"/>
          <w:lang w:val="it-IT"/>
        </w:rPr>
        <w:t>, S62-72. https://doi.org/10.1590/1516-4446-2013-S104</w:t>
      </w:r>
    </w:p>
    <w:p w14:paraId="72B4242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Brodoehl</w:t>
      </w:r>
      <w:proofErr w:type="spellEnd"/>
      <w:r w:rsidRPr="005C650F">
        <w:rPr>
          <w:rFonts w:ascii="Times New Roman" w:eastAsia="Times New Roman" w:hAnsi="Times New Roman" w:cs="Times New Roman"/>
          <w:sz w:val="24"/>
          <w:szCs w:val="24"/>
        </w:rPr>
        <w:t xml:space="preserve">, S., Klingner, C. M., &amp; Witte, O. W. (2015). Eye closure enhances dark night perceptions. </w:t>
      </w:r>
      <w:r w:rsidRPr="005C650F">
        <w:rPr>
          <w:rFonts w:ascii="Times New Roman" w:eastAsia="Times New Roman" w:hAnsi="Times New Roman" w:cs="Times New Roman"/>
          <w:i/>
          <w:iCs/>
          <w:sz w:val="24"/>
          <w:szCs w:val="24"/>
        </w:rPr>
        <w:t>Scientific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 10515. https://doi.org/10.1038/srep10515</w:t>
      </w:r>
    </w:p>
    <w:p w14:paraId="03DC1F7A"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it-IT"/>
        </w:rPr>
      </w:pPr>
      <w:r w:rsidRPr="00203582">
        <w:rPr>
          <w:rFonts w:ascii="Times New Roman" w:eastAsia="Times New Roman" w:hAnsi="Times New Roman" w:cs="Times New Roman"/>
          <w:sz w:val="24"/>
          <w:szCs w:val="24"/>
        </w:rPr>
        <w:t xml:space="preserve">Buckner, R. L., &amp; Carroll, D. C. (2007). Self-projection and the brain. </w:t>
      </w:r>
      <w:r w:rsidRPr="00203582">
        <w:rPr>
          <w:rFonts w:ascii="Times New Roman" w:eastAsia="Times New Roman" w:hAnsi="Times New Roman" w:cs="Times New Roman"/>
          <w:i/>
          <w:sz w:val="24"/>
          <w:szCs w:val="24"/>
          <w:lang w:val="it-IT"/>
        </w:rPr>
        <w:t>Trends in Cognitive Sciences</w:t>
      </w:r>
      <w:r w:rsidRPr="00203582">
        <w:rPr>
          <w:rFonts w:ascii="Times New Roman" w:eastAsia="Times New Roman" w:hAnsi="Times New Roman" w:cs="Times New Roman"/>
          <w:sz w:val="24"/>
          <w:szCs w:val="24"/>
          <w:lang w:val="it-IT"/>
        </w:rPr>
        <w:t xml:space="preserve">, </w:t>
      </w:r>
      <w:r w:rsidRPr="00203582">
        <w:rPr>
          <w:rFonts w:ascii="Times New Roman" w:eastAsia="Times New Roman" w:hAnsi="Times New Roman" w:cs="Times New Roman"/>
          <w:i/>
          <w:sz w:val="24"/>
          <w:szCs w:val="24"/>
          <w:lang w:val="it-IT"/>
        </w:rPr>
        <w:t>11</w:t>
      </w:r>
      <w:r w:rsidRPr="00203582">
        <w:rPr>
          <w:rFonts w:ascii="Times New Roman" w:eastAsia="Times New Roman" w:hAnsi="Times New Roman" w:cs="Times New Roman"/>
          <w:sz w:val="24"/>
          <w:szCs w:val="24"/>
          <w:lang w:val="it-IT"/>
        </w:rPr>
        <w:t>(2), 49–57. https://doi.org/10.1016/j.tics.2006.11.004</w:t>
      </w:r>
    </w:p>
    <w:p w14:paraId="2EB0320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it-IT"/>
        </w:rPr>
        <w:lastRenderedPageBreak/>
        <w:t xml:space="preserve">Buckner, R. L., &amp; DiNicola, L. M. (2019). </w:t>
      </w:r>
      <w:r w:rsidRPr="00203582">
        <w:rPr>
          <w:rFonts w:ascii="Times New Roman" w:eastAsia="Times New Roman" w:hAnsi="Times New Roman" w:cs="Times New Roman"/>
          <w:sz w:val="24"/>
          <w:szCs w:val="24"/>
        </w:rPr>
        <w:t xml:space="preserve">The brain’s default network: updated anatomy, physiology and evolving insights. </w:t>
      </w:r>
      <w:r w:rsidRPr="00203582">
        <w:rPr>
          <w:rFonts w:ascii="Times New Roman" w:eastAsia="Times New Roman" w:hAnsi="Times New Roman" w:cs="Times New Roman"/>
          <w:i/>
          <w:sz w:val="24"/>
          <w:szCs w:val="24"/>
        </w:rPr>
        <w:t>Nature Reviews.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20</w:t>
      </w:r>
      <w:r w:rsidRPr="00203582">
        <w:rPr>
          <w:rFonts w:ascii="Times New Roman" w:eastAsia="Times New Roman" w:hAnsi="Times New Roman" w:cs="Times New Roman"/>
          <w:sz w:val="24"/>
          <w:szCs w:val="24"/>
        </w:rPr>
        <w:t>(10), 593–608. https://doi.org/10.1038/s41583-019-0212-7</w:t>
      </w:r>
    </w:p>
    <w:p w14:paraId="387D3FC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Buckner, R. L., Andrews-Hanna, J. R., &amp; Schacter, D. L. (2008). The brain’s default network: anatomy, function, and relevance to disease. </w:t>
      </w:r>
      <w:r w:rsidRPr="005C650F">
        <w:rPr>
          <w:rFonts w:ascii="Times New Roman" w:eastAsia="Times New Roman" w:hAnsi="Times New Roman" w:cs="Times New Roman"/>
          <w:i/>
          <w:iCs/>
          <w:sz w:val="24"/>
          <w:szCs w:val="24"/>
        </w:rPr>
        <w:t>Annals of the New York Academy of Sciences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1124</w:t>
      </w:r>
      <w:r w:rsidRPr="005C650F">
        <w:rPr>
          <w:rFonts w:ascii="Times New Roman" w:eastAsia="Times New Roman" w:hAnsi="Times New Roman" w:cs="Times New Roman"/>
          <w:sz w:val="24"/>
          <w:szCs w:val="24"/>
        </w:rPr>
        <w:t>, 1–38. https://doi.org/10.1196/annals.1440.011</w:t>
      </w:r>
    </w:p>
    <w:p w14:paraId="380425A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Buckner, R. L., Andrews-Hanna, J. R., &amp; Schacter, D. L. (2008). The brain’s default network: anatomy, function, and relevance to disease. </w:t>
      </w:r>
      <w:r w:rsidRPr="005C650F">
        <w:rPr>
          <w:rFonts w:ascii="Times New Roman" w:eastAsia="Times New Roman" w:hAnsi="Times New Roman" w:cs="Times New Roman"/>
          <w:i/>
          <w:iCs/>
          <w:sz w:val="24"/>
          <w:szCs w:val="24"/>
        </w:rPr>
        <w:t>Annals of the New York Academy of Sciences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1124</w:t>
      </w:r>
      <w:r w:rsidRPr="005C650F">
        <w:rPr>
          <w:rFonts w:ascii="Times New Roman" w:eastAsia="Times New Roman" w:hAnsi="Times New Roman" w:cs="Times New Roman"/>
          <w:sz w:val="24"/>
          <w:szCs w:val="24"/>
        </w:rPr>
        <w:t>, 1–38. https://doi.org/10.1196/annals.1440.011</w:t>
      </w:r>
    </w:p>
    <w:p w14:paraId="1224931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Buckner, R. L., Krienen, F. M., &amp; Yeo, B. T. T. (2013). </w:t>
      </w:r>
      <w:r w:rsidRPr="005C650F">
        <w:rPr>
          <w:rFonts w:ascii="Times New Roman" w:eastAsia="Times New Roman" w:hAnsi="Times New Roman" w:cs="Times New Roman"/>
          <w:sz w:val="24"/>
          <w:szCs w:val="24"/>
        </w:rPr>
        <w:t xml:space="preserve">Opportunities and limitations of intrinsic functional connectivity MRI. </w:t>
      </w:r>
      <w:r w:rsidRPr="005C650F">
        <w:rPr>
          <w:rFonts w:ascii="Times New Roman" w:eastAsia="Times New Roman" w:hAnsi="Times New Roman" w:cs="Times New Roman"/>
          <w:i/>
          <w:iCs/>
          <w:sz w:val="24"/>
          <w:szCs w:val="24"/>
        </w:rPr>
        <w:t>Nature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16</w:t>
      </w:r>
      <w:r w:rsidRPr="005C650F">
        <w:rPr>
          <w:rFonts w:ascii="Times New Roman" w:eastAsia="Times New Roman" w:hAnsi="Times New Roman" w:cs="Times New Roman"/>
          <w:sz w:val="24"/>
          <w:szCs w:val="24"/>
        </w:rPr>
        <w:t>(7), 832–837. https://doi.org/10.1038/nn.3423</w:t>
      </w:r>
    </w:p>
    <w:p w14:paraId="202CA28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Busa, M. A., &amp; van Emmerik, R. E. A. (2016). Multiscale entropy: A tool for understanding the complexity of postural control. </w:t>
      </w:r>
      <w:r w:rsidRPr="00203582">
        <w:rPr>
          <w:rFonts w:ascii="Times New Roman" w:eastAsia="Times New Roman" w:hAnsi="Times New Roman" w:cs="Times New Roman"/>
          <w:i/>
          <w:sz w:val="24"/>
          <w:szCs w:val="24"/>
        </w:rPr>
        <w:t>Journal of Sport and Health 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w:t>
      </w:r>
      <w:r w:rsidRPr="00203582">
        <w:rPr>
          <w:rFonts w:ascii="Times New Roman" w:eastAsia="Times New Roman" w:hAnsi="Times New Roman" w:cs="Times New Roman"/>
          <w:sz w:val="24"/>
          <w:szCs w:val="24"/>
        </w:rPr>
        <w:t>(1), 44–51. https://doi.org/10.1016/j.jshs.2016.01.018</w:t>
      </w:r>
    </w:p>
    <w:p w14:paraId="6B6379C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Busch, N. A., &amp; VanRullen, R. (2010). </w:t>
      </w:r>
      <w:r w:rsidRPr="005C650F">
        <w:rPr>
          <w:rFonts w:ascii="Times New Roman" w:eastAsia="Times New Roman" w:hAnsi="Times New Roman" w:cs="Times New Roman"/>
          <w:sz w:val="24"/>
          <w:szCs w:val="24"/>
        </w:rPr>
        <w:t xml:space="preserve">Spontaneous EEG oscillations reveal periodic sampling of visual attention.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107</w:t>
      </w:r>
      <w:r w:rsidRPr="005C650F">
        <w:rPr>
          <w:rFonts w:ascii="Times New Roman" w:eastAsia="Times New Roman" w:hAnsi="Times New Roman" w:cs="Times New Roman"/>
          <w:sz w:val="24"/>
          <w:szCs w:val="24"/>
        </w:rPr>
        <w:t>(37), 16048–16053. https://doi.org/10.1073/pnas.1004801107</w:t>
      </w:r>
    </w:p>
    <w:p w14:paraId="62434FE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Buzsáki</w:t>
      </w:r>
      <w:proofErr w:type="spellEnd"/>
      <w:r w:rsidRPr="005C650F">
        <w:rPr>
          <w:rFonts w:ascii="Times New Roman" w:eastAsia="Times New Roman" w:hAnsi="Times New Roman" w:cs="Times New Roman"/>
          <w:sz w:val="24"/>
          <w:szCs w:val="24"/>
        </w:rPr>
        <w:t xml:space="preserve">, G. (2006). </w:t>
      </w:r>
      <w:r w:rsidRPr="005C650F">
        <w:rPr>
          <w:rFonts w:ascii="Times New Roman" w:eastAsia="Times New Roman" w:hAnsi="Times New Roman" w:cs="Times New Roman"/>
          <w:i/>
          <w:iCs/>
          <w:sz w:val="24"/>
          <w:szCs w:val="24"/>
        </w:rPr>
        <w:t>Rhythms of the Brain</w:t>
      </w:r>
      <w:r w:rsidRPr="005C650F">
        <w:rPr>
          <w:rFonts w:ascii="Times New Roman" w:eastAsia="Times New Roman" w:hAnsi="Times New Roman" w:cs="Times New Roman"/>
          <w:sz w:val="24"/>
          <w:szCs w:val="24"/>
        </w:rPr>
        <w:t>. Oxford University Press. https://doi.org/10.1093/acprof:oso/9780195301069.001.0001</w:t>
      </w:r>
    </w:p>
    <w:p w14:paraId="4B5D734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Buzsáki</w:t>
      </w:r>
      <w:proofErr w:type="spellEnd"/>
      <w:r w:rsidRPr="005C650F">
        <w:rPr>
          <w:rFonts w:ascii="Times New Roman" w:eastAsia="Times New Roman" w:hAnsi="Times New Roman" w:cs="Times New Roman"/>
          <w:sz w:val="24"/>
          <w:szCs w:val="24"/>
        </w:rPr>
        <w:t xml:space="preserve">, G. (2006). </w:t>
      </w:r>
      <w:r w:rsidRPr="005C650F">
        <w:rPr>
          <w:rFonts w:ascii="Times New Roman" w:eastAsia="Times New Roman" w:hAnsi="Times New Roman" w:cs="Times New Roman"/>
          <w:i/>
          <w:iCs/>
          <w:sz w:val="24"/>
          <w:szCs w:val="24"/>
        </w:rPr>
        <w:t>Rhythms of the Brain</w:t>
      </w:r>
      <w:r w:rsidRPr="005C650F">
        <w:rPr>
          <w:rFonts w:ascii="Times New Roman" w:eastAsia="Times New Roman" w:hAnsi="Times New Roman" w:cs="Times New Roman"/>
          <w:sz w:val="24"/>
          <w:szCs w:val="24"/>
        </w:rPr>
        <w:t>. Oxford University Press. https://doi.org/10.1093/acprof:oso/9780195301069.001.0001</w:t>
      </w:r>
    </w:p>
    <w:p w14:paraId="5B1CA8F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Cantor, D. S., Thatcher, R. W., </w:t>
      </w:r>
      <w:proofErr w:type="spellStart"/>
      <w:r w:rsidRPr="00203582">
        <w:rPr>
          <w:rFonts w:ascii="Times New Roman" w:eastAsia="Times New Roman" w:hAnsi="Times New Roman" w:cs="Times New Roman"/>
          <w:sz w:val="24"/>
          <w:szCs w:val="24"/>
        </w:rPr>
        <w:t>Hrybyk</w:t>
      </w:r>
      <w:proofErr w:type="spellEnd"/>
      <w:r w:rsidRPr="00203582">
        <w:rPr>
          <w:rFonts w:ascii="Times New Roman" w:eastAsia="Times New Roman" w:hAnsi="Times New Roman" w:cs="Times New Roman"/>
          <w:sz w:val="24"/>
          <w:szCs w:val="24"/>
        </w:rPr>
        <w:t xml:space="preserve">, M., &amp; Kaye, H. (1986). Computerized EEG analyses of autistic children.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16</w:t>
      </w:r>
      <w:r w:rsidRPr="00203582">
        <w:rPr>
          <w:rFonts w:ascii="Times New Roman" w:eastAsia="Times New Roman" w:hAnsi="Times New Roman" w:cs="Times New Roman"/>
          <w:sz w:val="24"/>
          <w:szCs w:val="24"/>
        </w:rPr>
        <w:t>(2), 169–187. https://doi.org/10.1007/BF01531728</w:t>
      </w:r>
    </w:p>
    <w:p w14:paraId="758ABF5A"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de-DE"/>
        </w:rPr>
      </w:pPr>
      <w:r w:rsidRPr="00203582">
        <w:rPr>
          <w:rFonts w:ascii="Times New Roman" w:eastAsia="Times New Roman" w:hAnsi="Times New Roman" w:cs="Times New Roman"/>
          <w:sz w:val="24"/>
          <w:szCs w:val="24"/>
        </w:rPr>
        <w:lastRenderedPageBreak/>
        <w:t xml:space="preserve">Carbone, A., &amp; </w:t>
      </w:r>
      <w:proofErr w:type="spellStart"/>
      <w:r w:rsidRPr="00203582">
        <w:rPr>
          <w:rFonts w:ascii="Times New Roman" w:eastAsia="Times New Roman" w:hAnsi="Times New Roman" w:cs="Times New Roman"/>
          <w:sz w:val="24"/>
          <w:szCs w:val="24"/>
        </w:rPr>
        <w:t>Dell’Aquila</w:t>
      </w:r>
      <w:proofErr w:type="spellEnd"/>
      <w:r w:rsidRPr="00203582">
        <w:rPr>
          <w:rFonts w:ascii="Times New Roman" w:eastAsia="Times New Roman" w:hAnsi="Times New Roman" w:cs="Times New Roman"/>
          <w:sz w:val="24"/>
          <w:szCs w:val="24"/>
        </w:rPr>
        <w:t xml:space="preserve">, A. (2023). The diagnosis of “pervasive developmental disorder not otherwise specified”: A systematic literature review. </w:t>
      </w:r>
      <w:r w:rsidRPr="00203582">
        <w:rPr>
          <w:rFonts w:ascii="Times New Roman" w:eastAsia="Times New Roman" w:hAnsi="Times New Roman" w:cs="Times New Roman"/>
          <w:i/>
          <w:sz w:val="24"/>
          <w:szCs w:val="24"/>
          <w:lang w:val="de-DE"/>
        </w:rPr>
        <w:t>Children (Basel, Switzerland)</w:t>
      </w:r>
      <w:r w:rsidRPr="00203582">
        <w:rPr>
          <w:rFonts w:ascii="Times New Roman" w:eastAsia="Times New Roman" w:hAnsi="Times New Roman" w:cs="Times New Roman"/>
          <w:sz w:val="24"/>
          <w:szCs w:val="24"/>
          <w:lang w:val="de-DE"/>
        </w:rPr>
        <w:t xml:space="preserve">, </w:t>
      </w:r>
      <w:r w:rsidRPr="00203582">
        <w:rPr>
          <w:rFonts w:ascii="Times New Roman" w:eastAsia="Times New Roman" w:hAnsi="Times New Roman" w:cs="Times New Roman"/>
          <w:i/>
          <w:sz w:val="24"/>
          <w:szCs w:val="24"/>
          <w:lang w:val="de-DE"/>
        </w:rPr>
        <w:t>10</w:t>
      </w:r>
      <w:r w:rsidRPr="00203582">
        <w:rPr>
          <w:rFonts w:ascii="Times New Roman" w:eastAsia="Times New Roman" w:hAnsi="Times New Roman" w:cs="Times New Roman"/>
          <w:sz w:val="24"/>
          <w:szCs w:val="24"/>
          <w:lang w:val="de-DE"/>
        </w:rPr>
        <w:t>(5). https://doi.org/10.3390/children10050844</w:t>
      </w:r>
    </w:p>
    <w:p w14:paraId="66DBE5A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Carper</w:t>
      </w:r>
      <w:proofErr w:type="spellEnd"/>
      <w:r w:rsidRPr="005C650F">
        <w:rPr>
          <w:rFonts w:ascii="Times New Roman" w:eastAsia="Times New Roman" w:hAnsi="Times New Roman" w:cs="Times New Roman"/>
          <w:sz w:val="24"/>
          <w:szCs w:val="24"/>
        </w:rPr>
        <w:t xml:space="preserve">, R. A., &amp; Courchesne, E. (2005). Localized enlargement of the frontal cortex in early autism. </w:t>
      </w:r>
      <w:r w:rsidRPr="005C650F">
        <w:rPr>
          <w:rFonts w:ascii="Times New Roman" w:eastAsia="Times New Roman" w:hAnsi="Times New Roman" w:cs="Times New Roman"/>
          <w:i/>
          <w:iCs/>
          <w:sz w:val="24"/>
          <w:szCs w:val="24"/>
        </w:rPr>
        <w:t>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57</w:t>
      </w:r>
      <w:r w:rsidRPr="005C650F">
        <w:rPr>
          <w:rFonts w:ascii="Times New Roman" w:eastAsia="Times New Roman" w:hAnsi="Times New Roman" w:cs="Times New Roman"/>
          <w:sz w:val="24"/>
          <w:szCs w:val="24"/>
        </w:rPr>
        <w:t>(2), 126–133. https://doi.org/10.1016/j.biopsych.2004.11.005</w:t>
      </w:r>
    </w:p>
    <w:p w14:paraId="1D06A245"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proofErr w:type="spellStart"/>
      <w:r w:rsidRPr="005C650F">
        <w:rPr>
          <w:rFonts w:ascii="Times New Roman" w:eastAsia="Times New Roman" w:hAnsi="Times New Roman" w:cs="Times New Roman"/>
          <w:sz w:val="24"/>
          <w:szCs w:val="24"/>
        </w:rPr>
        <w:t>Carper</w:t>
      </w:r>
      <w:proofErr w:type="spellEnd"/>
      <w:r w:rsidRPr="005C650F">
        <w:rPr>
          <w:rFonts w:ascii="Times New Roman" w:eastAsia="Times New Roman" w:hAnsi="Times New Roman" w:cs="Times New Roman"/>
          <w:sz w:val="24"/>
          <w:szCs w:val="24"/>
        </w:rPr>
        <w:t xml:space="preserve">, R. A., Moses, P., Tigue, Z. D., &amp; Courchesne, E. (2002). Cerebral lobes in autism: early hyperplasia and abnormal age effects. </w:t>
      </w:r>
      <w:proofErr w:type="spellStart"/>
      <w:r w:rsidRPr="005C650F">
        <w:rPr>
          <w:rFonts w:ascii="Times New Roman" w:eastAsia="Times New Roman" w:hAnsi="Times New Roman" w:cs="Times New Roman"/>
          <w:i/>
          <w:iCs/>
          <w:sz w:val="24"/>
          <w:szCs w:val="24"/>
          <w:lang w:val="fr-FR"/>
        </w:rPr>
        <w:t>Neuroimage</w:t>
      </w:r>
      <w:proofErr w:type="spellEnd"/>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16</w:t>
      </w:r>
      <w:r w:rsidRPr="005C650F">
        <w:rPr>
          <w:rFonts w:ascii="Times New Roman" w:eastAsia="Times New Roman" w:hAnsi="Times New Roman" w:cs="Times New Roman"/>
          <w:sz w:val="24"/>
          <w:szCs w:val="24"/>
          <w:lang w:val="fr-FR"/>
        </w:rPr>
        <w:t>(4), 1038–1051. https://doi.org/10.1006/nimg.2002.1099</w:t>
      </w:r>
    </w:p>
    <w:p w14:paraId="228C000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Carter, M. T., &amp; Scherer, S. W. (2013). </w:t>
      </w:r>
      <w:r w:rsidRPr="00203582">
        <w:rPr>
          <w:rFonts w:ascii="Times New Roman" w:eastAsia="Times New Roman" w:hAnsi="Times New Roman" w:cs="Times New Roman"/>
          <w:sz w:val="24"/>
          <w:szCs w:val="24"/>
        </w:rPr>
        <w:t xml:space="preserve">Autism spectrum disorder in the genetics clinic: a review. </w:t>
      </w:r>
      <w:r w:rsidRPr="00203582">
        <w:rPr>
          <w:rFonts w:ascii="Times New Roman" w:eastAsia="Times New Roman" w:hAnsi="Times New Roman" w:cs="Times New Roman"/>
          <w:i/>
          <w:sz w:val="24"/>
          <w:szCs w:val="24"/>
        </w:rPr>
        <w:t>Clinical Genetics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83</w:t>
      </w:r>
      <w:r w:rsidRPr="00203582">
        <w:rPr>
          <w:rFonts w:ascii="Times New Roman" w:eastAsia="Times New Roman" w:hAnsi="Times New Roman" w:cs="Times New Roman"/>
          <w:sz w:val="24"/>
          <w:szCs w:val="24"/>
        </w:rPr>
        <w:t>(5), 399–407. https://doi.org/10.1111/cge.12101</w:t>
      </w:r>
    </w:p>
    <w:p w14:paraId="6FEA6AB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Casey, B. J., Galván, A., &amp; Somerville, L. H. (2016). Beyond simple models of adolescence to an integrated circuit-based account: A commentary. </w:t>
      </w:r>
      <w:r w:rsidRPr="00203582">
        <w:rPr>
          <w:rFonts w:ascii="Times New Roman" w:eastAsia="Times New Roman" w:hAnsi="Times New Roman" w:cs="Times New Roman"/>
          <w:i/>
          <w:sz w:val="24"/>
          <w:szCs w:val="24"/>
        </w:rPr>
        <w:t>Developmental Cognitive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17</w:t>
      </w:r>
      <w:r w:rsidRPr="00203582">
        <w:rPr>
          <w:rFonts w:ascii="Times New Roman" w:eastAsia="Times New Roman" w:hAnsi="Times New Roman" w:cs="Times New Roman"/>
          <w:sz w:val="24"/>
          <w:szCs w:val="24"/>
        </w:rPr>
        <w:t>, 128–130. https://doi.org/10.1016/j.dcn.2015.12.006</w:t>
      </w:r>
    </w:p>
    <w:p w14:paraId="0F0C6AE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Casey, B. J., Glatt, C. E., &amp; Lee, F. S. (2015). Treating the Developing versus Developed Brain: Translating Preclinical Mouse and Human Studies. </w:t>
      </w:r>
      <w:r w:rsidRPr="00203582">
        <w:rPr>
          <w:rFonts w:ascii="Times New Roman" w:eastAsia="Times New Roman" w:hAnsi="Times New Roman" w:cs="Times New Roman"/>
          <w:i/>
          <w:sz w:val="24"/>
          <w:szCs w:val="24"/>
        </w:rPr>
        <w:t>Neuron</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86</w:t>
      </w:r>
      <w:r w:rsidRPr="00203582">
        <w:rPr>
          <w:rFonts w:ascii="Times New Roman" w:eastAsia="Times New Roman" w:hAnsi="Times New Roman" w:cs="Times New Roman"/>
          <w:sz w:val="24"/>
          <w:szCs w:val="24"/>
        </w:rPr>
        <w:t>(6), 1358–1368. https://doi.org/10.1016/j.neuron.2015.05.020</w:t>
      </w:r>
    </w:p>
    <w:p w14:paraId="6A6D44BA"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r w:rsidRPr="00203582">
        <w:rPr>
          <w:rFonts w:ascii="Times New Roman" w:eastAsia="Times New Roman" w:hAnsi="Times New Roman" w:cs="Times New Roman"/>
          <w:sz w:val="24"/>
          <w:szCs w:val="24"/>
        </w:rPr>
        <w:t xml:space="preserve">Catarino, A., Churches, O., Baron-Cohen, S., Andrade, A., &amp; Ring, H. (2011). Atypical EEG complexity in autism spectrum conditions: a multiscale entropy analysis. </w:t>
      </w:r>
      <w:proofErr w:type="spellStart"/>
      <w:r w:rsidRPr="00203582">
        <w:rPr>
          <w:rFonts w:ascii="Times New Roman" w:eastAsia="Times New Roman" w:hAnsi="Times New Roman" w:cs="Times New Roman"/>
          <w:i/>
          <w:sz w:val="24"/>
          <w:szCs w:val="24"/>
          <w:lang w:val="fr-FR"/>
        </w:rPr>
        <w:t>Clinical</w:t>
      </w:r>
      <w:proofErr w:type="spellEnd"/>
      <w:r w:rsidRPr="00203582">
        <w:rPr>
          <w:rFonts w:ascii="Times New Roman" w:eastAsia="Times New Roman" w:hAnsi="Times New Roman" w:cs="Times New Roman"/>
          <w:i/>
          <w:sz w:val="24"/>
          <w:szCs w:val="24"/>
          <w:lang w:val="fr-FR"/>
        </w:rPr>
        <w:t xml:space="preserve"> </w:t>
      </w:r>
      <w:proofErr w:type="spellStart"/>
      <w:r w:rsidRPr="00203582">
        <w:rPr>
          <w:rFonts w:ascii="Times New Roman" w:eastAsia="Times New Roman" w:hAnsi="Times New Roman" w:cs="Times New Roman"/>
          <w:i/>
          <w:sz w:val="24"/>
          <w:szCs w:val="24"/>
          <w:lang w:val="fr-FR"/>
        </w:rPr>
        <w:t>Neurophysiology</w:t>
      </w:r>
      <w:proofErr w:type="spellEnd"/>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122</w:t>
      </w:r>
      <w:r w:rsidRPr="00203582">
        <w:rPr>
          <w:rFonts w:ascii="Times New Roman" w:eastAsia="Times New Roman" w:hAnsi="Times New Roman" w:cs="Times New Roman"/>
          <w:sz w:val="24"/>
          <w:szCs w:val="24"/>
          <w:lang w:val="fr-FR"/>
        </w:rPr>
        <w:t>(12), 2375–2383. https://doi.org/10.1016/j.clinph.2011.05.004</w:t>
      </w:r>
    </w:p>
    <w:p w14:paraId="7CF2919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Catarino, A., Churches, O., Baron-Cohen, S., Andrade, A., &amp; Ring, H. (2011). Atypical EEG complexity in autism spectrum conditions: a multiscale entropy analysis.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122</w:t>
      </w:r>
      <w:r w:rsidRPr="005C650F">
        <w:rPr>
          <w:rFonts w:ascii="Times New Roman" w:eastAsia="Times New Roman" w:hAnsi="Times New Roman" w:cs="Times New Roman"/>
          <w:sz w:val="24"/>
          <w:szCs w:val="24"/>
        </w:rPr>
        <w:t>(12), 2375–2383. https://doi.org/10.1016/j.clinph.2011.05.004</w:t>
      </w:r>
    </w:p>
    <w:p w14:paraId="00C8885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Catarino, A., Churches, O., Baron-Cohen, S., Andrade, A., &amp; Ring, H. (2011). Atypical EEG complexity in autism spectrum conditions: a multiscale entropy analysis.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122</w:t>
      </w:r>
      <w:r w:rsidRPr="005C650F">
        <w:rPr>
          <w:rFonts w:ascii="Times New Roman" w:eastAsia="Times New Roman" w:hAnsi="Times New Roman" w:cs="Times New Roman"/>
          <w:sz w:val="24"/>
          <w:szCs w:val="24"/>
        </w:rPr>
        <w:t>(12), 2375–2383. https://doi.org/10.1016/j.clinph.2011.05.004</w:t>
      </w:r>
    </w:p>
    <w:p w14:paraId="2823C29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Chan, A. S., &amp; Leung, W. W. M. (2006). Differentiating Autistic Children With Quantitative Encephalography: A 3-Month Longitudinal Study. </w:t>
      </w:r>
      <w:r w:rsidRPr="005C650F">
        <w:rPr>
          <w:rFonts w:ascii="Times New Roman" w:eastAsia="Times New Roman" w:hAnsi="Times New Roman" w:cs="Times New Roman"/>
          <w:i/>
          <w:iCs/>
          <w:sz w:val="24"/>
          <w:szCs w:val="24"/>
        </w:rPr>
        <w:t>Journal of Child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21</w:t>
      </w:r>
      <w:r w:rsidRPr="005C650F">
        <w:rPr>
          <w:rFonts w:ascii="Times New Roman" w:eastAsia="Times New Roman" w:hAnsi="Times New Roman" w:cs="Times New Roman"/>
          <w:sz w:val="24"/>
          <w:szCs w:val="24"/>
        </w:rPr>
        <w:t>(5), 392–399.</w:t>
      </w:r>
    </w:p>
    <w:p w14:paraId="7EEC9875"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de-DE"/>
        </w:rPr>
      </w:pPr>
      <w:r w:rsidRPr="00203582">
        <w:rPr>
          <w:rFonts w:ascii="Times New Roman" w:eastAsia="Times New Roman" w:hAnsi="Times New Roman" w:cs="Times New Roman"/>
          <w:sz w:val="24"/>
          <w:szCs w:val="24"/>
          <w:lang w:val="fr-FR"/>
        </w:rPr>
        <w:t xml:space="preserve">Chan, A. S., </w:t>
      </w:r>
      <w:proofErr w:type="spellStart"/>
      <w:r w:rsidRPr="00203582">
        <w:rPr>
          <w:rFonts w:ascii="Times New Roman" w:eastAsia="Times New Roman" w:hAnsi="Times New Roman" w:cs="Times New Roman"/>
          <w:sz w:val="24"/>
          <w:szCs w:val="24"/>
          <w:lang w:val="fr-FR"/>
        </w:rPr>
        <w:t>Sze</w:t>
      </w:r>
      <w:proofErr w:type="spellEnd"/>
      <w:r w:rsidRPr="00203582">
        <w:rPr>
          <w:rFonts w:ascii="Times New Roman" w:eastAsia="Times New Roman" w:hAnsi="Times New Roman" w:cs="Times New Roman"/>
          <w:sz w:val="24"/>
          <w:szCs w:val="24"/>
          <w:lang w:val="fr-FR"/>
        </w:rPr>
        <w:t xml:space="preserve">, S. L., &amp; Cheung, M.-C. (2007). </w:t>
      </w:r>
      <w:r w:rsidRPr="00203582">
        <w:rPr>
          <w:rFonts w:ascii="Times New Roman" w:eastAsia="Times New Roman" w:hAnsi="Times New Roman" w:cs="Times New Roman"/>
          <w:sz w:val="24"/>
          <w:szCs w:val="24"/>
        </w:rPr>
        <w:t xml:space="preserve">Quantitative electroencephalographic profiles for children with autistic spectrum disorder. </w:t>
      </w:r>
      <w:r w:rsidRPr="00203582">
        <w:rPr>
          <w:rFonts w:ascii="Times New Roman" w:eastAsia="Times New Roman" w:hAnsi="Times New Roman" w:cs="Times New Roman"/>
          <w:i/>
          <w:sz w:val="24"/>
          <w:szCs w:val="24"/>
          <w:lang w:val="de-DE"/>
        </w:rPr>
        <w:t>Neuropsychology</w:t>
      </w:r>
      <w:r w:rsidRPr="00203582">
        <w:rPr>
          <w:rFonts w:ascii="Times New Roman" w:eastAsia="Times New Roman" w:hAnsi="Times New Roman" w:cs="Times New Roman"/>
          <w:sz w:val="24"/>
          <w:szCs w:val="24"/>
          <w:lang w:val="de-DE"/>
        </w:rPr>
        <w:t xml:space="preserve">, </w:t>
      </w:r>
      <w:r w:rsidRPr="00203582">
        <w:rPr>
          <w:rFonts w:ascii="Times New Roman" w:eastAsia="Times New Roman" w:hAnsi="Times New Roman" w:cs="Times New Roman"/>
          <w:i/>
          <w:sz w:val="24"/>
          <w:szCs w:val="24"/>
          <w:lang w:val="de-DE"/>
        </w:rPr>
        <w:t>21</w:t>
      </w:r>
      <w:r w:rsidRPr="00203582">
        <w:rPr>
          <w:rFonts w:ascii="Times New Roman" w:eastAsia="Times New Roman" w:hAnsi="Times New Roman" w:cs="Times New Roman"/>
          <w:sz w:val="24"/>
          <w:szCs w:val="24"/>
          <w:lang w:val="de-DE"/>
        </w:rPr>
        <w:t>(1), 74–81. https://doi.org/10.1037/0894-4105.21.1.74</w:t>
      </w:r>
    </w:p>
    <w:p w14:paraId="55A1AD0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Chan, A. S., Sze, S. L., &amp; Cheung, M.-C. (2007). Quantitative electroencephalographic profiles for children with autistic spectrum disorder. </w:t>
      </w:r>
      <w:r w:rsidRPr="005C650F">
        <w:rPr>
          <w:rFonts w:ascii="Times New Roman" w:eastAsia="Times New Roman" w:hAnsi="Times New Roman" w:cs="Times New Roman"/>
          <w:i/>
          <w:iCs/>
          <w:sz w:val="24"/>
          <w:szCs w:val="24"/>
        </w:rPr>
        <w:t>Neuropsychology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21</w:t>
      </w:r>
      <w:r w:rsidRPr="005C650F">
        <w:rPr>
          <w:rFonts w:ascii="Times New Roman" w:eastAsia="Times New Roman" w:hAnsi="Times New Roman" w:cs="Times New Roman"/>
          <w:sz w:val="24"/>
          <w:szCs w:val="24"/>
        </w:rPr>
        <w:t>(1), 74–81. https://doi.org/10.1037/0894-4105.21.1.74</w:t>
      </w:r>
    </w:p>
    <w:p w14:paraId="3678237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Chao-Gan, Y., &amp; Yu-Feng, Z. (2010). DPARSF: A MATLAB Toolbox for “Pipeline” Data Analysis of Resting-State fMRI. </w:t>
      </w:r>
      <w:r w:rsidRPr="005C650F">
        <w:rPr>
          <w:rFonts w:ascii="Times New Roman" w:eastAsia="Times New Roman" w:hAnsi="Times New Roman" w:cs="Times New Roman"/>
          <w:i/>
          <w:iCs/>
          <w:sz w:val="24"/>
          <w:szCs w:val="24"/>
        </w:rPr>
        <w:t>Frontiers in Systems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w:t>
      </w:r>
      <w:r w:rsidRPr="005C650F">
        <w:rPr>
          <w:rFonts w:ascii="Times New Roman" w:eastAsia="Times New Roman" w:hAnsi="Times New Roman" w:cs="Times New Roman"/>
          <w:sz w:val="24"/>
          <w:szCs w:val="24"/>
        </w:rPr>
        <w:t>, 13. https://doi.org/10.3389/fnsys.2010.00013</w:t>
      </w:r>
    </w:p>
    <w:p w14:paraId="39F6377F"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Chao-Gan, Y., &amp; Yu-Feng, Z. (2010). DPARSF: A MATLAB Toolbox for “Pipeline” Data Analysis of Resting-State fMRI. Frontiers in Systems Neuroscience, 4, 13. https://doi.org/10.3389/fnsys.2010.00013</w:t>
      </w:r>
    </w:p>
    <w:p w14:paraId="35BBC8B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Chapman, R. M., Shelburne, S. A., &amp; Bragdon, H. R. (1970). EEG alpha activity influenced by visual input and not by eye position. </w:t>
      </w:r>
      <w:r w:rsidRPr="005C650F">
        <w:rPr>
          <w:rFonts w:ascii="Times New Roman" w:eastAsia="Times New Roman" w:hAnsi="Times New Roman" w:cs="Times New Roman"/>
          <w:i/>
          <w:iCs/>
          <w:sz w:val="24"/>
          <w:szCs w:val="24"/>
        </w:rPr>
        <w:t>Electroencephalography and 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28</w:t>
      </w:r>
      <w:r w:rsidRPr="005C650F">
        <w:rPr>
          <w:rFonts w:ascii="Times New Roman" w:eastAsia="Times New Roman" w:hAnsi="Times New Roman" w:cs="Times New Roman"/>
          <w:sz w:val="24"/>
          <w:szCs w:val="24"/>
        </w:rPr>
        <w:t>(2), 183–189. https://doi.org/10.1016/0013-4694(70)90186-0</w:t>
      </w:r>
    </w:p>
    <w:p w14:paraId="0011176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Chen, J. E., &amp; Glover, G. H. (2015). BOLD fractional contribution to resting-state functional connectivity above 0.1 Hz.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107</w:t>
      </w:r>
      <w:r w:rsidRPr="005C650F">
        <w:rPr>
          <w:rFonts w:ascii="Times New Roman" w:eastAsia="Times New Roman" w:hAnsi="Times New Roman" w:cs="Times New Roman"/>
          <w:sz w:val="24"/>
          <w:szCs w:val="24"/>
        </w:rPr>
        <w:t>, 207–218. https://doi.org/10.1016/j.neuroimage.2014.12.012</w:t>
      </w:r>
    </w:p>
    <w:p w14:paraId="2ABBF0A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fr-FR"/>
        </w:rPr>
        <w:t xml:space="preserve">Chen, X., Lu, B., &amp; Yan, C.-G. (2018). </w:t>
      </w:r>
      <w:r w:rsidRPr="005C650F">
        <w:rPr>
          <w:rFonts w:ascii="Times New Roman" w:eastAsia="Times New Roman" w:hAnsi="Times New Roman" w:cs="Times New Roman"/>
          <w:sz w:val="24"/>
          <w:szCs w:val="24"/>
        </w:rPr>
        <w:t xml:space="preserve">Reproducibility of R-fMRI metrics on the impact of different strategies for multiple comparison correction and sample sizes.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39</w:t>
      </w:r>
      <w:r w:rsidRPr="005C650F">
        <w:rPr>
          <w:rFonts w:ascii="Times New Roman" w:eastAsia="Times New Roman" w:hAnsi="Times New Roman" w:cs="Times New Roman"/>
          <w:sz w:val="24"/>
          <w:szCs w:val="24"/>
        </w:rPr>
        <w:t>(1), 300–318. https://doi.org/10.1002/hbm.23843</w:t>
      </w:r>
    </w:p>
    <w:p w14:paraId="070D45B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Cheng, W., Rolls, E. T., Gu, H., Zhang, J., &amp; Feng, J. (2015). Autism: reduced connectivity between cortical areas involved in face expression, theory of mind, and the sense of self. </w:t>
      </w:r>
      <w:r w:rsidRPr="005C650F">
        <w:rPr>
          <w:rFonts w:ascii="Times New Roman" w:eastAsia="Times New Roman" w:hAnsi="Times New Roman" w:cs="Times New Roman"/>
          <w:i/>
          <w:iCs/>
          <w:sz w:val="24"/>
          <w:szCs w:val="24"/>
        </w:rPr>
        <w:t>Brain: A Journal of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138</w:t>
      </w:r>
      <w:r w:rsidRPr="005C650F">
        <w:rPr>
          <w:rFonts w:ascii="Times New Roman" w:eastAsia="Times New Roman" w:hAnsi="Times New Roman" w:cs="Times New Roman"/>
          <w:sz w:val="24"/>
          <w:szCs w:val="24"/>
        </w:rPr>
        <w:t>(Pt 5), 1382–1393. https://doi.org/10.1093/brain/awv051</w:t>
      </w:r>
    </w:p>
    <w:p w14:paraId="233934C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lastRenderedPageBreak/>
        <w:t xml:space="preserve">Chenxi, L., Chen, Y., Li, Y., Wang, J., &amp; Liu, T. (2016). </w:t>
      </w:r>
      <w:r w:rsidRPr="00203582">
        <w:rPr>
          <w:rFonts w:ascii="Times New Roman" w:eastAsia="Times New Roman" w:hAnsi="Times New Roman" w:cs="Times New Roman"/>
          <w:sz w:val="24"/>
          <w:szCs w:val="24"/>
        </w:rPr>
        <w:t xml:space="preserve">Complexity analysis of brain activity in attention-deficit/hyperactivity disorder: A multiscale entropy analysis. </w:t>
      </w:r>
      <w:r w:rsidRPr="00203582">
        <w:rPr>
          <w:rFonts w:ascii="Times New Roman" w:eastAsia="Times New Roman" w:hAnsi="Times New Roman" w:cs="Times New Roman"/>
          <w:i/>
          <w:sz w:val="24"/>
          <w:szCs w:val="24"/>
        </w:rPr>
        <w:t>Brain Research Bulletin</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124</w:t>
      </w:r>
      <w:r w:rsidRPr="00203582">
        <w:rPr>
          <w:rFonts w:ascii="Times New Roman" w:eastAsia="Times New Roman" w:hAnsi="Times New Roman" w:cs="Times New Roman"/>
          <w:sz w:val="24"/>
          <w:szCs w:val="24"/>
        </w:rPr>
        <w:t>, 12–20. https://doi.org/10.1016/j.brainresbull.2016.03.007</w:t>
      </w:r>
    </w:p>
    <w:p w14:paraId="64ABB82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Christova</w:t>
      </w:r>
      <w:proofErr w:type="spellEnd"/>
      <w:r w:rsidRPr="00203582">
        <w:rPr>
          <w:rFonts w:ascii="Times New Roman" w:eastAsia="Times New Roman" w:hAnsi="Times New Roman" w:cs="Times New Roman"/>
          <w:sz w:val="24"/>
          <w:szCs w:val="24"/>
        </w:rPr>
        <w:t xml:space="preserve">, P., Lewis, S. M., Jerde, T. A., Lynch, J. K., &amp; Georgopoulos, A. P. (2011). True associations between resting fMRI time series based on innovations. </w:t>
      </w:r>
      <w:r w:rsidRPr="00203582">
        <w:rPr>
          <w:rFonts w:ascii="Times New Roman" w:eastAsia="Times New Roman" w:hAnsi="Times New Roman" w:cs="Times New Roman"/>
          <w:i/>
          <w:sz w:val="24"/>
          <w:szCs w:val="24"/>
        </w:rPr>
        <w:t>Journal of Neural Engineering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w:t>
      </w:r>
      <w:r w:rsidRPr="00203582">
        <w:rPr>
          <w:rFonts w:ascii="Times New Roman" w:eastAsia="Times New Roman" w:hAnsi="Times New Roman" w:cs="Times New Roman"/>
          <w:sz w:val="24"/>
          <w:szCs w:val="24"/>
        </w:rPr>
        <w:t>(4), 046025. https://doi.org/10.1088/1741-2560/8/4/046025</w:t>
      </w:r>
    </w:p>
    <w:p w14:paraId="2AC55B0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Clarke, A. R., Barry, R. J., McCarthy, R., &amp; </w:t>
      </w:r>
      <w:proofErr w:type="spellStart"/>
      <w:r w:rsidRPr="00203582">
        <w:rPr>
          <w:rFonts w:ascii="Times New Roman" w:eastAsia="Times New Roman" w:hAnsi="Times New Roman" w:cs="Times New Roman"/>
          <w:sz w:val="24"/>
          <w:szCs w:val="24"/>
        </w:rPr>
        <w:t>Selikowitz</w:t>
      </w:r>
      <w:proofErr w:type="spellEnd"/>
      <w:r w:rsidRPr="00203582">
        <w:rPr>
          <w:rFonts w:ascii="Times New Roman" w:eastAsia="Times New Roman" w:hAnsi="Times New Roman" w:cs="Times New Roman"/>
          <w:sz w:val="24"/>
          <w:szCs w:val="24"/>
        </w:rPr>
        <w:t xml:space="preserve">, M. (2001). Age and sex effects in the EEG: development of the normal child. </w:t>
      </w:r>
      <w:r w:rsidRPr="00203582">
        <w:rPr>
          <w:rFonts w:ascii="Times New Roman" w:eastAsia="Times New Roman" w:hAnsi="Times New Roman" w:cs="Times New Roman"/>
          <w:i/>
          <w:sz w:val="24"/>
          <w:szCs w:val="24"/>
        </w:rPr>
        <w:t>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112</w:t>
      </w:r>
      <w:r w:rsidRPr="00203582">
        <w:rPr>
          <w:rFonts w:ascii="Times New Roman" w:eastAsia="Times New Roman" w:hAnsi="Times New Roman" w:cs="Times New Roman"/>
          <w:sz w:val="24"/>
          <w:szCs w:val="24"/>
        </w:rPr>
        <w:t>(5), 806–814. https://doi.org/10.1016/S1388-2457(01)00488-6</w:t>
      </w:r>
    </w:p>
    <w:p w14:paraId="7043179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Clarke, A. R., Barry, R. J., McCarthy, R., &amp; </w:t>
      </w:r>
      <w:proofErr w:type="spellStart"/>
      <w:r w:rsidRPr="005C650F">
        <w:rPr>
          <w:rFonts w:ascii="Times New Roman" w:eastAsia="Times New Roman" w:hAnsi="Times New Roman" w:cs="Times New Roman"/>
          <w:sz w:val="24"/>
          <w:szCs w:val="24"/>
        </w:rPr>
        <w:t>Selikowitz</w:t>
      </w:r>
      <w:proofErr w:type="spellEnd"/>
      <w:r w:rsidRPr="005C650F">
        <w:rPr>
          <w:rFonts w:ascii="Times New Roman" w:eastAsia="Times New Roman" w:hAnsi="Times New Roman" w:cs="Times New Roman"/>
          <w:sz w:val="24"/>
          <w:szCs w:val="24"/>
        </w:rPr>
        <w:t xml:space="preserve">, M. (2002). EEG analysis of children with attention-deficit/hyperactivity disorder and comorbid reading disabilities. </w:t>
      </w:r>
      <w:r w:rsidRPr="005C650F">
        <w:rPr>
          <w:rFonts w:ascii="Times New Roman" w:eastAsia="Times New Roman" w:hAnsi="Times New Roman" w:cs="Times New Roman"/>
          <w:i/>
          <w:iCs/>
          <w:sz w:val="24"/>
          <w:szCs w:val="24"/>
        </w:rPr>
        <w:t>Journal of Learning Disabilities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35</w:t>
      </w:r>
      <w:r w:rsidRPr="005C650F">
        <w:rPr>
          <w:rFonts w:ascii="Times New Roman" w:eastAsia="Times New Roman" w:hAnsi="Times New Roman" w:cs="Times New Roman"/>
          <w:sz w:val="24"/>
          <w:szCs w:val="24"/>
        </w:rPr>
        <w:t>(3), 276–285. https://doi.org/10.1177/002221940203500309</w:t>
      </w:r>
    </w:p>
    <w:p w14:paraId="58EC6D6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Clements, G. M., Gyurkovics, M., Low, K. A., Beck, D. M., Fabiani, M., &amp; Gratton, G. (2022). Dynamics of alpha suppression and enhancement may be related to resource competition in cross-modal cortical regions.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252</w:t>
      </w:r>
      <w:r w:rsidRPr="005C650F">
        <w:rPr>
          <w:rFonts w:ascii="Times New Roman" w:eastAsia="Times New Roman" w:hAnsi="Times New Roman" w:cs="Times New Roman"/>
          <w:sz w:val="24"/>
          <w:szCs w:val="24"/>
        </w:rPr>
        <w:t>, 119048. https://doi.org/10.1016/j.neuroimage.2022.119048</w:t>
      </w:r>
    </w:p>
    <w:p w14:paraId="012D937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Clementz, B. A., Sweeney, J. A., Hamm, J. P., </w:t>
      </w:r>
      <w:proofErr w:type="spellStart"/>
      <w:r w:rsidRPr="00203582">
        <w:rPr>
          <w:rFonts w:ascii="Times New Roman" w:eastAsia="Times New Roman" w:hAnsi="Times New Roman" w:cs="Times New Roman"/>
          <w:sz w:val="24"/>
          <w:szCs w:val="24"/>
        </w:rPr>
        <w:t>Ivleva</w:t>
      </w:r>
      <w:proofErr w:type="spellEnd"/>
      <w:r w:rsidRPr="00203582">
        <w:rPr>
          <w:rFonts w:ascii="Times New Roman" w:eastAsia="Times New Roman" w:hAnsi="Times New Roman" w:cs="Times New Roman"/>
          <w:sz w:val="24"/>
          <w:szCs w:val="24"/>
        </w:rPr>
        <w:t xml:space="preserve">, E. I., Ethridge, L. E., </w:t>
      </w:r>
      <w:proofErr w:type="spellStart"/>
      <w:r w:rsidRPr="00203582">
        <w:rPr>
          <w:rFonts w:ascii="Times New Roman" w:eastAsia="Times New Roman" w:hAnsi="Times New Roman" w:cs="Times New Roman"/>
          <w:sz w:val="24"/>
          <w:szCs w:val="24"/>
        </w:rPr>
        <w:t>Pearlson</w:t>
      </w:r>
      <w:proofErr w:type="spellEnd"/>
      <w:r w:rsidRPr="00203582">
        <w:rPr>
          <w:rFonts w:ascii="Times New Roman" w:eastAsia="Times New Roman" w:hAnsi="Times New Roman" w:cs="Times New Roman"/>
          <w:sz w:val="24"/>
          <w:szCs w:val="24"/>
        </w:rPr>
        <w:t xml:space="preserve">, G. D., Keshavan, M. S., &amp; Tamminga, C. A. (2016). Identification of Distinct Psychosis Biotypes Using Brain-Based Biomarkers. </w:t>
      </w:r>
      <w:r w:rsidRPr="00203582">
        <w:rPr>
          <w:rFonts w:ascii="Times New Roman" w:eastAsia="Times New Roman" w:hAnsi="Times New Roman" w:cs="Times New Roman"/>
          <w:i/>
          <w:sz w:val="24"/>
          <w:szCs w:val="24"/>
        </w:rPr>
        <w:t>The American Journal of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173</w:t>
      </w:r>
      <w:r w:rsidRPr="00203582">
        <w:rPr>
          <w:rFonts w:ascii="Times New Roman" w:eastAsia="Times New Roman" w:hAnsi="Times New Roman" w:cs="Times New Roman"/>
          <w:sz w:val="24"/>
          <w:szCs w:val="24"/>
        </w:rPr>
        <w:t>(4), 373–384. https://doi.org/10.1176/appi.ajp.2015.14091200</w:t>
      </w:r>
    </w:p>
    <w:p w14:paraId="4C7DD7B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Coben, R., Clarke, A. R., Hudspeth, W., &amp; Barry, R. J. (2008). EEG power and coherence in autistic spectrum disorder. </w:t>
      </w:r>
      <w:r w:rsidRPr="00203582">
        <w:rPr>
          <w:rFonts w:ascii="Times New Roman" w:eastAsia="Times New Roman" w:hAnsi="Times New Roman" w:cs="Times New Roman"/>
          <w:i/>
          <w:sz w:val="24"/>
          <w:szCs w:val="24"/>
        </w:rPr>
        <w:t>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119</w:t>
      </w:r>
      <w:r w:rsidRPr="00203582">
        <w:rPr>
          <w:rFonts w:ascii="Times New Roman" w:eastAsia="Times New Roman" w:hAnsi="Times New Roman" w:cs="Times New Roman"/>
          <w:sz w:val="24"/>
          <w:szCs w:val="24"/>
        </w:rPr>
        <w:t>(5), 1002–1009. https://doi.org/10.1016/j.clinph.2008.01.013</w:t>
      </w:r>
    </w:p>
    <w:p w14:paraId="12C8C7B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Coben, R., Clarke, A. R., Hudspeth, W., &amp; Barry, R. J. (2008). EEG power and coherence in autistic spectrum disorder.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119</w:t>
      </w:r>
      <w:r w:rsidRPr="005C650F">
        <w:rPr>
          <w:rFonts w:ascii="Times New Roman" w:eastAsia="Times New Roman" w:hAnsi="Times New Roman" w:cs="Times New Roman"/>
          <w:sz w:val="24"/>
          <w:szCs w:val="24"/>
        </w:rPr>
        <w:t>(5), 1002–1009. https://doi.org/10.1016/j.clinph.2008.01.013</w:t>
      </w:r>
    </w:p>
    <w:p w14:paraId="3BA2AD0B"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de-DE"/>
        </w:rPr>
      </w:pPr>
      <w:r w:rsidRPr="005C650F">
        <w:rPr>
          <w:rFonts w:ascii="Times New Roman" w:eastAsia="Times New Roman" w:hAnsi="Times New Roman" w:cs="Times New Roman"/>
          <w:sz w:val="24"/>
          <w:szCs w:val="24"/>
        </w:rPr>
        <w:t xml:space="preserve">Cole, E. J., Barraclough, N. E., &amp; Andrews, T. J. (2019). Reduced connectivity between mentalizing and mirror systems in autism spectrum condition. </w:t>
      </w:r>
      <w:r w:rsidRPr="005C650F">
        <w:rPr>
          <w:rFonts w:ascii="Times New Roman" w:eastAsia="Times New Roman" w:hAnsi="Times New Roman" w:cs="Times New Roman"/>
          <w:i/>
          <w:iCs/>
          <w:sz w:val="24"/>
          <w:szCs w:val="24"/>
          <w:lang w:val="de-DE"/>
        </w:rPr>
        <w:t>Neuropsychologia</w:t>
      </w:r>
      <w:r w:rsidRPr="005C650F">
        <w:rPr>
          <w:rFonts w:ascii="Times New Roman" w:eastAsia="Times New Roman" w:hAnsi="Times New Roman" w:cs="Times New Roman"/>
          <w:sz w:val="24"/>
          <w:szCs w:val="24"/>
          <w:lang w:val="de-DE"/>
        </w:rPr>
        <w:t xml:space="preserve">, </w:t>
      </w:r>
      <w:r w:rsidRPr="005C650F">
        <w:rPr>
          <w:rFonts w:ascii="Times New Roman" w:eastAsia="Times New Roman" w:hAnsi="Times New Roman" w:cs="Times New Roman"/>
          <w:i/>
          <w:iCs/>
          <w:sz w:val="24"/>
          <w:szCs w:val="24"/>
          <w:lang w:val="de-DE"/>
        </w:rPr>
        <w:t>122</w:t>
      </w:r>
      <w:r w:rsidRPr="005C650F">
        <w:rPr>
          <w:rFonts w:ascii="Times New Roman" w:eastAsia="Times New Roman" w:hAnsi="Times New Roman" w:cs="Times New Roman"/>
          <w:sz w:val="24"/>
          <w:szCs w:val="24"/>
          <w:lang w:val="de-DE"/>
        </w:rPr>
        <w:t>, 88–97. https://doi.org/10.1016/j.neuropsychologia.2018.11.008</w:t>
      </w:r>
    </w:p>
    <w:p w14:paraId="6AD5589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Cornew</w:t>
      </w:r>
      <w:proofErr w:type="spellEnd"/>
      <w:r w:rsidRPr="00203582">
        <w:rPr>
          <w:rFonts w:ascii="Times New Roman" w:eastAsia="Times New Roman" w:hAnsi="Times New Roman" w:cs="Times New Roman"/>
          <w:sz w:val="24"/>
          <w:szCs w:val="24"/>
        </w:rPr>
        <w:t xml:space="preserve">, L., Roberts, T. P. L., Blaskey, L., &amp; Edgar, J. C. (2012). Resting-state oscillatory activity in autism spectrum disorders.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42</w:t>
      </w:r>
      <w:r w:rsidRPr="00203582">
        <w:rPr>
          <w:rFonts w:ascii="Times New Roman" w:eastAsia="Times New Roman" w:hAnsi="Times New Roman" w:cs="Times New Roman"/>
          <w:sz w:val="24"/>
          <w:szCs w:val="24"/>
        </w:rPr>
        <w:t>(9), 1884–1894. https://doi.org/10.1007/s10803-011-1431-6</w:t>
      </w:r>
    </w:p>
    <w:p w14:paraId="15B53BC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Cornew</w:t>
      </w:r>
      <w:proofErr w:type="spellEnd"/>
      <w:r w:rsidRPr="005C650F">
        <w:rPr>
          <w:rFonts w:ascii="Times New Roman" w:eastAsia="Times New Roman" w:hAnsi="Times New Roman" w:cs="Times New Roman"/>
          <w:sz w:val="24"/>
          <w:szCs w:val="24"/>
        </w:rPr>
        <w:t xml:space="preserve">, L., Roberts, T. P. L., Blaskey, L., &amp; Edgar, J. C. (2012). Resting-state oscillatory activity in autism spectrum disorders. </w:t>
      </w:r>
      <w:r w:rsidRPr="005C650F">
        <w:rPr>
          <w:rFonts w:ascii="Times New Roman" w:eastAsia="Times New Roman" w:hAnsi="Times New Roman" w:cs="Times New Roman"/>
          <w:i/>
          <w:iCs/>
          <w:sz w:val="24"/>
          <w:szCs w:val="24"/>
        </w:rPr>
        <w:t>Journal of Autism and 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42</w:t>
      </w:r>
      <w:r w:rsidRPr="005C650F">
        <w:rPr>
          <w:rFonts w:ascii="Times New Roman" w:eastAsia="Times New Roman" w:hAnsi="Times New Roman" w:cs="Times New Roman"/>
          <w:sz w:val="24"/>
          <w:szCs w:val="24"/>
        </w:rPr>
        <w:t>(9), 1884–1894. https://doi.org/10.1007/s10803-011-1431-6</w:t>
      </w:r>
    </w:p>
    <w:p w14:paraId="64C40D4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Costa, M, Peng, C. K., Goldberger, A. L., &amp; Hausdorff, J. M. (2003). </w:t>
      </w:r>
      <w:r w:rsidRPr="00203582">
        <w:rPr>
          <w:rFonts w:ascii="Times New Roman" w:eastAsia="Times New Roman" w:hAnsi="Times New Roman" w:cs="Times New Roman"/>
          <w:sz w:val="24"/>
          <w:szCs w:val="24"/>
        </w:rPr>
        <w:t xml:space="preserve">Multiscale entropy analysis of human gait dynamics. </w:t>
      </w:r>
      <w:proofErr w:type="spellStart"/>
      <w:r w:rsidRPr="00203582">
        <w:rPr>
          <w:rFonts w:ascii="Times New Roman" w:eastAsia="Times New Roman" w:hAnsi="Times New Roman" w:cs="Times New Roman"/>
          <w:i/>
          <w:sz w:val="24"/>
          <w:szCs w:val="24"/>
        </w:rPr>
        <w:t>Physica</w:t>
      </w:r>
      <w:proofErr w:type="spellEnd"/>
      <w:r w:rsidRPr="00203582">
        <w:rPr>
          <w:rFonts w:ascii="Times New Roman" w:eastAsia="Times New Roman" w:hAnsi="Times New Roman" w:cs="Times New Roman"/>
          <w:i/>
          <w:sz w:val="24"/>
          <w:szCs w:val="24"/>
        </w:rPr>
        <w:t xml:space="preserve"> 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330</w:t>
      </w:r>
      <w:r w:rsidRPr="00203582">
        <w:rPr>
          <w:rFonts w:ascii="Times New Roman" w:eastAsia="Times New Roman" w:hAnsi="Times New Roman" w:cs="Times New Roman"/>
          <w:sz w:val="24"/>
          <w:szCs w:val="24"/>
        </w:rPr>
        <w:t>(1–2), 53–60. https://doi.org/10.1016/j.physa.2003.08.022</w:t>
      </w:r>
    </w:p>
    <w:p w14:paraId="503F170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Costa, M., Goldberger, A. L., &amp; Peng, C. K. (2002). </w:t>
      </w:r>
      <w:r w:rsidRPr="005C650F">
        <w:rPr>
          <w:rFonts w:ascii="Times New Roman" w:eastAsia="Times New Roman" w:hAnsi="Times New Roman" w:cs="Times New Roman"/>
          <w:sz w:val="24"/>
          <w:szCs w:val="24"/>
        </w:rPr>
        <w:t xml:space="preserve">Multiscale entropy analysis of complex physiologic time series. </w:t>
      </w:r>
      <w:r w:rsidRPr="005C650F">
        <w:rPr>
          <w:rFonts w:ascii="Times New Roman" w:eastAsia="Times New Roman" w:hAnsi="Times New Roman" w:cs="Times New Roman"/>
          <w:i/>
          <w:iCs/>
          <w:sz w:val="24"/>
          <w:szCs w:val="24"/>
        </w:rPr>
        <w:t>Physical Review Letters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89</w:t>
      </w:r>
      <w:r w:rsidRPr="005C650F">
        <w:rPr>
          <w:rFonts w:ascii="Times New Roman" w:eastAsia="Times New Roman" w:hAnsi="Times New Roman" w:cs="Times New Roman"/>
          <w:sz w:val="24"/>
          <w:szCs w:val="24"/>
        </w:rPr>
        <w:t>(6), 068102. https://doi.org/10.1103/PhysRevLett.89.068102</w:t>
      </w:r>
    </w:p>
    <w:p w14:paraId="1F63D33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Costa, M., Goldberger, A. L., &amp; Peng, C. K. (2005). Multiscale entropy analysis of biological signals. </w:t>
      </w:r>
      <w:r w:rsidRPr="005C650F">
        <w:rPr>
          <w:rFonts w:ascii="Times New Roman" w:eastAsia="Times New Roman" w:hAnsi="Times New Roman" w:cs="Times New Roman"/>
          <w:i/>
          <w:iCs/>
          <w:sz w:val="24"/>
          <w:szCs w:val="24"/>
        </w:rPr>
        <w:t>Physical Review 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71</w:t>
      </w:r>
      <w:r w:rsidRPr="005C650F">
        <w:rPr>
          <w:rFonts w:ascii="Times New Roman" w:eastAsia="Times New Roman" w:hAnsi="Times New Roman" w:cs="Times New Roman"/>
          <w:sz w:val="24"/>
          <w:szCs w:val="24"/>
        </w:rPr>
        <w:t>(2). https://doi.org/10.1103/PhysRevE.71.021906</w:t>
      </w:r>
    </w:p>
    <w:p w14:paraId="53A9E29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Costa, Madalena, Goldberger, A. L., &amp; Peng, C. K. (2002). Multiscale entropy analysis of complex physiologic time series. </w:t>
      </w:r>
      <w:r w:rsidRPr="00203582">
        <w:rPr>
          <w:rFonts w:ascii="Times New Roman" w:eastAsia="Times New Roman" w:hAnsi="Times New Roman" w:cs="Times New Roman"/>
          <w:i/>
          <w:sz w:val="24"/>
          <w:szCs w:val="24"/>
        </w:rPr>
        <w:t>Physical Review Letters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89</w:t>
      </w:r>
      <w:r w:rsidRPr="00203582">
        <w:rPr>
          <w:rFonts w:ascii="Times New Roman" w:eastAsia="Times New Roman" w:hAnsi="Times New Roman" w:cs="Times New Roman"/>
          <w:sz w:val="24"/>
          <w:szCs w:val="24"/>
        </w:rPr>
        <w:t>(6), 068102. https://doi.org/10.1103/PhysRevLett.89.068102</w:t>
      </w:r>
    </w:p>
    <w:p w14:paraId="37672C0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Costa, Madalena, Goldberger, A. L., &amp; Peng, C. K. (2005). Multiscale entropy analysis of biological signals. </w:t>
      </w:r>
      <w:r w:rsidRPr="00203582">
        <w:rPr>
          <w:rFonts w:ascii="Times New Roman" w:eastAsia="Times New Roman" w:hAnsi="Times New Roman" w:cs="Times New Roman"/>
          <w:i/>
          <w:sz w:val="24"/>
          <w:szCs w:val="24"/>
        </w:rPr>
        <w:t>Physical Review 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71</w:t>
      </w:r>
      <w:r w:rsidRPr="00203582">
        <w:rPr>
          <w:rFonts w:ascii="Times New Roman" w:eastAsia="Times New Roman" w:hAnsi="Times New Roman" w:cs="Times New Roman"/>
          <w:sz w:val="24"/>
          <w:szCs w:val="24"/>
        </w:rPr>
        <w:t>(2). https://doi.org/10.1103/PhysRevE.71.021906</w:t>
      </w:r>
    </w:p>
    <w:p w14:paraId="0C11BD1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Costumero</w:t>
      </w:r>
      <w:proofErr w:type="spellEnd"/>
      <w:r w:rsidRPr="005C650F">
        <w:rPr>
          <w:rFonts w:ascii="Times New Roman" w:eastAsia="Times New Roman" w:hAnsi="Times New Roman" w:cs="Times New Roman"/>
          <w:sz w:val="24"/>
          <w:szCs w:val="24"/>
        </w:rPr>
        <w:t xml:space="preserve">, V., </w:t>
      </w:r>
      <w:proofErr w:type="spellStart"/>
      <w:r w:rsidRPr="005C650F">
        <w:rPr>
          <w:rFonts w:ascii="Times New Roman" w:eastAsia="Times New Roman" w:hAnsi="Times New Roman" w:cs="Times New Roman"/>
          <w:sz w:val="24"/>
          <w:szCs w:val="24"/>
        </w:rPr>
        <w:t>Bueichekú</w:t>
      </w:r>
      <w:proofErr w:type="spellEnd"/>
      <w:r w:rsidRPr="005C650F">
        <w:rPr>
          <w:rFonts w:ascii="Times New Roman" w:eastAsia="Times New Roman" w:hAnsi="Times New Roman" w:cs="Times New Roman"/>
          <w:sz w:val="24"/>
          <w:szCs w:val="24"/>
        </w:rPr>
        <w:t xml:space="preserve">, E., Adrián-Ventura, J., &amp; Ávila, C. (2020). Opening or closing eyes at rest modulates the functional connectivity of V1 with default and salience networks. </w:t>
      </w:r>
      <w:r w:rsidRPr="005C650F">
        <w:rPr>
          <w:rFonts w:ascii="Times New Roman" w:eastAsia="Times New Roman" w:hAnsi="Times New Roman" w:cs="Times New Roman"/>
          <w:i/>
          <w:iCs/>
          <w:sz w:val="24"/>
          <w:szCs w:val="24"/>
        </w:rPr>
        <w:t>Scientific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w:t>
      </w:r>
      <w:r w:rsidRPr="005C650F">
        <w:rPr>
          <w:rFonts w:ascii="Times New Roman" w:eastAsia="Times New Roman" w:hAnsi="Times New Roman" w:cs="Times New Roman"/>
          <w:sz w:val="24"/>
          <w:szCs w:val="24"/>
        </w:rPr>
        <w:t>(1), 9137. https://doi.org/10.1038/s41598-020-66100-y</w:t>
      </w:r>
    </w:p>
    <w:p w14:paraId="1F9041C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Costumero</w:t>
      </w:r>
      <w:proofErr w:type="spellEnd"/>
      <w:r w:rsidRPr="005C650F">
        <w:rPr>
          <w:rFonts w:ascii="Times New Roman" w:eastAsia="Times New Roman" w:hAnsi="Times New Roman" w:cs="Times New Roman"/>
          <w:sz w:val="24"/>
          <w:szCs w:val="24"/>
        </w:rPr>
        <w:t xml:space="preserve">, V., </w:t>
      </w:r>
      <w:proofErr w:type="spellStart"/>
      <w:r w:rsidRPr="005C650F">
        <w:rPr>
          <w:rFonts w:ascii="Times New Roman" w:eastAsia="Times New Roman" w:hAnsi="Times New Roman" w:cs="Times New Roman"/>
          <w:sz w:val="24"/>
          <w:szCs w:val="24"/>
        </w:rPr>
        <w:t>Bueichekú</w:t>
      </w:r>
      <w:proofErr w:type="spellEnd"/>
      <w:r w:rsidRPr="005C650F">
        <w:rPr>
          <w:rFonts w:ascii="Times New Roman" w:eastAsia="Times New Roman" w:hAnsi="Times New Roman" w:cs="Times New Roman"/>
          <w:sz w:val="24"/>
          <w:szCs w:val="24"/>
        </w:rPr>
        <w:t xml:space="preserve">, E., Adrián-Ventura, J., &amp; Ávila, C. (2020). Opening or closing eyes at rest modulates the functional connectivity of V1 with default and salience networks. </w:t>
      </w:r>
      <w:r w:rsidRPr="005C650F">
        <w:rPr>
          <w:rFonts w:ascii="Times New Roman" w:eastAsia="Times New Roman" w:hAnsi="Times New Roman" w:cs="Times New Roman"/>
          <w:i/>
          <w:iCs/>
          <w:sz w:val="24"/>
          <w:szCs w:val="24"/>
        </w:rPr>
        <w:t>Scientific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w:t>
      </w:r>
      <w:r w:rsidRPr="005C650F">
        <w:rPr>
          <w:rFonts w:ascii="Times New Roman" w:eastAsia="Times New Roman" w:hAnsi="Times New Roman" w:cs="Times New Roman"/>
          <w:sz w:val="24"/>
          <w:szCs w:val="24"/>
        </w:rPr>
        <w:t>(1), 9137. https://doi.org/10.1038/s41598-020-66100-y</w:t>
      </w:r>
    </w:p>
    <w:p w14:paraId="7C380CA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Courchesne, E., &amp; Pierce, K. (2005). Why the frontal cortex in autism might be talking only to itself: local over-connectivity but long-distance disconnection. </w:t>
      </w:r>
      <w:r w:rsidRPr="005C650F">
        <w:rPr>
          <w:rFonts w:ascii="Times New Roman" w:eastAsia="Times New Roman" w:hAnsi="Times New Roman" w:cs="Times New Roman"/>
          <w:i/>
          <w:iCs/>
          <w:sz w:val="24"/>
          <w:szCs w:val="24"/>
        </w:rPr>
        <w:t>Current Opinion in Neurobiology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15</w:t>
      </w:r>
      <w:r w:rsidRPr="005C650F">
        <w:rPr>
          <w:rFonts w:ascii="Times New Roman" w:eastAsia="Times New Roman" w:hAnsi="Times New Roman" w:cs="Times New Roman"/>
          <w:sz w:val="24"/>
          <w:szCs w:val="24"/>
        </w:rPr>
        <w:t>(2), 225–230. https://doi.org/10.1016/j.conb.2005.03.001</w:t>
      </w:r>
    </w:p>
    <w:p w14:paraId="0D4AB76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Courchesne, E., &amp; Pierce, K. (2005). Why the frontal cortex in autism might be talking only to itself: local over-connectivity but long-distance disconnection. </w:t>
      </w:r>
      <w:r w:rsidRPr="005C650F">
        <w:rPr>
          <w:rFonts w:ascii="Times New Roman" w:eastAsia="Times New Roman" w:hAnsi="Times New Roman" w:cs="Times New Roman"/>
          <w:i/>
          <w:iCs/>
          <w:sz w:val="24"/>
          <w:szCs w:val="24"/>
        </w:rPr>
        <w:t>Current Opinion in Neurobiology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15</w:t>
      </w:r>
      <w:r w:rsidRPr="005C650F">
        <w:rPr>
          <w:rFonts w:ascii="Times New Roman" w:eastAsia="Times New Roman" w:hAnsi="Times New Roman" w:cs="Times New Roman"/>
          <w:sz w:val="24"/>
          <w:szCs w:val="24"/>
        </w:rPr>
        <w:t>(2), 225–230. https://doi.org/10.1016/j.conb.2005.03.001</w:t>
      </w:r>
    </w:p>
    <w:p w14:paraId="066A44E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Courtiol</w:t>
      </w:r>
      <w:proofErr w:type="spellEnd"/>
      <w:r w:rsidRPr="00203582">
        <w:rPr>
          <w:rFonts w:ascii="Times New Roman" w:eastAsia="Times New Roman" w:hAnsi="Times New Roman" w:cs="Times New Roman"/>
          <w:sz w:val="24"/>
          <w:szCs w:val="24"/>
        </w:rPr>
        <w:t xml:space="preserve">, J., Perdikis, D., </w:t>
      </w:r>
      <w:proofErr w:type="spellStart"/>
      <w:r w:rsidRPr="00203582">
        <w:rPr>
          <w:rFonts w:ascii="Times New Roman" w:eastAsia="Times New Roman" w:hAnsi="Times New Roman" w:cs="Times New Roman"/>
          <w:sz w:val="24"/>
          <w:szCs w:val="24"/>
        </w:rPr>
        <w:t>Petkoski</w:t>
      </w:r>
      <w:proofErr w:type="spellEnd"/>
      <w:r w:rsidRPr="00203582">
        <w:rPr>
          <w:rFonts w:ascii="Times New Roman" w:eastAsia="Times New Roman" w:hAnsi="Times New Roman" w:cs="Times New Roman"/>
          <w:sz w:val="24"/>
          <w:szCs w:val="24"/>
        </w:rPr>
        <w:t xml:space="preserve">, S., Müller, V., Huys, R., </w:t>
      </w:r>
      <w:proofErr w:type="spellStart"/>
      <w:r w:rsidRPr="00203582">
        <w:rPr>
          <w:rFonts w:ascii="Times New Roman" w:eastAsia="Times New Roman" w:hAnsi="Times New Roman" w:cs="Times New Roman"/>
          <w:sz w:val="24"/>
          <w:szCs w:val="24"/>
        </w:rPr>
        <w:t>Sleimen-Malkoun</w:t>
      </w:r>
      <w:proofErr w:type="spellEnd"/>
      <w:r w:rsidRPr="00203582">
        <w:rPr>
          <w:rFonts w:ascii="Times New Roman" w:eastAsia="Times New Roman" w:hAnsi="Times New Roman" w:cs="Times New Roman"/>
          <w:sz w:val="24"/>
          <w:szCs w:val="24"/>
        </w:rPr>
        <w:t xml:space="preserve">, R., &amp; Jirsa, V. K. (2016). The multiscale entropy: Guidelines for use and interpretation in brain signal analysis. </w:t>
      </w:r>
      <w:r w:rsidRPr="00203582">
        <w:rPr>
          <w:rFonts w:ascii="Times New Roman" w:eastAsia="Times New Roman" w:hAnsi="Times New Roman" w:cs="Times New Roman"/>
          <w:i/>
          <w:sz w:val="24"/>
          <w:szCs w:val="24"/>
        </w:rPr>
        <w:t>Journal of Neuroscience Methods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273</w:t>
      </w:r>
      <w:r w:rsidRPr="00203582">
        <w:rPr>
          <w:rFonts w:ascii="Times New Roman" w:eastAsia="Times New Roman" w:hAnsi="Times New Roman" w:cs="Times New Roman"/>
          <w:sz w:val="24"/>
          <w:szCs w:val="24"/>
        </w:rPr>
        <w:t>, 175–190. https://doi.org/10.1016/j.jneumeth.2016.09.004</w:t>
      </w:r>
    </w:p>
    <w:p w14:paraId="35E1458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Courtiol</w:t>
      </w:r>
      <w:proofErr w:type="spellEnd"/>
      <w:r w:rsidRPr="005C650F">
        <w:rPr>
          <w:rFonts w:ascii="Times New Roman" w:eastAsia="Times New Roman" w:hAnsi="Times New Roman" w:cs="Times New Roman"/>
          <w:sz w:val="24"/>
          <w:szCs w:val="24"/>
        </w:rPr>
        <w:t xml:space="preserve">, J., Perdikis, D., </w:t>
      </w:r>
      <w:proofErr w:type="spellStart"/>
      <w:r w:rsidRPr="005C650F">
        <w:rPr>
          <w:rFonts w:ascii="Times New Roman" w:eastAsia="Times New Roman" w:hAnsi="Times New Roman" w:cs="Times New Roman"/>
          <w:sz w:val="24"/>
          <w:szCs w:val="24"/>
        </w:rPr>
        <w:t>Petkoski</w:t>
      </w:r>
      <w:proofErr w:type="spellEnd"/>
      <w:r w:rsidRPr="005C650F">
        <w:rPr>
          <w:rFonts w:ascii="Times New Roman" w:eastAsia="Times New Roman" w:hAnsi="Times New Roman" w:cs="Times New Roman"/>
          <w:sz w:val="24"/>
          <w:szCs w:val="24"/>
        </w:rPr>
        <w:t xml:space="preserve">, S., Müller, V., Huys, R., </w:t>
      </w:r>
      <w:proofErr w:type="spellStart"/>
      <w:r w:rsidRPr="005C650F">
        <w:rPr>
          <w:rFonts w:ascii="Times New Roman" w:eastAsia="Times New Roman" w:hAnsi="Times New Roman" w:cs="Times New Roman"/>
          <w:sz w:val="24"/>
          <w:szCs w:val="24"/>
        </w:rPr>
        <w:t>Sleimen-Malkoun</w:t>
      </w:r>
      <w:proofErr w:type="spellEnd"/>
      <w:r w:rsidRPr="005C650F">
        <w:rPr>
          <w:rFonts w:ascii="Times New Roman" w:eastAsia="Times New Roman" w:hAnsi="Times New Roman" w:cs="Times New Roman"/>
          <w:sz w:val="24"/>
          <w:szCs w:val="24"/>
        </w:rPr>
        <w:t xml:space="preserve">, R., &amp; Jirsa, V. K. (2016). The multiscale entropy: Guidelines for use and interpretation in brain signal analysis. </w:t>
      </w:r>
      <w:r w:rsidRPr="005C650F">
        <w:rPr>
          <w:rFonts w:ascii="Times New Roman" w:eastAsia="Times New Roman" w:hAnsi="Times New Roman" w:cs="Times New Roman"/>
          <w:i/>
          <w:iCs/>
          <w:sz w:val="24"/>
          <w:szCs w:val="24"/>
        </w:rPr>
        <w:t>Journal of Neuroscience Methods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273</w:t>
      </w:r>
      <w:r w:rsidRPr="005C650F">
        <w:rPr>
          <w:rFonts w:ascii="Times New Roman" w:eastAsia="Times New Roman" w:hAnsi="Times New Roman" w:cs="Times New Roman"/>
          <w:sz w:val="24"/>
          <w:szCs w:val="24"/>
        </w:rPr>
        <w:t>, 175–190. https://doi.org/10.1016/j.jneumeth.2016.09.004</w:t>
      </w:r>
    </w:p>
    <w:p w14:paraId="1E34309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Courtiol</w:t>
      </w:r>
      <w:proofErr w:type="spellEnd"/>
      <w:r w:rsidRPr="005C650F">
        <w:rPr>
          <w:rFonts w:ascii="Times New Roman" w:eastAsia="Times New Roman" w:hAnsi="Times New Roman" w:cs="Times New Roman"/>
          <w:sz w:val="24"/>
          <w:szCs w:val="24"/>
        </w:rPr>
        <w:t xml:space="preserve">, J., Perdikis, D., </w:t>
      </w:r>
      <w:proofErr w:type="spellStart"/>
      <w:r w:rsidRPr="005C650F">
        <w:rPr>
          <w:rFonts w:ascii="Times New Roman" w:eastAsia="Times New Roman" w:hAnsi="Times New Roman" w:cs="Times New Roman"/>
          <w:sz w:val="24"/>
          <w:szCs w:val="24"/>
        </w:rPr>
        <w:t>Petkoski</w:t>
      </w:r>
      <w:proofErr w:type="spellEnd"/>
      <w:r w:rsidRPr="005C650F">
        <w:rPr>
          <w:rFonts w:ascii="Times New Roman" w:eastAsia="Times New Roman" w:hAnsi="Times New Roman" w:cs="Times New Roman"/>
          <w:sz w:val="24"/>
          <w:szCs w:val="24"/>
        </w:rPr>
        <w:t xml:space="preserve">, S., Müller, V., Huys, R., </w:t>
      </w:r>
      <w:proofErr w:type="spellStart"/>
      <w:r w:rsidRPr="005C650F">
        <w:rPr>
          <w:rFonts w:ascii="Times New Roman" w:eastAsia="Times New Roman" w:hAnsi="Times New Roman" w:cs="Times New Roman"/>
          <w:sz w:val="24"/>
          <w:szCs w:val="24"/>
        </w:rPr>
        <w:t>Sleimen-Malkoun</w:t>
      </w:r>
      <w:proofErr w:type="spellEnd"/>
      <w:r w:rsidRPr="005C650F">
        <w:rPr>
          <w:rFonts w:ascii="Times New Roman" w:eastAsia="Times New Roman" w:hAnsi="Times New Roman" w:cs="Times New Roman"/>
          <w:sz w:val="24"/>
          <w:szCs w:val="24"/>
        </w:rPr>
        <w:t xml:space="preserve">, R., &amp; Jirsa, V. K. (2016). The multiscale entropy: Guidelines for use and interpretation in brain signal analysis. </w:t>
      </w:r>
      <w:r w:rsidRPr="005C650F">
        <w:rPr>
          <w:rFonts w:ascii="Times New Roman" w:eastAsia="Times New Roman" w:hAnsi="Times New Roman" w:cs="Times New Roman"/>
          <w:i/>
          <w:iCs/>
          <w:sz w:val="24"/>
          <w:szCs w:val="24"/>
        </w:rPr>
        <w:t>Journal of Neuroscience Methods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273</w:t>
      </w:r>
      <w:r w:rsidRPr="005C650F">
        <w:rPr>
          <w:rFonts w:ascii="Times New Roman" w:eastAsia="Times New Roman" w:hAnsi="Times New Roman" w:cs="Times New Roman"/>
          <w:sz w:val="24"/>
          <w:szCs w:val="24"/>
        </w:rPr>
        <w:t>, 175–190. https://doi.org/10.1016/j.jneumeth.2016.09.004</w:t>
      </w:r>
    </w:p>
    <w:p w14:paraId="5338082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Courtiol</w:t>
      </w:r>
      <w:proofErr w:type="spellEnd"/>
      <w:r w:rsidRPr="005C650F">
        <w:rPr>
          <w:rFonts w:ascii="Times New Roman" w:eastAsia="Times New Roman" w:hAnsi="Times New Roman" w:cs="Times New Roman"/>
          <w:sz w:val="24"/>
          <w:szCs w:val="24"/>
        </w:rPr>
        <w:t xml:space="preserve">, J., Perdikis, D., </w:t>
      </w:r>
      <w:proofErr w:type="spellStart"/>
      <w:r w:rsidRPr="005C650F">
        <w:rPr>
          <w:rFonts w:ascii="Times New Roman" w:eastAsia="Times New Roman" w:hAnsi="Times New Roman" w:cs="Times New Roman"/>
          <w:sz w:val="24"/>
          <w:szCs w:val="24"/>
        </w:rPr>
        <w:t>Petkoski</w:t>
      </w:r>
      <w:proofErr w:type="spellEnd"/>
      <w:r w:rsidRPr="005C650F">
        <w:rPr>
          <w:rFonts w:ascii="Times New Roman" w:eastAsia="Times New Roman" w:hAnsi="Times New Roman" w:cs="Times New Roman"/>
          <w:sz w:val="24"/>
          <w:szCs w:val="24"/>
        </w:rPr>
        <w:t xml:space="preserve">, S., Müller, V., Huys, R., </w:t>
      </w:r>
      <w:proofErr w:type="spellStart"/>
      <w:r w:rsidRPr="005C650F">
        <w:rPr>
          <w:rFonts w:ascii="Times New Roman" w:eastAsia="Times New Roman" w:hAnsi="Times New Roman" w:cs="Times New Roman"/>
          <w:sz w:val="24"/>
          <w:szCs w:val="24"/>
        </w:rPr>
        <w:t>Sleimen-Malkoun</w:t>
      </w:r>
      <w:proofErr w:type="spellEnd"/>
      <w:r w:rsidRPr="005C650F">
        <w:rPr>
          <w:rFonts w:ascii="Times New Roman" w:eastAsia="Times New Roman" w:hAnsi="Times New Roman" w:cs="Times New Roman"/>
          <w:sz w:val="24"/>
          <w:szCs w:val="24"/>
        </w:rPr>
        <w:t xml:space="preserve">, R., &amp; Jirsa, V. K. (2016). The multiscale entropy: Guidelines for use and interpretation in brain signal analysis. </w:t>
      </w:r>
      <w:r w:rsidRPr="005C650F">
        <w:rPr>
          <w:rFonts w:ascii="Times New Roman" w:eastAsia="Times New Roman" w:hAnsi="Times New Roman" w:cs="Times New Roman"/>
          <w:i/>
          <w:iCs/>
          <w:sz w:val="24"/>
          <w:szCs w:val="24"/>
        </w:rPr>
        <w:t>Journal of Neuroscience Methods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273</w:t>
      </w:r>
      <w:r w:rsidRPr="005C650F">
        <w:rPr>
          <w:rFonts w:ascii="Times New Roman" w:eastAsia="Times New Roman" w:hAnsi="Times New Roman" w:cs="Times New Roman"/>
          <w:sz w:val="24"/>
          <w:szCs w:val="24"/>
        </w:rPr>
        <w:t>, 175–190. https://doi.org/10.1016/j.jneumeth.2016.09.004</w:t>
      </w:r>
    </w:p>
    <w:p w14:paraId="279EE74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Courtiol</w:t>
      </w:r>
      <w:proofErr w:type="spellEnd"/>
      <w:r w:rsidRPr="005C650F">
        <w:rPr>
          <w:rFonts w:ascii="Times New Roman" w:eastAsia="Times New Roman" w:hAnsi="Times New Roman" w:cs="Times New Roman"/>
          <w:sz w:val="24"/>
          <w:szCs w:val="24"/>
        </w:rPr>
        <w:t xml:space="preserve">, J., Perdikis, D., </w:t>
      </w:r>
      <w:proofErr w:type="spellStart"/>
      <w:r w:rsidRPr="005C650F">
        <w:rPr>
          <w:rFonts w:ascii="Times New Roman" w:eastAsia="Times New Roman" w:hAnsi="Times New Roman" w:cs="Times New Roman"/>
          <w:sz w:val="24"/>
          <w:szCs w:val="24"/>
        </w:rPr>
        <w:t>Petkoski</w:t>
      </w:r>
      <w:proofErr w:type="spellEnd"/>
      <w:r w:rsidRPr="005C650F">
        <w:rPr>
          <w:rFonts w:ascii="Times New Roman" w:eastAsia="Times New Roman" w:hAnsi="Times New Roman" w:cs="Times New Roman"/>
          <w:sz w:val="24"/>
          <w:szCs w:val="24"/>
        </w:rPr>
        <w:t xml:space="preserve">, S., Müller, V., Huys, R., </w:t>
      </w:r>
      <w:proofErr w:type="spellStart"/>
      <w:r w:rsidRPr="005C650F">
        <w:rPr>
          <w:rFonts w:ascii="Times New Roman" w:eastAsia="Times New Roman" w:hAnsi="Times New Roman" w:cs="Times New Roman"/>
          <w:sz w:val="24"/>
          <w:szCs w:val="24"/>
        </w:rPr>
        <w:t>Sleimen-Malkoun</w:t>
      </w:r>
      <w:proofErr w:type="spellEnd"/>
      <w:r w:rsidRPr="005C650F">
        <w:rPr>
          <w:rFonts w:ascii="Times New Roman" w:eastAsia="Times New Roman" w:hAnsi="Times New Roman" w:cs="Times New Roman"/>
          <w:sz w:val="24"/>
          <w:szCs w:val="24"/>
        </w:rPr>
        <w:t xml:space="preserve">, R., &amp; Jirsa, V. K. (2016). The multiscale entropy: Guidelines for use and interpretation in brain signal analysis. </w:t>
      </w:r>
      <w:r w:rsidRPr="005C650F">
        <w:rPr>
          <w:rFonts w:ascii="Times New Roman" w:eastAsia="Times New Roman" w:hAnsi="Times New Roman" w:cs="Times New Roman"/>
          <w:i/>
          <w:iCs/>
          <w:sz w:val="24"/>
          <w:szCs w:val="24"/>
        </w:rPr>
        <w:t>Journal of Neuroscience Methods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273</w:t>
      </w:r>
      <w:r w:rsidRPr="005C650F">
        <w:rPr>
          <w:rFonts w:ascii="Times New Roman" w:eastAsia="Times New Roman" w:hAnsi="Times New Roman" w:cs="Times New Roman"/>
          <w:sz w:val="24"/>
          <w:szCs w:val="24"/>
        </w:rPr>
        <w:t>, 175–190. https://doi.org/10.1016/j.jneumeth.2016.09.004</w:t>
      </w:r>
    </w:p>
    <w:p w14:paraId="161BD12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Courtiol</w:t>
      </w:r>
      <w:proofErr w:type="spellEnd"/>
      <w:r w:rsidRPr="005C650F">
        <w:rPr>
          <w:rFonts w:ascii="Times New Roman" w:eastAsia="Times New Roman" w:hAnsi="Times New Roman" w:cs="Times New Roman"/>
          <w:sz w:val="24"/>
          <w:szCs w:val="24"/>
        </w:rPr>
        <w:t xml:space="preserve">, J., Perdikis, D., </w:t>
      </w:r>
      <w:proofErr w:type="spellStart"/>
      <w:r w:rsidRPr="005C650F">
        <w:rPr>
          <w:rFonts w:ascii="Times New Roman" w:eastAsia="Times New Roman" w:hAnsi="Times New Roman" w:cs="Times New Roman"/>
          <w:sz w:val="24"/>
          <w:szCs w:val="24"/>
        </w:rPr>
        <w:t>Petkoski</w:t>
      </w:r>
      <w:proofErr w:type="spellEnd"/>
      <w:r w:rsidRPr="005C650F">
        <w:rPr>
          <w:rFonts w:ascii="Times New Roman" w:eastAsia="Times New Roman" w:hAnsi="Times New Roman" w:cs="Times New Roman"/>
          <w:sz w:val="24"/>
          <w:szCs w:val="24"/>
        </w:rPr>
        <w:t xml:space="preserve">, S., Müller, V., Huys, R., </w:t>
      </w:r>
      <w:proofErr w:type="spellStart"/>
      <w:r w:rsidRPr="005C650F">
        <w:rPr>
          <w:rFonts w:ascii="Times New Roman" w:eastAsia="Times New Roman" w:hAnsi="Times New Roman" w:cs="Times New Roman"/>
          <w:sz w:val="24"/>
          <w:szCs w:val="24"/>
        </w:rPr>
        <w:t>Sleimen-Malkoun</w:t>
      </w:r>
      <w:proofErr w:type="spellEnd"/>
      <w:r w:rsidRPr="005C650F">
        <w:rPr>
          <w:rFonts w:ascii="Times New Roman" w:eastAsia="Times New Roman" w:hAnsi="Times New Roman" w:cs="Times New Roman"/>
          <w:sz w:val="24"/>
          <w:szCs w:val="24"/>
        </w:rPr>
        <w:t xml:space="preserve">, R., &amp; Jirsa, V. K. (2016). The multiscale entropy: Guidelines for use and interpretation in brain signal analysis. </w:t>
      </w:r>
      <w:r w:rsidRPr="005C650F">
        <w:rPr>
          <w:rFonts w:ascii="Times New Roman" w:eastAsia="Times New Roman" w:hAnsi="Times New Roman" w:cs="Times New Roman"/>
          <w:i/>
          <w:iCs/>
          <w:sz w:val="24"/>
          <w:szCs w:val="24"/>
        </w:rPr>
        <w:t>Journal of Neuroscience Methods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273</w:t>
      </w:r>
      <w:r w:rsidRPr="005C650F">
        <w:rPr>
          <w:rFonts w:ascii="Times New Roman" w:eastAsia="Times New Roman" w:hAnsi="Times New Roman" w:cs="Times New Roman"/>
          <w:sz w:val="24"/>
          <w:szCs w:val="24"/>
        </w:rPr>
        <w:t>, 175–190. https://doi.org/10.1016/j.jneumeth.2016.09.004</w:t>
      </w:r>
    </w:p>
    <w:p w14:paraId="4433CC1D"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Cox, R. W. (1996). AFNI: software for analysis and visualization of functional magnetic resonance neuroimages. Computers and Biomedical Research, an International Journal, 29(3), 162–173. https://doi.org/10.1006/cbmr.1996.0014</w:t>
      </w:r>
    </w:p>
    <w:p w14:paraId="122A538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Cragg, L., Kovacevic, N., McIntosh, A. R., Poulsen, C., Martinu, K., Leonard, G., &amp; Paus, T. (2011). Maturation of EEG power spectra in early adolescence: a longitudinal study. </w:t>
      </w:r>
      <w:r w:rsidRPr="00203582">
        <w:rPr>
          <w:rFonts w:ascii="Times New Roman" w:eastAsia="Times New Roman" w:hAnsi="Times New Roman" w:cs="Times New Roman"/>
          <w:i/>
          <w:sz w:val="24"/>
          <w:szCs w:val="24"/>
        </w:rPr>
        <w:t>Developmental 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14</w:t>
      </w:r>
      <w:r w:rsidRPr="00203582">
        <w:rPr>
          <w:rFonts w:ascii="Times New Roman" w:eastAsia="Times New Roman" w:hAnsi="Times New Roman" w:cs="Times New Roman"/>
          <w:sz w:val="24"/>
          <w:szCs w:val="24"/>
        </w:rPr>
        <w:t>(5), 935–943. https://doi.org/10.1111/j.1467-7687.2010.01031.x</w:t>
      </w:r>
    </w:p>
    <w:p w14:paraId="7CD3E19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Cummins, T. D. R., &amp; Finnigan, S. (2007). Theta power is reduced in healthy cognitive aging. </w:t>
      </w:r>
      <w:r w:rsidRPr="00203582">
        <w:rPr>
          <w:rFonts w:ascii="Times New Roman" w:eastAsia="Times New Roman" w:hAnsi="Times New Roman" w:cs="Times New Roman"/>
          <w:i/>
          <w:sz w:val="24"/>
          <w:szCs w:val="24"/>
        </w:rPr>
        <w:t>International Journal of Psychophysiology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66</w:t>
      </w:r>
      <w:r w:rsidRPr="00203582">
        <w:rPr>
          <w:rFonts w:ascii="Times New Roman" w:eastAsia="Times New Roman" w:hAnsi="Times New Roman" w:cs="Times New Roman"/>
          <w:sz w:val="24"/>
          <w:szCs w:val="24"/>
        </w:rPr>
        <w:t>(1), 10–17. https://doi.org/10.1016/j.ijpsycho.2007.05.008</w:t>
      </w:r>
    </w:p>
    <w:p w14:paraId="678380B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Davey, C. E., Grayden, D. B., Egan, G. F., &amp; Johnston, L. A. (2013). Filtering induces correlation in fMRI resting state data.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64</w:t>
      </w:r>
      <w:r w:rsidRPr="00203582">
        <w:rPr>
          <w:rFonts w:ascii="Times New Roman" w:eastAsia="Times New Roman" w:hAnsi="Times New Roman" w:cs="Times New Roman"/>
          <w:sz w:val="24"/>
          <w:szCs w:val="24"/>
        </w:rPr>
        <w:t>, 728–740. https://doi.org/10.1016/j.neuroimage.2012.08.022</w:t>
      </w:r>
    </w:p>
    <w:p w14:paraId="3AED619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Davey, C. G., Pujol, J., &amp; Harrison, B. J. (2016). Mapping the self in the brain’s default mode network.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132</w:t>
      </w:r>
      <w:r w:rsidRPr="005C650F">
        <w:rPr>
          <w:rFonts w:ascii="Times New Roman" w:eastAsia="Times New Roman" w:hAnsi="Times New Roman" w:cs="Times New Roman"/>
          <w:sz w:val="24"/>
          <w:szCs w:val="24"/>
        </w:rPr>
        <w:t>, 390–397. https://doi.org/10.1016/j.neuroimage.2016.02.022</w:t>
      </w:r>
    </w:p>
    <w:p w14:paraId="3FC6B74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Davy, P. J., Rayner, J. C., Beh, E. J., </w:t>
      </w:r>
      <w:proofErr w:type="spellStart"/>
      <w:r w:rsidRPr="00203582">
        <w:rPr>
          <w:rFonts w:ascii="Times New Roman" w:eastAsia="Times New Roman" w:hAnsi="Times New Roman" w:cs="Times New Roman"/>
          <w:sz w:val="24"/>
          <w:szCs w:val="24"/>
        </w:rPr>
        <w:t>Pemajayantha</w:t>
      </w:r>
      <w:proofErr w:type="spellEnd"/>
      <w:r w:rsidRPr="00203582">
        <w:rPr>
          <w:rFonts w:ascii="Times New Roman" w:eastAsia="Times New Roman" w:hAnsi="Times New Roman" w:cs="Times New Roman"/>
          <w:sz w:val="24"/>
          <w:szCs w:val="24"/>
        </w:rPr>
        <w:t xml:space="preserve">, V., Mellor, R., Peiris, M. S., &amp; </w:t>
      </w:r>
      <w:proofErr w:type="spellStart"/>
      <w:r w:rsidRPr="00203582">
        <w:rPr>
          <w:rFonts w:ascii="Times New Roman" w:eastAsia="Times New Roman" w:hAnsi="Times New Roman" w:cs="Times New Roman"/>
          <w:sz w:val="24"/>
          <w:szCs w:val="24"/>
        </w:rPr>
        <w:t>Rajasekera</w:t>
      </w:r>
      <w:proofErr w:type="spellEnd"/>
      <w:r w:rsidRPr="00203582">
        <w:rPr>
          <w:rFonts w:ascii="Times New Roman" w:eastAsia="Times New Roman" w:hAnsi="Times New Roman" w:cs="Times New Roman"/>
          <w:sz w:val="24"/>
          <w:szCs w:val="24"/>
        </w:rPr>
        <w:t xml:space="preserve">, J. R. (2003). Generalised correlations and Simpson’s paradox. </w:t>
      </w:r>
      <w:r w:rsidRPr="00203582">
        <w:rPr>
          <w:rFonts w:ascii="Times New Roman" w:eastAsia="Times New Roman" w:hAnsi="Times New Roman" w:cs="Times New Roman"/>
          <w:i/>
          <w:sz w:val="24"/>
          <w:szCs w:val="24"/>
        </w:rPr>
        <w:t>Current Research in Modelling, Data Mining &amp; Quantitative Techniques</w:t>
      </w:r>
      <w:r w:rsidRPr="00203582">
        <w:rPr>
          <w:rFonts w:ascii="Times New Roman" w:eastAsia="Times New Roman" w:hAnsi="Times New Roman" w:cs="Times New Roman"/>
          <w:sz w:val="24"/>
          <w:szCs w:val="24"/>
        </w:rPr>
        <w:t>.</w:t>
      </w:r>
    </w:p>
    <w:p w14:paraId="4571E035"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pl-PL"/>
        </w:rPr>
      </w:pPr>
      <w:r w:rsidRPr="00203582">
        <w:rPr>
          <w:rFonts w:ascii="Times New Roman" w:eastAsia="Times New Roman" w:hAnsi="Times New Roman" w:cs="Times New Roman"/>
          <w:sz w:val="24"/>
          <w:szCs w:val="24"/>
          <w:lang w:val="nl-NL"/>
        </w:rPr>
        <w:lastRenderedPageBreak/>
        <w:t xml:space="preserve">De Wel, O., Lavanga, M., Dorado, A., Jansen, K., Dereymaeker, A., Naulaers, G., &amp; Van Huffel, S. (2017). </w:t>
      </w:r>
      <w:r w:rsidRPr="00203582">
        <w:rPr>
          <w:rFonts w:ascii="Times New Roman" w:eastAsia="Times New Roman" w:hAnsi="Times New Roman" w:cs="Times New Roman"/>
          <w:sz w:val="24"/>
          <w:szCs w:val="24"/>
        </w:rPr>
        <w:t xml:space="preserve">Complexity analysis of neonatal EEG using multiscale entropy: applications in brain maturation and sleep stage classification. </w:t>
      </w:r>
      <w:r w:rsidRPr="00203582">
        <w:rPr>
          <w:rFonts w:ascii="Times New Roman" w:eastAsia="Times New Roman" w:hAnsi="Times New Roman" w:cs="Times New Roman"/>
          <w:i/>
          <w:sz w:val="24"/>
          <w:szCs w:val="24"/>
          <w:lang w:val="pl-PL"/>
        </w:rPr>
        <w:t>Entropy</w:t>
      </w:r>
      <w:r w:rsidRPr="00203582">
        <w:rPr>
          <w:rFonts w:ascii="Times New Roman" w:eastAsia="Times New Roman" w:hAnsi="Times New Roman" w:cs="Times New Roman"/>
          <w:sz w:val="24"/>
          <w:szCs w:val="24"/>
          <w:lang w:val="pl-PL"/>
        </w:rPr>
        <w:t xml:space="preserve">, </w:t>
      </w:r>
      <w:r w:rsidRPr="00203582">
        <w:rPr>
          <w:rFonts w:ascii="Times New Roman" w:eastAsia="Times New Roman" w:hAnsi="Times New Roman" w:cs="Times New Roman"/>
          <w:i/>
          <w:sz w:val="24"/>
          <w:szCs w:val="24"/>
          <w:lang w:val="pl-PL"/>
        </w:rPr>
        <w:t>19</w:t>
      </w:r>
      <w:r w:rsidRPr="00203582">
        <w:rPr>
          <w:rFonts w:ascii="Times New Roman" w:eastAsia="Times New Roman" w:hAnsi="Times New Roman" w:cs="Times New Roman"/>
          <w:sz w:val="24"/>
          <w:szCs w:val="24"/>
          <w:lang w:val="pl-PL"/>
        </w:rPr>
        <w:t>(10), 516. https://doi.org/10.3390/e19100516</w:t>
      </w:r>
    </w:p>
    <w:p w14:paraId="3CB31AA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Dede, A. J. O., Xiao, W., Vaci, N., Cohen, M. X., &amp; Milne, E. (2023). Lack of univariate, clinically-relevant biomarkers of autism in resting state EEG: a study of 776 participants. </w:t>
      </w:r>
      <w:proofErr w:type="spellStart"/>
      <w:r w:rsidRPr="005C650F">
        <w:rPr>
          <w:rFonts w:ascii="Times New Roman" w:eastAsia="Times New Roman" w:hAnsi="Times New Roman" w:cs="Times New Roman"/>
          <w:i/>
          <w:iCs/>
          <w:sz w:val="24"/>
          <w:szCs w:val="24"/>
        </w:rPr>
        <w:t>MedRxiv</w:t>
      </w:r>
      <w:proofErr w:type="spellEnd"/>
      <w:r w:rsidRPr="005C650F">
        <w:rPr>
          <w:rFonts w:ascii="Times New Roman" w:eastAsia="Times New Roman" w:hAnsi="Times New Roman" w:cs="Times New Roman"/>
          <w:sz w:val="24"/>
          <w:szCs w:val="24"/>
        </w:rPr>
        <w:t>. https://doi.org/10.1101/2023.05.21.23290300</w:t>
      </w:r>
    </w:p>
    <w:p w14:paraId="3E1385B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Dede, A. J. O., Xiao, W., Vaci, N., Cohen, M. X., &amp; Milne, E. (2023). Lack of univariate, clinically-relevant biomarkers of autism in resting state EEG: a study of 776 participants. </w:t>
      </w:r>
      <w:proofErr w:type="spellStart"/>
      <w:r w:rsidRPr="005C650F">
        <w:rPr>
          <w:rFonts w:ascii="Times New Roman" w:eastAsia="Times New Roman" w:hAnsi="Times New Roman" w:cs="Times New Roman"/>
          <w:i/>
          <w:iCs/>
          <w:sz w:val="24"/>
          <w:szCs w:val="24"/>
        </w:rPr>
        <w:t>MedRxiv</w:t>
      </w:r>
      <w:proofErr w:type="spellEnd"/>
      <w:r w:rsidRPr="005C650F">
        <w:rPr>
          <w:rFonts w:ascii="Times New Roman" w:eastAsia="Times New Roman" w:hAnsi="Times New Roman" w:cs="Times New Roman"/>
          <w:sz w:val="24"/>
          <w:szCs w:val="24"/>
        </w:rPr>
        <w:t>. https://doi.org/10.1101/2023.05.21.23290300</w:t>
      </w:r>
    </w:p>
    <w:p w14:paraId="0DFD84AA"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Dehghani-</w:t>
      </w:r>
      <w:proofErr w:type="spellStart"/>
      <w:r w:rsidRPr="00F97EDC">
        <w:rPr>
          <w:rFonts w:ascii="Times New Roman" w:eastAsia="Times New Roman" w:hAnsi="Times New Roman" w:cs="Times New Roman"/>
          <w:sz w:val="24"/>
          <w:szCs w:val="24"/>
        </w:rPr>
        <w:t>Habibabadi</w:t>
      </w:r>
      <w:proofErr w:type="spellEnd"/>
      <w:r w:rsidRPr="00F97EDC">
        <w:rPr>
          <w:rFonts w:ascii="Times New Roman" w:eastAsia="Times New Roman" w:hAnsi="Times New Roman" w:cs="Times New Roman"/>
          <w:sz w:val="24"/>
          <w:szCs w:val="24"/>
        </w:rPr>
        <w:t xml:space="preserve">, M., &amp; </w:t>
      </w:r>
      <w:proofErr w:type="spellStart"/>
      <w:r w:rsidRPr="00F97EDC">
        <w:rPr>
          <w:rFonts w:ascii="Times New Roman" w:eastAsia="Times New Roman" w:hAnsi="Times New Roman" w:cs="Times New Roman"/>
          <w:sz w:val="24"/>
          <w:szCs w:val="24"/>
        </w:rPr>
        <w:t>Pawelzik</w:t>
      </w:r>
      <w:proofErr w:type="spellEnd"/>
      <w:r w:rsidRPr="00F97EDC">
        <w:rPr>
          <w:rFonts w:ascii="Times New Roman" w:eastAsia="Times New Roman" w:hAnsi="Times New Roman" w:cs="Times New Roman"/>
          <w:sz w:val="24"/>
          <w:szCs w:val="24"/>
        </w:rPr>
        <w:t xml:space="preserve">, K. (2023). Synaptic self-organization of </w:t>
      </w:r>
      <w:proofErr w:type="spellStart"/>
      <w:r w:rsidRPr="00F97EDC">
        <w:rPr>
          <w:rFonts w:ascii="Times New Roman" w:eastAsia="Times New Roman" w:hAnsi="Times New Roman" w:cs="Times New Roman"/>
          <w:sz w:val="24"/>
          <w:szCs w:val="24"/>
        </w:rPr>
        <w:t>spatio</w:t>
      </w:r>
      <w:proofErr w:type="spellEnd"/>
      <w:r w:rsidRPr="00F97EDC">
        <w:rPr>
          <w:rFonts w:ascii="Times New Roman" w:eastAsia="Times New Roman" w:hAnsi="Times New Roman" w:cs="Times New Roman"/>
          <w:sz w:val="24"/>
          <w:szCs w:val="24"/>
        </w:rPr>
        <w:t xml:space="preserve">-temporal pattern selectivity. </w:t>
      </w:r>
      <w:proofErr w:type="spellStart"/>
      <w:r w:rsidRPr="00F97EDC">
        <w:rPr>
          <w:rFonts w:ascii="Times New Roman" w:eastAsia="Times New Roman" w:hAnsi="Times New Roman" w:cs="Times New Roman"/>
          <w:sz w:val="24"/>
          <w:szCs w:val="24"/>
        </w:rPr>
        <w:t>PLoS</w:t>
      </w:r>
      <w:proofErr w:type="spellEnd"/>
      <w:r w:rsidRPr="00F97EDC">
        <w:rPr>
          <w:rFonts w:ascii="Times New Roman" w:eastAsia="Times New Roman" w:hAnsi="Times New Roman" w:cs="Times New Roman"/>
          <w:sz w:val="24"/>
          <w:szCs w:val="24"/>
        </w:rPr>
        <w:t xml:space="preserve"> Computational Biology, 19(2), e1010876. https://doi.org/10.1371/journal.pcbi.1010876</w:t>
      </w:r>
    </w:p>
    <w:p w14:paraId="51D736AA"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pl-PL"/>
        </w:rPr>
      </w:pPr>
      <w:r w:rsidRPr="00203582">
        <w:rPr>
          <w:rFonts w:ascii="Times New Roman" w:eastAsia="Times New Roman" w:hAnsi="Times New Roman" w:cs="Times New Roman"/>
          <w:sz w:val="24"/>
          <w:szCs w:val="24"/>
          <w:lang w:val="pl-PL"/>
        </w:rPr>
        <w:t xml:space="preserve">Delgado-Bonal, A., &amp; Marshak, A. (2019). Approximate entropy and sample entropy: A comprehensive tutorial. </w:t>
      </w:r>
      <w:r w:rsidRPr="00203582">
        <w:rPr>
          <w:rFonts w:ascii="Times New Roman" w:eastAsia="Times New Roman" w:hAnsi="Times New Roman" w:cs="Times New Roman"/>
          <w:i/>
          <w:sz w:val="24"/>
          <w:szCs w:val="24"/>
          <w:lang w:val="pl-PL"/>
        </w:rPr>
        <w:t>Entropy (Basel, Switzerland)</w:t>
      </w:r>
      <w:r w:rsidRPr="00203582">
        <w:rPr>
          <w:rFonts w:ascii="Times New Roman" w:eastAsia="Times New Roman" w:hAnsi="Times New Roman" w:cs="Times New Roman"/>
          <w:sz w:val="24"/>
          <w:szCs w:val="24"/>
          <w:lang w:val="pl-PL"/>
        </w:rPr>
        <w:t xml:space="preserve">, </w:t>
      </w:r>
      <w:r w:rsidRPr="00203582">
        <w:rPr>
          <w:rFonts w:ascii="Times New Roman" w:eastAsia="Times New Roman" w:hAnsi="Times New Roman" w:cs="Times New Roman"/>
          <w:i/>
          <w:sz w:val="24"/>
          <w:szCs w:val="24"/>
          <w:lang w:val="pl-PL"/>
        </w:rPr>
        <w:t>21</w:t>
      </w:r>
      <w:r w:rsidRPr="00203582">
        <w:rPr>
          <w:rFonts w:ascii="Times New Roman" w:eastAsia="Times New Roman" w:hAnsi="Times New Roman" w:cs="Times New Roman"/>
          <w:sz w:val="24"/>
          <w:szCs w:val="24"/>
          <w:lang w:val="pl-PL"/>
        </w:rPr>
        <w:t>(6). https://doi.org/10.3390/e21060541</w:t>
      </w:r>
    </w:p>
    <w:p w14:paraId="4858E77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Delgado-Bonal, A., &amp; Marshak, A. (2019). Approximate entropy and sample entropy: A comprehensive tutorial. </w:t>
      </w:r>
      <w:r w:rsidRPr="005C650F">
        <w:rPr>
          <w:rFonts w:ascii="Times New Roman" w:eastAsia="Times New Roman" w:hAnsi="Times New Roman" w:cs="Times New Roman"/>
          <w:i/>
          <w:iCs/>
          <w:sz w:val="24"/>
          <w:szCs w:val="24"/>
        </w:rPr>
        <w:t>Entropy (Basel, Switzerland)</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21</w:t>
      </w:r>
      <w:r w:rsidRPr="005C650F">
        <w:rPr>
          <w:rFonts w:ascii="Times New Roman" w:eastAsia="Times New Roman" w:hAnsi="Times New Roman" w:cs="Times New Roman"/>
          <w:sz w:val="24"/>
          <w:szCs w:val="24"/>
        </w:rPr>
        <w:t>(6). https://doi.org/10.3390/e21060541</w:t>
      </w:r>
    </w:p>
    <w:p w14:paraId="15B53DB7"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Delgado-Bonal, A., &amp; Marshak, A. (2019). Approximate entropy and sample entropy: A comprehensive tutorial. Entropy (Basel, Switzerland), 21(6). https://doi.org/10.3390/e21060541</w:t>
      </w:r>
    </w:p>
    <w:p w14:paraId="650D5BC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pl-PL"/>
        </w:rPr>
        <w:t xml:space="preserve">Della-Maggiore, V., Chau, W., Peres-Neto, P. R., &amp; McIntosh, A. R. (2002). </w:t>
      </w:r>
      <w:r w:rsidRPr="00203582">
        <w:rPr>
          <w:rFonts w:ascii="Times New Roman" w:eastAsia="Times New Roman" w:hAnsi="Times New Roman" w:cs="Times New Roman"/>
          <w:sz w:val="24"/>
          <w:szCs w:val="24"/>
        </w:rPr>
        <w:t xml:space="preserve">An empirical comparison of SPM preprocessing parameters to the analysis of fMRI data.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17</w:t>
      </w:r>
      <w:r w:rsidRPr="00203582">
        <w:rPr>
          <w:rFonts w:ascii="Times New Roman" w:eastAsia="Times New Roman" w:hAnsi="Times New Roman" w:cs="Times New Roman"/>
          <w:sz w:val="24"/>
          <w:szCs w:val="24"/>
        </w:rPr>
        <w:t>(1), 19–28. https://doi.org/10.1006/nimg.2002.1113</w:t>
      </w:r>
    </w:p>
    <w:p w14:paraId="4C86303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it-IT"/>
        </w:rPr>
        <w:t xml:space="preserve">Della-Maggiore, V., Chau, W., Peres-Neto, P. R., &amp; McIntosh, A. R. (2002). </w:t>
      </w:r>
      <w:r w:rsidRPr="005C650F">
        <w:rPr>
          <w:rFonts w:ascii="Times New Roman" w:eastAsia="Times New Roman" w:hAnsi="Times New Roman" w:cs="Times New Roman"/>
          <w:sz w:val="24"/>
          <w:szCs w:val="24"/>
        </w:rPr>
        <w:t xml:space="preserve">An empirical comparison of SPM preprocessing parameters to the analysis of fMRI data.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w:t>
      </w:r>
      <w:r w:rsidRPr="005C650F">
        <w:rPr>
          <w:rFonts w:ascii="Times New Roman" w:eastAsia="Times New Roman" w:hAnsi="Times New Roman" w:cs="Times New Roman"/>
          <w:sz w:val="24"/>
          <w:szCs w:val="24"/>
        </w:rPr>
        <w:t>(1), 19–28. https://doi.org/10.1006/nimg.2002.1113</w:t>
      </w:r>
    </w:p>
    <w:p w14:paraId="52F488C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Di Martino, A., Yan, C. G., Li, Q., Denio, E., Castellanos, F. X., </w:t>
      </w:r>
      <w:proofErr w:type="spellStart"/>
      <w:r w:rsidRPr="005C650F">
        <w:rPr>
          <w:rFonts w:ascii="Times New Roman" w:eastAsia="Times New Roman" w:hAnsi="Times New Roman" w:cs="Times New Roman"/>
          <w:sz w:val="24"/>
          <w:szCs w:val="24"/>
        </w:rPr>
        <w:t>Alaerts</w:t>
      </w:r>
      <w:proofErr w:type="spellEnd"/>
      <w:r w:rsidRPr="005C650F">
        <w:rPr>
          <w:rFonts w:ascii="Times New Roman" w:eastAsia="Times New Roman" w:hAnsi="Times New Roman" w:cs="Times New Roman"/>
          <w:sz w:val="24"/>
          <w:szCs w:val="24"/>
        </w:rPr>
        <w:t xml:space="preserve">, K., Anderson, J. S., Assaf, M., Bookheimer, S. Y., </w:t>
      </w:r>
      <w:proofErr w:type="spellStart"/>
      <w:r w:rsidRPr="005C650F">
        <w:rPr>
          <w:rFonts w:ascii="Times New Roman" w:eastAsia="Times New Roman" w:hAnsi="Times New Roman" w:cs="Times New Roman"/>
          <w:sz w:val="24"/>
          <w:szCs w:val="24"/>
        </w:rPr>
        <w:t>Dapretto</w:t>
      </w:r>
      <w:proofErr w:type="spellEnd"/>
      <w:r w:rsidRPr="005C650F">
        <w:rPr>
          <w:rFonts w:ascii="Times New Roman" w:eastAsia="Times New Roman" w:hAnsi="Times New Roman" w:cs="Times New Roman"/>
          <w:sz w:val="24"/>
          <w:szCs w:val="24"/>
        </w:rPr>
        <w:t xml:space="preserve">, M., Deen, B., Delmonte, S., </w:t>
      </w:r>
      <w:proofErr w:type="spellStart"/>
      <w:r w:rsidRPr="005C650F">
        <w:rPr>
          <w:rFonts w:ascii="Times New Roman" w:eastAsia="Times New Roman" w:hAnsi="Times New Roman" w:cs="Times New Roman"/>
          <w:sz w:val="24"/>
          <w:szCs w:val="24"/>
        </w:rPr>
        <w:t>Dinstein</w:t>
      </w:r>
      <w:proofErr w:type="spellEnd"/>
      <w:r w:rsidRPr="005C650F">
        <w:rPr>
          <w:rFonts w:ascii="Times New Roman" w:eastAsia="Times New Roman" w:hAnsi="Times New Roman" w:cs="Times New Roman"/>
          <w:sz w:val="24"/>
          <w:szCs w:val="24"/>
        </w:rPr>
        <w:t xml:space="preserve">, I., Ertl-Wagner, B., Fair, D. A., Gallagher, L., Kennedy, D. P., Keown, C. L., </w:t>
      </w:r>
      <w:proofErr w:type="spellStart"/>
      <w:r w:rsidRPr="005C650F">
        <w:rPr>
          <w:rFonts w:ascii="Times New Roman" w:eastAsia="Times New Roman" w:hAnsi="Times New Roman" w:cs="Times New Roman"/>
          <w:sz w:val="24"/>
          <w:szCs w:val="24"/>
        </w:rPr>
        <w:t>Keysers</w:t>
      </w:r>
      <w:proofErr w:type="spellEnd"/>
      <w:r w:rsidRPr="005C650F">
        <w:rPr>
          <w:rFonts w:ascii="Times New Roman" w:eastAsia="Times New Roman" w:hAnsi="Times New Roman" w:cs="Times New Roman"/>
          <w:sz w:val="24"/>
          <w:szCs w:val="24"/>
        </w:rPr>
        <w:t xml:space="preserve">, C., … Milham, M. P. (2014). The autism brain imaging data exchange: towards a large-scale evaluation of the intrinsic brain architecture in autism. </w:t>
      </w:r>
      <w:r w:rsidRPr="005C650F">
        <w:rPr>
          <w:rFonts w:ascii="Times New Roman" w:eastAsia="Times New Roman" w:hAnsi="Times New Roman" w:cs="Times New Roman"/>
          <w:i/>
          <w:iCs/>
          <w:sz w:val="24"/>
          <w:szCs w:val="24"/>
        </w:rPr>
        <w:t>Molecular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19</w:t>
      </w:r>
      <w:r w:rsidRPr="005C650F">
        <w:rPr>
          <w:rFonts w:ascii="Times New Roman" w:eastAsia="Times New Roman" w:hAnsi="Times New Roman" w:cs="Times New Roman"/>
          <w:sz w:val="24"/>
          <w:szCs w:val="24"/>
        </w:rPr>
        <w:t>(6), 659–667. https://doi.org/10.1038/mp.2013.78</w:t>
      </w:r>
    </w:p>
    <w:p w14:paraId="0A30B34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Dickinson, A., DiStefano, C., Senturk, D., &amp; </w:t>
      </w:r>
      <w:proofErr w:type="spellStart"/>
      <w:r w:rsidRPr="005C650F">
        <w:rPr>
          <w:rFonts w:ascii="Times New Roman" w:eastAsia="Times New Roman" w:hAnsi="Times New Roman" w:cs="Times New Roman"/>
          <w:sz w:val="24"/>
          <w:szCs w:val="24"/>
        </w:rPr>
        <w:t>Jeste</w:t>
      </w:r>
      <w:proofErr w:type="spellEnd"/>
      <w:r w:rsidRPr="005C650F">
        <w:rPr>
          <w:rFonts w:ascii="Times New Roman" w:eastAsia="Times New Roman" w:hAnsi="Times New Roman" w:cs="Times New Roman"/>
          <w:sz w:val="24"/>
          <w:szCs w:val="24"/>
        </w:rPr>
        <w:t xml:space="preserve">, S. S. (2018). Peak alpha frequency is a neural marker of cognitive function across the autism spectrum. </w:t>
      </w:r>
      <w:r w:rsidRPr="005C650F">
        <w:rPr>
          <w:rFonts w:ascii="Times New Roman" w:eastAsia="Times New Roman" w:hAnsi="Times New Roman" w:cs="Times New Roman"/>
          <w:i/>
          <w:iCs/>
          <w:sz w:val="24"/>
          <w:szCs w:val="24"/>
        </w:rPr>
        <w:t>The European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47</w:t>
      </w:r>
      <w:r w:rsidRPr="005C650F">
        <w:rPr>
          <w:rFonts w:ascii="Times New Roman" w:eastAsia="Times New Roman" w:hAnsi="Times New Roman" w:cs="Times New Roman"/>
          <w:sz w:val="24"/>
          <w:szCs w:val="24"/>
        </w:rPr>
        <w:t>(6), 643–651. https://doi.org/10.1111/ejn.13645</w:t>
      </w:r>
    </w:p>
    <w:p w14:paraId="095A9B5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Dickstein, D. L., Kabaso, D., Rocher, A. B., Luebke, J. I., Wearne, S. L., &amp; Hof, P. R. (2007). Changes in the structural complexity of the aged brain. </w:t>
      </w:r>
      <w:r w:rsidRPr="005C650F">
        <w:rPr>
          <w:rFonts w:ascii="Times New Roman" w:eastAsia="Times New Roman" w:hAnsi="Times New Roman" w:cs="Times New Roman"/>
          <w:i/>
          <w:iCs/>
          <w:sz w:val="24"/>
          <w:szCs w:val="24"/>
        </w:rPr>
        <w:t>Aging Cell</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(3), 275–284. https://doi.org/10.1111/j.1474-9726.2007.00289.x</w:t>
      </w:r>
    </w:p>
    <w:p w14:paraId="7406055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Dickstein, D. P., Pescosolido, M. F., Reidy, B. L., Galvan, T., Kim, K. L., Seymour, K. E., Laird, A. R., Di Martino, A., &amp; Barrett, R. P. (2013). Developmental meta-analysis of the functional neural correlates of autism spectrum disorders. </w:t>
      </w:r>
      <w:r w:rsidRPr="005C650F">
        <w:rPr>
          <w:rFonts w:ascii="Times New Roman" w:eastAsia="Times New Roman" w:hAnsi="Times New Roman" w:cs="Times New Roman"/>
          <w:i/>
          <w:iCs/>
          <w:sz w:val="24"/>
          <w:szCs w:val="24"/>
        </w:rPr>
        <w:t>Journal of the American Academy of Child and Adolescent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52</w:t>
      </w:r>
      <w:r w:rsidRPr="005C650F">
        <w:rPr>
          <w:rFonts w:ascii="Times New Roman" w:eastAsia="Times New Roman" w:hAnsi="Times New Roman" w:cs="Times New Roman"/>
          <w:sz w:val="24"/>
          <w:szCs w:val="24"/>
        </w:rPr>
        <w:t>(3), 279-289.e16. https://doi.org/10.1016/j.jaac.2012.12.012</w:t>
      </w:r>
    </w:p>
    <w:p w14:paraId="26079EF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Diebold, F. X. (1998). </w:t>
      </w:r>
      <w:r w:rsidRPr="00203582">
        <w:rPr>
          <w:rFonts w:ascii="Times New Roman" w:eastAsia="Times New Roman" w:hAnsi="Times New Roman" w:cs="Times New Roman"/>
          <w:i/>
          <w:sz w:val="24"/>
          <w:szCs w:val="24"/>
        </w:rPr>
        <w:t>Elements of forecasting</w:t>
      </w:r>
      <w:r w:rsidRPr="00203582">
        <w:rPr>
          <w:rFonts w:ascii="Times New Roman" w:eastAsia="Times New Roman" w:hAnsi="Times New Roman" w:cs="Times New Roman"/>
          <w:sz w:val="24"/>
          <w:szCs w:val="24"/>
        </w:rPr>
        <w:t>. Cincinnati, OH, USA: South-Western College Pub.</w:t>
      </w:r>
    </w:p>
    <w:p w14:paraId="0D69503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Dixon, M. L., Moodie, C. A., Goldin, P. R., Farb, N., Heimberg, R. G., Zhang, J., &amp; Gross, J. J. (2022). Frontoparietal and Default Mode Network Contributions to Self-Referential Processing in Social Anxiety Disorder. </w:t>
      </w:r>
      <w:r w:rsidRPr="00203582">
        <w:rPr>
          <w:rFonts w:ascii="Times New Roman" w:eastAsia="Times New Roman" w:hAnsi="Times New Roman" w:cs="Times New Roman"/>
          <w:i/>
          <w:sz w:val="24"/>
          <w:szCs w:val="24"/>
        </w:rPr>
        <w:t xml:space="preserve">Cognitive, Affective &amp; </w:t>
      </w:r>
      <w:proofErr w:type="spellStart"/>
      <w:r w:rsidRPr="00203582">
        <w:rPr>
          <w:rFonts w:ascii="Times New Roman" w:eastAsia="Times New Roman" w:hAnsi="Times New Roman" w:cs="Times New Roman"/>
          <w:i/>
          <w:sz w:val="24"/>
          <w:szCs w:val="24"/>
        </w:rPr>
        <w:t>Behavioral</w:t>
      </w:r>
      <w:proofErr w:type="spellEnd"/>
      <w:r w:rsidRPr="00203582">
        <w:rPr>
          <w:rFonts w:ascii="Times New Roman" w:eastAsia="Times New Roman" w:hAnsi="Times New Roman" w:cs="Times New Roman"/>
          <w:i/>
          <w:sz w:val="24"/>
          <w:szCs w:val="24"/>
        </w:rPr>
        <w:t xml:space="preser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22</w:t>
      </w:r>
      <w:r w:rsidRPr="00203582">
        <w:rPr>
          <w:rFonts w:ascii="Times New Roman" w:eastAsia="Times New Roman" w:hAnsi="Times New Roman" w:cs="Times New Roman"/>
          <w:sz w:val="24"/>
          <w:szCs w:val="24"/>
        </w:rPr>
        <w:t>(1), 187–198. https://doi.org/10.3758/s13415-021-00933-6</w:t>
      </w:r>
    </w:p>
    <w:p w14:paraId="1C36ADC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Dosenbach</w:t>
      </w:r>
      <w:proofErr w:type="spellEnd"/>
      <w:r w:rsidRPr="005C650F">
        <w:rPr>
          <w:rFonts w:ascii="Times New Roman" w:eastAsia="Times New Roman" w:hAnsi="Times New Roman" w:cs="Times New Roman"/>
          <w:sz w:val="24"/>
          <w:szCs w:val="24"/>
        </w:rPr>
        <w:t xml:space="preserve">, N. U. F., Nardos, B., Cohen, A. L., Fair, D. A., Power, J. D., Church, J. A., Nelson, S. M., Wig, G. S., Vogel, A. C., </w:t>
      </w:r>
      <w:proofErr w:type="spellStart"/>
      <w:r w:rsidRPr="005C650F">
        <w:rPr>
          <w:rFonts w:ascii="Times New Roman" w:eastAsia="Times New Roman" w:hAnsi="Times New Roman" w:cs="Times New Roman"/>
          <w:sz w:val="24"/>
          <w:szCs w:val="24"/>
        </w:rPr>
        <w:t>Lessov-Schlaggar</w:t>
      </w:r>
      <w:proofErr w:type="spellEnd"/>
      <w:r w:rsidRPr="005C650F">
        <w:rPr>
          <w:rFonts w:ascii="Times New Roman" w:eastAsia="Times New Roman" w:hAnsi="Times New Roman" w:cs="Times New Roman"/>
          <w:sz w:val="24"/>
          <w:szCs w:val="24"/>
        </w:rPr>
        <w:t xml:space="preserve">, C. N., Barnes, K. A., Dubis, J. W., Feczko, E., Coalson, R. S., Pruett, J. R., </w:t>
      </w:r>
      <w:proofErr w:type="spellStart"/>
      <w:r w:rsidRPr="005C650F">
        <w:rPr>
          <w:rFonts w:ascii="Times New Roman" w:eastAsia="Times New Roman" w:hAnsi="Times New Roman" w:cs="Times New Roman"/>
          <w:sz w:val="24"/>
          <w:szCs w:val="24"/>
        </w:rPr>
        <w:t>Barch</w:t>
      </w:r>
      <w:proofErr w:type="spellEnd"/>
      <w:r w:rsidRPr="005C650F">
        <w:rPr>
          <w:rFonts w:ascii="Times New Roman" w:eastAsia="Times New Roman" w:hAnsi="Times New Roman" w:cs="Times New Roman"/>
          <w:sz w:val="24"/>
          <w:szCs w:val="24"/>
        </w:rPr>
        <w:t xml:space="preserve">, D. M., Petersen, S. E., &amp; </w:t>
      </w:r>
      <w:proofErr w:type="spellStart"/>
      <w:r w:rsidRPr="005C650F">
        <w:rPr>
          <w:rFonts w:ascii="Times New Roman" w:eastAsia="Times New Roman" w:hAnsi="Times New Roman" w:cs="Times New Roman"/>
          <w:sz w:val="24"/>
          <w:szCs w:val="24"/>
        </w:rPr>
        <w:t>Schlaggar</w:t>
      </w:r>
      <w:proofErr w:type="spellEnd"/>
      <w:r w:rsidRPr="005C650F">
        <w:rPr>
          <w:rFonts w:ascii="Times New Roman" w:eastAsia="Times New Roman" w:hAnsi="Times New Roman" w:cs="Times New Roman"/>
          <w:sz w:val="24"/>
          <w:szCs w:val="24"/>
        </w:rPr>
        <w:t xml:space="preserve">, B. L. (2010). Prediction of individual brain maturity using fMRI. </w:t>
      </w:r>
      <w:r w:rsidRPr="005C650F">
        <w:rPr>
          <w:rFonts w:ascii="Times New Roman" w:eastAsia="Times New Roman" w:hAnsi="Times New Roman" w:cs="Times New Roman"/>
          <w:i/>
          <w:iCs/>
          <w:sz w:val="24"/>
          <w:szCs w:val="24"/>
        </w:rPr>
        <w:t>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329</w:t>
      </w:r>
      <w:r w:rsidRPr="005C650F">
        <w:rPr>
          <w:rFonts w:ascii="Times New Roman" w:eastAsia="Times New Roman" w:hAnsi="Times New Roman" w:cs="Times New Roman"/>
          <w:sz w:val="24"/>
          <w:szCs w:val="24"/>
        </w:rPr>
        <w:t>(5997), 1358–1361. https://doi.org/10.1126/science.1194144</w:t>
      </w:r>
    </w:p>
    <w:p w14:paraId="78B4E7A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Dosenbach</w:t>
      </w:r>
      <w:proofErr w:type="spellEnd"/>
      <w:r w:rsidRPr="005C650F">
        <w:rPr>
          <w:rFonts w:ascii="Times New Roman" w:eastAsia="Times New Roman" w:hAnsi="Times New Roman" w:cs="Times New Roman"/>
          <w:sz w:val="24"/>
          <w:szCs w:val="24"/>
        </w:rPr>
        <w:t xml:space="preserve">, N. U. F., Nardos, B., Cohen, A. L., Fair, D. A., Power, J. D., Church, J. A., Nelson, S. M., Wig, G. S., Vogel, A. C., </w:t>
      </w:r>
      <w:proofErr w:type="spellStart"/>
      <w:r w:rsidRPr="005C650F">
        <w:rPr>
          <w:rFonts w:ascii="Times New Roman" w:eastAsia="Times New Roman" w:hAnsi="Times New Roman" w:cs="Times New Roman"/>
          <w:sz w:val="24"/>
          <w:szCs w:val="24"/>
        </w:rPr>
        <w:t>Lessov-Schlaggar</w:t>
      </w:r>
      <w:proofErr w:type="spellEnd"/>
      <w:r w:rsidRPr="005C650F">
        <w:rPr>
          <w:rFonts w:ascii="Times New Roman" w:eastAsia="Times New Roman" w:hAnsi="Times New Roman" w:cs="Times New Roman"/>
          <w:sz w:val="24"/>
          <w:szCs w:val="24"/>
        </w:rPr>
        <w:t xml:space="preserve">, C. N., Barnes, K. A., Dubis, J. W., Feczko, E., Coalson, R. S., Pruett, J. R., </w:t>
      </w:r>
      <w:proofErr w:type="spellStart"/>
      <w:r w:rsidRPr="005C650F">
        <w:rPr>
          <w:rFonts w:ascii="Times New Roman" w:eastAsia="Times New Roman" w:hAnsi="Times New Roman" w:cs="Times New Roman"/>
          <w:sz w:val="24"/>
          <w:szCs w:val="24"/>
        </w:rPr>
        <w:t>Barch</w:t>
      </w:r>
      <w:proofErr w:type="spellEnd"/>
      <w:r w:rsidRPr="005C650F">
        <w:rPr>
          <w:rFonts w:ascii="Times New Roman" w:eastAsia="Times New Roman" w:hAnsi="Times New Roman" w:cs="Times New Roman"/>
          <w:sz w:val="24"/>
          <w:szCs w:val="24"/>
        </w:rPr>
        <w:t xml:space="preserve">, D. M., Petersen, S. E., &amp; </w:t>
      </w:r>
      <w:proofErr w:type="spellStart"/>
      <w:r w:rsidRPr="005C650F">
        <w:rPr>
          <w:rFonts w:ascii="Times New Roman" w:eastAsia="Times New Roman" w:hAnsi="Times New Roman" w:cs="Times New Roman"/>
          <w:sz w:val="24"/>
          <w:szCs w:val="24"/>
        </w:rPr>
        <w:t>Schlaggar</w:t>
      </w:r>
      <w:proofErr w:type="spellEnd"/>
      <w:r w:rsidRPr="005C650F">
        <w:rPr>
          <w:rFonts w:ascii="Times New Roman" w:eastAsia="Times New Roman" w:hAnsi="Times New Roman" w:cs="Times New Roman"/>
          <w:sz w:val="24"/>
          <w:szCs w:val="24"/>
        </w:rPr>
        <w:t xml:space="preserve">, B. L. (2010). Prediction of individual brain maturity using fMRI. </w:t>
      </w:r>
      <w:r w:rsidRPr="005C650F">
        <w:rPr>
          <w:rFonts w:ascii="Times New Roman" w:eastAsia="Times New Roman" w:hAnsi="Times New Roman" w:cs="Times New Roman"/>
          <w:i/>
          <w:iCs/>
          <w:sz w:val="24"/>
          <w:szCs w:val="24"/>
        </w:rPr>
        <w:t>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329</w:t>
      </w:r>
      <w:r w:rsidRPr="005C650F">
        <w:rPr>
          <w:rFonts w:ascii="Times New Roman" w:eastAsia="Times New Roman" w:hAnsi="Times New Roman" w:cs="Times New Roman"/>
          <w:sz w:val="24"/>
          <w:szCs w:val="24"/>
        </w:rPr>
        <w:t>(5997), 1358–1361. https://doi.org/10.1126/science.1194144</w:t>
      </w:r>
    </w:p>
    <w:p w14:paraId="4F270AD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Doyle-Thomas, K. A. R., Duerden, E. G., Taylor, M. J., Lerch, J. P., Soorya, L. V., Wang, A. T., Fan, J., Hollander, E., &amp; Anagnostou, E. (2013). Effects of age and symptomatology on cortical thickness in autism spectrum disorders. </w:t>
      </w:r>
      <w:r w:rsidRPr="005C650F">
        <w:rPr>
          <w:rFonts w:ascii="Times New Roman" w:eastAsia="Times New Roman" w:hAnsi="Times New Roman" w:cs="Times New Roman"/>
          <w:i/>
          <w:iCs/>
          <w:sz w:val="24"/>
          <w:szCs w:val="24"/>
        </w:rPr>
        <w:t>Research in Autism Spectrum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(1), 141–150. https://doi.org/10.1016/j.rasd.2012.08.004</w:t>
      </w:r>
    </w:p>
    <w:p w14:paraId="27D8B86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Doyle-Thomas, K. A. R., Lee, W., Foster, N. E. V., Tryfon, A., Ouimet, T., Hyde, K. L., Evans, A. C., Lewis, J., </w:t>
      </w:r>
      <w:proofErr w:type="spellStart"/>
      <w:r w:rsidRPr="005C650F">
        <w:rPr>
          <w:rFonts w:ascii="Times New Roman" w:eastAsia="Times New Roman" w:hAnsi="Times New Roman" w:cs="Times New Roman"/>
          <w:sz w:val="24"/>
          <w:szCs w:val="24"/>
        </w:rPr>
        <w:t>Zwaigenbaum</w:t>
      </w:r>
      <w:proofErr w:type="spellEnd"/>
      <w:r w:rsidRPr="005C650F">
        <w:rPr>
          <w:rFonts w:ascii="Times New Roman" w:eastAsia="Times New Roman" w:hAnsi="Times New Roman" w:cs="Times New Roman"/>
          <w:sz w:val="24"/>
          <w:szCs w:val="24"/>
        </w:rPr>
        <w:t xml:space="preserve">, L., Anagnostou, E., &amp; </w:t>
      </w:r>
      <w:proofErr w:type="spellStart"/>
      <w:r w:rsidRPr="005C650F">
        <w:rPr>
          <w:rFonts w:ascii="Times New Roman" w:eastAsia="Times New Roman" w:hAnsi="Times New Roman" w:cs="Times New Roman"/>
          <w:sz w:val="24"/>
          <w:szCs w:val="24"/>
        </w:rPr>
        <w:t>NeuroDevNet</w:t>
      </w:r>
      <w:proofErr w:type="spellEnd"/>
      <w:r w:rsidRPr="005C650F">
        <w:rPr>
          <w:rFonts w:ascii="Times New Roman" w:eastAsia="Times New Roman" w:hAnsi="Times New Roman" w:cs="Times New Roman"/>
          <w:sz w:val="24"/>
          <w:szCs w:val="24"/>
        </w:rPr>
        <w:t xml:space="preserve"> ASD Imaging Group. (2015). Atypical functional brain connectivity during rest in autism spectrum disorders. </w:t>
      </w:r>
      <w:r w:rsidRPr="005C650F">
        <w:rPr>
          <w:rFonts w:ascii="Times New Roman" w:eastAsia="Times New Roman" w:hAnsi="Times New Roman" w:cs="Times New Roman"/>
          <w:i/>
          <w:iCs/>
          <w:sz w:val="24"/>
          <w:szCs w:val="24"/>
        </w:rPr>
        <w:t>Annals of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77</w:t>
      </w:r>
      <w:r w:rsidRPr="005C650F">
        <w:rPr>
          <w:rFonts w:ascii="Times New Roman" w:eastAsia="Times New Roman" w:hAnsi="Times New Roman" w:cs="Times New Roman"/>
          <w:sz w:val="24"/>
          <w:szCs w:val="24"/>
        </w:rPr>
        <w:t>(5), 866–876. https://doi.org/10.1002/ana.24391</w:t>
      </w:r>
    </w:p>
    <w:p w14:paraId="4026DB0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Doyle-Thomas, K. A. R., Lee, W., Foster, N. E. V., Tryfon, A., Ouimet, T., Hyde, K. L., Evans, A. C., Lewis, J., </w:t>
      </w:r>
      <w:proofErr w:type="spellStart"/>
      <w:r w:rsidRPr="005C650F">
        <w:rPr>
          <w:rFonts w:ascii="Times New Roman" w:eastAsia="Times New Roman" w:hAnsi="Times New Roman" w:cs="Times New Roman"/>
          <w:sz w:val="24"/>
          <w:szCs w:val="24"/>
        </w:rPr>
        <w:t>Zwaigenbaum</w:t>
      </w:r>
      <w:proofErr w:type="spellEnd"/>
      <w:r w:rsidRPr="005C650F">
        <w:rPr>
          <w:rFonts w:ascii="Times New Roman" w:eastAsia="Times New Roman" w:hAnsi="Times New Roman" w:cs="Times New Roman"/>
          <w:sz w:val="24"/>
          <w:szCs w:val="24"/>
        </w:rPr>
        <w:t xml:space="preserve">, L., Anagnostou, E., &amp; </w:t>
      </w:r>
      <w:proofErr w:type="spellStart"/>
      <w:r w:rsidRPr="005C650F">
        <w:rPr>
          <w:rFonts w:ascii="Times New Roman" w:eastAsia="Times New Roman" w:hAnsi="Times New Roman" w:cs="Times New Roman"/>
          <w:sz w:val="24"/>
          <w:szCs w:val="24"/>
        </w:rPr>
        <w:t>NeuroDevNet</w:t>
      </w:r>
      <w:proofErr w:type="spellEnd"/>
      <w:r w:rsidRPr="005C650F">
        <w:rPr>
          <w:rFonts w:ascii="Times New Roman" w:eastAsia="Times New Roman" w:hAnsi="Times New Roman" w:cs="Times New Roman"/>
          <w:sz w:val="24"/>
          <w:szCs w:val="24"/>
        </w:rPr>
        <w:t xml:space="preserve"> ASD Imaging Group. (2015). Atypical functional brain connectivity during rest in autism spectrum disorders. </w:t>
      </w:r>
      <w:r w:rsidRPr="005C650F">
        <w:rPr>
          <w:rFonts w:ascii="Times New Roman" w:eastAsia="Times New Roman" w:hAnsi="Times New Roman" w:cs="Times New Roman"/>
          <w:i/>
          <w:iCs/>
          <w:sz w:val="24"/>
          <w:szCs w:val="24"/>
        </w:rPr>
        <w:t>Annals of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77</w:t>
      </w:r>
      <w:r w:rsidRPr="005C650F">
        <w:rPr>
          <w:rFonts w:ascii="Times New Roman" w:eastAsia="Times New Roman" w:hAnsi="Times New Roman" w:cs="Times New Roman"/>
          <w:sz w:val="24"/>
          <w:szCs w:val="24"/>
        </w:rPr>
        <w:t>(5), 866–876. https://doi.org/10.1002/ana.24391</w:t>
      </w:r>
    </w:p>
    <w:p w14:paraId="2DAE4BD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Duffy, F. H., &amp; Als, H. (2012). A stable pattern of EEG spectral coherence distinguishes children with autism from neuro-typical controls - a large case control study. </w:t>
      </w:r>
      <w:r w:rsidRPr="00203582">
        <w:rPr>
          <w:rFonts w:ascii="Times New Roman" w:eastAsia="Times New Roman" w:hAnsi="Times New Roman" w:cs="Times New Roman"/>
          <w:i/>
          <w:sz w:val="24"/>
          <w:szCs w:val="24"/>
        </w:rPr>
        <w:t>BMC 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w:t>
      </w:r>
      <w:r w:rsidRPr="00203582">
        <w:rPr>
          <w:rFonts w:ascii="Times New Roman" w:eastAsia="Times New Roman" w:hAnsi="Times New Roman" w:cs="Times New Roman"/>
          <w:sz w:val="24"/>
          <w:szCs w:val="24"/>
        </w:rPr>
        <w:t>, 64. https://doi.org/10.1186/1741-7015-10-64</w:t>
      </w:r>
    </w:p>
    <w:p w14:paraId="129FD02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Duffy, F. H., &amp; Als, H. (2012). A stable pattern of EEG spectral coherence distinguishes children with autism from neuro-typical controls - a large case control study. </w:t>
      </w:r>
      <w:r w:rsidRPr="005C650F">
        <w:rPr>
          <w:rFonts w:ascii="Times New Roman" w:eastAsia="Times New Roman" w:hAnsi="Times New Roman" w:cs="Times New Roman"/>
          <w:i/>
          <w:iCs/>
          <w:sz w:val="24"/>
          <w:szCs w:val="24"/>
        </w:rPr>
        <w:t>BMC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w:t>
      </w:r>
      <w:r w:rsidRPr="005C650F">
        <w:rPr>
          <w:rFonts w:ascii="Times New Roman" w:eastAsia="Times New Roman" w:hAnsi="Times New Roman" w:cs="Times New Roman"/>
          <w:sz w:val="24"/>
          <w:szCs w:val="24"/>
        </w:rPr>
        <w:t>, 64. https://doi.org/10.1186/1741-7015-10-64</w:t>
      </w:r>
    </w:p>
    <w:p w14:paraId="1800E3E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Dustman, R. E., Shearer, D. E., &amp; Emmerson, R. Y. (1993). EEG and event-related potentials in normal aging. </w:t>
      </w:r>
      <w:r w:rsidRPr="005C650F">
        <w:rPr>
          <w:rFonts w:ascii="Times New Roman" w:eastAsia="Times New Roman" w:hAnsi="Times New Roman" w:cs="Times New Roman"/>
          <w:i/>
          <w:iCs/>
          <w:sz w:val="24"/>
          <w:szCs w:val="24"/>
        </w:rPr>
        <w:t>Progress in Neurobiology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41</w:t>
      </w:r>
      <w:r w:rsidRPr="005C650F">
        <w:rPr>
          <w:rFonts w:ascii="Times New Roman" w:eastAsia="Times New Roman" w:hAnsi="Times New Roman" w:cs="Times New Roman"/>
          <w:sz w:val="24"/>
          <w:szCs w:val="24"/>
        </w:rPr>
        <w:t>(3), 369–401. https://doi.org/10.1016/0301-0082(93)90005-D</w:t>
      </w:r>
    </w:p>
    <w:p w14:paraId="7533BAD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Easson, A. K., &amp; McIntosh, A. R. (2019). BOLD signal variability and complexity in children and adolescents with and without autism spectrum disorder. </w:t>
      </w:r>
      <w:r w:rsidRPr="00203582">
        <w:rPr>
          <w:rFonts w:ascii="Times New Roman" w:eastAsia="Times New Roman" w:hAnsi="Times New Roman" w:cs="Times New Roman"/>
          <w:i/>
          <w:sz w:val="24"/>
          <w:szCs w:val="24"/>
        </w:rPr>
        <w:t>Developmental Cognitive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36</w:t>
      </w:r>
      <w:r w:rsidRPr="00203582">
        <w:rPr>
          <w:rFonts w:ascii="Times New Roman" w:eastAsia="Times New Roman" w:hAnsi="Times New Roman" w:cs="Times New Roman"/>
          <w:sz w:val="24"/>
          <w:szCs w:val="24"/>
        </w:rPr>
        <w:t>, 100630. https://doi.org/10.1016/j.dcn.2019.100630</w:t>
      </w:r>
    </w:p>
    <w:p w14:paraId="5C9353C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Easson, A. K., &amp; McIntosh, A. R. (2019). BOLD signal variability and complexity in children and adolescents with and without autism spectrum disorder. </w:t>
      </w:r>
      <w:r w:rsidRPr="005C650F">
        <w:rPr>
          <w:rFonts w:ascii="Times New Roman" w:eastAsia="Times New Roman" w:hAnsi="Times New Roman" w:cs="Times New Roman"/>
          <w:i/>
          <w:iCs/>
          <w:sz w:val="24"/>
          <w:szCs w:val="24"/>
        </w:rPr>
        <w:t>Developmental Cognitive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36</w:t>
      </w:r>
      <w:r w:rsidRPr="005C650F">
        <w:rPr>
          <w:rFonts w:ascii="Times New Roman" w:eastAsia="Times New Roman" w:hAnsi="Times New Roman" w:cs="Times New Roman"/>
          <w:sz w:val="24"/>
          <w:szCs w:val="24"/>
        </w:rPr>
        <w:t>, 100630. https://doi.org/10.1016/j.dcn.2019.100630</w:t>
      </w:r>
    </w:p>
    <w:p w14:paraId="1B01970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Easson, A. K., &amp; McIntosh, A. R. (2019). BOLD signal variability and complexity in children and adolescents with and without autism spectrum disorder. </w:t>
      </w:r>
      <w:r w:rsidRPr="005C650F">
        <w:rPr>
          <w:rFonts w:ascii="Times New Roman" w:eastAsia="Times New Roman" w:hAnsi="Times New Roman" w:cs="Times New Roman"/>
          <w:i/>
          <w:iCs/>
          <w:sz w:val="24"/>
          <w:szCs w:val="24"/>
        </w:rPr>
        <w:t>Developmental Cognitive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36</w:t>
      </w:r>
      <w:r w:rsidRPr="005C650F">
        <w:rPr>
          <w:rFonts w:ascii="Times New Roman" w:eastAsia="Times New Roman" w:hAnsi="Times New Roman" w:cs="Times New Roman"/>
          <w:sz w:val="24"/>
          <w:szCs w:val="24"/>
        </w:rPr>
        <w:t>, 100630. https://doi.org/10.1016/j.dcn.2019.100630</w:t>
      </w:r>
    </w:p>
    <w:p w14:paraId="270C38B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Ecker, C., Marquand, A., Mourão-Miranda, J., Johnston, P., Daly, E. M., Brammer, M. J., Maltezos, S., Murphy, C. M., Robertson, D., Williams, S. C., &amp; Murphy, D. G. M. (2010). Describing the brain in autism in five dimensions--magnetic resonance imaging-assisted diagnosis of autism spectrum disorder using a multiparameter classification approach.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30</w:t>
      </w:r>
      <w:r w:rsidRPr="005C650F">
        <w:rPr>
          <w:rFonts w:ascii="Times New Roman" w:eastAsia="Times New Roman" w:hAnsi="Times New Roman" w:cs="Times New Roman"/>
          <w:sz w:val="24"/>
          <w:szCs w:val="24"/>
        </w:rPr>
        <w:t>(32), 10612–10623. https://doi.org/10.1523/JNEUROSCI.5413-09.2010</w:t>
      </w:r>
    </w:p>
    <w:p w14:paraId="1AE9B04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Edgar, J. C., Franzen, R. E., McNamee, M., Green, H. L., Shen, G., DiPiero, M., Liu, S., Airey, M., Goldin, S., Blaskey, L., </w:t>
      </w:r>
      <w:proofErr w:type="spellStart"/>
      <w:r w:rsidRPr="005C650F">
        <w:rPr>
          <w:rFonts w:ascii="Times New Roman" w:eastAsia="Times New Roman" w:hAnsi="Times New Roman" w:cs="Times New Roman"/>
          <w:sz w:val="24"/>
          <w:szCs w:val="24"/>
        </w:rPr>
        <w:t>Kuschner</w:t>
      </w:r>
      <w:proofErr w:type="spellEnd"/>
      <w:r w:rsidRPr="005C650F">
        <w:rPr>
          <w:rFonts w:ascii="Times New Roman" w:eastAsia="Times New Roman" w:hAnsi="Times New Roman" w:cs="Times New Roman"/>
          <w:sz w:val="24"/>
          <w:szCs w:val="24"/>
        </w:rPr>
        <w:t xml:space="preserve">, E. S., Kim, M., </w:t>
      </w:r>
      <w:proofErr w:type="spellStart"/>
      <w:r w:rsidRPr="005C650F">
        <w:rPr>
          <w:rFonts w:ascii="Times New Roman" w:eastAsia="Times New Roman" w:hAnsi="Times New Roman" w:cs="Times New Roman"/>
          <w:sz w:val="24"/>
          <w:szCs w:val="24"/>
        </w:rPr>
        <w:t>Konka</w:t>
      </w:r>
      <w:proofErr w:type="spellEnd"/>
      <w:r w:rsidRPr="005C650F">
        <w:rPr>
          <w:rFonts w:ascii="Times New Roman" w:eastAsia="Times New Roman" w:hAnsi="Times New Roman" w:cs="Times New Roman"/>
          <w:sz w:val="24"/>
          <w:szCs w:val="24"/>
        </w:rPr>
        <w:t xml:space="preserve">, K., Roberts, T. P. L., &amp; Chen, Y. (2023). A comparison of resting-state eyes-closed and dark-room alpha-band activity in children. </w:t>
      </w:r>
      <w:r w:rsidRPr="005C650F">
        <w:rPr>
          <w:rFonts w:ascii="Times New Roman" w:eastAsia="Times New Roman" w:hAnsi="Times New Roman" w:cs="Times New Roman"/>
          <w:i/>
          <w:iCs/>
          <w:sz w:val="24"/>
          <w:szCs w:val="24"/>
        </w:rPr>
        <w:t>Psychophysiology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60</w:t>
      </w:r>
      <w:r w:rsidRPr="005C650F">
        <w:rPr>
          <w:rFonts w:ascii="Times New Roman" w:eastAsia="Times New Roman" w:hAnsi="Times New Roman" w:cs="Times New Roman"/>
          <w:sz w:val="24"/>
          <w:szCs w:val="24"/>
        </w:rPr>
        <w:t>(6), e14285. https://doi.org/10.1111/psyp.14285</w:t>
      </w:r>
    </w:p>
    <w:p w14:paraId="121BA8A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Eke, A., Herman, P., Kocsis, L., &amp; Kozak, L. R. (2002). Fractal characterization of complexity in temporal physiological signals. </w:t>
      </w:r>
      <w:r w:rsidRPr="00203582">
        <w:rPr>
          <w:rFonts w:ascii="Times New Roman" w:eastAsia="Times New Roman" w:hAnsi="Times New Roman" w:cs="Times New Roman"/>
          <w:i/>
          <w:sz w:val="24"/>
          <w:szCs w:val="24"/>
        </w:rPr>
        <w:t>Physiological Measurement</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23</w:t>
      </w:r>
      <w:r w:rsidRPr="00203582">
        <w:rPr>
          <w:rFonts w:ascii="Times New Roman" w:eastAsia="Times New Roman" w:hAnsi="Times New Roman" w:cs="Times New Roman"/>
          <w:sz w:val="24"/>
          <w:szCs w:val="24"/>
        </w:rPr>
        <w:t>(1), R1-38. https://doi.org/10.1088/0967-3334/23/1/201</w:t>
      </w:r>
    </w:p>
    <w:p w14:paraId="4A21A58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Fair, D. A., Cohen, A. L., Power, J. D., </w:t>
      </w:r>
      <w:proofErr w:type="spellStart"/>
      <w:r w:rsidRPr="005C650F">
        <w:rPr>
          <w:rFonts w:ascii="Times New Roman" w:eastAsia="Times New Roman" w:hAnsi="Times New Roman" w:cs="Times New Roman"/>
          <w:sz w:val="24"/>
          <w:szCs w:val="24"/>
        </w:rPr>
        <w:t>Dosenbach</w:t>
      </w:r>
      <w:proofErr w:type="spellEnd"/>
      <w:r w:rsidRPr="005C650F">
        <w:rPr>
          <w:rFonts w:ascii="Times New Roman" w:eastAsia="Times New Roman" w:hAnsi="Times New Roman" w:cs="Times New Roman"/>
          <w:sz w:val="24"/>
          <w:szCs w:val="24"/>
        </w:rPr>
        <w:t xml:space="preserve">, N. U. F., Church, J. A., Miezin, F. M., </w:t>
      </w:r>
      <w:proofErr w:type="spellStart"/>
      <w:r w:rsidRPr="005C650F">
        <w:rPr>
          <w:rFonts w:ascii="Times New Roman" w:eastAsia="Times New Roman" w:hAnsi="Times New Roman" w:cs="Times New Roman"/>
          <w:sz w:val="24"/>
          <w:szCs w:val="24"/>
        </w:rPr>
        <w:t>Schlaggar</w:t>
      </w:r>
      <w:proofErr w:type="spellEnd"/>
      <w:r w:rsidRPr="005C650F">
        <w:rPr>
          <w:rFonts w:ascii="Times New Roman" w:eastAsia="Times New Roman" w:hAnsi="Times New Roman" w:cs="Times New Roman"/>
          <w:sz w:val="24"/>
          <w:szCs w:val="24"/>
        </w:rPr>
        <w:t xml:space="preserve">, B. L., &amp; Petersen, S. E. (2009). Functional brain networks develop from a “local to distributed” organization.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Computational 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(5), e1000381. https://doi.org/10.1371/journal.pcbi.1000381</w:t>
      </w:r>
    </w:p>
    <w:p w14:paraId="07D7C88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Falkowska, A., Gutowska, I., </w:t>
      </w:r>
      <w:proofErr w:type="spellStart"/>
      <w:r w:rsidRPr="00203582">
        <w:rPr>
          <w:rFonts w:ascii="Times New Roman" w:eastAsia="Times New Roman" w:hAnsi="Times New Roman" w:cs="Times New Roman"/>
          <w:sz w:val="24"/>
          <w:szCs w:val="24"/>
        </w:rPr>
        <w:t>Goschorska</w:t>
      </w:r>
      <w:proofErr w:type="spellEnd"/>
      <w:r w:rsidRPr="00203582">
        <w:rPr>
          <w:rFonts w:ascii="Times New Roman" w:eastAsia="Times New Roman" w:hAnsi="Times New Roman" w:cs="Times New Roman"/>
          <w:sz w:val="24"/>
          <w:szCs w:val="24"/>
        </w:rPr>
        <w:t xml:space="preserve">, M., Nowacki, P., </w:t>
      </w:r>
      <w:proofErr w:type="spellStart"/>
      <w:r w:rsidRPr="00203582">
        <w:rPr>
          <w:rFonts w:ascii="Times New Roman" w:eastAsia="Times New Roman" w:hAnsi="Times New Roman" w:cs="Times New Roman"/>
          <w:sz w:val="24"/>
          <w:szCs w:val="24"/>
        </w:rPr>
        <w:t>Chlubek</w:t>
      </w:r>
      <w:proofErr w:type="spellEnd"/>
      <w:r w:rsidRPr="00203582">
        <w:rPr>
          <w:rFonts w:ascii="Times New Roman" w:eastAsia="Times New Roman" w:hAnsi="Times New Roman" w:cs="Times New Roman"/>
          <w:sz w:val="24"/>
          <w:szCs w:val="24"/>
        </w:rPr>
        <w:t>, D., &amp; Baranowska-</w:t>
      </w:r>
      <w:proofErr w:type="spellStart"/>
      <w:r w:rsidRPr="00203582">
        <w:rPr>
          <w:rFonts w:ascii="Times New Roman" w:eastAsia="Times New Roman" w:hAnsi="Times New Roman" w:cs="Times New Roman"/>
          <w:sz w:val="24"/>
          <w:szCs w:val="24"/>
        </w:rPr>
        <w:t>Bosiacka</w:t>
      </w:r>
      <w:proofErr w:type="spellEnd"/>
      <w:r w:rsidRPr="00203582">
        <w:rPr>
          <w:rFonts w:ascii="Times New Roman" w:eastAsia="Times New Roman" w:hAnsi="Times New Roman" w:cs="Times New Roman"/>
          <w:sz w:val="24"/>
          <w:szCs w:val="24"/>
        </w:rPr>
        <w:t xml:space="preserve">, I. (2015). Energy Metabolism of the Brain, Including the Cooperation between Astrocytes and Neurons, Especially in the Context of Glycogen Metabolism. </w:t>
      </w:r>
      <w:r w:rsidRPr="00203582">
        <w:rPr>
          <w:rFonts w:ascii="Times New Roman" w:eastAsia="Times New Roman" w:hAnsi="Times New Roman" w:cs="Times New Roman"/>
          <w:i/>
          <w:sz w:val="24"/>
          <w:szCs w:val="24"/>
        </w:rPr>
        <w:t>International Journal of Molecular Sciences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16</w:t>
      </w:r>
      <w:r w:rsidRPr="00203582">
        <w:rPr>
          <w:rFonts w:ascii="Times New Roman" w:eastAsia="Times New Roman" w:hAnsi="Times New Roman" w:cs="Times New Roman"/>
          <w:sz w:val="24"/>
          <w:szCs w:val="24"/>
        </w:rPr>
        <w:t>(11), 25959–25981. https://doi.org/10.3390/ijms161125939</w:t>
      </w:r>
    </w:p>
    <w:p w14:paraId="7C344AB0"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de-DE"/>
        </w:rPr>
      </w:pPr>
      <w:r w:rsidRPr="00203582">
        <w:rPr>
          <w:rFonts w:ascii="Times New Roman" w:eastAsia="Times New Roman" w:hAnsi="Times New Roman" w:cs="Times New Roman"/>
          <w:sz w:val="24"/>
          <w:szCs w:val="24"/>
        </w:rPr>
        <w:t xml:space="preserve">Fan, F., Liao, X., Lei, T., Zhao, T., Xia, M., Men, W., Wang, Y., Hu, M., Liu, J., Qin, S., Tan, S., Gao, J.-H., Dong, Q., Tao, S., &amp; He, Y. (2021). Development of the default-mode network during childhood and adolescence: A longitudinal resting-state fMRI study. </w:t>
      </w:r>
      <w:r w:rsidRPr="00203582">
        <w:rPr>
          <w:rFonts w:ascii="Times New Roman" w:eastAsia="Times New Roman" w:hAnsi="Times New Roman" w:cs="Times New Roman"/>
          <w:i/>
          <w:sz w:val="24"/>
          <w:szCs w:val="24"/>
          <w:lang w:val="de-DE"/>
        </w:rPr>
        <w:t>Neuroimage</w:t>
      </w:r>
      <w:r w:rsidRPr="00203582">
        <w:rPr>
          <w:rFonts w:ascii="Times New Roman" w:eastAsia="Times New Roman" w:hAnsi="Times New Roman" w:cs="Times New Roman"/>
          <w:sz w:val="24"/>
          <w:szCs w:val="24"/>
          <w:lang w:val="de-DE"/>
        </w:rPr>
        <w:t xml:space="preserve">, </w:t>
      </w:r>
      <w:r w:rsidRPr="00203582">
        <w:rPr>
          <w:rFonts w:ascii="Times New Roman" w:eastAsia="Times New Roman" w:hAnsi="Times New Roman" w:cs="Times New Roman"/>
          <w:i/>
          <w:sz w:val="24"/>
          <w:szCs w:val="24"/>
          <w:lang w:val="de-DE"/>
        </w:rPr>
        <w:t>226</w:t>
      </w:r>
      <w:r w:rsidRPr="00203582">
        <w:rPr>
          <w:rFonts w:ascii="Times New Roman" w:eastAsia="Times New Roman" w:hAnsi="Times New Roman" w:cs="Times New Roman"/>
          <w:sz w:val="24"/>
          <w:szCs w:val="24"/>
          <w:lang w:val="de-DE"/>
        </w:rPr>
        <w:t>, 117581. https://doi.org/10.1016/j.neuroimage.2020.117581</w:t>
      </w:r>
    </w:p>
    <w:p w14:paraId="7D2240D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Fan, J. C., Cheung, R. T., Chu, L. W., Fung, P. C. W., Chang, C. Q., Sik, H. H., Zhang, M. M., Xie, B. J., Hung, Y. S., &amp; Gao, J. L. (2014). </w:t>
      </w:r>
      <w:r w:rsidRPr="00203582">
        <w:rPr>
          <w:rFonts w:ascii="Times New Roman" w:eastAsia="Times New Roman" w:hAnsi="Times New Roman" w:cs="Times New Roman"/>
          <w:sz w:val="24"/>
          <w:szCs w:val="24"/>
        </w:rPr>
        <w:t xml:space="preserve">Age-related changes of EEG and its source in resting state. </w:t>
      </w:r>
      <w:r w:rsidRPr="00203582">
        <w:rPr>
          <w:rFonts w:ascii="Times New Roman" w:eastAsia="Times New Roman" w:hAnsi="Times New Roman" w:cs="Times New Roman"/>
          <w:i/>
          <w:sz w:val="24"/>
          <w:szCs w:val="24"/>
        </w:rPr>
        <w:t>2014 19th International Conference on Digital Signal Processing</w:t>
      </w:r>
      <w:r w:rsidRPr="00203582">
        <w:rPr>
          <w:rFonts w:ascii="Times New Roman" w:eastAsia="Times New Roman" w:hAnsi="Times New Roman" w:cs="Times New Roman"/>
          <w:sz w:val="24"/>
          <w:szCs w:val="24"/>
        </w:rPr>
        <w:t>, 797–800. https://doi.org/10.1109/ICDSP.2014.6900774</w:t>
      </w:r>
    </w:p>
    <w:p w14:paraId="261F531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Fell, J., Röschke, J., Mann, K., &amp; Schäffner, C. (1996). </w:t>
      </w:r>
      <w:r w:rsidRPr="00203582">
        <w:rPr>
          <w:rFonts w:ascii="Times New Roman" w:eastAsia="Times New Roman" w:hAnsi="Times New Roman" w:cs="Times New Roman"/>
          <w:sz w:val="24"/>
          <w:szCs w:val="24"/>
        </w:rPr>
        <w:t xml:space="preserve">Discrimination of sleep stages: a comparison between spectral and nonlinear EEG measures. </w:t>
      </w:r>
      <w:r w:rsidRPr="00203582">
        <w:rPr>
          <w:rFonts w:ascii="Times New Roman" w:eastAsia="Times New Roman" w:hAnsi="Times New Roman" w:cs="Times New Roman"/>
          <w:i/>
          <w:sz w:val="24"/>
          <w:szCs w:val="24"/>
        </w:rPr>
        <w:t>Electroencephalography and 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98</w:t>
      </w:r>
      <w:r w:rsidRPr="00203582">
        <w:rPr>
          <w:rFonts w:ascii="Times New Roman" w:eastAsia="Times New Roman" w:hAnsi="Times New Roman" w:cs="Times New Roman"/>
          <w:sz w:val="24"/>
          <w:szCs w:val="24"/>
        </w:rPr>
        <w:t>(5), 401–410.</w:t>
      </w:r>
    </w:p>
    <w:p w14:paraId="1AC3C6D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Feng, Y., Kang, X., Wang, H., Cong, J., Zhuang, W., Xue, K., Li, F., Yao, D., Xu, P., &amp; Zhang, T. (2023). The relationships between dynamic resting-state networks and social </w:t>
      </w:r>
      <w:proofErr w:type="spellStart"/>
      <w:r w:rsidRPr="00203582">
        <w:rPr>
          <w:rFonts w:ascii="Times New Roman" w:eastAsia="Times New Roman" w:hAnsi="Times New Roman" w:cs="Times New Roman"/>
          <w:sz w:val="24"/>
          <w:szCs w:val="24"/>
        </w:rPr>
        <w:t>behavior</w:t>
      </w:r>
      <w:proofErr w:type="spellEnd"/>
      <w:r w:rsidRPr="00203582">
        <w:rPr>
          <w:rFonts w:ascii="Times New Roman" w:eastAsia="Times New Roman" w:hAnsi="Times New Roman" w:cs="Times New Roman"/>
          <w:sz w:val="24"/>
          <w:szCs w:val="24"/>
        </w:rPr>
        <w:t xml:space="preserve"> in autism spectrum disorder revealed by fuzzy entropy-based temporal variability analysis of large-scale network. </w:t>
      </w:r>
      <w:r w:rsidRPr="00203582">
        <w:rPr>
          <w:rFonts w:ascii="Times New Roman" w:eastAsia="Times New Roman" w:hAnsi="Times New Roman" w:cs="Times New Roman"/>
          <w:i/>
          <w:sz w:val="24"/>
          <w:szCs w:val="24"/>
        </w:rPr>
        <w:t>Cerebral Cortex</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33</w:t>
      </w:r>
      <w:r w:rsidRPr="00203582">
        <w:rPr>
          <w:rFonts w:ascii="Times New Roman" w:eastAsia="Times New Roman" w:hAnsi="Times New Roman" w:cs="Times New Roman"/>
          <w:sz w:val="24"/>
          <w:szCs w:val="24"/>
        </w:rPr>
        <w:t>(3), 764–776. https://doi.org/10.1093/cercor/bhac100</w:t>
      </w:r>
    </w:p>
    <w:p w14:paraId="63AF068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Fernández, A., Zuluaga, P., </w:t>
      </w:r>
      <w:proofErr w:type="spellStart"/>
      <w:r w:rsidRPr="00203582">
        <w:rPr>
          <w:rFonts w:ascii="Times New Roman" w:eastAsia="Times New Roman" w:hAnsi="Times New Roman" w:cs="Times New Roman"/>
          <w:sz w:val="24"/>
          <w:szCs w:val="24"/>
        </w:rPr>
        <w:t>Abásolo</w:t>
      </w:r>
      <w:proofErr w:type="spellEnd"/>
      <w:r w:rsidRPr="00203582">
        <w:rPr>
          <w:rFonts w:ascii="Times New Roman" w:eastAsia="Times New Roman" w:hAnsi="Times New Roman" w:cs="Times New Roman"/>
          <w:sz w:val="24"/>
          <w:szCs w:val="24"/>
        </w:rPr>
        <w:t xml:space="preserve">, D., Gómez, C., Serra, A., Méndez, M. A., &amp; </w:t>
      </w:r>
      <w:proofErr w:type="spellStart"/>
      <w:r w:rsidRPr="00203582">
        <w:rPr>
          <w:rFonts w:ascii="Times New Roman" w:eastAsia="Times New Roman" w:hAnsi="Times New Roman" w:cs="Times New Roman"/>
          <w:sz w:val="24"/>
          <w:szCs w:val="24"/>
        </w:rPr>
        <w:t>Hornero</w:t>
      </w:r>
      <w:proofErr w:type="spellEnd"/>
      <w:r w:rsidRPr="00203582">
        <w:rPr>
          <w:rFonts w:ascii="Times New Roman" w:eastAsia="Times New Roman" w:hAnsi="Times New Roman" w:cs="Times New Roman"/>
          <w:sz w:val="24"/>
          <w:szCs w:val="24"/>
        </w:rPr>
        <w:t xml:space="preserve">, R. (2012). Brain oscillatory complexity across the life span. </w:t>
      </w:r>
      <w:r w:rsidRPr="00203582">
        <w:rPr>
          <w:rFonts w:ascii="Times New Roman" w:eastAsia="Times New Roman" w:hAnsi="Times New Roman" w:cs="Times New Roman"/>
          <w:i/>
          <w:sz w:val="24"/>
          <w:szCs w:val="24"/>
        </w:rPr>
        <w:t>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123</w:t>
      </w:r>
      <w:r w:rsidRPr="00203582">
        <w:rPr>
          <w:rFonts w:ascii="Times New Roman" w:eastAsia="Times New Roman" w:hAnsi="Times New Roman" w:cs="Times New Roman"/>
          <w:sz w:val="24"/>
          <w:szCs w:val="24"/>
        </w:rPr>
        <w:t>(11), 2154–2162. https://doi.org/10.1016/j.clinph.2012.04.025</w:t>
      </w:r>
    </w:p>
    <w:p w14:paraId="4C99871C"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pl-PL"/>
        </w:rPr>
      </w:pPr>
      <w:r w:rsidRPr="005C650F">
        <w:rPr>
          <w:rFonts w:ascii="Times New Roman" w:eastAsia="Times New Roman" w:hAnsi="Times New Roman" w:cs="Times New Roman"/>
          <w:sz w:val="24"/>
          <w:szCs w:val="24"/>
        </w:rPr>
        <w:t xml:space="preserve">Fishman, I., Keown, C. L., Lincoln, A. J., Pineda, J. A., &amp; Müller, R.-A. (2014). Atypical cross talk between mentalizing and mirror neuron networks in autism spectrum disorder. </w:t>
      </w:r>
      <w:r w:rsidRPr="005C650F">
        <w:rPr>
          <w:rFonts w:ascii="Times New Roman" w:eastAsia="Times New Roman" w:hAnsi="Times New Roman" w:cs="Times New Roman"/>
          <w:i/>
          <w:iCs/>
          <w:sz w:val="24"/>
          <w:szCs w:val="24"/>
          <w:lang w:val="pl-PL"/>
        </w:rPr>
        <w:t>JAMA Psychiatry</w:t>
      </w:r>
      <w:r w:rsidRPr="005C650F">
        <w:rPr>
          <w:rFonts w:ascii="Times New Roman" w:eastAsia="Times New Roman" w:hAnsi="Times New Roman" w:cs="Times New Roman"/>
          <w:sz w:val="24"/>
          <w:szCs w:val="24"/>
          <w:lang w:val="pl-PL"/>
        </w:rPr>
        <w:t xml:space="preserve">, </w:t>
      </w:r>
      <w:r w:rsidRPr="005C650F">
        <w:rPr>
          <w:rFonts w:ascii="Times New Roman" w:eastAsia="Times New Roman" w:hAnsi="Times New Roman" w:cs="Times New Roman"/>
          <w:i/>
          <w:iCs/>
          <w:sz w:val="24"/>
          <w:szCs w:val="24"/>
          <w:lang w:val="pl-PL"/>
        </w:rPr>
        <w:t>71</w:t>
      </w:r>
      <w:r w:rsidRPr="005C650F">
        <w:rPr>
          <w:rFonts w:ascii="Times New Roman" w:eastAsia="Times New Roman" w:hAnsi="Times New Roman" w:cs="Times New Roman"/>
          <w:sz w:val="24"/>
          <w:szCs w:val="24"/>
          <w:lang w:val="pl-PL"/>
        </w:rPr>
        <w:t>(7), 751–760. https://doi.org/10.1001/jamapsychiatry.2014.83</w:t>
      </w:r>
    </w:p>
    <w:p w14:paraId="38E12DD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Flandin</w:t>
      </w:r>
      <w:proofErr w:type="spellEnd"/>
      <w:r w:rsidRPr="005C650F">
        <w:rPr>
          <w:rFonts w:ascii="Times New Roman" w:eastAsia="Times New Roman" w:hAnsi="Times New Roman" w:cs="Times New Roman"/>
          <w:sz w:val="24"/>
          <w:szCs w:val="24"/>
        </w:rPr>
        <w:t xml:space="preserve">, G., &amp; Friston, K. (2008). Statistical parametric mapping (SPM). </w:t>
      </w:r>
      <w:proofErr w:type="spellStart"/>
      <w:r w:rsidRPr="005C650F">
        <w:rPr>
          <w:rFonts w:ascii="Times New Roman" w:eastAsia="Times New Roman" w:hAnsi="Times New Roman" w:cs="Times New Roman"/>
          <w:i/>
          <w:iCs/>
          <w:sz w:val="24"/>
          <w:szCs w:val="24"/>
        </w:rPr>
        <w:t>Scholarpedia</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w:t>
      </w:r>
      <w:r w:rsidRPr="005C650F">
        <w:rPr>
          <w:rFonts w:ascii="Times New Roman" w:eastAsia="Times New Roman" w:hAnsi="Times New Roman" w:cs="Times New Roman"/>
          <w:sz w:val="24"/>
          <w:szCs w:val="24"/>
        </w:rPr>
        <w:t>(4), 6232. https://doi.org/10.4249/scholarpedia.6232</w:t>
      </w:r>
    </w:p>
    <w:p w14:paraId="31A95852"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pt-PT"/>
        </w:rPr>
      </w:pPr>
      <w:r w:rsidRPr="005C650F">
        <w:rPr>
          <w:rFonts w:ascii="Times New Roman" w:eastAsia="Times New Roman" w:hAnsi="Times New Roman" w:cs="Times New Roman"/>
          <w:sz w:val="24"/>
          <w:szCs w:val="24"/>
        </w:rPr>
        <w:t xml:space="preserve">Fonseca, L. C., </w:t>
      </w:r>
      <w:proofErr w:type="spellStart"/>
      <w:r w:rsidRPr="005C650F">
        <w:rPr>
          <w:rFonts w:ascii="Times New Roman" w:eastAsia="Times New Roman" w:hAnsi="Times New Roman" w:cs="Times New Roman"/>
          <w:sz w:val="24"/>
          <w:szCs w:val="24"/>
        </w:rPr>
        <w:t>Tedrus</w:t>
      </w:r>
      <w:proofErr w:type="spellEnd"/>
      <w:r w:rsidRPr="005C650F">
        <w:rPr>
          <w:rFonts w:ascii="Times New Roman" w:eastAsia="Times New Roman" w:hAnsi="Times New Roman" w:cs="Times New Roman"/>
          <w:sz w:val="24"/>
          <w:szCs w:val="24"/>
        </w:rPr>
        <w:t xml:space="preserve">, G. M. A. S., Chiodi, M. G., Cerqueira, J. N., &amp; </w:t>
      </w:r>
      <w:proofErr w:type="spellStart"/>
      <w:r w:rsidRPr="005C650F">
        <w:rPr>
          <w:rFonts w:ascii="Times New Roman" w:eastAsia="Times New Roman" w:hAnsi="Times New Roman" w:cs="Times New Roman"/>
          <w:sz w:val="24"/>
          <w:szCs w:val="24"/>
        </w:rPr>
        <w:t>Tonelotto</w:t>
      </w:r>
      <w:proofErr w:type="spellEnd"/>
      <w:r w:rsidRPr="005C650F">
        <w:rPr>
          <w:rFonts w:ascii="Times New Roman" w:eastAsia="Times New Roman" w:hAnsi="Times New Roman" w:cs="Times New Roman"/>
          <w:sz w:val="24"/>
          <w:szCs w:val="24"/>
        </w:rPr>
        <w:t xml:space="preserve">, J. M. F. (2006). Quantitative EEG in children with learning disabilities: analysis of band power. </w:t>
      </w:r>
      <w:r w:rsidRPr="005C650F">
        <w:rPr>
          <w:rFonts w:ascii="Times New Roman" w:eastAsia="Times New Roman" w:hAnsi="Times New Roman" w:cs="Times New Roman"/>
          <w:i/>
          <w:iCs/>
          <w:sz w:val="24"/>
          <w:szCs w:val="24"/>
          <w:lang w:val="pt-PT"/>
        </w:rPr>
        <w:t>Arquivos de Neuro-Psiquiatria</w:t>
      </w:r>
      <w:r w:rsidRPr="005C650F">
        <w:rPr>
          <w:rFonts w:ascii="Times New Roman" w:eastAsia="Times New Roman" w:hAnsi="Times New Roman" w:cs="Times New Roman"/>
          <w:sz w:val="24"/>
          <w:szCs w:val="24"/>
          <w:lang w:val="pt-PT"/>
        </w:rPr>
        <w:t xml:space="preserve">, </w:t>
      </w:r>
      <w:r w:rsidRPr="005C650F">
        <w:rPr>
          <w:rFonts w:ascii="Times New Roman" w:eastAsia="Times New Roman" w:hAnsi="Times New Roman" w:cs="Times New Roman"/>
          <w:i/>
          <w:iCs/>
          <w:sz w:val="24"/>
          <w:szCs w:val="24"/>
          <w:lang w:val="pt-PT"/>
        </w:rPr>
        <w:t>64</w:t>
      </w:r>
      <w:r w:rsidRPr="005C650F">
        <w:rPr>
          <w:rFonts w:ascii="Times New Roman" w:eastAsia="Times New Roman" w:hAnsi="Times New Roman" w:cs="Times New Roman"/>
          <w:sz w:val="24"/>
          <w:szCs w:val="24"/>
          <w:lang w:val="pt-PT"/>
        </w:rPr>
        <w:t>(2B), 376–381.</w:t>
      </w:r>
    </w:p>
    <w:p w14:paraId="48ADFDE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t-PT"/>
        </w:rPr>
        <w:t xml:space="preserve">Fox, M. D., Snyder, A. Z., Vincent, J. L., Corbetta, M., Van Essen, D. C., &amp; Raichle, M. E. (2005). </w:t>
      </w:r>
      <w:r w:rsidRPr="005C650F">
        <w:rPr>
          <w:rFonts w:ascii="Times New Roman" w:eastAsia="Times New Roman" w:hAnsi="Times New Roman" w:cs="Times New Roman"/>
          <w:sz w:val="24"/>
          <w:szCs w:val="24"/>
        </w:rPr>
        <w:t xml:space="preserve">The human brain is intrinsically organized into dynamic, anticorrelated functional networks.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102</w:t>
      </w:r>
      <w:r w:rsidRPr="005C650F">
        <w:rPr>
          <w:rFonts w:ascii="Times New Roman" w:eastAsia="Times New Roman" w:hAnsi="Times New Roman" w:cs="Times New Roman"/>
          <w:sz w:val="24"/>
          <w:szCs w:val="24"/>
        </w:rPr>
        <w:t>(27), 9673–9678. https://doi.org/10.1073/pnas.0504136102</w:t>
      </w:r>
    </w:p>
    <w:p w14:paraId="55F1948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Fox, M. D., Snyder, A. Z., Vincent, J. L., </w:t>
      </w:r>
      <w:proofErr w:type="spellStart"/>
      <w:r w:rsidRPr="005C650F">
        <w:rPr>
          <w:rFonts w:ascii="Times New Roman" w:eastAsia="Times New Roman" w:hAnsi="Times New Roman" w:cs="Times New Roman"/>
          <w:sz w:val="24"/>
          <w:szCs w:val="24"/>
        </w:rPr>
        <w:t>Corbetta</w:t>
      </w:r>
      <w:proofErr w:type="spellEnd"/>
      <w:r w:rsidRPr="005C650F">
        <w:rPr>
          <w:rFonts w:ascii="Times New Roman" w:eastAsia="Times New Roman" w:hAnsi="Times New Roman" w:cs="Times New Roman"/>
          <w:sz w:val="24"/>
          <w:szCs w:val="24"/>
        </w:rPr>
        <w:t xml:space="preserve">, M., Van Essen, D. C., &amp; Raichle, M. E. (2005). The human brain is intrinsically organized into dynamic, anticorrelated functional networks.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102</w:t>
      </w:r>
      <w:r w:rsidRPr="005C650F">
        <w:rPr>
          <w:rFonts w:ascii="Times New Roman" w:eastAsia="Times New Roman" w:hAnsi="Times New Roman" w:cs="Times New Roman"/>
          <w:sz w:val="24"/>
          <w:szCs w:val="24"/>
        </w:rPr>
        <w:t>(27), 9673–9678. https://doi.org/10.1073/pnas.0504136102</w:t>
      </w:r>
    </w:p>
    <w:p w14:paraId="2FDAE4B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Fox, M. D., Snyder, A. Z., Vincent, J. L., </w:t>
      </w:r>
      <w:proofErr w:type="spellStart"/>
      <w:r w:rsidRPr="005C650F">
        <w:rPr>
          <w:rFonts w:ascii="Times New Roman" w:eastAsia="Times New Roman" w:hAnsi="Times New Roman" w:cs="Times New Roman"/>
          <w:sz w:val="24"/>
          <w:szCs w:val="24"/>
        </w:rPr>
        <w:t>Corbetta</w:t>
      </w:r>
      <w:proofErr w:type="spellEnd"/>
      <w:r w:rsidRPr="005C650F">
        <w:rPr>
          <w:rFonts w:ascii="Times New Roman" w:eastAsia="Times New Roman" w:hAnsi="Times New Roman" w:cs="Times New Roman"/>
          <w:sz w:val="24"/>
          <w:szCs w:val="24"/>
        </w:rPr>
        <w:t xml:space="preserve">, M., Van Essen, D. C., &amp; Raichle, M. E. (2005). The human brain is intrinsically organized into dynamic, anticorrelated functional networks.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102</w:t>
      </w:r>
      <w:r w:rsidRPr="005C650F">
        <w:rPr>
          <w:rFonts w:ascii="Times New Roman" w:eastAsia="Times New Roman" w:hAnsi="Times New Roman" w:cs="Times New Roman"/>
          <w:sz w:val="24"/>
          <w:szCs w:val="24"/>
        </w:rPr>
        <w:t>(27), 9673–9678. https://doi.org/10.1073/pnas.0504136102</w:t>
      </w:r>
    </w:p>
    <w:p w14:paraId="7B842D3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Foxe, J. J., &amp; Snyder, A. C. (2011). </w:t>
      </w:r>
      <w:r w:rsidRPr="005C650F">
        <w:rPr>
          <w:rFonts w:ascii="Times New Roman" w:eastAsia="Times New Roman" w:hAnsi="Times New Roman" w:cs="Times New Roman"/>
          <w:sz w:val="24"/>
          <w:szCs w:val="24"/>
        </w:rPr>
        <w:t xml:space="preserve">The Role of Alpha-Band Brain Oscillations as a Sensory Suppression Mechanism during Selective Attention. </w:t>
      </w:r>
      <w:r w:rsidRPr="005C650F">
        <w:rPr>
          <w:rFonts w:ascii="Times New Roman" w:eastAsia="Times New Roman" w:hAnsi="Times New Roman" w:cs="Times New Roman"/>
          <w:i/>
          <w:iCs/>
          <w:sz w:val="24"/>
          <w:szCs w:val="24"/>
        </w:rPr>
        <w:t>Frontiers in Psychology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w:t>
      </w:r>
      <w:r w:rsidRPr="005C650F">
        <w:rPr>
          <w:rFonts w:ascii="Times New Roman" w:eastAsia="Times New Roman" w:hAnsi="Times New Roman" w:cs="Times New Roman"/>
          <w:sz w:val="24"/>
          <w:szCs w:val="24"/>
        </w:rPr>
        <w:t>, 154. https://doi.org/10.3389/fpsyg.2011.00154</w:t>
      </w:r>
    </w:p>
    <w:p w14:paraId="18C8A6A7"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Friedman, L., Glover, G. H., Krenz, D., Magnotta, V., &amp; FIRST BIRN. (2006). Reducing inter-scanner variability of activation in a </w:t>
      </w:r>
      <w:proofErr w:type="spellStart"/>
      <w:r w:rsidRPr="00F97EDC">
        <w:rPr>
          <w:rFonts w:ascii="Times New Roman" w:eastAsia="Times New Roman" w:hAnsi="Times New Roman" w:cs="Times New Roman"/>
          <w:sz w:val="24"/>
          <w:szCs w:val="24"/>
        </w:rPr>
        <w:t>multicenter</w:t>
      </w:r>
      <w:proofErr w:type="spellEnd"/>
      <w:r w:rsidRPr="00F97EDC">
        <w:rPr>
          <w:rFonts w:ascii="Times New Roman" w:eastAsia="Times New Roman" w:hAnsi="Times New Roman" w:cs="Times New Roman"/>
          <w:sz w:val="24"/>
          <w:szCs w:val="24"/>
        </w:rPr>
        <w:t xml:space="preserve"> fMRI study: role of smoothness equalization. Neuroimage, 32(4), 1656–1668. https://doi.org/10.1016/j.neuroimage.2006.03.062</w:t>
      </w:r>
    </w:p>
    <w:p w14:paraId="64AE0359"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Friston, K. J., Josephs, O., Rees, G., &amp; Turner, R. (1998). Nonlinear event-related responses in fMRI. </w:t>
      </w:r>
      <w:r w:rsidRPr="00203582">
        <w:rPr>
          <w:rFonts w:ascii="Times New Roman" w:eastAsia="Times New Roman" w:hAnsi="Times New Roman" w:cs="Times New Roman"/>
          <w:i/>
          <w:sz w:val="24"/>
          <w:szCs w:val="24"/>
        </w:rPr>
        <w:t>Magnetic Resonance in 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39</w:t>
      </w:r>
      <w:r w:rsidRPr="00203582">
        <w:rPr>
          <w:rFonts w:ascii="Times New Roman" w:eastAsia="Times New Roman" w:hAnsi="Times New Roman" w:cs="Times New Roman"/>
          <w:sz w:val="24"/>
          <w:szCs w:val="24"/>
        </w:rPr>
        <w:t>(1), 41–52. https://doi.org/10.1002/mrm.1910390109</w:t>
      </w:r>
    </w:p>
    <w:p w14:paraId="02C34D6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Friston, K. J., Josephs, O., Rees, G., &amp; Turner, R. (1998). Nonlinear event-related responses in fMRI. </w:t>
      </w:r>
      <w:r w:rsidRPr="005C650F">
        <w:rPr>
          <w:rFonts w:ascii="Times New Roman" w:eastAsia="Times New Roman" w:hAnsi="Times New Roman" w:cs="Times New Roman"/>
          <w:i/>
          <w:iCs/>
          <w:sz w:val="24"/>
          <w:szCs w:val="24"/>
        </w:rPr>
        <w:t>Magnetic Resonance in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39</w:t>
      </w:r>
      <w:r w:rsidRPr="005C650F">
        <w:rPr>
          <w:rFonts w:ascii="Times New Roman" w:eastAsia="Times New Roman" w:hAnsi="Times New Roman" w:cs="Times New Roman"/>
          <w:sz w:val="24"/>
          <w:szCs w:val="24"/>
        </w:rPr>
        <w:t>(1), 41–52. https://doi.org/10.1002/mrm.1910390109</w:t>
      </w:r>
    </w:p>
    <w:p w14:paraId="197CC9E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Friston, K. J., Josephs, O., </w:t>
      </w:r>
      <w:proofErr w:type="spellStart"/>
      <w:r w:rsidRPr="00203582">
        <w:rPr>
          <w:rFonts w:ascii="Times New Roman" w:eastAsia="Times New Roman" w:hAnsi="Times New Roman" w:cs="Times New Roman"/>
          <w:sz w:val="24"/>
          <w:szCs w:val="24"/>
        </w:rPr>
        <w:t>Zarahn</w:t>
      </w:r>
      <w:proofErr w:type="spellEnd"/>
      <w:r w:rsidRPr="00203582">
        <w:rPr>
          <w:rFonts w:ascii="Times New Roman" w:eastAsia="Times New Roman" w:hAnsi="Times New Roman" w:cs="Times New Roman"/>
          <w:sz w:val="24"/>
          <w:szCs w:val="24"/>
        </w:rPr>
        <w:t xml:space="preserve">, E., Holmes, A. P., Rouquette, S., &amp; Poline, J. (2000). To smooth or not to smooth? Bias and efficiency in fMRI time-series analysis.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(2), 196–208. https://doi.org/10.1006/nimg.2000.0609</w:t>
      </w:r>
    </w:p>
    <w:p w14:paraId="635B3F5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Frye, R. E., Vassall, S., Kaur, G., Lewis, C., Karim, M., &amp; Rossignol, D. (2019). Emerging biomarkers in autism spectrum disorder: a systematic review. </w:t>
      </w:r>
      <w:r w:rsidRPr="005C650F">
        <w:rPr>
          <w:rFonts w:ascii="Times New Roman" w:eastAsia="Times New Roman" w:hAnsi="Times New Roman" w:cs="Times New Roman"/>
          <w:i/>
          <w:iCs/>
          <w:sz w:val="24"/>
          <w:szCs w:val="24"/>
        </w:rPr>
        <w:t>Annals of Translational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(23), 792. https://doi.org/10.21037/atm.2019.11.53</w:t>
      </w:r>
    </w:p>
    <w:p w14:paraId="3E9A174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l-PL"/>
        </w:rPr>
        <w:t xml:space="preserve">Funakoshi, Y., Harada, M., Otsuka, H., Mori, K., Ito, H., &amp; Iwanaga, T. (2016). </w:t>
      </w:r>
      <w:r w:rsidRPr="005C650F">
        <w:rPr>
          <w:rFonts w:ascii="Times New Roman" w:eastAsia="Times New Roman" w:hAnsi="Times New Roman" w:cs="Times New Roman"/>
          <w:sz w:val="24"/>
          <w:szCs w:val="24"/>
        </w:rPr>
        <w:t xml:space="preserve">Default mode network abnormalities in children with autism spectrum disorder detected by resting-state functional magnetic resonance imaging. </w:t>
      </w:r>
      <w:r w:rsidRPr="005C650F">
        <w:rPr>
          <w:rFonts w:ascii="Times New Roman" w:eastAsia="Times New Roman" w:hAnsi="Times New Roman" w:cs="Times New Roman"/>
          <w:i/>
          <w:iCs/>
          <w:sz w:val="24"/>
          <w:szCs w:val="24"/>
        </w:rPr>
        <w:t>The Journal of Medical Investigation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63</w:t>
      </w:r>
      <w:r w:rsidRPr="005C650F">
        <w:rPr>
          <w:rFonts w:ascii="Times New Roman" w:eastAsia="Times New Roman" w:hAnsi="Times New Roman" w:cs="Times New Roman"/>
          <w:sz w:val="24"/>
          <w:szCs w:val="24"/>
        </w:rPr>
        <w:t>(3–4), 204–208. https://doi.org/10.2152/jmi.63.204</w:t>
      </w:r>
    </w:p>
    <w:p w14:paraId="387C698B"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de-DE"/>
        </w:rPr>
      </w:pPr>
      <w:r w:rsidRPr="00203582">
        <w:rPr>
          <w:rFonts w:ascii="Times New Roman" w:eastAsia="Times New Roman" w:hAnsi="Times New Roman" w:cs="Times New Roman"/>
          <w:sz w:val="24"/>
          <w:szCs w:val="24"/>
        </w:rPr>
        <w:t xml:space="preserve">Gaál, Z. A., </w:t>
      </w:r>
      <w:proofErr w:type="spellStart"/>
      <w:r w:rsidRPr="00203582">
        <w:rPr>
          <w:rFonts w:ascii="Times New Roman" w:eastAsia="Times New Roman" w:hAnsi="Times New Roman" w:cs="Times New Roman"/>
          <w:sz w:val="24"/>
          <w:szCs w:val="24"/>
        </w:rPr>
        <w:t>Boha</w:t>
      </w:r>
      <w:proofErr w:type="spellEnd"/>
      <w:r w:rsidRPr="00203582">
        <w:rPr>
          <w:rFonts w:ascii="Times New Roman" w:eastAsia="Times New Roman" w:hAnsi="Times New Roman" w:cs="Times New Roman"/>
          <w:sz w:val="24"/>
          <w:szCs w:val="24"/>
        </w:rPr>
        <w:t xml:space="preserve">, R., Stam, C. J., &amp; Molnár, M. (2010). Age-dependent features of EEG-reactivity-Spectral, complexity, and network characteristics. </w:t>
      </w:r>
      <w:r w:rsidRPr="00203582">
        <w:rPr>
          <w:rFonts w:ascii="Times New Roman" w:eastAsia="Times New Roman" w:hAnsi="Times New Roman" w:cs="Times New Roman"/>
          <w:i/>
          <w:sz w:val="24"/>
          <w:szCs w:val="24"/>
          <w:lang w:val="de-DE"/>
        </w:rPr>
        <w:t>Neuroscience Letters</w:t>
      </w:r>
      <w:r w:rsidRPr="00203582">
        <w:rPr>
          <w:rFonts w:ascii="Times New Roman" w:eastAsia="Times New Roman" w:hAnsi="Times New Roman" w:cs="Times New Roman"/>
          <w:sz w:val="24"/>
          <w:szCs w:val="24"/>
          <w:lang w:val="de-DE"/>
        </w:rPr>
        <w:t>. https://doi.org/10.1016/j.neulet.2010.05.037</w:t>
      </w:r>
    </w:p>
    <w:p w14:paraId="17E9D66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Garrett, D. D., </w:t>
      </w:r>
      <w:proofErr w:type="spellStart"/>
      <w:r w:rsidRPr="005C650F">
        <w:rPr>
          <w:rFonts w:ascii="Times New Roman" w:eastAsia="Times New Roman" w:hAnsi="Times New Roman" w:cs="Times New Roman"/>
          <w:sz w:val="24"/>
          <w:szCs w:val="24"/>
        </w:rPr>
        <w:t>Samanez</w:t>
      </w:r>
      <w:proofErr w:type="spellEnd"/>
      <w:r w:rsidRPr="005C650F">
        <w:rPr>
          <w:rFonts w:ascii="Times New Roman" w:eastAsia="Times New Roman" w:hAnsi="Times New Roman" w:cs="Times New Roman"/>
          <w:sz w:val="24"/>
          <w:szCs w:val="24"/>
        </w:rPr>
        <w:t xml:space="preserve">-Larkin, G. R., MacDonald, S. W. S., Lindenberger, U., McIntosh, A. R., &amp; Grady, C. L. (2013). Moment-to-moment brain signal variability: a next frontier in human brain mapping? </w:t>
      </w:r>
      <w:r w:rsidRPr="005C650F">
        <w:rPr>
          <w:rFonts w:ascii="Times New Roman" w:eastAsia="Times New Roman" w:hAnsi="Times New Roman" w:cs="Times New Roman"/>
          <w:i/>
          <w:iCs/>
          <w:sz w:val="24"/>
          <w:szCs w:val="24"/>
        </w:rPr>
        <w:t xml:space="preserve">Neuroscience and </w:t>
      </w:r>
      <w:proofErr w:type="spellStart"/>
      <w:r w:rsidRPr="005C650F">
        <w:rPr>
          <w:rFonts w:ascii="Times New Roman" w:eastAsia="Times New Roman" w:hAnsi="Times New Roman" w:cs="Times New Roman"/>
          <w:i/>
          <w:iCs/>
          <w:sz w:val="24"/>
          <w:szCs w:val="24"/>
        </w:rPr>
        <w:t>Biobehavioral</w:t>
      </w:r>
      <w:proofErr w:type="spellEnd"/>
      <w:r w:rsidRPr="005C650F">
        <w:rPr>
          <w:rFonts w:ascii="Times New Roman" w:eastAsia="Times New Roman" w:hAnsi="Times New Roman" w:cs="Times New Roman"/>
          <w:i/>
          <w:iCs/>
          <w:sz w:val="24"/>
          <w:szCs w:val="24"/>
        </w:rPr>
        <w:t xml:space="preserve"> Reviews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w:t>
      </w:r>
      <w:r w:rsidRPr="005C650F">
        <w:rPr>
          <w:rFonts w:ascii="Times New Roman" w:eastAsia="Times New Roman" w:hAnsi="Times New Roman" w:cs="Times New Roman"/>
          <w:sz w:val="24"/>
          <w:szCs w:val="24"/>
        </w:rPr>
        <w:t>(4), 610–624. https://doi.org/10.1016/j.neubiorev.2013.02.015</w:t>
      </w:r>
    </w:p>
    <w:p w14:paraId="00D3369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Garrido, M. I., Kilner, J. M., Kiebel, S. J., &amp; Friston, K. J. (2007). </w:t>
      </w:r>
      <w:r w:rsidRPr="00203582">
        <w:rPr>
          <w:rFonts w:ascii="Times New Roman" w:eastAsia="Times New Roman" w:hAnsi="Times New Roman" w:cs="Times New Roman"/>
          <w:sz w:val="24"/>
          <w:szCs w:val="24"/>
        </w:rPr>
        <w:t xml:space="preserve">Evoked brain responses are generated by feedback loops. </w:t>
      </w:r>
      <w:r w:rsidRPr="00203582">
        <w:rPr>
          <w:rFonts w:ascii="Times New Roman" w:eastAsia="Times New Roman" w:hAnsi="Times New Roman" w:cs="Times New Roman"/>
          <w:i/>
          <w:sz w:val="24"/>
          <w:szCs w:val="24"/>
        </w:rPr>
        <w:t>Proceedings of the National Academy of Sciences of the United States of America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104</w:t>
      </w:r>
      <w:r w:rsidRPr="00203582">
        <w:rPr>
          <w:rFonts w:ascii="Times New Roman" w:eastAsia="Times New Roman" w:hAnsi="Times New Roman" w:cs="Times New Roman"/>
          <w:sz w:val="24"/>
          <w:szCs w:val="24"/>
        </w:rPr>
        <w:t>(52), 20961–20966. https://doi.org/10.1073/pnas.0706274105</w:t>
      </w:r>
    </w:p>
    <w:p w14:paraId="41E2EEE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Gasser, T., Verleger, R., Bächer, P., &amp; Sroka, L. (1988). Development of the EEG of school-age children and adolescents. I. Analysis of band power. </w:t>
      </w:r>
      <w:r w:rsidRPr="005C650F">
        <w:rPr>
          <w:rFonts w:ascii="Times New Roman" w:eastAsia="Times New Roman" w:hAnsi="Times New Roman" w:cs="Times New Roman"/>
          <w:i/>
          <w:iCs/>
          <w:sz w:val="24"/>
          <w:szCs w:val="24"/>
        </w:rPr>
        <w:t>Electroencephalography and 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69</w:t>
      </w:r>
      <w:r w:rsidRPr="005C650F">
        <w:rPr>
          <w:rFonts w:ascii="Times New Roman" w:eastAsia="Times New Roman" w:hAnsi="Times New Roman" w:cs="Times New Roman"/>
          <w:sz w:val="24"/>
          <w:szCs w:val="24"/>
        </w:rPr>
        <w:t>(2), 91–99. https://doi.org/10.1016/0013-4694(88)90204-0</w:t>
      </w:r>
    </w:p>
    <w:p w14:paraId="39F4649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Geller, A. S., Burke, J. F., Sperling, M. R., Sharan, A. D., Litt, B., </w:t>
      </w:r>
      <w:proofErr w:type="spellStart"/>
      <w:r w:rsidRPr="005C650F">
        <w:rPr>
          <w:rFonts w:ascii="Times New Roman" w:eastAsia="Times New Roman" w:hAnsi="Times New Roman" w:cs="Times New Roman"/>
          <w:sz w:val="24"/>
          <w:szCs w:val="24"/>
        </w:rPr>
        <w:t>Baltuch</w:t>
      </w:r>
      <w:proofErr w:type="spellEnd"/>
      <w:r w:rsidRPr="005C650F">
        <w:rPr>
          <w:rFonts w:ascii="Times New Roman" w:eastAsia="Times New Roman" w:hAnsi="Times New Roman" w:cs="Times New Roman"/>
          <w:sz w:val="24"/>
          <w:szCs w:val="24"/>
        </w:rPr>
        <w:t xml:space="preserve">, G. H., Lucas, T. H., &amp; Kahana, M. J. (2014). Eye closure causes widespread low-frequency power increase and focal gamma attenuation in the human electrocorticogram.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125</w:t>
      </w:r>
      <w:r w:rsidRPr="005C650F">
        <w:rPr>
          <w:rFonts w:ascii="Times New Roman" w:eastAsia="Times New Roman" w:hAnsi="Times New Roman" w:cs="Times New Roman"/>
          <w:sz w:val="24"/>
          <w:szCs w:val="24"/>
        </w:rPr>
        <w:t>(9), 1764–1773. https://doi.org/10.1016/j.clinph.2014.01.021</w:t>
      </w:r>
    </w:p>
    <w:p w14:paraId="6FC3FB8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Ghanbari, Y., Bloy, L., Christopher Edgar, J., Blaskey, L., Verma, R., &amp; Roberts, T. P. L. (2015). Joint analysis of band-specific functional connectivity and signal complexity in autism. </w:t>
      </w:r>
      <w:r w:rsidRPr="005C650F">
        <w:rPr>
          <w:rFonts w:ascii="Times New Roman" w:eastAsia="Times New Roman" w:hAnsi="Times New Roman" w:cs="Times New Roman"/>
          <w:i/>
          <w:iCs/>
          <w:sz w:val="24"/>
          <w:szCs w:val="24"/>
        </w:rPr>
        <w:t>Journal of Autism and 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45</w:t>
      </w:r>
      <w:r w:rsidRPr="005C650F">
        <w:rPr>
          <w:rFonts w:ascii="Times New Roman" w:eastAsia="Times New Roman" w:hAnsi="Times New Roman" w:cs="Times New Roman"/>
          <w:sz w:val="24"/>
          <w:szCs w:val="24"/>
        </w:rPr>
        <w:t>(2), 444–460. https://doi.org/10.1007/s10803-013-1915-7</w:t>
      </w:r>
    </w:p>
    <w:p w14:paraId="4C944700"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Ghanbari, Z., &amp; Moradi, M. H. (2020). FSIFT-PLV: An emerging phase synchrony index. Biomedical Signal Processing and Control, 57, 101764. https://doi.org/10.1016/j.bspc.2019.101764</w:t>
      </w:r>
    </w:p>
    <w:p w14:paraId="6F749B3F"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Giannelli, M., </w:t>
      </w:r>
      <w:proofErr w:type="spellStart"/>
      <w:r w:rsidRPr="00F97EDC">
        <w:rPr>
          <w:rFonts w:ascii="Times New Roman" w:eastAsia="Times New Roman" w:hAnsi="Times New Roman" w:cs="Times New Roman"/>
          <w:sz w:val="24"/>
          <w:szCs w:val="24"/>
        </w:rPr>
        <w:t>Diciotti</w:t>
      </w:r>
      <w:proofErr w:type="spellEnd"/>
      <w:r w:rsidRPr="00F97EDC">
        <w:rPr>
          <w:rFonts w:ascii="Times New Roman" w:eastAsia="Times New Roman" w:hAnsi="Times New Roman" w:cs="Times New Roman"/>
          <w:sz w:val="24"/>
          <w:szCs w:val="24"/>
        </w:rPr>
        <w:t xml:space="preserve">, S., Tessa, C., &amp; </w:t>
      </w:r>
      <w:proofErr w:type="spellStart"/>
      <w:r w:rsidRPr="00F97EDC">
        <w:rPr>
          <w:rFonts w:ascii="Times New Roman" w:eastAsia="Times New Roman" w:hAnsi="Times New Roman" w:cs="Times New Roman"/>
          <w:sz w:val="24"/>
          <w:szCs w:val="24"/>
        </w:rPr>
        <w:t>Mascalchi</w:t>
      </w:r>
      <w:proofErr w:type="spellEnd"/>
      <w:r w:rsidRPr="00F97EDC">
        <w:rPr>
          <w:rFonts w:ascii="Times New Roman" w:eastAsia="Times New Roman" w:hAnsi="Times New Roman" w:cs="Times New Roman"/>
          <w:sz w:val="24"/>
          <w:szCs w:val="24"/>
        </w:rPr>
        <w:t>, M. (2010). Characterization of Nyquist ghost in EPI-fMRI acquisition sequences implemented on two clinical 1.5 T MR scanner systems: effect of readout bandwidth and echo spacing. Journal of Applied Clinical Medical Physics / American College of Medical Physics, 11(4), 3237. https://doi.org/10.1120/jacmp.v11i4.3237</w:t>
      </w:r>
    </w:p>
    <w:p w14:paraId="6774AE5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Glerean</w:t>
      </w:r>
      <w:proofErr w:type="spellEnd"/>
      <w:r w:rsidRPr="00203582">
        <w:rPr>
          <w:rFonts w:ascii="Times New Roman" w:eastAsia="Times New Roman" w:hAnsi="Times New Roman" w:cs="Times New Roman"/>
          <w:sz w:val="24"/>
          <w:szCs w:val="24"/>
        </w:rPr>
        <w:t xml:space="preserve">, E., Pan, R. K., Salmi, J., Kujala, R., </w:t>
      </w:r>
      <w:proofErr w:type="spellStart"/>
      <w:r w:rsidRPr="00203582">
        <w:rPr>
          <w:rFonts w:ascii="Times New Roman" w:eastAsia="Times New Roman" w:hAnsi="Times New Roman" w:cs="Times New Roman"/>
          <w:sz w:val="24"/>
          <w:szCs w:val="24"/>
        </w:rPr>
        <w:t>Lahnakoski</w:t>
      </w:r>
      <w:proofErr w:type="spellEnd"/>
      <w:r w:rsidRPr="00203582">
        <w:rPr>
          <w:rFonts w:ascii="Times New Roman" w:eastAsia="Times New Roman" w:hAnsi="Times New Roman" w:cs="Times New Roman"/>
          <w:sz w:val="24"/>
          <w:szCs w:val="24"/>
        </w:rPr>
        <w:t xml:space="preserve">, J. M., Roine, U., </w:t>
      </w:r>
      <w:proofErr w:type="spellStart"/>
      <w:r w:rsidRPr="00203582">
        <w:rPr>
          <w:rFonts w:ascii="Times New Roman" w:eastAsia="Times New Roman" w:hAnsi="Times New Roman" w:cs="Times New Roman"/>
          <w:sz w:val="24"/>
          <w:szCs w:val="24"/>
        </w:rPr>
        <w:t>Nummenmaa</w:t>
      </w:r>
      <w:proofErr w:type="spellEnd"/>
      <w:r w:rsidRPr="00203582">
        <w:rPr>
          <w:rFonts w:ascii="Times New Roman" w:eastAsia="Times New Roman" w:hAnsi="Times New Roman" w:cs="Times New Roman"/>
          <w:sz w:val="24"/>
          <w:szCs w:val="24"/>
        </w:rPr>
        <w:t xml:space="preserve">, L., </w:t>
      </w:r>
      <w:proofErr w:type="spellStart"/>
      <w:r w:rsidRPr="00203582">
        <w:rPr>
          <w:rFonts w:ascii="Times New Roman" w:eastAsia="Times New Roman" w:hAnsi="Times New Roman" w:cs="Times New Roman"/>
          <w:sz w:val="24"/>
          <w:szCs w:val="24"/>
        </w:rPr>
        <w:t>Leppämäki</w:t>
      </w:r>
      <w:proofErr w:type="spellEnd"/>
      <w:r w:rsidRPr="00203582">
        <w:rPr>
          <w:rFonts w:ascii="Times New Roman" w:eastAsia="Times New Roman" w:hAnsi="Times New Roman" w:cs="Times New Roman"/>
          <w:sz w:val="24"/>
          <w:szCs w:val="24"/>
        </w:rPr>
        <w:t xml:space="preserve">, S., Nieminen-von Wendt, T., Tani, P., </w:t>
      </w:r>
      <w:proofErr w:type="spellStart"/>
      <w:r w:rsidRPr="00203582">
        <w:rPr>
          <w:rFonts w:ascii="Times New Roman" w:eastAsia="Times New Roman" w:hAnsi="Times New Roman" w:cs="Times New Roman"/>
          <w:sz w:val="24"/>
          <w:szCs w:val="24"/>
        </w:rPr>
        <w:t>Saramäki</w:t>
      </w:r>
      <w:proofErr w:type="spellEnd"/>
      <w:r w:rsidRPr="00203582">
        <w:rPr>
          <w:rFonts w:ascii="Times New Roman" w:eastAsia="Times New Roman" w:hAnsi="Times New Roman" w:cs="Times New Roman"/>
          <w:sz w:val="24"/>
          <w:szCs w:val="24"/>
        </w:rPr>
        <w:t xml:space="preserve">, J., Sams, M., &amp; Jääskeläinen, I. P. (2016). Reorganization of functionally connected brain subnetworks in high-functioning autism. </w:t>
      </w:r>
      <w:r w:rsidRPr="00203582">
        <w:rPr>
          <w:rFonts w:ascii="Times New Roman" w:eastAsia="Times New Roman" w:hAnsi="Times New Roman" w:cs="Times New Roman"/>
          <w:i/>
          <w:sz w:val="24"/>
          <w:szCs w:val="24"/>
        </w:rPr>
        <w:t>Human Brain Mapping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37</w:t>
      </w:r>
      <w:r w:rsidRPr="00203582">
        <w:rPr>
          <w:rFonts w:ascii="Times New Roman" w:eastAsia="Times New Roman" w:hAnsi="Times New Roman" w:cs="Times New Roman"/>
          <w:sz w:val="24"/>
          <w:szCs w:val="24"/>
        </w:rPr>
        <w:t>(3), 1066–1079. https://doi.org/10.1002/hbm.23084</w:t>
      </w:r>
    </w:p>
    <w:p w14:paraId="0250C2D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Glerean</w:t>
      </w:r>
      <w:proofErr w:type="spellEnd"/>
      <w:r w:rsidRPr="005C650F">
        <w:rPr>
          <w:rFonts w:ascii="Times New Roman" w:eastAsia="Times New Roman" w:hAnsi="Times New Roman" w:cs="Times New Roman"/>
          <w:sz w:val="24"/>
          <w:szCs w:val="24"/>
        </w:rPr>
        <w:t xml:space="preserve">, E., Pan, R. K., Salmi, J., Kujala, R., </w:t>
      </w:r>
      <w:proofErr w:type="spellStart"/>
      <w:r w:rsidRPr="005C650F">
        <w:rPr>
          <w:rFonts w:ascii="Times New Roman" w:eastAsia="Times New Roman" w:hAnsi="Times New Roman" w:cs="Times New Roman"/>
          <w:sz w:val="24"/>
          <w:szCs w:val="24"/>
        </w:rPr>
        <w:t>Lahnakoski</w:t>
      </w:r>
      <w:proofErr w:type="spellEnd"/>
      <w:r w:rsidRPr="005C650F">
        <w:rPr>
          <w:rFonts w:ascii="Times New Roman" w:eastAsia="Times New Roman" w:hAnsi="Times New Roman" w:cs="Times New Roman"/>
          <w:sz w:val="24"/>
          <w:szCs w:val="24"/>
        </w:rPr>
        <w:t xml:space="preserve">, J. M., Roine, U., </w:t>
      </w:r>
      <w:proofErr w:type="spellStart"/>
      <w:r w:rsidRPr="005C650F">
        <w:rPr>
          <w:rFonts w:ascii="Times New Roman" w:eastAsia="Times New Roman" w:hAnsi="Times New Roman" w:cs="Times New Roman"/>
          <w:sz w:val="24"/>
          <w:szCs w:val="24"/>
        </w:rPr>
        <w:t>Nummenmaa</w:t>
      </w:r>
      <w:proofErr w:type="spellEnd"/>
      <w:r w:rsidRPr="005C650F">
        <w:rPr>
          <w:rFonts w:ascii="Times New Roman" w:eastAsia="Times New Roman" w:hAnsi="Times New Roman" w:cs="Times New Roman"/>
          <w:sz w:val="24"/>
          <w:szCs w:val="24"/>
        </w:rPr>
        <w:t xml:space="preserve">, L., </w:t>
      </w:r>
      <w:proofErr w:type="spellStart"/>
      <w:r w:rsidRPr="005C650F">
        <w:rPr>
          <w:rFonts w:ascii="Times New Roman" w:eastAsia="Times New Roman" w:hAnsi="Times New Roman" w:cs="Times New Roman"/>
          <w:sz w:val="24"/>
          <w:szCs w:val="24"/>
        </w:rPr>
        <w:t>Leppämäki</w:t>
      </w:r>
      <w:proofErr w:type="spellEnd"/>
      <w:r w:rsidRPr="005C650F">
        <w:rPr>
          <w:rFonts w:ascii="Times New Roman" w:eastAsia="Times New Roman" w:hAnsi="Times New Roman" w:cs="Times New Roman"/>
          <w:sz w:val="24"/>
          <w:szCs w:val="24"/>
        </w:rPr>
        <w:t xml:space="preserve">, S., Nieminen-von Wendt, T., Tani, P., </w:t>
      </w:r>
      <w:proofErr w:type="spellStart"/>
      <w:r w:rsidRPr="005C650F">
        <w:rPr>
          <w:rFonts w:ascii="Times New Roman" w:eastAsia="Times New Roman" w:hAnsi="Times New Roman" w:cs="Times New Roman"/>
          <w:sz w:val="24"/>
          <w:szCs w:val="24"/>
        </w:rPr>
        <w:t>Saramäki</w:t>
      </w:r>
      <w:proofErr w:type="spellEnd"/>
      <w:r w:rsidRPr="005C650F">
        <w:rPr>
          <w:rFonts w:ascii="Times New Roman" w:eastAsia="Times New Roman" w:hAnsi="Times New Roman" w:cs="Times New Roman"/>
          <w:sz w:val="24"/>
          <w:szCs w:val="24"/>
        </w:rPr>
        <w:t xml:space="preserve">, J., Sams, M., &amp; Jääskeläinen, I. P. (2016). Reorganization of functionally connected brain subnetworks in high-functioning autism.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w:t>
      </w:r>
      <w:r w:rsidRPr="005C650F">
        <w:rPr>
          <w:rFonts w:ascii="Times New Roman" w:eastAsia="Times New Roman" w:hAnsi="Times New Roman" w:cs="Times New Roman"/>
          <w:sz w:val="24"/>
          <w:szCs w:val="24"/>
        </w:rPr>
        <w:t>(3), 1066–1079. https://doi.org/10.1002/hbm.23084</w:t>
      </w:r>
    </w:p>
    <w:p w14:paraId="6F4F119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Golberger</w:t>
      </w:r>
      <w:proofErr w:type="spellEnd"/>
      <w:r w:rsidRPr="00203582">
        <w:rPr>
          <w:rFonts w:ascii="Times New Roman" w:eastAsia="Times New Roman" w:hAnsi="Times New Roman" w:cs="Times New Roman"/>
          <w:sz w:val="24"/>
          <w:szCs w:val="24"/>
        </w:rPr>
        <w:t xml:space="preserve">, A. L. (1996). Non-linear dynamics for clinicians: chaos theory, fractals, and complexity at the bedside. </w:t>
      </w:r>
      <w:r w:rsidRPr="00203582">
        <w:rPr>
          <w:rFonts w:ascii="Times New Roman" w:eastAsia="Times New Roman" w:hAnsi="Times New Roman" w:cs="Times New Roman"/>
          <w:i/>
          <w:sz w:val="24"/>
          <w:szCs w:val="24"/>
        </w:rPr>
        <w:t>The Lancet</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347</w:t>
      </w:r>
      <w:r w:rsidRPr="00203582">
        <w:rPr>
          <w:rFonts w:ascii="Times New Roman" w:eastAsia="Times New Roman" w:hAnsi="Times New Roman" w:cs="Times New Roman"/>
          <w:sz w:val="24"/>
          <w:szCs w:val="24"/>
        </w:rPr>
        <w:t>(9011), 1312–1314.</w:t>
      </w:r>
    </w:p>
    <w:p w14:paraId="476287C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Golberger</w:t>
      </w:r>
      <w:proofErr w:type="spellEnd"/>
      <w:r w:rsidRPr="005C650F">
        <w:rPr>
          <w:rFonts w:ascii="Times New Roman" w:eastAsia="Times New Roman" w:hAnsi="Times New Roman" w:cs="Times New Roman"/>
          <w:sz w:val="24"/>
          <w:szCs w:val="24"/>
        </w:rPr>
        <w:t xml:space="preserve">, A. L. (1996). Non-linear dynamics for clinicians: chaos theory, fractals, and complexity at the bedside. </w:t>
      </w:r>
      <w:r w:rsidRPr="005C650F">
        <w:rPr>
          <w:rFonts w:ascii="Times New Roman" w:eastAsia="Times New Roman" w:hAnsi="Times New Roman" w:cs="Times New Roman"/>
          <w:i/>
          <w:iCs/>
          <w:sz w:val="24"/>
          <w:szCs w:val="24"/>
        </w:rPr>
        <w:t>The Lancet</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347</w:t>
      </w:r>
      <w:r w:rsidRPr="005C650F">
        <w:rPr>
          <w:rFonts w:ascii="Times New Roman" w:eastAsia="Times New Roman" w:hAnsi="Times New Roman" w:cs="Times New Roman"/>
          <w:sz w:val="24"/>
          <w:szCs w:val="24"/>
        </w:rPr>
        <w:t>(9011), 1312–1314.</w:t>
      </w:r>
    </w:p>
    <w:p w14:paraId="29FFB76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Goldberger, A L, Amaral, L. A., Glass, L., </w:t>
      </w:r>
      <w:proofErr w:type="spellStart"/>
      <w:r w:rsidRPr="00203582">
        <w:rPr>
          <w:rFonts w:ascii="Times New Roman" w:eastAsia="Times New Roman" w:hAnsi="Times New Roman" w:cs="Times New Roman"/>
          <w:sz w:val="24"/>
          <w:szCs w:val="24"/>
        </w:rPr>
        <w:t>Hausdorff</w:t>
      </w:r>
      <w:proofErr w:type="spellEnd"/>
      <w:r w:rsidRPr="00203582">
        <w:rPr>
          <w:rFonts w:ascii="Times New Roman" w:eastAsia="Times New Roman" w:hAnsi="Times New Roman" w:cs="Times New Roman"/>
          <w:sz w:val="24"/>
          <w:szCs w:val="24"/>
        </w:rPr>
        <w:t xml:space="preserve">, J. M., Ivanov, P. C., Mark, R. G., Mietus, J. E., Moody, G. B., Peng, C. K., &amp; Stanley, H. E. (2000). </w:t>
      </w:r>
      <w:proofErr w:type="spellStart"/>
      <w:r w:rsidRPr="00203582">
        <w:rPr>
          <w:rFonts w:ascii="Times New Roman" w:eastAsia="Times New Roman" w:hAnsi="Times New Roman" w:cs="Times New Roman"/>
          <w:sz w:val="24"/>
          <w:szCs w:val="24"/>
        </w:rPr>
        <w:t>PhysioBank</w:t>
      </w:r>
      <w:proofErr w:type="spellEnd"/>
      <w:r w:rsidRPr="00203582">
        <w:rPr>
          <w:rFonts w:ascii="Times New Roman" w:eastAsia="Times New Roman" w:hAnsi="Times New Roman" w:cs="Times New Roman"/>
          <w:sz w:val="24"/>
          <w:szCs w:val="24"/>
        </w:rPr>
        <w:t xml:space="preserve">, </w:t>
      </w:r>
      <w:proofErr w:type="spellStart"/>
      <w:r w:rsidRPr="00203582">
        <w:rPr>
          <w:rFonts w:ascii="Times New Roman" w:eastAsia="Times New Roman" w:hAnsi="Times New Roman" w:cs="Times New Roman"/>
          <w:sz w:val="24"/>
          <w:szCs w:val="24"/>
        </w:rPr>
        <w:t>PhysioToolkit</w:t>
      </w:r>
      <w:proofErr w:type="spellEnd"/>
      <w:r w:rsidRPr="00203582">
        <w:rPr>
          <w:rFonts w:ascii="Times New Roman" w:eastAsia="Times New Roman" w:hAnsi="Times New Roman" w:cs="Times New Roman"/>
          <w:sz w:val="24"/>
          <w:szCs w:val="24"/>
        </w:rPr>
        <w:t xml:space="preserve">, and </w:t>
      </w:r>
      <w:proofErr w:type="spellStart"/>
      <w:r w:rsidRPr="00203582">
        <w:rPr>
          <w:rFonts w:ascii="Times New Roman" w:eastAsia="Times New Roman" w:hAnsi="Times New Roman" w:cs="Times New Roman"/>
          <w:sz w:val="24"/>
          <w:szCs w:val="24"/>
        </w:rPr>
        <w:t>PhysioNet</w:t>
      </w:r>
      <w:proofErr w:type="spellEnd"/>
      <w:r w:rsidRPr="00203582">
        <w:rPr>
          <w:rFonts w:ascii="Times New Roman" w:eastAsia="Times New Roman" w:hAnsi="Times New Roman" w:cs="Times New Roman"/>
          <w:sz w:val="24"/>
          <w:szCs w:val="24"/>
        </w:rPr>
        <w:t xml:space="preserve">: components of a new research resource for complex physiologic signals. </w:t>
      </w:r>
      <w:r w:rsidRPr="00203582">
        <w:rPr>
          <w:rFonts w:ascii="Times New Roman" w:eastAsia="Times New Roman" w:hAnsi="Times New Roman" w:cs="Times New Roman"/>
          <w:i/>
          <w:sz w:val="24"/>
          <w:szCs w:val="24"/>
        </w:rPr>
        <w:t>Circulation</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101</w:t>
      </w:r>
      <w:r w:rsidRPr="00203582">
        <w:rPr>
          <w:rFonts w:ascii="Times New Roman" w:eastAsia="Times New Roman" w:hAnsi="Times New Roman" w:cs="Times New Roman"/>
          <w:sz w:val="24"/>
          <w:szCs w:val="24"/>
        </w:rPr>
        <w:t>(23), E215-20. https://doi.org/10.1161/01.cir.101.23.e215</w:t>
      </w:r>
    </w:p>
    <w:p w14:paraId="522CE48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Goldberger, A L. (1997). Fractal variability versus pathologic periodicity: complexity loss and stereotypy in disease. </w:t>
      </w:r>
      <w:r w:rsidRPr="005C650F">
        <w:rPr>
          <w:rFonts w:ascii="Times New Roman" w:eastAsia="Times New Roman" w:hAnsi="Times New Roman" w:cs="Times New Roman"/>
          <w:i/>
          <w:iCs/>
          <w:sz w:val="24"/>
          <w:szCs w:val="24"/>
        </w:rPr>
        <w:t>Perspectives in Biology and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40</w:t>
      </w:r>
      <w:r w:rsidRPr="005C650F">
        <w:rPr>
          <w:rFonts w:ascii="Times New Roman" w:eastAsia="Times New Roman" w:hAnsi="Times New Roman" w:cs="Times New Roman"/>
          <w:sz w:val="24"/>
          <w:szCs w:val="24"/>
        </w:rPr>
        <w:t>(4), 543–561. https://doi.org/10.1353/pbm.1997.0063</w:t>
      </w:r>
    </w:p>
    <w:p w14:paraId="1F47182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Goldberger, A. L. (1997). Fractal variability versus pathologic periodicity: complexity loss and stereotypy in disease. </w:t>
      </w:r>
      <w:r w:rsidRPr="005C650F">
        <w:rPr>
          <w:rFonts w:ascii="Times New Roman" w:eastAsia="Times New Roman" w:hAnsi="Times New Roman" w:cs="Times New Roman"/>
          <w:i/>
          <w:iCs/>
          <w:sz w:val="24"/>
          <w:szCs w:val="24"/>
        </w:rPr>
        <w:t>Perspectives in Biology and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40</w:t>
      </w:r>
      <w:r w:rsidRPr="005C650F">
        <w:rPr>
          <w:rFonts w:ascii="Times New Roman" w:eastAsia="Times New Roman" w:hAnsi="Times New Roman" w:cs="Times New Roman"/>
          <w:sz w:val="24"/>
          <w:szCs w:val="24"/>
        </w:rPr>
        <w:t>(4), 543–561. https://doi.org/10.1353/pbm.1997.0063</w:t>
      </w:r>
    </w:p>
    <w:p w14:paraId="0575A01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Goldberger, </w:t>
      </w:r>
      <w:proofErr w:type="spellStart"/>
      <w:r w:rsidRPr="00203582">
        <w:rPr>
          <w:rFonts w:ascii="Times New Roman" w:eastAsia="Times New Roman" w:hAnsi="Times New Roman" w:cs="Times New Roman"/>
          <w:sz w:val="24"/>
          <w:szCs w:val="24"/>
        </w:rPr>
        <w:t>Ary</w:t>
      </w:r>
      <w:proofErr w:type="spellEnd"/>
      <w:r w:rsidRPr="00203582">
        <w:rPr>
          <w:rFonts w:ascii="Times New Roman" w:eastAsia="Times New Roman" w:hAnsi="Times New Roman" w:cs="Times New Roman"/>
          <w:sz w:val="24"/>
          <w:szCs w:val="24"/>
        </w:rPr>
        <w:t xml:space="preserve"> L, Amaral, L. A. N., </w:t>
      </w:r>
      <w:proofErr w:type="spellStart"/>
      <w:r w:rsidRPr="00203582">
        <w:rPr>
          <w:rFonts w:ascii="Times New Roman" w:eastAsia="Times New Roman" w:hAnsi="Times New Roman" w:cs="Times New Roman"/>
          <w:sz w:val="24"/>
          <w:szCs w:val="24"/>
        </w:rPr>
        <w:t>Hausdorff</w:t>
      </w:r>
      <w:proofErr w:type="spellEnd"/>
      <w:r w:rsidRPr="00203582">
        <w:rPr>
          <w:rFonts w:ascii="Times New Roman" w:eastAsia="Times New Roman" w:hAnsi="Times New Roman" w:cs="Times New Roman"/>
          <w:sz w:val="24"/>
          <w:szCs w:val="24"/>
        </w:rPr>
        <w:t xml:space="preserve">, J. M., Ivanov, P. C., Peng, C. K., &amp; Stanley, H. E. (2002). Fractal dynamics in physiology: alterations with disease and aging. </w:t>
      </w:r>
      <w:r w:rsidRPr="00203582">
        <w:rPr>
          <w:rFonts w:ascii="Times New Roman" w:eastAsia="Times New Roman" w:hAnsi="Times New Roman" w:cs="Times New Roman"/>
          <w:i/>
          <w:sz w:val="24"/>
          <w:szCs w:val="24"/>
        </w:rPr>
        <w:t>Proceedings of the National Academy of Sciences of the United States of America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 xml:space="preserve">99 </w:t>
      </w:r>
      <w:proofErr w:type="spellStart"/>
      <w:r w:rsidRPr="00203582">
        <w:rPr>
          <w:rFonts w:ascii="Times New Roman" w:eastAsia="Times New Roman" w:hAnsi="Times New Roman" w:cs="Times New Roman"/>
          <w:i/>
          <w:sz w:val="24"/>
          <w:szCs w:val="24"/>
        </w:rPr>
        <w:t>Suppl</w:t>
      </w:r>
      <w:proofErr w:type="spellEnd"/>
      <w:r w:rsidRPr="00203582">
        <w:rPr>
          <w:rFonts w:ascii="Times New Roman" w:eastAsia="Times New Roman" w:hAnsi="Times New Roman" w:cs="Times New Roman"/>
          <w:i/>
          <w:sz w:val="24"/>
          <w:szCs w:val="24"/>
        </w:rPr>
        <w:t xml:space="preserve"> 1</w:t>
      </w:r>
      <w:r w:rsidRPr="00203582">
        <w:rPr>
          <w:rFonts w:ascii="Times New Roman" w:eastAsia="Times New Roman" w:hAnsi="Times New Roman" w:cs="Times New Roman"/>
          <w:sz w:val="24"/>
          <w:szCs w:val="24"/>
        </w:rPr>
        <w:t>(</w:t>
      </w:r>
      <w:proofErr w:type="spellStart"/>
      <w:r w:rsidRPr="00203582">
        <w:rPr>
          <w:rFonts w:ascii="Times New Roman" w:eastAsia="Times New Roman" w:hAnsi="Times New Roman" w:cs="Times New Roman"/>
          <w:sz w:val="24"/>
          <w:szCs w:val="24"/>
        </w:rPr>
        <w:t>Suppl</w:t>
      </w:r>
      <w:proofErr w:type="spellEnd"/>
      <w:r w:rsidRPr="00203582">
        <w:rPr>
          <w:rFonts w:ascii="Times New Roman" w:eastAsia="Times New Roman" w:hAnsi="Times New Roman" w:cs="Times New Roman"/>
          <w:sz w:val="24"/>
          <w:szCs w:val="24"/>
        </w:rPr>
        <w:t xml:space="preserve"> 1), 2466–2472. https://doi.org/10.1073/pnas.012579499</w:t>
      </w:r>
    </w:p>
    <w:p w14:paraId="0C8ADCE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Goldberger, </w:t>
      </w:r>
      <w:proofErr w:type="spellStart"/>
      <w:r w:rsidRPr="005C650F">
        <w:rPr>
          <w:rFonts w:ascii="Times New Roman" w:eastAsia="Times New Roman" w:hAnsi="Times New Roman" w:cs="Times New Roman"/>
          <w:sz w:val="24"/>
          <w:szCs w:val="24"/>
        </w:rPr>
        <w:t>Ary</w:t>
      </w:r>
      <w:proofErr w:type="spellEnd"/>
      <w:r w:rsidRPr="005C650F">
        <w:rPr>
          <w:rFonts w:ascii="Times New Roman" w:eastAsia="Times New Roman" w:hAnsi="Times New Roman" w:cs="Times New Roman"/>
          <w:sz w:val="24"/>
          <w:szCs w:val="24"/>
        </w:rPr>
        <w:t xml:space="preserve"> L, Amaral, L. A. N., </w:t>
      </w:r>
      <w:proofErr w:type="spellStart"/>
      <w:r w:rsidRPr="005C650F">
        <w:rPr>
          <w:rFonts w:ascii="Times New Roman" w:eastAsia="Times New Roman" w:hAnsi="Times New Roman" w:cs="Times New Roman"/>
          <w:sz w:val="24"/>
          <w:szCs w:val="24"/>
        </w:rPr>
        <w:t>Hausdorff</w:t>
      </w:r>
      <w:proofErr w:type="spellEnd"/>
      <w:r w:rsidRPr="005C650F">
        <w:rPr>
          <w:rFonts w:ascii="Times New Roman" w:eastAsia="Times New Roman" w:hAnsi="Times New Roman" w:cs="Times New Roman"/>
          <w:sz w:val="24"/>
          <w:szCs w:val="24"/>
        </w:rPr>
        <w:t xml:space="preserve">, J. M., Ivanov, P. C., Peng, C. K., &amp; Stanley, H. E. (2002). Fractal dynamics in physiology: alterations with disease and aging.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 xml:space="preserve">99 </w:t>
      </w:r>
      <w:proofErr w:type="spellStart"/>
      <w:r w:rsidRPr="005C650F">
        <w:rPr>
          <w:rFonts w:ascii="Times New Roman" w:eastAsia="Times New Roman" w:hAnsi="Times New Roman" w:cs="Times New Roman"/>
          <w:i/>
          <w:iCs/>
          <w:sz w:val="24"/>
          <w:szCs w:val="24"/>
        </w:rPr>
        <w:t>Suppl</w:t>
      </w:r>
      <w:proofErr w:type="spellEnd"/>
      <w:r w:rsidRPr="005C650F">
        <w:rPr>
          <w:rFonts w:ascii="Times New Roman" w:eastAsia="Times New Roman" w:hAnsi="Times New Roman" w:cs="Times New Roman"/>
          <w:i/>
          <w:iCs/>
          <w:sz w:val="24"/>
          <w:szCs w:val="24"/>
        </w:rPr>
        <w:t xml:space="preserve"> 1</w:t>
      </w:r>
      <w:r w:rsidRPr="005C650F">
        <w:rPr>
          <w:rFonts w:ascii="Times New Roman" w:eastAsia="Times New Roman" w:hAnsi="Times New Roman" w:cs="Times New Roman"/>
          <w:sz w:val="24"/>
          <w:szCs w:val="24"/>
        </w:rPr>
        <w:t>(</w:t>
      </w:r>
      <w:proofErr w:type="spellStart"/>
      <w:r w:rsidRPr="005C650F">
        <w:rPr>
          <w:rFonts w:ascii="Times New Roman" w:eastAsia="Times New Roman" w:hAnsi="Times New Roman" w:cs="Times New Roman"/>
          <w:sz w:val="24"/>
          <w:szCs w:val="24"/>
        </w:rPr>
        <w:t>Suppl</w:t>
      </w:r>
      <w:proofErr w:type="spellEnd"/>
      <w:r w:rsidRPr="005C650F">
        <w:rPr>
          <w:rFonts w:ascii="Times New Roman" w:eastAsia="Times New Roman" w:hAnsi="Times New Roman" w:cs="Times New Roman"/>
          <w:sz w:val="24"/>
          <w:szCs w:val="24"/>
        </w:rPr>
        <w:t xml:space="preserve"> 1), 2466–2472. https://doi.org/10.1073/pnas.012579499</w:t>
      </w:r>
    </w:p>
    <w:p w14:paraId="464A831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Goldman, J., Becker, M. L., Jones, B., Clements, M., &amp; Leeder, J. S. (2011). Development of biomarkers to optimize </w:t>
      </w:r>
      <w:proofErr w:type="spellStart"/>
      <w:r w:rsidRPr="005C650F">
        <w:rPr>
          <w:rFonts w:ascii="Times New Roman" w:eastAsia="Times New Roman" w:hAnsi="Times New Roman" w:cs="Times New Roman"/>
          <w:sz w:val="24"/>
          <w:szCs w:val="24"/>
        </w:rPr>
        <w:t>pediatric</w:t>
      </w:r>
      <w:proofErr w:type="spellEnd"/>
      <w:r w:rsidRPr="005C650F">
        <w:rPr>
          <w:rFonts w:ascii="Times New Roman" w:eastAsia="Times New Roman" w:hAnsi="Times New Roman" w:cs="Times New Roman"/>
          <w:sz w:val="24"/>
          <w:szCs w:val="24"/>
        </w:rPr>
        <w:t xml:space="preserve"> patient management: what makes children different? </w:t>
      </w:r>
      <w:r w:rsidRPr="005C650F">
        <w:rPr>
          <w:rFonts w:ascii="Times New Roman" w:eastAsia="Times New Roman" w:hAnsi="Times New Roman" w:cs="Times New Roman"/>
          <w:i/>
          <w:iCs/>
          <w:sz w:val="24"/>
          <w:szCs w:val="24"/>
        </w:rPr>
        <w:t>Biomarkers in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(6), 781–794. https://doi.org/10.2217/bmm.11.96</w:t>
      </w:r>
    </w:p>
    <w:p w14:paraId="33948B2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Gotham, K., </w:t>
      </w:r>
      <w:proofErr w:type="spellStart"/>
      <w:r w:rsidRPr="00203582">
        <w:rPr>
          <w:rFonts w:ascii="Times New Roman" w:eastAsia="Times New Roman" w:hAnsi="Times New Roman" w:cs="Times New Roman"/>
          <w:sz w:val="24"/>
          <w:szCs w:val="24"/>
        </w:rPr>
        <w:t>Risi</w:t>
      </w:r>
      <w:proofErr w:type="spellEnd"/>
      <w:r w:rsidRPr="00203582">
        <w:rPr>
          <w:rFonts w:ascii="Times New Roman" w:eastAsia="Times New Roman" w:hAnsi="Times New Roman" w:cs="Times New Roman"/>
          <w:sz w:val="24"/>
          <w:szCs w:val="24"/>
        </w:rPr>
        <w:t xml:space="preserve">, S., Pickles, A., &amp; Lord, C. (2007). The Autism Diagnostic Observation Schedule: revised algorithms for improved diagnostic validity.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37</w:t>
      </w:r>
      <w:r w:rsidRPr="00203582">
        <w:rPr>
          <w:rFonts w:ascii="Times New Roman" w:eastAsia="Times New Roman" w:hAnsi="Times New Roman" w:cs="Times New Roman"/>
          <w:sz w:val="24"/>
          <w:szCs w:val="24"/>
        </w:rPr>
        <w:t>(4), 613–627. https://doi.org/10.1007/s10803-006-0280-1</w:t>
      </w:r>
    </w:p>
    <w:p w14:paraId="64AC64E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Götz, T., Hanke, D., Huonker, R., Weiss, T., Klingner, C., Brodoehl, S., Baumbach, P., &amp; Witte, O. W. (2017). </w:t>
      </w:r>
      <w:r w:rsidRPr="005C650F">
        <w:rPr>
          <w:rFonts w:ascii="Times New Roman" w:eastAsia="Times New Roman" w:hAnsi="Times New Roman" w:cs="Times New Roman"/>
          <w:sz w:val="24"/>
          <w:szCs w:val="24"/>
        </w:rPr>
        <w:t xml:space="preserve">The Influence of Eye Closure on Somatosensory Discrimination: A Trade-off Between Simple Perception and Discrimination. </w:t>
      </w:r>
      <w:r w:rsidRPr="005C650F">
        <w:rPr>
          <w:rFonts w:ascii="Times New Roman" w:eastAsia="Times New Roman" w:hAnsi="Times New Roman" w:cs="Times New Roman"/>
          <w:i/>
          <w:iCs/>
          <w:sz w:val="24"/>
          <w:szCs w:val="24"/>
        </w:rPr>
        <w:t>Cerebral Cortex</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27</w:t>
      </w:r>
      <w:r w:rsidRPr="005C650F">
        <w:rPr>
          <w:rFonts w:ascii="Times New Roman" w:eastAsia="Times New Roman" w:hAnsi="Times New Roman" w:cs="Times New Roman"/>
          <w:sz w:val="24"/>
          <w:szCs w:val="24"/>
        </w:rPr>
        <w:t>(6), 3231–3239. https://doi.org/10.1093/cercor/bhx089</w:t>
      </w:r>
    </w:p>
    <w:p w14:paraId="44A7380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Govindan, R. B., Wilson, J. D., Eswaran, H., Lowery, C. L., &amp; </w:t>
      </w:r>
      <w:proofErr w:type="spellStart"/>
      <w:r w:rsidRPr="00203582">
        <w:rPr>
          <w:rFonts w:ascii="Times New Roman" w:eastAsia="Times New Roman" w:hAnsi="Times New Roman" w:cs="Times New Roman"/>
          <w:sz w:val="24"/>
          <w:szCs w:val="24"/>
        </w:rPr>
        <w:t>Preißl</w:t>
      </w:r>
      <w:proofErr w:type="spellEnd"/>
      <w:r w:rsidRPr="00203582">
        <w:rPr>
          <w:rFonts w:ascii="Times New Roman" w:eastAsia="Times New Roman" w:hAnsi="Times New Roman" w:cs="Times New Roman"/>
          <w:sz w:val="24"/>
          <w:szCs w:val="24"/>
        </w:rPr>
        <w:t xml:space="preserve">, H. (2007). Revisiting sample entropy analysis. </w:t>
      </w:r>
      <w:proofErr w:type="spellStart"/>
      <w:r w:rsidRPr="00203582">
        <w:rPr>
          <w:rFonts w:ascii="Times New Roman" w:eastAsia="Times New Roman" w:hAnsi="Times New Roman" w:cs="Times New Roman"/>
          <w:i/>
          <w:sz w:val="24"/>
          <w:szCs w:val="24"/>
        </w:rPr>
        <w:t>Physica</w:t>
      </w:r>
      <w:proofErr w:type="spellEnd"/>
      <w:r w:rsidRPr="00203582">
        <w:rPr>
          <w:rFonts w:ascii="Times New Roman" w:eastAsia="Times New Roman" w:hAnsi="Times New Roman" w:cs="Times New Roman"/>
          <w:i/>
          <w:sz w:val="24"/>
          <w:szCs w:val="24"/>
        </w:rPr>
        <w:t xml:space="preserve"> A: Statistical Mechanics and Its Applications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376</w:t>
      </w:r>
      <w:r w:rsidRPr="00203582">
        <w:rPr>
          <w:rFonts w:ascii="Times New Roman" w:eastAsia="Times New Roman" w:hAnsi="Times New Roman" w:cs="Times New Roman"/>
          <w:sz w:val="24"/>
          <w:szCs w:val="24"/>
        </w:rPr>
        <w:t>, 158–164. https://doi.org/10.1016/j.physa.2006.10.077</w:t>
      </w:r>
    </w:p>
    <w:p w14:paraId="5E1C222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Govindan, R. B., Wilson, J. D., Eswaran, H., Lowery, C. L., &amp; </w:t>
      </w:r>
      <w:proofErr w:type="spellStart"/>
      <w:r w:rsidRPr="005C650F">
        <w:rPr>
          <w:rFonts w:ascii="Times New Roman" w:eastAsia="Times New Roman" w:hAnsi="Times New Roman" w:cs="Times New Roman"/>
          <w:sz w:val="24"/>
          <w:szCs w:val="24"/>
        </w:rPr>
        <w:t>Preißl</w:t>
      </w:r>
      <w:proofErr w:type="spellEnd"/>
      <w:r w:rsidRPr="005C650F">
        <w:rPr>
          <w:rFonts w:ascii="Times New Roman" w:eastAsia="Times New Roman" w:hAnsi="Times New Roman" w:cs="Times New Roman"/>
          <w:sz w:val="24"/>
          <w:szCs w:val="24"/>
        </w:rPr>
        <w:t xml:space="preserve">, H. (2007). Revisiting sample entropy analysis. </w:t>
      </w:r>
      <w:proofErr w:type="spellStart"/>
      <w:r w:rsidRPr="005C650F">
        <w:rPr>
          <w:rFonts w:ascii="Times New Roman" w:eastAsia="Times New Roman" w:hAnsi="Times New Roman" w:cs="Times New Roman"/>
          <w:i/>
          <w:iCs/>
          <w:sz w:val="24"/>
          <w:szCs w:val="24"/>
        </w:rPr>
        <w:t>Physica</w:t>
      </w:r>
      <w:proofErr w:type="spellEnd"/>
      <w:r w:rsidRPr="005C650F">
        <w:rPr>
          <w:rFonts w:ascii="Times New Roman" w:eastAsia="Times New Roman" w:hAnsi="Times New Roman" w:cs="Times New Roman"/>
          <w:i/>
          <w:iCs/>
          <w:sz w:val="24"/>
          <w:szCs w:val="24"/>
        </w:rPr>
        <w:t xml:space="preserve"> A: Statistical Mechanics and Its Applications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376</w:t>
      </w:r>
      <w:r w:rsidRPr="005C650F">
        <w:rPr>
          <w:rFonts w:ascii="Times New Roman" w:eastAsia="Times New Roman" w:hAnsi="Times New Roman" w:cs="Times New Roman"/>
          <w:sz w:val="24"/>
          <w:szCs w:val="24"/>
        </w:rPr>
        <w:t>, 158–164. https://doi.org/10.1016/j.physa.2006.10.077</w:t>
      </w:r>
    </w:p>
    <w:p w14:paraId="785811C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Grassberger</w:t>
      </w:r>
      <w:proofErr w:type="spellEnd"/>
      <w:r w:rsidRPr="00203582">
        <w:rPr>
          <w:rFonts w:ascii="Times New Roman" w:eastAsia="Times New Roman" w:hAnsi="Times New Roman" w:cs="Times New Roman"/>
          <w:sz w:val="24"/>
          <w:szCs w:val="24"/>
        </w:rPr>
        <w:t xml:space="preserve">, P. (1991). Information and complexity measures in dynamical systems. </w:t>
      </w:r>
      <w:r w:rsidRPr="00203582">
        <w:rPr>
          <w:rFonts w:ascii="Times New Roman" w:eastAsia="Times New Roman" w:hAnsi="Times New Roman" w:cs="Times New Roman"/>
          <w:sz w:val="24"/>
          <w:szCs w:val="24"/>
          <w:lang w:val="de-DE"/>
        </w:rPr>
        <w:t xml:space="preserve">In H. Atmanspacher &amp; H. Scheingraber (Eds.), </w:t>
      </w:r>
      <w:r w:rsidRPr="00203582">
        <w:rPr>
          <w:rFonts w:ascii="Times New Roman" w:eastAsia="Times New Roman" w:hAnsi="Times New Roman" w:cs="Times New Roman"/>
          <w:i/>
          <w:sz w:val="24"/>
          <w:szCs w:val="24"/>
          <w:lang w:val="de-DE"/>
        </w:rPr>
        <w:t>Information Dynamics</w:t>
      </w:r>
      <w:r w:rsidRPr="00203582">
        <w:rPr>
          <w:rFonts w:ascii="Times New Roman" w:eastAsia="Times New Roman" w:hAnsi="Times New Roman" w:cs="Times New Roman"/>
          <w:sz w:val="24"/>
          <w:szCs w:val="24"/>
          <w:lang w:val="de-DE"/>
        </w:rPr>
        <w:t xml:space="preserve"> (Vol. 256, pp. 15–33). </w:t>
      </w:r>
      <w:r w:rsidRPr="00203582">
        <w:rPr>
          <w:rFonts w:ascii="Times New Roman" w:eastAsia="Times New Roman" w:hAnsi="Times New Roman" w:cs="Times New Roman"/>
          <w:sz w:val="24"/>
          <w:szCs w:val="24"/>
        </w:rPr>
        <w:t>Springer US. https://doi.org/10.1007/978-1-4899-2305-9_2</w:t>
      </w:r>
    </w:p>
    <w:p w14:paraId="65AFF68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Greicius</w:t>
      </w:r>
      <w:proofErr w:type="spellEnd"/>
      <w:r w:rsidRPr="005C650F">
        <w:rPr>
          <w:rFonts w:ascii="Times New Roman" w:eastAsia="Times New Roman" w:hAnsi="Times New Roman" w:cs="Times New Roman"/>
          <w:sz w:val="24"/>
          <w:szCs w:val="24"/>
        </w:rPr>
        <w:t xml:space="preserve">, M. D., Krasnow, B., Reiss, A. L., &amp; Menon, V. (2003). Functional connectivity in the resting brain: a network analysis of the default mode hypothesis.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100</w:t>
      </w:r>
      <w:r w:rsidRPr="005C650F">
        <w:rPr>
          <w:rFonts w:ascii="Times New Roman" w:eastAsia="Times New Roman" w:hAnsi="Times New Roman" w:cs="Times New Roman"/>
          <w:sz w:val="24"/>
          <w:szCs w:val="24"/>
        </w:rPr>
        <w:t>(1), 253–258. https://doi.org/10.1073/pnas.0135058100</w:t>
      </w:r>
    </w:p>
    <w:p w14:paraId="2A91B26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Guan, S., Wan, D., Zhao, R., Canario, E., Meng, C., &amp; Biswal, B. B. (2023). The complexity of spontaneous brain activity changes in schizophrenia, bipolar disorder, and ADHD was examined using different variations of entropy.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44</w:t>
      </w:r>
      <w:r w:rsidRPr="005C650F">
        <w:rPr>
          <w:rFonts w:ascii="Times New Roman" w:eastAsia="Times New Roman" w:hAnsi="Times New Roman" w:cs="Times New Roman"/>
          <w:sz w:val="24"/>
          <w:szCs w:val="24"/>
        </w:rPr>
        <w:t>(1), 94–118. https://doi.org/10.1002/hbm.26129</w:t>
      </w:r>
    </w:p>
    <w:p w14:paraId="3276AC1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lastRenderedPageBreak/>
        <w:t>Gultepe</w:t>
      </w:r>
      <w:proofErr w:type="spellEnd"/>
      <w:r w:rsidRPr="00203582">
        <w:rPr>
          <w:rFonts w:ascii="Times New Roman" w:eastAsia="Times New Roman" w:hAnsi="Times New Roman" w:cs="Times New Roman"/>
          <w:sz w:val="24"/>
          <w:szCs w:val="24"/>
        </w:rPr>
        <w:t xml:space="preserve">, E., &amp; He, B. (2013). A linear/nonlinear characterization of resting state brain networks in FMRI time series. </w:t>
      </w:r>
      <w:r w:rsidRPr="00203582">
        <w:rPr>
          <w:rFonts w:ascii="Times New Roman" w:eastAsia="Times New Roman" w:hAnsi="Times New Roman" w:cs="Times New Roman"/>
          <w:i/>
          <w:sz w:val="24"/>
          <w:szCs w:val="24"/>
        </w:rPr>
        <w:t>Brain Topography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26</w:t>
      </w:r>
      <w:r w:rsidRPr="00203582">
        <w:rPr>
          <w:rFonts w:ascii="Times New Roman" w:eastAsia="Times New Roman" w:hAnsi="Times New Roman" w:cs="Times New Roman"/>
          <w:sz w:val="24"/>
          <w:szCs w:val="24"/>
        </w:rPr>
        <w:t>(1), 39–49. https://doi.org/10.1007/s10548-012-0249-7</w:t>
      </w:r>
    </w:p>
    <w:p w14:paraId="0DB55D9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Gultepe</w:t>
      </w:r>
      <w:proofErr w:type="spellEnd"/>
      <w:r w:rsidRPr="005C650F">
        <w:rPr>
          <w:rFonts w:ascii="Times New Roman" w:eastAsia="Times New Roman" w:hAnsi="Times New Roman" w:cs="Times New Roman"/>
          <w:sz w:val="24"/>
          <w:szCs w:val="24"/>
        </w:rPr>
        <w:t xml:space="preserve">, E., &amp; He, B. (2013). A linear/nonlinear characterization of resting state brain networks in FMRI time series.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26</w:t>
      </w:r>
      <w:r w:rsidRPr="005C650F">
        <w:rPr>
          <w:rFonts w:ascii="Times New Roman" w:eastAsia="Times New Roman" w:hAnsi="Times New Roman" w:cs="Times New Roman"/>
          <w:sz w:val="24"/>
          <w:szCs w:val="24"/>
        </w:rPr>
        <w:t>(1), 39–49. https://doi.org/10.1007/s10548-012-0249-7</w:t>
      </w:r>
    </w:p>
    <w:p w14:paraId="01D4B5F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Hadoush</w:t>
      </w:r>
      <w:proofErr w:type="spellEnd"/>
      <w:r w:rsidRPr="00203582">
        <w:rPr>
          <w:rFonts w:ascii="Times New Roman" w:eastAsia="Times New Roman" w:hAnsi="Times New Roman" w:cs="Times New Roman"/>
          <w:sz w:val="24"/>
          <w:szCs w:val="24"/>
        </w:rPr>
        <w:t xml:space="preserve">, H., </w:t>
      </w:r>
      <w:proofErr w:type="spellStart"/>
      <w:r w:rsidRPr="00203582">
        <w:rPr>
          <w:rFonts w:ascii="Times New Roman" w:eastAsia="Times New Roman" w:hAnsi="Times New Roman" w:cs="Times New Roman"/>
          <w:sz w:val="24"/>
          <w:szCs w:val="24"/>
        </w:rPr>
        <w:t>Alafeef</w:t>
      </w:r>
      <w:proofErr w:type="spellEnd"/>
      <w:r w:rsidRPr="00203582">
        <w:rPr>
          <w:rFonts w:ascii="Times New Roman" w:eastAsia="Times New Roman" w:hAnsi="Times New Roman" w:cs="Times New Roman"/>
          <w:sz w:val="24"/>
          <w:szCs w:val="24"/>
        </w:rPr>
        <w:t xml:space="preserve">, M., &amp; </w:t>
      </w:r>
      <w:proofErr w:type="spellStart"/>
      <w:r w:rsidRPr="00203582">
        <w:rPr>
          <w:rFonts w:ascii="Times New Roman" w:eastAsia="Times New Roman" w:hAnsi="Times New Roman" w:cs="Times New Roman"/>
          <w:sz w:val="24"/>
          <w:szCs w:val="24"/>
        </w:rPr>
        <w:t>Abdulhay</w:t>
      </w:r>
      <w:proofErr w:type="spellEnd"/>
      <w:r w:rsidRPr="00203582">
        <w:rPr>
          <w:rFonts w:ascii="Times New Roman" w:eastAsia="Times New Roman" w:hAnsi="Times New Roman" w:cs="Times New Roman"/>
          <w:sz w:val="24"/>
          <w:szCs w:val="24"/>
        </w:rPr>
        <w:t xml:space="preserve">, E. (2019). Brain Complexity in Children with Mild and Severe Autism Spectrum Disorders: Analysis of Multiscale Entropy in EEG. </w:t>
      </w:r>
      <w:r w:rsidRPr="00203582">
        <w:rPr>
          <w:rFonts w:ascii="Times New Roman" w:eastAsia="Times New Roman" w:hAnsi="Times New Roman" w:cs="Times New Roman"/>
          <w:i/>
          <w:sz w:val="24"/>
          <w:szCs w:val="24"/>
        </w:rPr>
        <w:t>Brain Topography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32</w:t>
      </w:r>
      <w:r w:rsidRPr="00203582">
        <w:rPr>
          <w:rFonts w:ascii="Times New Roman" w:eastAsia="Times New Roman" w:hAnsi="Times New Roman" w:cs="Times New Roman"/>
          <w:sz w:val="24"/>
          <w:szCs w:val="24"/>
        </w:rPr>
        <w:t>(5), 914–921. https://doi.org/10.1007/s10548-019-00711-1</w:t>
      </w:r>
    </w:p>
    <w:p w14:paraId="5855701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Hadoush</w:t>
      </w:r>
      <w:proofErr w:type="spellEnd"/>
      <w:r w:rsidRPr="005C650F">
        <w:rPr>
          <w:rFonts w:ascii="Times New Roman" w:eastAsia="Times New Roman" w:hAnsi="Times New Roman" w:cs="Times New Roman"/>
          <w:sz w:val="24"/>
          <w:szCs w:val="24"/>
        </w:rPr>
        <w:t xml:space="preserve">, H., </w:t>
      </w:r>
      <w:proofErr w:type="spellStart"/>
      <w:r w:rsidRPr="005C650F">
        <w:rPr>
          <w:rFonts w:ascii="Times New Roman" w:eastAsia="Times New Roman" w:hAnsi="Times New Roman" w:cs="Times New Roman"/>
          <w:sz w:val="24"/>
          <w:szCs w:val="24"/>
        </w:rPr>
        <w:t>Alafeef</w:t>
      </w:r>
      <w:proofErr w:type="spellEnd"/>
      <w:r w:rsidRPr="005C650F">
        <w:rPr>
          <w:rFonts w:ascii="Times New Roman" w:eastAsia="Times New Roman" w:hAnsi="Times New Roman" w:cs="Times New Roman"/>
          <w:sz w:val="24"/>
          <w:szCs w:val="24"/>
        </w:rPr>
        <w:t xml:space="preserve">, M., &amp; </w:t>
      </w:r>
      <w:proofErr w:type="spellStart"/>
      <w:r w:rsidRPr="005C650F">
        <w:rPr>
          <w:rFonts w:ascii="Times New Roman" w:eastAsia="Times New Roman" w:hAnsi="Times New Roman" w:cs="Times New Roman"/>
          <w:sz w:val="24"/>
          <w:szCs w:val="24"/>
        </w:rPr>
        <w:t>Abdulhay</w:t>
      </w:r>
      <w:proofErr w:type="spellEnd"/>
      <w:r w:rsidRPr="005C650F">
        <w:rPr>
          <w:rFonts w:ascii="Times New Roman" w:eastAsia="Times New Roman" w:hAnsi="Times New Roman" w:cs="Times New Roman"/>
          <w:sz w:val="24"/>
          <w:szCs w:val="24"/>
        </w:rPr>
        <w:t xml:space="preserve">, E. (2019). Brain Complexity in Children with Mild and Severe Autism Spectrum Disorders: Analysis of Multiscale Entropy in EEG.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32</w:t>
      </w:r>
      <w:r w:rsidRPr="005C650F">
        <w:rPr>
          <w:rFonts w:ascii="Times New Roman" w:eastAsia="Times New Roman" w:hAnsi="Times New Roman" w:cs="Times New Roman"/>
          <w:sz w:val="24"/>
          <w:szCs w:val="24"/>
        </w:rPr>
        <w:t>(5), 914–921. https://doi.org/10.1007/s10548-019-00711-1</w:t>
      </w:r>
    </w:p>
    <w:p w14:paraId="60BAE8E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Hadoush</w:t>
      </w:r>
      <w:proofErr w:type="spellEnd"/>
      <w:r w:rsidRPr="005C650F">
        <w:rPr>
          <w:rFonts w:ascii="Times New Roman" w:eastAsia="Times New Roman" w:hAnsi="Times New Roman" w:cs="Times New Roman"/>
          <w:sz w:val="24"/>
          <w:szCs w:val="24"/>
        </w:rPr>
        <w:t xml:space="preserve">, H., </w:t>
      </w:r>
      <w:proofErr w:type="spellStart"/>
      <w:r w:rsidRPr="005C650F">
        <w:rPr>
          <w:rFonts w:ascii="Times New Roman" w:eastAsia="Times New Roman" w:hAnsi="Times New Roman" w:cs="Times New Roman"/>
          <w:sz w:val="24"/>
          <w:szCs w:val="24"/>
        </w:rPr>
        <w:t>Alafeef</w:t>
      </w:r>
      <w:proofErr w:type="spellEnd"/>
      <w:r w:rsidRPr="005C650F">
        <w:rPr>
          <w:rFonts w:ascii="Times New Roman" w:eastAsia="Times New Roman" w:hAnsi="Times New Roman" w:cs="Times New Roman"/>
          <w:sz w:val="24"/>
          <w:szCs w:val="24"/>
        </w:rPr>
        <w:t xml:space="preserve">, M., &amp; </w:t>
      </w:r>
      <w:proofErr w:type="spellStart"/>
      <w:r w:rsidRPr="005C650F">
        <w:rPr>
          <w:rFonts w:ascii="Times New Roman" w:eastAsia="Times New Roman" w:hAnsi="Times New Roman" w:cs="Times New Roman"/>
          <w:sz w:val="24"/>
          <w:szCs w:val="24"/>
        </w:rPr>
        <w:t>Abdulhay</w:t>
      </w:r>
      <w:proofErr w:type="spellEnd"/>
      <w:r w:rsidRPr="005C650F">
        <w:rPr>
          <w:rFonts w:ascii="Times New Roman" w:eastAsia="Times New Roman" w:hAnsi="Times New Roman" w:cs="Times New Roman"/>
          <w:sz w:val="24"/>
          <w:szCs w:val="24"/>
        </w:rPr>
        <w:t xml:space="preserve">, E. (2019). Brain Complexity in Children with Mild and Severe Autism Spectrum Disorders: Analysis of Multiscale Entropy in EEG.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32</w:t>
      </w:r>
      <w:r w:rsidRPr="005C650F">
        <w:rPr>
          <w:rFonts w:ascii="Times New Roman" w:eastAsia="Times New Roman" w:hAnsi="Times New Roman" w:cs="Times New Roman"/>
          <w:sz w:val="24"/>
          <w:szCs w:val="24"/>
        </w:rPr>
        <w:t>(5), 914–921. https://doi.org/10.1007/s10548-019-00711-1</w:t>
      </w:r>
    </w:p>
    <w:p w14:paraId="7D857A4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Hadoush</w:t>
      </w:r>
      <w:proofErr w:type="spellEnd"/>
      <w:r w:rsidRPr="005C650F">
        <w:rPr>
          <w:rFonts w:ascii="Times New Roman" w:eastAsia="Times New Roman" w:hAnsi="Times New Roman" w:cs="Times New Roman"/>
          <w:sz w:val="24"/>
          <w:szCs w:val="24"/>
        </w:rPr>
        <w:t xml:space="preserve">, H., </w:t>
      </w:r>
      <w:proofErr w:type="spellStart"/>
      <w:r w:rsidRPr="005C650F">
        <w:rPr>
          <w:rFonts w:ascii="Times New Roman" w:eastAsia="Times New Roman" w:hAnsi="Times New Roman" w:cs="Times New Roman"/>
          <w:sz w:val="24"/>
          <w:szCs w:val="24"/>
        </w:rPr>
        <w:t>Alafeef</w:t>
      </w:r>
      <w:proofErr w:type="spellEnd"/>
      <w:r w:rsidRPr="005C650F">
        <w:rPr>
          <w:rFonts w:ascii="Times New Roman" w:eastAsia="Times New Roman" w:hAnsi="Times New Roman" w:cs="Times New Roman"/>
          <w:sz w:val="24"/>
          <w:szCs w:val="24"/>
        </w:rPr>
        <w:t xml:space="preserve">, M., &amp; </w:t>
      </w:r>
      <w:proofErr w:type="spellStart"/>
      <w:r w:rsidRPr="005C650F">
        <w:rPr>
          <w:rFonts w:ascii="Times New Roman" w:eastAsia="Times New Roman" w:hAnsi="Times New Roman" w:cs="Times New Roman"/>
          <w:sz w:val="24"/>
          <w:szCs w:val="24"/>
        </w:rPr>
        <w:t>Abdulhay</w:t>
      </w:r>
      <w:proofErr w:type="spellEnd"/>
      <w:r w:rsidRPr="005C650F">
        <w:rPr>
          <w:rFonts w:ascii="Times New Roman" w:eastAsia="Times New Roman" w:hAnsi="Times New Roman" w:cs="Times New Roman"/>
          <w:sz w:val="24"/>
          <w:szCs w:val="24"/>
        </w:rPr>
        <w:t xml:space="preserve">, E. (2019). Brain Complexity in Children with Mild and Severe Autism Spectrum Disorders: Analysis of Multiscale Entropy in EEG.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32</w:t>
      </w:r>
      <w:r w:rsidRPr="005C650F">
        <w:rPr>
          <w:rFonts w:ascii="Times New Roman" w:eastAsia="Times New Roman" w:hAnsi="Times New Roman" w:cs="Times New Roman"/>
          <w:sz w:val="24"/>
          <w:szCs w:val="24"/>
        </w:rPr>
        <w:t>(5), 914–921. https://doi.org/10.1007/s10548-019-00711-1</w:t>
      </w:r>
    </w:p>
    <w:p w14:paraId="04B19F0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Haghighat, H., </w:t>
      </w:r>
      <w:proofErr w:type="spellStart"/>
      <w:r w:rsidRPr="005C650F">
        <w:rPr>
          <w:rFonts w:ascii="Times New Roman" w:eastAsia="Times New Roman" w:hAnsi="Times New Roman" w:cs="Times New Roman"/>
          <w:sz w:val="24"/>
          <w:szCs w:val="24"/>
        </w:rPr>
        <w:t>Mirzarezaee</w:t>
      </w:r>
      <w:proofErr w:type="spellEnd"/>
      <w:r w:rsidRPr="005C650F">
        <w:rPr>
          <w:rFonts w:ascii="Times New Roman" w:eastAsia="Times New Roman" w:hAnsi="Times New Roman" w:cs="Times New Roman"/>
          <w:sz w:val="24"/>
          <w:szCs w:val="24"/>
        </w:rPr>
        <w:t xml:space="preserve">, M., </w:t>
      </w:r>
      <w:proofErr w:type="spellStart"/>
      <w:r w:rsidRPr="005C650F">
        <w:rPr>
          <w:rFonts w:ascii="Times New Roman" w:eastAsia="Times New Roman" w:hAnsi="Times New Roman" w:cs="Times New Roman"/>
          <w:sz w:val="24"/>
          <w:szCs w:val="24"/>
        </w:rPr>
        <w:t>Araabi</w:t>
      </w:r>
      <w:proofErr w:type="spellEnd"/>
      <w:r w:rsidRPr="005C650F">
        <w:rPr>
          <w:rFonts w:ascii="Times New Roman" w:eastAsia="Times New Roman" w:hAnsi="Times New Roman" w:cs="Times New Roman"/>
          <w:sz w:val="24"/>
          <w:szCs w:val="24"/>
        </w:rPr>
        <w:t xml:space="preserve">, B. N., &amp; Khadem, A. (2021). Functional Networks Abnormalities in Autism Spectrum Disorder: Age-Related Hypo and Hyper Connectivity.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34</w:t>
      </w:r>
      <w:r w:rsidRPr="005C650F">
        <w:rPr>
          <w:rFonts w:ascii="Times New Roman" w:eastAsia="Times New Roman" w:hAnsi="Times New Roman" w:cs="Times New Roman"/>
          <w:sz w:val="24"/>
          <w:szCs w:val="24"/>
        </w:rPr>
        <w:t>(3), 306–322. https://doi.org/10.1007/s10548-021-00831-7</w:t>
      </w:r>
    </w:p>
    <w:p w14:paraId="2D2EE5A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Hagmann, P., </w:t>
      </w:r>
      <w:proofErr w:type="spellStart"/>
      <w:r w:rsidRPr="005C650F">
        <w:rPr>
          <w:rFonts w:ascii="Times New Roman" w:eastAsia="Times New Roman" w:hAnsi="Times New Roman" w:cs="Times New Roman"/>
          <w:sz w:val="24"/>
          <w:szCs w:val="24"/>
        </w:rPr>
        <w:t>Cammoun</w:t>
      </w:r>
      <w:proofErr w:type="spellEnd"/>
      <w:r w:rsidRPr="005C650F">
        <w:rPr>
          <w:rFonts w:ascii="Times New Roman" w:eastAsia="Times New Roman" w:hAnsi="Times New Roman" w:cs="Times New Roman"/>
          <w:sz w:val="24"/>
          <w:szCs w:val="24"/>
        </w:rPr>
        <w:t xml:space="preserve">, L., Gigandet, X., Meuli, R., Honey, C. J., </w:t>
      </w:r>
      <w:proofErr w:type="spellStart"/>
      <w:r w:rsidRPr="005C650F">
        <w:rPr>
          <w:rFonts w:ascii="Times New Roman" w:eastAsia="Times New Roman" w:hAnsi="Times New Roman" w:cs="Times New Roman"/>
          <w:sz w:val="24"/>
          <w:szCs w:val="24"/>
        </w:rPr>
        <w:t>Wedeen</w:t>
      </w:r>
      <w:proofErr w:type="spellEnd"/>
      <w:r w:rsidRPr="005C650F">
        <w:rPr>
          <w:rFonts w:ascii="Times New Roman" w:eastAsia="Times New Roman" w:hAnsi="Times New Roman" w:cs="Times New Roman"/>
          <w:sz w:val="24"/>
          <w:szCs w:val="24"/>
        </w:rPr>
        <w:t xml:space="preserve">, V. J., &amp; </w:t>
      </w:r>
      <w:proofErr w:type="spellStart"/>
      <w:r w:rsidRPr="005C650F">
        <w:rPr>
          <w:rFonts w:ascii="Times New Roman" w:eastAsia="Times New Roman" w:hAnsi="Times New Roman" w:cs="Times New Roman"/>
          <w:sz w:val="24"/>
          <w:szCs w:val="24"/>
        </w:rPr>
        <w:t>Sporns</w:t>
      </w:r>
      <w:proofErr w:type="spellEnd"/>
      <w:r w:rsidRPr="005C650F">
        <w:rPr>
          <w:rFonts w:ascii="Times New Roman" w:eastAsia="Times New Roman" w:hAnsi="Times New Roman" w:cs="Times New Roman"/>
          <w:sz w:val="24"/>
          <w:szCs w:val="24"/>
        </w:rPr>
        <w:t xml:space="preserve">, O. (2008). Mapping the structural core of human cerebral cortex.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(7), e159. https://doi.org/10.1371/journal.pbio.0060159</w:t>
      </w:r>
    </w:p>
    <w:p w14:paraId="7B2BFE4B"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Haider, B., &amp; McCormick, D. A. (2009). Rapid neocortical dynamics: cellular and network mechanisms. Neuron, 62(2), 171–189. https://doi.org/10.1016/j.neuron.2009.04.008</w:t>
      </w:r>
    </w:p>
    <w:p w14:paraId="61C774E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Han, J., Zeng, K., Kang, J., Tong, Z., Cai, E., Chen, H., Ding, M., Gu, Y., Ouyang, G., &amp; Li, X. (2017). Development of Brain Network in Children with Autism from Early Childhood to Late Childhood. </w:t>
      </w:r>
      <w:r w:rsidRPr="005C650F">
        <w:rPr>
          <w:rFonts w:ascii="Times New Roman" w:eastAsia="Times New Roman" w:hAnsi="Times New Roman" w:cs="Times New Roman"/>
          <w:i/>
          <w:iCs/>
          <w:sz w:val="24"/>
          <w:szCs w:val="24"/>
        </w:rPr>
        <w:t>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367</w:t>
      </w:r>
      <w:r w:rsidRPr="005C650F">
        <w:rPr>
          <w:rFonts w:ascii="Times New Roman" w:eastAsia="Times New Roman" w:hAnsi="Times New Roman" w:cs="Times New Roman"/>
          <w:sz w:val="24"/>
          <w:szCs w:val="24"/>
        </w:rPr>
        <w:t>, 134–146. https://doi.org/10.1016/j.neuroscience.2017.10.015</w:t>
      </w:r>
    </w:p>
    <w:p w14:paraId="3BDCFD9D"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r w:rsidRPr="00203582">
        <w:rPr>
          <w:rFonts w:ascii="Times New Roman" w:eastAsia="Times New Roman" w:hAnsi="Times New Roman" w:cs="Times New Roman"/>
          <w:sz w:val="24"/>
          <w:szCs w:val="24"/>
        </w:rPr>
        <w:t xml:space="preserve">Han, J., Zhou, L., Wu, H., Huang, Y., Qiu, M., Huang, L., Lee, C., Lane, T. J., &amp; Qin, P. (2023). Eyes-Open and Eyes-Closed Resting State Network Connectivity Differences. </w:t>
      </w:r>
      <w:r w:rsidRPr="00203582">
        <w:rPr>
          <w:rFonts w:ascii="Times New Roman" w:eastAsia="Times New Roman" w:hAnsi="Times New Roman" w:cs="Times New Roman"/>
          <w:i/>
          <w:sz w:val="24"/>
          <w:szCs w:val="24"/>
          <w:lang w:val="fr-FR"/>
        </w:rPr>
        <w:t>Brain Sciences</w:t>
      </w:r>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13</w:t>
      </w:r>
      <w:r w:rsidRPr="00203582">
        <w:rPr>
          <w:rFonts w:ascii="Times New Roman" w:eastAsia="Times New Roman" w:hAnsi="Times New Roman" w:cs="Times New Roman"/>
          <w:sz w:val="24"/>
          <w:szCs w:val="24"/>
          <w:lang w:val="fr-FR"/>
        </w:rPr>
        <w:t>(1). https://doi.org/10.3390/brainsci13010122</w:t>
      </w:r>
    </w:p>
    <w:p w14:paraId="27FA4A4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Hanna, G. L., </w:t>
      </w:r>
      <w:proofErr w:type="spellStart"/>
      <w:r w:rsidRPr="005C650F">
        <w:rPr>
          <w:rFonts w:ascii="Times New Roman" w:eastAsia="Times New Roman" w:hAnsi="Times New Roman" w:cs="Times New Roman"/>
          <w:sz w:val="24"/>
          <w:szCs w:val="24"/>
        </w:rPr>
        <w:t>Yuwiler</w:t>
      </w:r>
      <w:proofErr w:type="spellEnd"/>
      <w:r w:rsidRPr="005C650F">
        <w:rPr>
          <w:rFonts w:ascii="Times New Roman" w:eastAsia="Times New Roman" w:hAnsi="Times New Roman" w:cs="Times New Roman"/>
          <w:sz w:val="24"/>
          <w:szCs w:val="24"/>
        </w:rPr>
        <w:t xml:space="preserve">, A., &amp; Cantwell, D. P. (1991). Whole blood serotonin in juvenile obsessive-compulsive disorder. </w:t>
      </w:r>
      <w:r w:rsidRPr="005C650F">
        <w:rPr>
          <w:rFonts w:ascii="Times New Roman" w:eastAsia="Times New Roman" w:hAnsi="Times New Roman" w:cs="Times New Roman"/>
          <w:i/>
          <w:iCs/>
          <w:sz w:val="24"/>
          <w:szCs w:val="24"/>
        </w:rPr>
        <w:t>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29</w:t>
      </w:r>
      <w:r w:rsidRPr="005C650F">
        <w:rPr>
          <w:rFonts w:ascii="Times New Roman" w:eastAsia="Times New Roman" w:hAnsi="Times New Roman" w:cs="Times New Roman"/>
          <w:sz w:val="24"/>
          <w:szCs w:val="24"/>
        </w:rPr>
        <w:t>(8), 738–744. https://doi.org/10.1016/0006-3223(91)90193-p</w:t>
      </w:r>
    </w:p>
    <w:p w14:paraId="47FF476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Harikumar, A., Evans, D. W., Dougherty, C. C., Carpenter, K. L. H., &amp; Michael, A. M. (2021). A review of the default mode network in autism spectrum disorders and attention deficit hyperactivity disorder. </w:t>
      </w:r>
      <w:r w:rsidRPr="005C650F">
        <w:rPr>
          <w:rFonts w:ascii="Times New Roman" w:eastAsia="Times New Roman" w:hAnsi="Times New Roman" w:cs="Times New Roman"/>
          <w:i/>
          <w:iCs/>
          <w:sz w:val="24"/>
          <w:szCs w:val="24"/>
        </w:rPr>
        <w:t>Brain Connectivity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w:t>
      </w:r>
      <w:r w:rsidRPr="005C650F">
        <w:rPr>
          <w:rFonts w:ascii="Times New Roman" w:eastAsia="Times New Roman" w:hAnsi="Times New Roman" w:cs="Times New Roman"/>
          <w:sz w:val="24"/>
          <w:szCs w:val="24"/>
        </w:rPr>
        <w:t>(4), 253–263. https://doi.org/10.1089/brain.2020.0865</w:t>
      </w:r>
    </w:p>
    <w:p w14:paraId="2762FF3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Harmony, T. (2013). The functional significance of delta oscillations in cognitive processing. </w:t>
      </w:r>
      <w:r w:rsidRPr="005C650F">
        <w:rPr>
          <w:rFonts w:ascii="Times New Roman" w:eastAsia="Times New Roman" w:hAnsi="Times New Roman" w:cs="Times New Roman"/>
          <w:i/>
          <w:iCs/>
          <w:sz w:val="24"/>
          <w:szCs w:val="24"/>
        </w:rPr>
        <w:t>Frontiers in Integrative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 83. https://doi.org/10.3389/fnint.2013.00083</w:t>
      </w:r>
    </w:p>
    <w:p w14:paraId="1BE53DF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fr-FR"/>
        </w:rPr>
        <w:t xml:space="preserve">Hashemian, M., &amp; </w:t>
      </w:r>
      <w:proofErr w:type="spellStart"/>
      <w:r w:rsidRPr="00203582">
        <w:rPr>
          <w:rFonts w:ascii="Times New Roman" w:eastAsia="Times New Roman" w:hAnsi="Times New Roman" w:cs="Times New Roman"/>
          <w:sz w:val="24"/>
          <w:szCs w:val="24"/>
          <w:lang w:val="fr-FR"/>
        </w:rPr>
        <w:t>Pourghassem</w:t>
      </w:r>
      <w:proofErr w:type="spellEnd"/>
      <w:r w:rsidRPr="00203582">
        <w:rPr>
          <w:rFonts w:ascii="Times New Roman" w:eastAsia="Times New Roman" w:hAnsi="Times New Roman" w:cs="Times New Roman"/>
          <w:sz w:val="24"/>
          <w:szCs w:val="24"/>
          <w:lang w:val="fr-FR"/>
        </w:rPr>
        <w:t xml:space="preserve">, H. (2014). </w:t>
      </w:r>
      <w:r w:rsidRPr="00203582">
        <w:rPr>
          <w:rFonts w:ascii="Times New Roman" w:eastAsia="Times New Roman" w:hAnsi="Times New Roman" w:cs="Times New Roman"/>
          <w:sz w:val="24"/>
          <w:szCs w:val="24"/>
        </w:rPr>
        <w:t xml:space="preserve">Diagnosing autism spectrum disorders based on EEG analysis: a survey. </w:t>
      </w:r>
      <w:r w:rsidRPr="00203582">
        <w:rPr>
          <w:rFonts w:ascii="Times New Roman" w:eastAsia="Times New Roman" w:hAnsi="Times New Roman" w:cs="Times New Roman"/>
          <w:i/>
          <w:sz w:val="24"/>
          <w:szCs w:val="24"/>
        </w:rPr>
        <w:t>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46</w:t>
      </w:r>
      <w:r w:rsidRPr="00203582">
        <w:rPr>
          <w:rFonts w:ascii="Times New Roman" w:eastAsia="Times New Roman" w:hAnsi="Times New Roman" w:cs="Times New Roman"/>
          <w:sz w:val="24"/>
          <w:szCs w:val="24"/>
        </w:rPr>
        <w:t>(2), 183–195. https://doi.org/10.1007/s11062-014-9427-4</w:t>
      </w:r>
    </w:p>
    <w:p w14:paraId="4487F36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He, Y., &amp; Evans, A. (2010). Graph theoretical </w:t>
      </w:r>
      <w:proofErr w:type="spellStart"/>
      <w:r w:rsidRPr="005C650F">
        <w:rPr>
          <w:rFonts w:ascii="Times New Roman" w:eastAsia="Times New Roman" w:hAnsi="Times New Roman" w:cs="Times New Roman"/>
          <w:sz w:val="24"/>
          <w:szCs w:val="24"/>
        </w:rPr>
        <w:t>modeling</w:t>
      </w:r>
      <w:proofErr w:type="spellEnd"/>
      <w:r w:rsidRPr="005C650F">
        <w:rPr>
          <w:rFonts w:ascii="Times New Roman" w:eastAsia="Times New Roman" w:hAnsi="Times New Roman" w:cs="Times New Roman"/>
          <w:sz w:val="24"/>
          <w:szCs w:val="24"/>
        </w:rPr>
        <w:t xml:space="preserve"> of brain connectivity. </w:t>
      </w:r>
      <w:r w:rsidRPr="005C650F">
        <w:rPr>
          <w:rFonts w:ascii="Times New Roman" w:eastAsia="Times New Roman" w:hAnsi="Times New Roman" w:cs="Times New Roman"/>
          <w:i/>
          <w:iCs/>
          <w:sz w:val="24"/>
          <w:szCs w:val="24"/>
        </w:rPr>
        <w:t>Current Opinion in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23</w:t>
      </w:r>
      <w:r w:rsidRPr="005C650F">
        <w:rPr>
          <w:rFonts w:ascii="Times New Roman" w:eastAsia="Times New Roman" w:hAnsi="Times New Roman" w:cs="Times New Roman"/>
          <w:sz w:val="24"/>
          <w:szCs w:val="24"/>
        </w:rPr>
        <w:t>(4), 341–350. https://doi.org/10.1097/WCO.0b013e32833aa567</w:t>
      </w:r>
    </w:p>
    <w:p w14:paraId="2E9227E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Heisz, J. J., &amp; McIntosh, A. R. (2013). Applications of EEG neuroimaging data: event-related potentials, spectral power, and multiscale entropy. </w:t>
      </w:r>
      <w:r w:rsidRPr="00203582">
        <w:rPr>
          <w:rFonts w:ascii="Times New Roman" w:eastAsia="Times New Roman" w:hAnsi="Times New Roman" w:cs="Times New Roman"/>
          <w:i/>
          <w:sz w:val="24"/>
          <w:szCs w:val="24"/>
        </w:rPr>
        <w:t>Journal of Visualized Experiments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76</w:t>
      </w:r>
      <w:r w:rsidRPr="00203582">
        <w:rPr>
          <w:rFonts w:ascii="Times New Roman" w:eastAsia="Times New Roman" w:hAnsi="Times New Roman" w:cs="Times New Roman"/>
          <w:sz w:val="24"/>
          <w:szCs w:val="24"/>
        </w:rPr>
        <w:t>. https://doi.org/10.3791/50131</w:t>
      </w:r>
    </w:p>
    <w:p w14:paraId="3811FFE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Hershey, D., &amp; Lee, W. E. (1987). Entropy, aging and death. </w:t>
      </w:r>
      <w:r w:rsidRPr="00203582">
        <w:rPr>
          <w:rFonts w:ascii="Times New Roman" w:eastAsia="Times New Roman" w:hAnsi="Times New Roman" w:cs="Times New Roman"/>
          <w:i/>
          <w:sz w:val="24"/>
          <w:szCs w:val="24"/>
        </w:rPr>
        <w:t>Systems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w:t>
      </w:r>
      <w:r w:rsidRPr="00203582">
        <w:rPr>
          <w:rFonts w:ascii="Times New Roman" w:eastAsia="Times New Roman" w:hAnsi="Times New Roman" w:cs="Times New Roman"/>
          <w:sz w:val="24"/>
          <w:szCs w:val="24"/>
        </w:rPr>
        <w:t>(4), 269–281. https://doi.org/10.1002/sres.3850040406</w:t>
      </w:r>
    </w:p>
    <w:p w14:paraId="2592BD6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nl-NL"/>
        </w:rPr>
        <w:t xml:space="preserve">Heunis, T.-M., Aldrich, C., &amp; de Vries, P. J. (2016). </w:t>
      </w:r>
      <w:r w:rsidRPr="00203582">
        <w:rPr>
          <w:rFonts w:ascii="Times New Roman" w:eastAsia="Times New Roman" w:hAnsi="Times New Roman" w:cs="Times New Roman"/>
          <w:sz w:val="24"/>
          <w:szCs w:val="24"/>
        </w:rPr>
        <w:t xml:space="preserve">Recent Advances in Resting-State Electroencephalography Biomarkers for Autism Spectrum Disorder-A Review of Methodological </w:t>
      </w:r>
      <w:r w:rsidRPr="00203582">
        <w:rPr>
          <w:rFonts w:ascii="Times New Roman" w:eastAsia="Times New Roman" w:hAnsi="Times New Roman" w:cs="Times New Roman"/>
          <w:sz w:val="24"/>
          <w:szCs w:val="24"/>
        </w:rPr>
        <w:lastRenderedPageBreak/>
        <w:t xml:space="preserve">and Clinical Challenges. </w:t>
      </w:r>
      <w:proofErr w:type="spellStart"/>
      <w:r w:rsidRPr="00203582">
        <w:rPr>
          <w:rFonts w:ascii="Times New Roman" w:eastAsia="Times New Roman" w:hAnsi="Times New Roman" w:cs="Times New Roman"/>
          <w:i/>
          <w:sz w:val="24"/>
          <w:szCs w:val="24"/>
        </w:rPr>
        <w:t>Pediatric</w:t>
      </w:r>
      <w:proofErr w:type="spellEnd"/>
      <w:r w:rsidRPr="00203582">
        <w:rPr>
          <w:rFonts w:ascii="Times New Roman" w:eastAsia="Times New Roman" w:hAnsi="Times New Roman" w:cs="Times New Roman"/>
          <w:i/>
          <w:sz w:val="24"/>
          <w:szCs w:val="24"/>
        </w:rPr>
        <w:t xml:space="preserve"> Neurology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61</w:t>
      </w:r>
      <w:r w:rsidRPr="00203582">
        <w:rPr>
          <w:rFonts w:ascii="Times New Roman" w:eastAsia="Times New Roman" w:hAnsi="Times New Roman" w:cs="Times New Roman"/>
          <w:sz w:val="24"/>
          <w:szCs w:val="24"/>
        </w:rPr>
        <w:t>, 28–37. https://doi.org/10.1016/j.pediatrneurol.2016.03.010</w:t>
      </w:r>
    </w:p>
    <w:p w14:paraId="0978B74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Heunis</w:t>
      </w:r>
      <w:proofErr w:type="spellEnd"/>
      <w:r w:rsidRPr="005C650F">
        <w:rPr>
          <w:rFonts w:ascii="Times New Roman" w:eastAsia="Times New Roman" w:hAnsi="Times New Roman" w:cs="Times New Roman"/>
          <w:sz w:val="24"/>
          <w:szCs w:val="24"/>
        </w:rPr>
        <w:t xml:space="preserve">, T.-M., Aldrich, C., &amp; de Vries, P. J. (2016). Recent Advances in Resting-State Electroencephalography Biomarkers for Autism Spectrum Disorder-A Review of Methodological and Clinical Challenges. </w:t>
      </w:r>
      <w:proofErr w:type="spellStart"/>
      <w:r w:rsidRPr="005C650F">
        <w:rPr>
          <w:rFonts w:ascii="Times New Roman" w:eastAsia="Times New Roman" w:hAnsi="Times New Roman" w:cs="Times New Roman"/>
          <w:i/>
          <w:iCs/>
          <w:sz w:val="24"/>
          <w:szCs w:val="24"/>
        </w:rPr>
        <w:t>Pediatric</w:t>
      </w:r>
      <w:proofErr w:type="spellEnd"/>
      <w:r w:rsidRPr="005C650F">
        <w:rPr>
          <w:rFonts w:ascii="Times New Roman" w:eastAsia="Times New Roman" w:hAnsi="Times New Roman" w:cs="Times New Roman"/>
          <w:i/>
          <w:iCs/>
          <w:sz w:val="24"/>
          <w:szCs w:val="24"/>
        </w:rPr>
        <w:t xml:space="preserve">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61</w:t>
      </w:r>
      <w:r w:rsidRPr="005C650F">
        <w:rPr>
          <w:rFonts w:ascii="Times New Roman" w:eastAsia="Times New Roman" w:hAnsi="Times New Roman" w:cs="Times New Roman"/>
          <w:sz w:val="24"/>
          <w:szCs w:val="24"/>
        </w:rPr>
        <w:t>, 28–37. https://doi.org/10.1016/j.pediatrneurol.2016.03.010</w:t>
      </w:r>
    </w:p>
    <w:p w14:paraId="771C656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Ho, K. K., Moody, G. B., Peng, C. K., Mietus, J. E., Larson, M. G., Levy, D., &amp; Goldberger, A. L. (1997). Predicting survival in heart failure case and control subjects by use of fully automated methods for deriving nonlinear and conventional indices of heart rate dynamics. </w:t>
      </w:r>
      <w:r w:rsidRPr="005C650F">
        <w:rPr>
          <w:rFonts w:ascii="Times New Roman" w:eastAsia="Times New Roman" w:hAnsi="Times New Roman" w:cs="Times New Roman"/>
          <w:i/>
          <w:iCs/>
          <w:sz w:val="24"/>
          <w:szCs w:val="24"/>
        </w:rPr>
        <w:t>Circulation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96</w:t>
      </w:r>
      <w:r w:rsidRPr="005C650F">
        <w:rPr>
          <w:rFonts w:ascii="Times New Roman" w:eastAsia="Times New Roman" w:hAnsi="Times New Roman" w:cs="Times New Roman"/>
          <w:sz w:val="24"/>
          <w:szCs w:val="24"/>
        </w:rPr>
        <w:t>(3), 842–848. https://doi.org/10.1161/01.cir.96.3.842</w:t>
      </w:r>
    </w:p>
    <w:p w14:paraId="176BF4B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Hoang, N., Buchanan, J. A., &amp; Scherer, S. W. (2018). Heterogeneity in clinical sequencing tests marketed for autism spectrum disorders. </w:t>
      </w:r>
      <w:r w:rsidRPr="00203582">
        <w:rPr>
          <w:rFonts w:ascii="Times New Roman" w:eastAsia="Times New Roman" w:hAnsi="Times New Roman" w:cs="Times New Roman"/>
          <w:i/>
          <w:sz w:val="24"/>
          <w:szCs w:val="24"/>
        </w:rPr>
        <w:t>NPJ Genomic 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w:t>
      </w:r>
      <w:r w:rsidRPr="00203582">
        <w:rPr>
          <w:rFonts w:ascii="Times New Roman" w:eastAsia="Times New Roman" w:hAnsi="Times New Roman" w:cs="Times New Roman"/>
          <w:sz w:val="24"/>
          <w:szCs w:val="24"/>
        </w:rPr>
        <w:t>, 27. https://doi.org/10.1038/s41525-018-0066-3</w:t>
      </w:r>
    </w:p>
    <w:p w14:paraId="2398F77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Hohaia, W., </w:t>
      </w:r>
      <w:proofErr w:type="spellStart"/>
      <w:r w:rsidRPr="005C650F">
        <w:rPr>
          <w:rFonts w:ascii="Times New Roman" w:eastAsia="Times New Roman" w:hAnsi="Times New Roman" w:cs="Times New Roman"/>
          <w:sz w:val="24"/>
          <w:szCs w:val="24"/>
        </w:rPr>
        <w:t>Saurels</w:t>
      </w:r>
      <w:proofErr w:type="spellEnd"/>
      <w:r w:rsidRPr="005C650F">
        <w:rPr>
          <w:rFonts w:ascii="Times New Roman" w:eastAsia="Times New Roman" w:hAnsi="Times New Roman" w:cs="Times New Roman"/>
          <w:sz w:val="24"/>
          <w:szCs w:val="24"/>
        </w:rPr>
        <w:t xml:space="preserve">, B. W., Johnston, A., Yarrow, K., &amp; Arnold, D. H. (2022). Occipital alpha-band brain waves when the eyes are closed are shaped by ongoing visual processes. </w:t>
      </w:r>
      <w:r w:rsidRPr="005C650F">
        <w:rPr>
          <w:rFonts w:ascii="Times New Roman" w:eastAsia="Times New Roman" w:hAnsi="Times New Roman" w:cs="Times New Roman"/>
          <w:i/>
          <w:iCs/>
          <w:sz w:val="24"/>
          <w:szCs w:val="24"/>
        </w:rPr>
        <w:t>Scientific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(1), 1194. https://doi.org/10.1038/s41598-022-05289-6</w:t>
      </w:r>
    </w:p>
    <w:p w14:paraId="3E5A4CE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Honjo, H., &amp; Sano, M. (1995). Entropy Spectrum of Self-Similar Fractal Patterns. </w:t>
      </w:r>
      <w:r w:rsidRPr="005C650F">
        <w:rPr>
          <w:rFonts w:ascii="Times New Roman" w:eastAsia="Times New Roman" w:hAnsi="Times New Roman" w:cs="Times New Roman"/>
          <w:i/>
          <w:iCs/>
          <w:sz w:val="24"/>
          <w:szCs w:val="24"/>
        </w:rPr>
        <w:t>Progress of Theoretical Physics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94</w:t>
      </w:r>
      <w:r w:rsidRPr="005C650F">
        <w:rPr>
          <w:rFonts w:ascii="Times New Roman" w:eastAsia="Times New Roman" w:hAnsi="Times New Roman" w:cs="Times New Roman"/>
          <w:sz w:val="24"/>
          <w:szCs w:val="24"/>
        </w:rPr>
        <w:t>(5), 737–744. https://doi.org/10.1143/PTP.94.737</w:t>
      </w:r>
    </w:p>
    <w:p w14:paraId="2945D88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Howlin, P., Savage, S., Moss, P., </w:t>
      </w:r>
      <w:proofErr w:type="spellStart"/>
      <w:r w:rsidRPr="00203582">
        <w:rPr>
          <w:rFonts w:ascii="Times New Roman" w:eastAsia="Times New Roman" w:hAnsi="Times New Roman" w:cs="Times New Roman"/>
          <w:sz w:val="24"/>
          <w:szCs w:val="24"/>
        </w:rPr>
        <w:t>Tempier</w:t>
      </w:r>
      <w:proofErr w:type="spellEnd"/>
      <w:r w:rsidRPr="00203582">
        <w:rPr>
          <w:rFonts w:ascii="Times New Roman" w:eastAsia="Times New Roman" w:hAnsi="Times New Roman" w:cs="Times New Roman"/>
          <w:sz w:val="24"/>
          <w:szCs w:val="24"/>
        </w:rPr>
        <w:t xml:space="preserve">, A., &amp; Rutter, M. (2014). Cognitive and language skills in adults with autism: a 40-year follow-up. </w:t>
      </w:r>
      <w:r w:rsidRPr="00203582">
        <w:rPr>
          <w:rFonts w:ascii="Times New Roman" w:eastAsia="Times New Roman" w:hAnsi="Times New Roman" w:cs="Times New Roman"/>
          <w:i/>
          <w:sz w:val="24"/>
          <w:szCs w:val="24"/>
        </w:rPr>
        <w:t>Journal of Child Psychology and Psychiatry, and Allied Disciplines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55</w:t>
      </w:r>
      <w:r w:rsidRPr="00203582">
        <w:rPr>
          <w:rFonts w:ascii="Times New Roman" w:eastAsia="Times New Roman" w:hAnsi="Times New Roman" w:cs="Times New Roman"/>
          <w:sz w:val="24"/>
          <w:szCs w:val="24"/>
        </w:rPr>
        <w:t>(1), 49–58. https://doi.org/10.1111/jcpp.12115</w:t>
      </w:r>
    </w:p>
    <w:p w14:paraId="7790378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Hu, Z., Liu, L., Wang, M., Jia, G., Li, H., Si, F., Dong, M., Qian, Q., &amp; Niu, H. (2021). Disrupted signal variability of spontaneous neural activity in children with attention-deficit/hyperactivity disorder. </w:t>
      </w:r>
      <w:r w:rsidRPr="005C650F">
        <w:rPr>
          <w:rFonts w:ascii="Times New Roman" w:eastAsia="Times New Roman" w:hAnsi="Times New Roman" w:cs="Times New Roman"/>
          <w:i/>
          <w:iCs/>
          <w:sz w:val="24"/>
          <w:szCs w:val="24"/>
        </w:rPr>
        <w:t>Biomedical Optics Express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(5), 3037–3049. https://doi.org/10.1364/BOE.418921</w:t>
      </w:r>
    </w:p>
    <w:p w14:paraId="72AF7F1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Huberty, S., Carter Leno, V., van </w:t>
      </w:r>
      <w:proofErr w:type="spellStart"/>
      <w:r w:rsidRPr="00203582">
        <w:rPr>
          <w:rFonts w:ascii="Times New Roman" w:eastAsia="Times New Roman" w:hAnsi="Times New Roman" w:cs="Times New Roman"/>
          <w:sz w:val="24"/>
          <w:szCs w:val="24"/>
        </w:rPr>
        <w:t>Noordt</w:t>
      </w:r>
      <w:proofErr w:type="spellEnd"/>
      <w:r w:rsidRPr="00203582">
        <w:rPr>
          <w:rFonts w:ascii="Times New Roman" w:eastAsia="Times New Roman" w:hAnsi="Times New Roman" w:cs="Times New Roman"/>
          <w:sz w:val="24"/>
          <w:szCs w:val="24"/>
        </w:rPr>
        <w:t xml:space="preserve">, S. J. R., Bedford, R., Pickles, A., Desjardins, J. A., Webb, S. J., BASIS Team, &amp; </w:t>
      </w:r>
      <w:proofErr w:type="spellStart"/>
      <w:r w:rsidRPr="00203582">
        <w:rPr>
          <w:rFonts w:ascii="Times New Roman" w:eastAsia="Times New Roman" w:hAnsi="Times New Roman" w:cs="Times New Roman"/>
          <w:sz w:val="24"/>
          <w:szCs w:val="24"/>
        </w:rPr>
        <w:t>Elsabbagh</w:t>
      </w:r>
      <w:proofErr w:type="spellEnd"/>
      <w:r w:rsidRPr="00203582">
        <w:rPr>
          <w:rFonts w:ascii="Times New Roman" w:eastAsia="Times New Roman" w:hAnsi="Times New Roman" w:cs="Times New Roman"/>
          <w:sz w:val="24"/>
          <w:szCs w:val="24"/>
        </w:rPr>
        <w:t xml:space="preserve">, M. (2021). Association between spectral electroencephalography power and autism risk and diagnosis in early development. </w:t>
      </w:r>
      <w:r w:rsidRPr="00203582">
        <w:rPr>
          <w:rFonts w:ascii="Times New Roman" w:eastAsia="Times New Roman" w:hAnsi="Times New Roman" w:cs="Times New Roman"/>
          <w:i/>
          <w:sz w:val="24"/>
          <w:szCs w:val="24"/>
        </w:rPr>
        <w:t>Autism Research : Official Journal of the International Society for Autism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14</w:t>
      </w:r>
      <w:r w:rsidRPr="00203582">
        <w:rPr>
          <w:rFonts w:ascii="Times New Roman" w:eastAsia="Times New Roman" w:hAnsi="Times New Roman" w:cs="Times New Roman"/>
          <w:sz w:val="24"/>
          <w:szCs w:val="24"/>
        </w:rPr>
        <w:t>(7), 1390–1403. https://doi.org/10.1002/aur.2518</w:t>
      </w:r>
    </w:p>
    <w:p w14:paraId="51AAE2EE"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de-DE"/>
        </w:rPr>
      </w:pPr>
      <w:r w:rsidRPr="00203582">
        <w:rPr>
          <w:rFonts w:ascii="Times New Roman" w:eastAsia="Times New Roman" w:hAnsi="Times New Roman" w:cs="Times New Roman"/>
          <w:sz w:val="24"/>
          <w:szCs w:val="24"/>
          <w:lang w:val="de-DE"/>
        </w:rPr>
        <w:t xml:space="preserve">Hüfner, K., Stephan, T., Flanagin, V. L., Deutschländer, A., Stein, A., Kalla, R., Dera, T., Fesl, G., Jahn, K., Strupp, M., &amp; Brandt, T. (2009). </w:t>
      </w:r>
      <w:r w:rsidRPr="00203582">
        <w:rPr>
          <w:rFonts w:ascii="Times New Roman" w:eastAsia="Times New Roman" w:hAnsi="Times New Roman" w:cs="Times New Roman"/>
          <w:sz w:val="24"/>
          <w:szCs w:val="24"/>
        </w:rPr>
        <w:t xml:space="preserve">Differential effects of eyes open or closed in darkness on brain activation patterns in blind subjects. </w:t>
      </w:r>
      <w:r w:rsidRPr="00203582">
        <w:rPr>
          <w:rFonts w:ascii="Times New Roman" w:eastAsia="Times New Roman" w:hAnsi="Times New Roman" w:cs="Times New Roman"/>
          <w:i/>
          <w:sz w:val="24"/>
          <w:szCs w:val="24"/>
          <w:lang w:val="de-DE"/>
        </w:rPr>
        <w:t>Neuroscience Letters</w:t>
      </w:r>
      <w:r w:rsidRPr="00203582">
        <w:rPr>
          <w:rFonts w:ascii="Times New Roman" w:eastAsia="Times New Roman" w:hAnsi="Times New Roman" w:cs="Times New Roman"/>
          <w:sz w:val="24"/>
          <w:szCs w:val="24"/>
          <w:lang w:val="de-DE"/>
        </w:rPr>
        <w:t xml:space="preserve">, </w:t>
      </w:r>
      <w:r w:rsidRPr="00203582">
        <w:rPr>
          <w:rFonts w:ascii="Times New Roman" w:eastAsia="Times New Roman" w:hAnsi="Times New Roman" w:cs="Times New Roman"/>
          <w:i/>
          <w:sz w:val="24"/>
          <w:szCs w:val="24"/>
          <w:lang w:val="de-DE"/>
        </w:rPr>
        <w:t>466</w:t>
      </w:r>
      <w:r w:rsidRPr="00203582">
        <w:rPr>
          <w:rFonts w:ascii="Times New Roman" w:eastAsia="Times New Roman" w:hAnsi="Times New Roman" w:cs="Times New Roman"/>
          <w:sz w:val="24"/>
          <w:szCs w:val="24"/>
          <w:lang w:val="de-DE"/>
        </w:rPr>
        <w:t>(1), 30–34. https://doi.org/10.1016/j.neulet.2009.09.010</w:t>
      </w:r>
    </w:p>
    <w:p w14:paraId="23D0950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Hüfner, K., Stephan, T., Glasauer, S., Kalla, R., Riedel, E., Deutschländer, A., Dera, T., Wiesmann, M., Strupp, M., &amp; Brandt, T. (2008). </w:t>
      </w:r>
      <w:r w:rsidRPr="00203582">
        <w:rPr>
          <w:rFonts w:ascii="Times New Roman" w:eastAsia="Times New Roman" w:hAnsi="Times New Roman" w:cs="Times New Roman"/>
          <w:sz w:val="24"/>
          <w:szCs w:val="24"/>
        </w:rPr>
        <w:t xml:space="preserve">Differences in saccade-evoked brain activation patterns with eyes open or eyes closed in complete darkness. </w:t>
      </w:r>
      <w:r w:rsidRPr="00203582">
        <w:rPr>
          <w:rFonts w:ascii="Times New Roman" w:eastAsia="Times New Roman" w:hAnsi="Times New Roman" w:cs="Times New Roman"/>
          <w:i/>
          <w:sz w:val="24"/>
          <w:szCs w:val="24"/>
        </w:rPr>
        <w:t>Experimental Brain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186</w:t>
      </w:r>
      <w:r w:rsidRPr="00203582">
        <w:rPr>
          <w:rFonts w:ascii="Times New Roman" w:eastAsia="Times New Roman" w:hAnsi="Times New Roman" w:cs="Times New Roman"/>
          <w:sz w:val="24"/>
          <w:szCs w:val="24"/>
        </w:rPr>
        <w:t>(3), 419–430. https://doi.org/10.1007/s00221-007-1247-y</w:t>
      </w:r>
    </w:p>
    <w:p w14:paraId="13F151A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Huggins, C. F., Donnan, G., Cameron, I. M., &amp; Williams, J. H. (2021). Emotional self-awareness in autism: A meta-analysis of group differences and developmental effects. </w:t>
      </w:r>
      <w:r w:rsidRPr="005C650F">
        <w:rPr>
          <w:rFonts w:ascii="Times New Roman" w:eastAsia="Times New Roman" w:hAnsi="Times New Roman" w:cs="Times New Roman"/>
          <w:i/>
          <w:iCs/>
          <w:sz w:val="24"/>
          <w:szCs w:val="24"/>
        </w:rPr>
        <w:t>Autism: The International Journal of Research and Practice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25</w:t>
      </w:r>
      <w:r w:rsidRPr="005C650F">
        <w:rPr>
          <w:rFonts w:ascii="Times New Roman" w:eastAsia="Times New Roman" w:hAnsi="Times New Roman" w:cs="Times New Roman"/>
          <w:sz w:val="24"/>
          <w:szCs w:val="24"/>
        </w:rPr>
        <w:t>(2), 307–321. https://doi.org/10.1177/1362361320964306</w:t>
      </w:r>
    </w:p>
    <w:p w14:paraId="2BD765E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Hull, J. V., </w:t>
      </w:r>
      <w:proofErr w:type="spellStart"/>
      <w:r w:rsidRPr="005C650F">
        <w:rPr>
          <w:rFonts w:ascii="Times New Roman" w:eastAsia="Times New Roman" w:hAnsi="Times New Roman" w:cs="Times New Roman"/>
          <w:sz w:val="24"/>
          <w:szCs w:val="24"/>
        </w:rPr>
        <w:t>Jacokes</w:t>
      </w:r>
      <w:proofErr w:type="spellEnd"/>
      <w:r w:rsidRPr="005C650F">
        <w:rPr>
          <w:rFonts w:ascii="Times New Roman" w:eastAsia="Times New Roman" w:hAnsi="Times New Roman" w:cs="Times New Roman"/>
          <w:sz w:val="24"/>
          <w:szCs w:val="24"/>
        </w:rPr>
        <w:t xml:space="preserve">, Z. J., Torgerson, C. M., Irimia, A., &amp; Van Horn, J. D. (2016). Resting-State Functional Connectivity in Autism Spectrum Disorders: A Review. </w:t>
      </w:r>
      <w:r w:rsidRPr="005C650F">
        <w:rPr>
          <w:rFonts w:ascii="Times New Roman" w:eastAsia="Times New Roman" w:hAnsi="Times New Roman" w:cs="Times New Roman"/>
          <w:i/>
          <w:iCs/>
          <w:sz w:val="24"/>
          <w:szCs w:val="24"/>
        </w:rPr>
        <w:t>Frontiers in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 205. https://doi.org/10.3389/fpsyt.2016.00205</w:t>
      </w:r>
    </w:p>
    <w:p w14:paraId="016CA1F7"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proofErr w:type="spellStart"/>
      <w:r w:rsidRPr="00F97EDC">
        <w:rPr>
          <w:rFonts w:ascii="Times New Roman" w:eastAsia="Times New Roman" w:hAnsi="Times New Roman" w:cs="Times New Roman"/>
          <w:sz w:val="24"/>
          <w:szCs w:val="24"/>
        </w:rPr>
        <w:t>Humeau-Heurtier</w:t>
      </w:r>
      <w:proofErr w:type="spellEnd"/>
      <w:r w:rsidRPr="00F97EDC">
        <w:rPr>
          <w:rFonts w:ascii="Times New Roman" w:eastAsia="Times New Roman" w:hAnsi="Times New Roman" w:cs="Times New Roman"/>
          <w:sz w:val="24"/>
          <w:szCs w:val="24"/>
        </w:rPr>
        <w:t>, A. (2015). The multiscale entropy algorithm and its variants: A review. Entropy, 17(5), 3110–3123. https://doi.org/10.3390/e17053110</w:t>
      </w:r>
    </w:p>
    <w:p w14:paraId="3F8E34C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Hussain, L., Aziz, W., Saeed, S., Shah, S. A., Nadeem, M. S., Awan, I. A., Abbas, A., Majid, A., &amp; Kazmi, S. Z. (2017). Complexity analysis of EEG motor movement with eye open and close subjects using multiscale permutation entropy (MPE) technique. </w:t>
      </w:r>
      <w:r w:rsidRPr="005C650F">
        <w:rPr>
          <w:rFonts w:ascii="Times New Roman" w:eastAsia="Times New Roman" w:hAnsi="Times New Roman" w:cs="Times New Roman"/>
          <w:i/>
          <w:iCs/>
          <w:sz w:val="24"/>
          <w:szCs w:val="24"/>
        </w:rPr>
        <w:t>Biomedical Research (0970-938X)</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28</w:t>
      </w:r>
      <w:r w:rsidRPr="005C650F">
        <w:rPr>
          <w:rFonts w:ascii="Times New Roman" w:eastAsia="Times New Roman" w:hAnsi="Times New Roman" w:cs="Times New Roman"/>
          <w:sz w:val="24"/>
          <w:szCs w:val="24"/>
        </w:rPr>
        <w:t>(16).</w:t>
      </w:r>
    </w:p>
    <w:p w14:paraId="4D8CA5E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Hutchison, J. L., Hubbard, N. A., Brigante, R. M., Turner, M., Sandoval, T. I., Hillis, G. A. J., Weaver, T., &amp; Rypma, B. (2014). The efficiency of fMRI region of interest analysis methods for detecting group differences. </w:t>
      </w:r>
      <w:r w:rsidRPr="005C650F">
        <w:rPr>
          <w:rFonts w:ascii="Times New Roman" w:eastAsia="Times New Roman" w:hAnsi="Times New Roman" w:cs="Times New Roman"/>
          <w:i/>
          <w:iCs/>
          <w:sz w:val="24"/>
          <w:szCs w:val="24"/>
        </w:rPr>
        <w:t>Journal of Neuroscience Methods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226</w:t>
      </w:r>
      <w:r w:rsidRPr="005C650F">
        <w:rPr>
          <w:rFonts w:ascii="Times New Roman" w:eastAsia="Times New Roman" w:hAnsi="Times New Roman" w:cs="Times New Roman"/>
          <w:sz w:val="24"/>
          <w:szCs w:val="24"/>
        </w:rPr>
        <w:t>, 57–65. https://doi.org/10.1016/j.jneumeth.2014.01.012</w:t>
      </w:r>
    </w:p>
    <w:p w14:paraId="27C5061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Hwang, K., Hallquist, M. N., &amp; Luna, B. (2013). The development of hub architecture in the human functional brain network. </w:t>
      </w:r>
      <w:r w:rsidRPr="00203582">
        <w:rPr>
          <w:rFonts w:ascii="Times New Roman" w:eastAsia="Times New Roman" w:hAnsi="Times New Roman" w:cs="Times New Roman"/>
          <w:i/>
          <w:sz w:val="24"/>
          <w:szCs w:val="24"/>
        </w:rPr>
        <w:t>Cerebral Cortex</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23</w:t>
      </w:r>
      <w:r w:rsidRPr="00203582">
        <w:rPr>
          <w:rFonts w:ascii="Times New Roman" w:eastAsia="Times New Roman" w:hAnsi="Times New Roman" w:cs="Times New Roman"/>
          <w:sz w:val="24"/>
          <w:szCs w:val="24"/>
        </w:rPr>
        <w:t>(10), 2380–2393. https://doi.org/10.1093/cercor/bhs227</w:t>
      </w:r>
    </w:p>
    <w:p w14:paraId="4C86F67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Ibrahim, K., Soorya, L. V., Halpern, D. B., Gorenstein, M., Siper, P. M., &amp; Wang, A. T. (2021). </w:t>
      </w:r>
      <w:r w:rsidRPr="005C650F">
        <w:rPr>
          <w:rFonts w:ascii="Times New Roman" w:eastAsia="Times New Roman" w:hAnsi="Times New Roman" w:cs="Times New Roman"/>
          <w:sz w:val="24"/>
          <w:szCs w:val="24"/>
        </w:rPr>
        <w:t xml:space="preserve">Social cognitive skills groups increase medial prefrontal cortex activity in children with autism spectrum disorder. </w:t>
      </w:r>
      <w:r w:rsidRPr="005C650F">
        <w:rPr>
          <w:rFonts w:ascii="Times New Roman" w:eastAsia="Times New Roman" w:hAnsi="Times New Roman" w:cs="Times New Roman"/>
          <w:i/>
          <w:iCs/>
          <w:sz w:val="24"/>
          <w:szCs w:val="24"/>
        </w:rPr>
        <w:t>Autism Research : Official Journal of the International Society for Autism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w:t>
      </w:r>
      <w:r w:rsidRPr="005C650F">
        <w:rPr>
          <w:rFonts w:ascii="Times New Roman" w:eastAsia="Times New Roman" w:hAnsi="Times New Roman" w:cs="Times New Roman"/>
          <w:sz w:val="24"/>
          <w:szCs w:val="24"/>
        </w:rPr>
        <w:t>(12), 2495–2511. https://doi.org/10.1002/aur.2603</w:t>
      </w:r>
    </w:p>
    <w:p w14:paraId="70AA453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Ishii, R., </w:t>
      </w:r>
      <w:proofErr w:type="spellStart"/>
      <w:r w:rsidRPr="00203582">
        <w:rPr>
          <w:rFonts w:ascii="Times New Roman" w:eastAsia="Times New Roman" w:hAnsi="Times New Roman" w:cs="Times New Roman"/>
          <w:sz w:val="24"/>
          <w:szCs w:val="24"/>
        </w:rPr>
        <w:t>Canuet</w:t>
      </w:r>
      <w:proofErr w:type="spellEnd"/>
      <w:r w:rsidRPr="00203582">
        <w:rPr>
          <w:rFonts w:ascii="Times New Roman" w:eastAsia="Times New Roman" w:hAnsi="Times New Roman" w:cs="Times New Roman"/>
          <w:sz w:val="24"/>
          <w:szCs w:val="24"/>
        </w:rPr>
        <w:t xml:space="preserve">, L., Aoki, Y., Hata, M., Iwase, M., Ikeda, S., Nishida, K., &amp; Ikeda, M. (2017). Healthy and pathological brain aging: from the perspective of oscillations, functional connectivity, and signal complexity. </w:t>
      </w:r>
      <w:proofErr w:type="spellStart"/>
      <w:r w:rsidRPr="00203582">
        <w:rPr>
          <w:rFonts w:ascii="Times New Roman" w:eastAsia="Times New Roman" w:hAnsi="Times New Roman" w:cs="Times New Roman"/>
          <w:i/>
          <w:sz w:val="24"/>
          <w:szCs w:val="24"/>
        </w:rPr>
        <w:t>Neuropsychobiology</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75</w:t>
      </w:r>
      <w:r w:rsidRPr="00203582">
        <w:rPr>
          <w:rFonts w:ascii="Times New Roman" w:eastAsia="Times New Roman" w:hAnsi="Times New Roman" w:cs="Times New Roman"/>
          <w:sz w:val="24"/>
          <w:szCs w:val="24"/>
        </w:rPr>
        <w:t>(4), 151–161. https://doi.org/10.1159/000486870</w:t>
      </w:r>
    </w:p>
    <w:p w14:paraId="4F2D3C58"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Isler, J. R., Pini, N., Lucchini, M., </w:t>
      </w:r>
      <w:proofErr w:type="spellStart"/>
      <w:r w:rsidRPr="00203582">
        <w:rPr>
          <w:rFonts w:ascii="Times New Roman" w:eastAsia="Times New Roman" w:hAnsi="Times New Roman" w:cs="Times New Roman"/>
          <w:sz w:val="24"/>
          <w:szCs w:val="24"/>
        </w:rPr>
        <w:t>Shuffrey</w:t>
      </w:r>
      <w:proofErr w:type="spellEnd"/>
      <w:r w:rsidRPr="00203582">
        <w:rPr>
          <w:rFonts w:ascii="Times New Roman" w:eastAsia="Times New Roman" w:hAnsi="Times New Roman" w:cs="Times New Roman"/>
          <w:sz w:val="24"/>
          <w:szCs w:val="24"/>
        </w:rPr>
        <w:t xml:space="preserve">, L. C., Morales, S., Bowers, M. E., Leach, S. C., Sania, A., Wang, L., Condon, C., Nugent, J. D., Elliott, A. J., Friedrich, C., Andrew, R., Fox, N. A., Myers, M. M., &amp; Fifer, W. P. (2023). Longitudinal characterization of EEG power spectra during eyes open and eyes closed conditions in children. </w:t>
      </w:r>
      <w:r w:rsidRPr="00203582">
        <w:rPr>
          <w:rFonts w:ascii="Times New Roman" w:eastAsia="Times New Roman" w:hAnsi="Times New Roman" w:cs="Times New Roman"/>
          <w:i/>
          <w:sz w:val="24"/>
          <w:szCs w:val="24"/>
        </w:rPr>
        <w:t>Psychophysiology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60</w:t>
      </w:r>
      <w:r w:rsidRPr="00203582">
        <w:rPr>
          <w:rFonts w:ascii="Times New Roman" w:eastAsia="Times New Roman" w:hAnsi="Times New Roman" w:cs="Times New Roman"/>
          <w:sz w:val="24"/>
          <w:szCs w:val="24"/>
        </w:rPr>
        <w:t>(1), e14158. https://doi.org/10.1111/psyp.14158</w:t>
      </w:r>
    </w:p>
    <w:p w14:paraId="1570EA3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Itahashi, T., Yamada, T., Watanabe, H., Nakamura, M., Ohta, H., Kanai, C., Iwanami, A., Kato, N., &amp; Hashimoto, R.-I. (2015). Alterations of local spontaneous brain activity and connectivity in adults with high-functioning autism spectrum disorder. </w:t>
      </w:r>
      <w:r w:rsidRPr="005C650F">
        <w:rPr>
          <w:rFonts w:ascii="Times New Roman" w:eastAsia="Times New Roman" w:hAnsi="Times New Roman" w:cs="Times New Roman"/>
          <w:i/>
          <w:iCs/>
          <w:sz w:val="24"/>
          <w:szCs w:val="24"/>
        </w:rPr>
        <w:t>Molecular Autism</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 30. https://doi.org/10.1186/s13229-015-0026-z</w:t>
      </w:r>
    </w:p>
    <w:p w14:paraId="27D514B2"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proofErr w:type="spellStart"/>
      <w:r w:rsidRPr="005C650F">
        <w:rPr>
          <w:rFonts w:ascii="Times New Roman" w:eastAsia="Times New Roman" w:hAnsi="Times New Roman" w:cs="Times New Roman"/>
          <w:sz w:val="24"/>
          <w:szCs w:val="24"/>
          <w:lang w:val="es-ES_tradnl"/>
        </w:rPr>
        <w:lastRenderedPageBreak/>
        <w:t>Iturria</w:t>
      </w:r>
      <w:proofErr w:type="spellEnd"/>
      <w:r w:rsidRPr="005C650F">
        <w:rPr>
          <w:rFonts w:ascii="Times New Roman" w:eastAsia="Times New Roman" w:hAnsi="Times New Roman" w:cs="Times New Roman"/>
          <w:sz w:val="24"/>
          <w:szCs w:val="24"/>
          <w:lang w:val="es-ES_tradnl"/>
        </w:rPr>
        <w:t xml:space="preserve">-Medina, Y., Sotero, R. C., Canales-Rodríguez, E. J., Alemán-Gómez, Y., &amp; </w:t>
      </w:r>
      <w:proofErr w:type="spellStart"/>
      <w:r w:rsidRPr="005C650F">
        <w:rPr>
          <w:rFonts w:ascii="Times New Roman" w:eastAsia="Times New Roman" w:hAnsi="Times New Roman" w:cs="Times New Roman"/>
          <w:sz w:val="24"/>
          <w:szCs w:val="24"/>
          <w:lang w:val="es-ES_tradnl"/>
        </w:rPr>
        <w:t>Melie</w:t>
      </w:r>
      <w:proofErr w:type="spellEnd"/>
      <w:r w:rsidRPr="005C650F">
        <w:rPr>
          <w:rFonts w:ascii="Times New Roman" w:eastAsia="Times New Roman" w:hAnsi="Times New Roman" w:cs="Times New Roman"/>
          <w:sz w:val="24"/>
          <w:szCs w:val="24"/>
          <w:lang w:val="es-ES_tradnl"/>
        </w:rPr>
        <w:t xml:space="preserve">-García, L. (2008). </w:t>
      </w:r>
      <w:r w:rsidRPr="005C650F">
        <w:rPr>
          <w:rFonts w:ascii="Times New Roman" w:eastAsia="Times New Roman" w:hAnsi="Times New Roman" w:cs="Times New Roman"/>
          <w:sz w:val="24"/>
          <w:szCs w:val="24"/>
        </w:rPr>
        <w:t xml:space="preserve">Studying the human brain anatomical network via diffusion-weighted MRI and Graph Theory. </w:t>
      </w:r>
      <w:proofErr w:type="spellStart"/>
      <w:r w:rsidRPr="005C650F">
        <w:rPr>
          <w:rFonts w:ascii="Times New Roman" w:eastAsia="Times New Roman" w:hAnsi="Times New Roman" w:cs="Times New Roman"/>
          <w:i/>
          <w:iCs/>
          <w:sz w:val="24"/>
          <w:szCs w:val="24"/>
          <w:lang w:val="fr-FR"/>
        </w:rPr>
        <w:t>Neuroimage</w:t>
      </w:r>
      <w:proofErr w:type="spellEnd"/>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40</w:t>
      </w:r>
      <w:r w:rsidRPr="005C650F">
        <w:rPr>
          <w:rFonts w:ascii="Times New Roman" w:eastAsia="Times New Roman" w:hAnsi="Times New Roman" w:cs="Times New Roman"/>
          <w:sz w:val="24"/>
          <w:szCs w:val="24"/>
          <w:lang w:val="fr-FR"/>
        </w:rPr>
        <w:t>(3), 1064–1076. https://doi.org/10.1016/j.neuroimage.2007.10.060</w:t>
      </w:r>
    </w:p>
    <w:p w14:paraId="3487C1A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Ivanov, P. C., Amaral, L. A., Goldberger, A. L., Havlin, S., Rosenblum, M. G., Struzik, Z. R., &amp; Stanley, H. E. (1999). Multifractality in human heartbeat dynamics. </w:t>
      </w:r>
      <w:r w:rsidRPr="00203582">
        <w:rPr>
          <w:rFonts w:ascii="Times New Roman" w:eastAsia="Times New Roman" w:hAnsi="Times New Roman" w:cs="Times New Roman"/>
          <w:i/>
          <w:sz w:val="24"/>
          <w:szCs w:val="24"/>
        </w:rPr>
        <w:t>Nature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399</w:t>
      </w:r>
      <w:r w:rsidRPr="00203582">
        <w:rPr>
          <w:rFonts w:ascii="Times New Roman" w:eastAsia="Times New Roman" w:hAnsi="Times New Roman" w:cs="Times New Roman"/>
          <w:sz w:val="24"/>
          <w:szCs w:val="24"/>
        </w:rPr>
        <w:t>(6735), 461–465. https://doi.org/10.1038/20924</w:t>
      </w:r>
    </w:p>
    <w:p w14:paraId="571D57C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Jänig</w:t>
      </w:r>
      <w:proofErr w:type="spellEnd"/>
      <w:r w:rsidRPr="00203582">
        <w:rPr>
          <w:rFonts w:ascii="Times New Roman" w:eastAsia="Times New Roman" w:hAnsi="Times New Roman" w:cs="Times New Roman"/>
          <w:sz w:val="24"/>
          <w:szCs w:val="24"/>
        </w:rPr>
        <w:t xml:space="preserve">, W., &amp; McLachlan, E. M. (2013). Neurobiology of the autonomic nervous system. In C. J. Mathias &amp; S. R. Bannister (Eds.), </w:t>
      </w:r>
      <w:r w:rsidRPr="00203582">
        <w:rPr>
          <w:rFonts w:ascii="Times New Roman" w:eastAsia="Times New Roman" w:hAnsi="Times New Roman" w:cs="Times New Roman"/>
          <w:i/>
          <w:sz w:val="24"/>
          <w:szCs w:val="24"/>
        </w:rPr>
        <w:t>Autonomic failure: A textbook of clinical disorders of the autonomic nervous system</w:t>
      </w:r>
      <w:r w:rsidRPr="00203582">
        <w:rPr>
          <w:rFonts w:ascii="Times New Roman" w:eastAsia="Times New Roman" w:hAnsi="Times New Roman" w:cs="Times New Roman"/>
          <w:sz w:val="24"/>
          <w:szCs w:val="24"/>
        </w:rPr>
        <w:t xml:space="preserve"> (pp. 20–34). Oxford University Press. https://doi.org/10.1093/med/9780198566342.003.0003</w:t>
      </w:r>
    </w:p>
    <w:p w14:paraId="1BBDFA1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Jao, T., Vértes, P. E., Alexander-Bloch, A. F., Tang, I.-N., Yu, Y.-C., Chen, J.-H., &amp; Bullmore, E. T. (2013). Volitional eyes opening perturbs brain dynamics and functional connectivity regardless of light input.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69</w:t>
      </w:r>
      <w:r w:rsidRPr="005C650F">
        <w:rPr>
          <w:rFonts w:ascii="Times New Roman" w:eastAsia="Times New Roman" w:hAnsi="Times New Roman" w:cs="Times New Roman"/>
          <w:sz w:val="24"/>
          <w:szCs w:val="24"/>
        </w:rPr>
        <w:t>, 21–34. https://doi.org/10.1016/j.neuroimage.2012.12.007</w:t>
      </w:r>
    </w:p>
    <w:p w14:paraId="622F003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lang w:val="fr-FR"/>
        </w:rPr>
        <w:t>Jaworska</w:t>
      </w:r>
      <w:proofErr w:type="spellEnd"/>
      <w:r w:rsidRPr="005C650F">
        <w:rPr>
          <w:rFonts w:ascii="Times New Roman" w:eastAsia="Times New Roman" w:hAnsi="Times New Roman" w:cs="Times New Roman"/>
          <w:sz w:val="24"/>
          <w:szCs w:val="24"/>
          <w:lang w:val="fr-FR"/>
        </w:rPr>
        <w:t xml:space="preserve">, N., &amp; </w:t>
      </w:r>
      <w:proofErr w:type="spellStart"/>
      <w:r w:rsidRPr="005C650F">
        <w:rPr>
          <w:rFonts w:ascii="Times New Roman" w:eastAsia="Times New Roman" w:hAnsi="Times New Roman" w:cs="Times New Roman"/>
          <w:sz w:val="24"/>
          <w:szCs w:val="24"/>
          <w:lang w:val="fr-FR"/>
        </w:rPr>
        <w:t>MacQueen</w:t>
      </w:r>
      <w:proofErr w:type="spellEnd"/>
      <w:r w:rsidRPr="005C650F">
        <w:rPr>
          <w:rFonts w:ascii="Times New Roman" w:eastAsia="Times New Roman" w:hAnsi="Times New Roman" w:cs="Times New Roman"/>
          <w:sz w:val="24"/>
          <w:szCs w:val="24"/>
          <w:lang w:val="fr-FR"/>
        </w:rPr>
        <w:t xml:space="preserve">, G. (2015). </w:t>
      </w:r>
      <w:r w:rsidRPr="005C650F">
        <w:rPr>
          <w:rFonts w:ascii="Times New Roman" w:eastAsia="Times New Roman" w:hAnsi="Times New Roman" w:cs="Times New Roman"/>
          <w:sz w:val="24"/>
          <w:szCs w:val="24"/>
        </w:rPr>
        <w:t xml:space="preserve">Adolescence as a unique developmental period. </w:t>
      </w:r>
      <w:r w:rsidRPr="005C650F">
        <w:rPr>
          <w:rFonts w:ascii="Times New Roman" w:eastAsia="Times New Roman" w:hAnsi="Times New Roman" w:cs="Times New Roman"/>
          <w:i/>
          <w:iCs/>
          <w:sz w:val="24"/>
          <w:szCs w:val="24"/>
        </w:rPr>
        <w:t>Journal of Psychiatry &amp;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40</w:t>
      </w:r>
      <w:r w:rsidRPr="005C650F">
        <w:rPr>
          <w:rFonts w:ascii="Times New Roman" w:eastAsia="Times New Roman" w:hAnsi="Times New Roman" w:cs="Times New Roman"/>
          <w:sz w:val="24"/>
          <w:szCs w:val="24"/>
        </w:rPr>
        <w:t>(5), 291–293. https://doi.org/10.1503/jpn.150268</w:t>
      </w:r>
    </w:p>
    <w:p w14:paraId="4027437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Jenkinson, M., Bannister, P., Brady, M., &amp; Smith, S. (2002). Improved optimization for the robust and accurate linear registration and motion correction of brain images.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w:t>
      </w:r>
      <w:r w:rsidRPr="005C650F">
        <w:rPr>
          <w:rFonts w:ascii="Times New Roman" w:eastAsia="Times New Roman" w:hAnsi="Times New Roman" w:cs="Times New Roman"/>
          <w:sz w:val="24"/>
          <w:szCs w:val="24"/>
        </w:rPr>
        <w:t>(2), 825–841. https://doi.org/10.1016/s1053-8119(02)91132-8</w:t>
      </w:r>
    </w:p>
    <w:p w14:paraId="3D545379"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Jenkinson, M., Bannister, P., Brady, M., &amp; Smith, S. (2002). Improved optimization for the robust and accurate linear registration and motion correction of brain images. Neuroimage, 17(2), 825–841. https://doi.org/10.1016/s1053-8119(02)91132-8</w:t>
      </w:r>
    </w:p>
    <w:p w14:paraId="67130C9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Jeste</w:t>
      </w:r>
      <w:proofErr w:type="spellEnd"/>
      <w:r w:rsidRPr="005C650F">
        <w:rPr>
          <w:rFonts w:ascii="Times New Roman" w:eastAsia="Times New Roman" w:hAnsi="Times New Roman" w:cs="Times New Roman"/>
          <w:sz w:val="24"/>
          <w:szCs w:val="24"/>
        </w:rPr>
        <w:t xml:space="preserve">, S. S., Frohlich, J., &amp; Loo, S. K. (2015). Electrophysiological biomarkers of diagnosis and outcome in neurodevelopmental disorders. </w:t>
      </w:r>
      <w:r w:rsidRPr="005C650F">
        <w:rPr>
          <w:rFonts w:ascii="Times New Roman" w:eastAsia="Times New Roman" w:hAnsi="Times New Roman" w:cs="Times New Roman"/>
          <w:i/>
          <w:iCs/>
          <w:sz w:val="24"/>
          <w:szCs w:val="24"/>
        </w:rPr>
        <w:t>Current Opinion in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28</w:t>
      </w:r>
      <w:r w:rsidRPr="005C650F">
        <w:rPr>
          <w:rFonts w:ascii="Times New Roman" w:eastAsia="Times New Roman" w:hAnsi="Times New Roman" w:cs="Times New Roman"/>
          <w:sz w:val="24"/>
          <w:szCs w:val="24"/>
        </w:rPr>
        <w:t>(2), 110–116. https://doi.org/10.1097/WCO.0000000000000181</w:t>
      </w:r>
    </w:p>
    <w:p w14:paraId="60D7E40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Johnson, J. S., Sutterer, D. W., Acheson, D. J., Lewis-Peacock, J. A., &amp; Postle, B. R. (2011). Increased Alpha-Band Power during the Retention of Shapes and Shape-Location Associations in Visual Short-Term Memory. </w:t>
      </w:r>
      <w:r w:rsidRPr="005C650F">
        <w:rPr>
          <w:rFonts w:ascii="Times New Roman" w:eastAsia="Times New Roman" w:hAnsi="Times New Roman" w:cs="Times New Roman"/>
          <w:i/>
          <w:iCs/>
          <w:sz w:val="24"/>
          <w:szCs w:val="24"/>
        </w:rPr>
        <w:t>Frontiers in Psychology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w:t>
      </w:r>
      <w:r w:rsidRPr="005C650F">
        <w:rPr>
          <w:rFonts w:ascii="Times New Roman" w:eastAsia="Times New Roman" w:hAnsi="Times New Roman" w:cs="Times New Roman"/>
          <w:sz w:val="24"/>
          <w:szCs w:val="24"/>
        </w:rPr>
        <w:t>, 128. https://doi.org/10.3389/fpsyg.2011.00128</w:t>
      </w:r>
    </w:p>
    <w:p w14:paraId="55550B69"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t xml:space="preserve">Johnson, M. H. (2001). Functional brain development in humans. </w:t>
      </w:r>
      <w:r w:rsidRPr="005C650F">
        <w:rPr>
          <w:rFonts w:ascii="Times New Roman" w:eastAsia="Times New Roman" w:hAnsi="Times New Roman" w:cs="Times New Roman"/>
          <w:i/>
          <w:iCs/>
          <w:sz w:val="24"/>
          <w:szCs w:val="24"/>
          <w:lang w:val="fr-FR"/>
        </w:rPr>
        <w:t xml:space="preserve">Nature </w:t>
      </w:r>
      <w:proofErr w:type="spellStart"/>
      <w:r w:rsidRPr="005C650F">
        <w:rPr>
          <w:rFonts w:ascii="Times New Roman" w:eastAsia="Times New Roman" w:hAnsi="Times New Roman" w:cs="Times New Roman"/>
          <w:i/>
          <w:iCs/>
          <w:sz w:val="24"/>
          <w:szCs w:val="24"/>
          <w:lang w:val="fr-FR"/>
        </w:rPr>
        <w:t>Reviews</w:t>
      </w:r>
      <w:proofErr w:type="spellEnd"/>
      <w:r w:rsidRPr="005C650F">
        <w:rPr>
          <w:rFonts w:ascii="Times New Roman" w:eastAsia="Times New Roman" w:hAnsi="Times New Roman" w:cs="Times New Roman"/>
          <w:i/>
          <w:iCs/>
          <w:sz w:val="24"/>
          <w:szCs w:val="24"/>
          <w:lang w:val="fr-FR"/>
        </w:rPr>
        <w:t>. Neuroscience</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2</w:t>
      </w:r>
      <w:r w:rsidRPr="005C650F">
        <w:rPr>
          <w:rFonts w:ascii="Times New Roman" w:eastAsia="Times New Roman" w:hAnsi="Times New Roman" w:cs="Times New Roman"/>
          <w:sz w:val="24"/>
          <w:szCs w:val="24"/>
          <w:lang w:val="fr-FR"/>
        </w:rPr>
        <w:t>(7), 475–483. https://doi.org/10.1038/35081509</w:t>
      </w:r>
    </w:p>
    <w:p w14:paraId="3AA38D9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Jung, M., Kosaka, H., Saito, D. N., </w:t>
      </w:r>
      <w:proofErr w:type="spellStart"/>
      <w:r w:rsidRPr="005C650F">
        <w:rPr>
          <w:rFonts w:ascii="Times New Roman" w:eastAsia="Times New Roman" w:hAnsi="Times New Roman" w:cs="Times New Roman"/>
          <w:sz w:val="24"/>
          <w:szCs w:val="24"/>
        </w:rPr>
        <w:t>Ishitobi</w:t>
      </w:r>
      <w:proofErr w:type="spellEnd"/>
      <w:r w:rsidRPr="005C650F">
        <w:rPr>
          <w:rFonts w:ascii="Times New Roman" w:eastAsia="Times New Roman" w:hAnsi="Times New Roman" w:cs="Times New Roman"/>
          <w:sz w:val="24"/>
          <w:szCs w:val="24"/>
        </w:rPr>
        <w:t xml:space="preserve">, M., Morita, T., </w:t>
      </w:r>
      <w:proofErr w:type="spellStart"/>
      <w:r w:rsidRPr="005C650F">
        <w:rPr>
          <w:rFonts w:ascii="Times New Roman" w:eastAsia="Times New Roman" w:hAnsi="Times New Roman" w:cs="Times New Roman"/>
          <w:sz w:val="24"/>
          <w:szCs w:val="24"/>
        </w:rPr>
        <w:t>Inohara</w:t>
      </w:r>
      <w:proofErr w:type="spellEnd"/>
      <w:r w:rsidRPr="005C650F">
        <w:rPr>
          <w:rFonts w:ascii="Times New Roman" w:eastAsia="Times New Roman" w:hAnsi="Times New Roman" w:cs="Times New Roman"/>
          <w:sz w:val="24"/>
          <w:szCs w:val="24"/>
        </w:rPr>
        <w:t xml:space="preserve">, K., Asano, M., Arai, S., </w:t>
      </w:r>
      <w:proofErr w:type="spellStart"/>
      <w:r w:rsidRPr="005C650F">
        <w:rPr>
          <w:rFonts w:ascii="Times New Roman" w:eastAsia="Times New Roman" w:hAnsi="Times New Roman" w:cs="Times New Roman"/>
          <w:sz w:val="24"/>
          <w:szCs w:val="24"/>
        </w:rPr>
        <w:t>Munesue</w:t>
      </w:r>
      <w:proofErr w:type="spellEnd"/>
      <w:r w:rsidRPr="005C650F">
        <w:rPr>
          <w:rFonts w:ascii="Times New Roman" w:eastAsia="Times New Roman" w:hAnsi="Times New Roman" w:cs="Times New Roman"/>
          <w:sz w:val="24"/>
          <w:szCs w:val="24"/>
        </w:rPr>
        <w:t xml:space="preserve">, T., </w:t>
      </w:r>
      <w:proofErr w:type="spellStart"/>
      <w:r w:rsidRPr="005C650F">
        <w:rPr>
          <w:rFonts w:ascii="Times New Roman" w:eastAsia="Times New Roman" w:hAnsi="Times New Roman" w:cs="Times New Roman"/>
          <w:sz w:val="24"/>
          <w:szCs w:val="24"/>
        </w:rPr>
        <w:t>Tomoda</w:t>
      </w:r>
      <w:proofErr w:type="spellEnd"/>
      <w:r w:rsidRPr="005C650F">
        <w:rPr>
          <w:rFonts w:ascii="Times New Roman" w:eastAsia="Times New Roman" w:hAnsi="Times New Roman" w:cs="Times New Roman"/>
          <w:sz w:val="24"/>
          <w:szCs w:val="24"/>
        </w:rPr>
        <w:t xml:space="preserve">, A., Wada, Y., </w:t>
      </w:r>
      <w:proofErr w:type="spellStart"/>
      <w:r w:rsidRPr="005C650F">
        <w:rPr>
          <w:rFonts w:ascii="Times New Roman" w:eastAsia="Times New Roman" w:hAnsi="Times New Roman" w:cs="Times New Roman"/>
          <w:sz w:val="24"/>
          <w:szCs w:val="24"/>
        </w:rPr>
        <w:t>Sadato</w:t>
      </w:r>
      <w:proofErr w:type="spellEnd"/>
      <w:r w:rsidRPr="005C650F">
        <w:rPr>
          <w:rFonts w:ascii="Times New Roman" w:eastAsia="Times New Roman" w:hAnsi="Times New Roman" w:cs="Times New Roman"/>
          <w:sz w:val="24"/>
          <w:szCs w:val="24"/>
        </w:rPr>
        <w:t xml:space="preserve">, N., </w:t>
      </w:r>
      <w:proofErr w:type="spellStart"/>
      <w:r w:rsidRPr="005C650F">
        <w:rPr>
          <w:rFonts w:ascii="Times New Roman" w:eastAsia="Times New Roman" w:hAnsi="Times New Roman" w:cs="Times New Roman"/>
          <w:sz w:val="24"/>
          <w:szCs w:val="24"/>
        </w:rPr>
        <w:t>Okazawa</w:t>
      </w:r>
      <w:proofErr w:type="spellEnd"/>
      <w:r w:rsidRPr="005C650F">
        <w:rPr>
          <w:rFonts w:ascii="Times New Roman" w:eastAsia="Times New Roman" w:hAnsi="Times New Roman" w:cs="Times New Roman"/>
          <w:sz w:val="24"/>
          <w:szCs w:val="24"/>
        </w:rPr>
        <w:t xml:space="preserve">, H., &amp; </w:t>
      </w:r>
      <w:proofErr w:type="spellStart"/>
      <w:r w:rsidRPr="005C650F">
        <w:rPr>
          <w:rFonts w:ascii="Times New Roman" w:eastAsia="Times New Roman" w:hAnsi="Times New Roman" w:cs="Times New Roman"/>
          <w:sz w:val="24"/>
          <w:szCs w:val="24"/>
        </w:rPr>
        <w:t>Iidaka</w:t>
      </w:r>
      <w:proofErr w:type="spellEnd"/>
      <w:r w:rsidRPr="005C650F">
        <w:rPr>
          <w:rFonts w:ascii="Times New Roman" w:eastAsia="Times New Roman" w:hAnsi="Times New Roman" w:cs="Times New Roman"/>
          <w:sz w:val="24"/>
          <w:szCs w:val="24"/>
        </w:rPr>
        <w:t xml:space="preserve">, T. (2014). Default mode network in young male adults with autism spectrum disorder: relationship with autism spectrum traits. </w:t>
      </w:r>
      <w:r w:rsidRPr="005C650F">
        <w:rPr>
          <w:rFonts w:ascii="Times New Roman" w:eastAsia="Times New Roman" w:hAnsi="Times New Roman" w:cs="Times New Roman"/>
          <w:i/>
          <w:iCs/>
          <w:sz w:val="24"/>
          <w:szCs w:val="24"/>
        </w:rPr>
        <w:t>Molecular Autism</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 35. https://doi.org/10.1186/2040-2392-5-35</w:t>
      </w:r>
    </w:p>
    <w:p w14:paraId="2F7AC60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Jung, M., Kosaka, H., Saito, D. N., </w:t>
      </w:r>
      <w:proofErr w:type="spellStart"/>
      <w:r w:rsidRPr="005C650F">
        <w:rPr>
          <w:rFonts w:ascii="Times New Roman" w:eastAsia="Times New Roman" w:hAnsi="Times New Roman" w:cs="Times New Roman"/>
          <w:sz w:val="24"/>
          <w:szCs w:val="24"/>
        </w:rPr>
        <w:t>Ishitobi</w:t>
      </w:r>
      <w:proofErr w:type="spellEnd"/>
      <w:r w:rsidRPr="005C650F">
        <w:rPr>
          <w:rFonts w:ascii="Times New Roman" w:eastAsia="Times New Roman" w:hAnsi="Times New Roman" w:cs="Times New Roman"/>
          <w:sz w:val="24"/>
          <w:szCs w:val="24"/>
        </w:rPr>
        <w:t xml:space="preserve">, M., Morita, T., </w:t>
      </w:r>
      <w:proofErr w:type="spellStart"/>
      <w:r w:rsidRPr="005C650F">
        <w:rPr>
          <w:rFonts w:ascii="Times New Roman" w:eastAsia="Times New Roman" w:hAnsi="Times New Roman" w:cs="Times New Roman"/>
          <w:sz w:val="24"/>
          <w:szCs w:val="24"/>
        </w:rPr>
        <w:t>Inohara</w:t>
      </w:r>
      <w:proofErr w:type="spellEnd"/>
      <w:r w:rsidRPr="005C650F">
        <w:rPr>
          <w:rFonts w:ascii="Times New Roman" w:eastAsia="Times New Roman" w:hAnsi="Times New Roman" w:cs="Times New Roman"/>
          <w:sz w:val="24"/>
          <w:szCs w:val="24"/>
        </w:rPr>
        <w:t xml:space="preserve">, K., Asano, M., Arai, S., </w:t>
      </w:r>
      <w:proofErr w:type="spellStart"/>
      <w:r w:rsidRPr="005C650F">
        <w:rPr>
          <w:rFonts w:ascii="Times New Roman" w:eastAsia="Times New Roman" w:hAnsi="Times New Roman" w:cs="Times New Roman"/>
          <w:sz w:val="24"/>
          <w:szCs w:val="24"/>
        </w:rPr>
        <w:t>Munesue</w:t>
      </w:r>
      <w:proofErr w:type="spellEnd"/>
      <w:r w:rsidRPr="005C650F">
        <w:rPr>
          <w:rFonts w:ascii="Times New Roman" w:eastAsia="Times New Roman" w:hAnsi="Times New Roman" w:cs="Times New Roman"/>
          <w:sz w:val="24"/>
          <w:szCs w:val="24"/>
        </w:rPr>
        <w:t xml:space="preserve">, T., </w:t>
      </w:r>
      <w:proofErr w:type="spellStart"/>
      <w:r w:rsidRPr="005C650F">
        <w:rPr>
          <w:rFonts w:ascii="Times New Roman" w:eastAsia="Times New Roman" w:hAnsi="Times New Roman" w:cs="Times New Roman"/>
          <w:sz w:val="24"/>
          <w:szCs w:val="24"/>
        </w:rPr>
        <w:t>Tomoda</w:t>
      </w:r>
      <w:proofErr w:type="spellEnd"/>
      <w:r w:rsidRPr="005C650F">
        <w:rPr>
          <w:rFonts w:ascii="Times New Roman" w:eastAsia="Times New Roman" w:hAnsi="Times New Roman" w:cs="Times New Roman"/>
          <w:sz w:val="24"/>
          <w:szCs w:val="24"/>
        </w:rPr>
        <w:t xml:space="preserve">, A., Wada, Y., </w:t>
      </w:r>
      <w:proofErr w:type="spellStart"/>
      <w:r w:rsidRPr="005C650F">
        <w:rPr>
          <w:rFonts w:ascii="Times New Roman" w:eastAsia="Times New Roman" w:hAnsi="Times New Roman" w:cs="Times New Roman"/>
          <w:sz w:val="24"/>
          <w:szCs w:val="24"/>
        </w:rPr>
        <w:t>Sadato</w:t>
      </w:r>
      <w:proofErr w:type="spellEnd"/>
      <w:r w:rsidRPr="005C650F">
        <w:rPr>
          <w:rFonts w:ascii="Times New Roman" w:eastAsia="Times New Roman" w:hAnsi="Times New Roman" w:cs="Times New Roman"/>
          <w:sz w:val="24"/>
          <w:szCs w:val="24"/>
        </w:rPr>
        <w:t xml:space="preserve">, N., </w:t>
      </w:r>
      <w:proofErr w:type="spellStart"/>
      <w:r w:rsidRPr="005C650F">
        <w:rPr>
          <w:rFonts w:ascii="Times New Roman" w:eastAsia="Times New Roman" w:hAnsi="Times New Roman" w:cs="Times New Roman"/>
          <w:sz w:val="24"/>
          <w:szCs w:val="24"/>
        </w:rPr>
        <w:t>Okazawa</w:t>
      </w:r>
      <w:proofErr w:type="spellEnd"/>
      <w:r w:rsidRPr="005C650F">
        <w:rPr>
          <w:rFonts w:ascii="Times New Roman" w:eastAsia="Times New Roman" w:hAnsi="Times New Roman" w:cs="Times New Roman"/>
          <w:sz w:val="24"/>
          <w:szCs w:val="24"/>
        </w:rPr>
        <w:t xml:space="preserve">, H., &amp; </w:t>
      </w:r>
      <w:proofErr w:type="spellStart"/>
      <w:r w:rsidRPr="005C650F">
        <w:rPr>
          <w:rFonts w:ascii="Times New Roman" w:eastAsia="Times New Roman" w:hAnsi="Times New Roman" w:cs="Times New Roman"/>
          <w:sz w:val="24"/>
          <w:szCs w:val="24"/>
        </w:rPr>
        <w:t>Iidaka</w:t>
      </w:r>
      <w:proofErr w:type="spellEnd"/>
      <w:r w:rsidRPr="005C650F">
        <w:rPr>
          <w:rFonts w:ascii="Times New Roman" w:eastAsia="Times New Roman" w:hAnsi="Times New Roman" w:cs="Times New Roman"/>
          <w:sz w:val="24"/>
          <w:szCs w:val="24"/>
        </w:rPr>
        <w:t xml:space="preserve">, T. (2014). Default mode network in young male adults with autism spectrum disorder: relationship with autism spectrum traits. </w:t>
      </w:r>
      <w:r w:rsidRPr="005C650F">
        <w:rPr>
          <w:rFonts w:ascii="Times New Roman" w:eastAsia="Times New Roman" w:hAnsi="Times New Roman" w:cs="Times New Roman"/>
          <w:i/>
          <w:iCs/>
          <w:sz w:val="24"/>
          <w:szCs w:val="24"/>
        </w:rPr>
        <w:t>Molecular Autism</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 35. https://doi.org/10.1186/2040-2392-5-35</w:t>
      </w:r>
    </w:p>
    <w:p w14:paraId="140B9F90"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it-IT"/>
        </w:rPr>
      </w:pPr>
      <w:r w:rsidRPr="005C650F">
        <w:rPr>
          <w:rFonts w:ascii="Times New Roman" w:eastAsia="Times New Roman" w:hAnsi="Times New Roman" w:cs="Times New Roman"/>
          <w:sz w:val="24"/>
          <w:szCs w:val="24"/>
        </w:rPr>
        <w:t xml:space="preserve">Jung, M., Kosaka, H., Saito, D. N., </w:t>
      </w:r>
      <w:proofErr w:type="spellStart"/>
      <w:r w:rsidRPr="005C650F">
        <w:rPr>
          <w:rFonts w:ascii="Times New Roman" w:eastAsia="Times New Roman" w:hAnsi="Times New Roman" w:cs="Times New Roman"/>
          <w:sz w:val="24"/>
          <w:szCs w:val="24"/>
        </w:rPr>
        <w:t>Ishitobi</w:t>
      </w:r>
      <w:proofErr w:type="spellEnd"/>
      <w:r w:rsidRPr="005C650F">
        <w:rPr>
          <w:rFonts w:ascii="Times New Roman" w:eastAsia="Times New Roman" w:hAnsi="Times New Roman" w:cs="Times New Roman"/>
          <w:sz w:val="24"/>
          <w:szCs w:val="24"/>
        </w:rPr>
        <w:t xml:space="preserve">, M., Morita, T., </w:t>
      </w:r>
      <w:proofErr w:type="spellStart"/>
      <w:r w:rsidRPr="005C650F">
        <w:rPr>
          <w:rFonts w:ascii="Times New Roman" w:eastAsia="Times New Roman" w:hAnsi="Times New Roman" w:cs="Times New Roman"/>
          <w:sz w:val="24"/>
          <w:szCs w:val="24"/>
        </w:rPr>
        <w:t>Inohara</w:t>
      </w:r>
      <w:proofErr w:type="spellEnd"/>
      <w:r w:rsidRPr="005C650F">
        <w:rPr>
          <w:rFonts w:ascii="Times New Roman" w:eastAsia="Times New Roman" w:hAnsi="Times New Roman" w:cs="Times New Roman"/>
          <w:sz w:val="24"/>
          <w:szCs w:val="24"/>
        </w:rPr>
        <w:t xml:space="preserve">, K., Asano, M., Arai, S., </w:t>
      </w:r>
      <w:proofErr w:type="spellStart"/>
      <w:r w:rsidRPr="005C650F">
        <w:rPr>
          <w:rFonts w:ascii="Times New Roman" w:eastAsia="Times New Roman" w:hAnsi="Times New Roman" w:cs="Times New Roman"/>
          <w:sz w:val="24"/>
          <w:szCs w:val="24"/>
        </w:rPr>
        <w:t>Munesue</w:t>
      </w:r>
      <w:proofErr w:type="spellEnd"/>
      <w:r w:rsidRPr="005C650F">
        <w:rPr>
          <w:rFonts w:ascii="Times New Roman" w:eastAsia="Times New Roman" w:hAnsi="Times New Roman" w:cs="Times New Roman"/>
          <w:sz w:val="24"/>
          <w:szCs w:val="24"/>
        </w:rPr>
        <w:t xml:space="preserve">, T., </w:t>
      </w:r>
      <w:proofErr w:type="spellStart"/>
      <w:r w:rsidRPr="005C650F">
        <w:rPr>
          <w:rFonts w:ascii="Times New Roman" w:eastAsia="Times New Roman" w:hAnsi="Times New Roman" w:cs="Times New Roman"/>
          <w:sz w:val="24"/>
          <w:szCs w:val="24"/>
        </w:rPr>
        <w:t>Tomoda</w:t>
      </w:r>
      <w:proofErr w:type="spellEnd"/>
      <w:r w:rsidRPr="005C650F">
        <w:rPr>
          <w:rFonts w:ascii="Times New Roman" w:eastAsia="Times New Roman" w:hAnsi="Times New Roman" w:cs="Times New Roman"/>
          <w:sz w:val="24"/>
          <w:szCs w:val="24"/>
        </w:rPr>
        <w:t xml:space="preserve">, A., Wada, Y., </w:t>
      </w:r>
      <w:proofErr w:type="spellStart"/>
      <w:r w:rsidRPr="005C650F">
        <w:rPr>
          <w:rFonts w:ascii="Times New Roman" w:eastAsia="Times New Roman" w:hAnsi="Times New Roman" w:cs="Times New Roman"/>
          <w:sz w:val="24"/>
          <w:szCs w:val="24"/>
        </w:rPr>
        <w:t>Sadato</w:t>
      </w:r>
      <w:proofErr w:type="spellEnd"/>
      <w:r w:rsidRPr="005C650F">
        <w:rPr>
          <w:rFonts w:ascii="Times New Roman" w:eastAsia="Times New Roman" w:hAnsi="Times New Roman" w:cs="Times New Roman"/>
          <w:sz w:val="24"/>
          <w:szCs w:val="24"/>
        </w:rPr>
        <w:t xml:space="preserve">, N., </w:t>
      </w:r>
      <w:proofErr w:type="spellStart"/>
      <w:r w:rsidRPr="005C650F">
        <w:rPr>
          <w:rFonts w:ascii="Times New Roman" w:eastAsia="Times New Roman" w:hAnsi="Times New Roman" w:cs="Times New Roman"/>
          <w:sz w:val="24"/>
          <w:szCs w:val="24"/>
        </w:rPr>
        <w:t>Okazawa</w:t>
      </w:r>
      <w:proofErr w:type="spellEnd"/>
      <w:r w:rsidRPr="005C650F">
        <w:rPr>
          <w:rFonts w:ascii="Times New Roman" w:eastAsia="Times New Roman" w:hAnsi="Times New Roman" w:cs="Times New Roman"/>
          <w:sz w:val="24"/>
          <w:szCs w:val="24"/>
        </w:rPr>
        <w:t xml:space="preserve">, H., &amp; </w:t>
      </w:r>
      <w:proofErr w:type="spellStart"/>
      <w:r w:rsidRPr="005C650F">
        <w:rPr>
          <w:rFonts w:ascii="Times New Roman" w:eastAsia="Times New Roman" w:hAnsi="Times New Roman" w:cs="Times New Roman"/>
          <w:sz w:val="24"/>
          <w:szCs w:val="24"/>
        </w:rPr>
        <w:t>Iidaka</w:t>
      </w:r>
      <w:proofErr w:type="spellEnd"/>
      <w:r w:rsidRPr="005C650F">
        <w:rPr>
          <w:rFonts w:ascii="Times New Roman" w:eastAsia="Times New Roman" w:hAnsi="Times New Roman" w:cs="Times New Roman"/>
          <w:sz w:val="24"/>
          <w:szCs w:val="24"/>
        </w:rPr>
        <w:t xml:space="preserve">, T. (2014). Default mode network in young male adults with autism spectrum disorder: relationship with autism spectrum traits. </w:t>
      </w:r>
      <w:r w:rsidRPr="005C650F">
        <w:rPr>
          <w:rFonts w:ascii="Times New Roman" w:eastAsia="Times New Roman" w:hAnsi="Times New Roman" w:cs="Times New Roman"/>
          <w:i/>
          <w:iCs/>
          <w:sz w:val="24"/>
          <w:szCs w:val="24"/>
          <w:lang w:val="it-IT"/>
        </w:rPr>
        <w:t>Molecular Autism</w:t>
      </w:r>
      <w:r w:rsidRPr="005C650F">
        <w:rPr>
          <w:rFonts w:ascii="Times New Roman" w:eastAsia="Times New Roman" w:hAnsi="Times New Roman" w:cs="Times New Roman"/>
          <w:sz w:val="24"/>
          <w:szCs w:val="24"/>
          <w:lang w:val="it-IT"/>
        </w:rPr>
        <w:t xml:space="preserve">, </w:t>
      </w:r>
      <w:r w:rsidRPr="005C650F">
        <w:rPr>
          <w:rFonts w:ascii="Times New Roman" w:eastAsia="Times New Roman" w:hAnsi="Times New Roman" w:cs="Times New Roman"/>
          <w:i/>
          <w:iCs/>
          <w:sz w:val="24"/>
          <w:szCs w:val="24"/>
          <w:lang w:val="it-IT"/>
        </w:rPr>
        <w:t>5</w:t>
      </w:r>
      <w:r w:rsidRPr="005C650F">
        <w:rPr>
          <w:rFonts w:ascii="Times New Roman" w:eastAsia="Times New Roman" w:hAnsi="Times New Roman" w:cs="Times New Roman"/>
          <w:sz w:val="24"/>
          <w:szCs w:val="24"/>
          <w:lang w:val="it-IT"/>
        </w:rPr>
        <w:t>, 35. https://doi.org/10.1186/2040-2392-5-35</w:t>
      </w:r>
    </w:p>
    <w:p w14:paraId="1CF50073"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it-IT"/>
        </w:rPr>
      </w:pPr>
      <w:proofErr w:type="spellStart"/>
      <w:r w:rsidRPr="00203582">
        <w:rPr>
          <w:rFonts w:ascii="Times New Roman" w:eastAsia="Times New Roman" w:hAnsi="Times New Roman" w:cs="Times New Roman"/>
          <w:sz w:val="24"/>
          <w:szCs w:val="24"/>
        </w:rPr>
        <w:t>Kaffashi</w:t>
      </w:r>
      <w:proofErr w:type="spellEnd"/>
      <w:r w:rsidRPr="00203582">
        <w:rPr>
          <w:rFonts w:ascii="Times New Roman" w:eastAsia="Times New Roman" w:hAnsi="Times New Roman" w:cs="Times New Roman"/>
          <w:sz w:val="24"/>
          <w:szCs w:val="24"/>
        </w:rPr>
        <w:t xml:space="preserve">, F., </w:t>
      </w:r>
      <w:proofErr w:type="spellStart"/>
      <w:r w:rsidRPr="00203582">
        <w:rPr>
          <w:rFonts w:ascii="Times New Roman" w:eastAsia="Times New Roman" w:hAnsi="Times New Roman" w:cs="Times New Roman"/>
          <w:sz w:val="24"/>
          <w:szCs w:val="24"/>
        </w:rPr>
        <w:t>Foglyano</w:t>
      </w:r>
      <w:proofErr w:type="spellEnd"/>
      <w:r w:rsidRPr="00203582">
        <w:rPr>
          <w:rFonts w:ascii="Times New Roman" w:eastAsia="Times New Roman" w:hAnsi="Times New Roman" w:cs="Times New Roman"/>
          <w:sz w:val="24"/>
          <w:szCs w:val="24"/>
        </w:rPr>
        <w:t xml:space="preserve">, R., Wilson, C. G., &amp; Loparo, K. A. (2008). The effect of time delay on Approximate &amp; Sample Entropy calculations. </w:t>
      </w:r>
      <w:r w:rsidRPr="00203582">
        <w:rPr>
          <w:rFonts w:ascii="Times New Roman" w:eastAsia="Times New Roman" w:hAnsi="Times New Roman" w:cs="Times New Roman"/>
          <w:i/>
          <w:sz w:val="24"/>
          <w:szCs w:val="24"/>
          <w:lang w:val="it-IT"/>
        </w:rPr>
        <w:t>Physica D: Nonlinear Phenomena</w:t>
      </w:r>
      <w:r w:rsidRPr="00203582">
        <w:rPr>
          <w:rFonts w:ascii="Times New Roman" w:eastAsia="Times New Roman" w:hAnsi="Times New Roman" w:cs="Times New Roman"/>
          <w:sz w:val="24"/>
          <w:szCs w:val="24"/>
          <w:lang w:val="it-IT"/>
        </w:rPr>
        <w:t xml:space="preserve">, </w:t>
      </w:r>
      <w:r w:rsidRPr="00203582">
        <w:rPr>
          <w:rFonts w:ascii="Times New Roman" w:eastAsia="Times New Roman" w:hAnsi="Times New Roman" w:cs="Times New Roman"/>
          <w:i/>
          <w:sz w:val="24"/>
          <w:szCs w:val="24"/>
          <w:lang w:val="it-IT"/>
        </w:rPr>
        <w:t>237</w:t>
      </w:r>
      <w:r w:rsidRPr="00203582">
        <w:rPr>
          <w:rFonts w:ascii="Times New Roman" w:eastAsia="Times New Roman" w:hAnsi="Times New Roman" w:cs="Times New Roman"/>
          <w:sz w:val="24"/>
          <w:szCs w:val="24"/>
          <w:lang w:val="it-IT"/>
        </w:rPr>
        <w:t>(23), 3069–3074. https://doi.org/10.1016/j.physd.2008.06.005</w:t>
      </w:r>
    </w:p>
    <w:p w14:paraId="7E1F0AE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Kamida, A., </w:t>
      </w:r>
      <w:proofErr w:type="spellStart"/>
      <w:r w:rsidRPr="005C650F">
        <w:rPr>
          <w:rFonts w:ascii="Times New Roman" w:eastAsia="Times New Roman" w:hAnsi="Times New Roman" w:cs="Times New Roman"/>
          <w:sz w:val="24"/>
          <w:szCs w:val="24"/>
        </w:rPr>
        <w:t>Shimabayashi</w:t>
      </w:r>
      <w:proofErr w:type="spellEnd"/>
      <w:r w:rsidRPr="005C650F">
        <w:rPr>
          <w:rFonts w:ascii="Times New Roman" w:eastAsia="Times New Roman" w:hAnsi="Times New Roman" w:cs="Times New Roman"/>
          <w:sz w:val="24"/>
          <w:szCs w:val="24"/>
        </w:rPr>
        <w:t xml:space="preserve">, K., Oguri, M., Takamori, T., Ueda, N., Koyanagi, Y., </w:t>
      </w:r>
      <w:proofErr w:type="spellStart"/>
      <w:r w:rsidRPr="005C650F">
        <w:rPr>
          <w:rFonts w:ascii="Times New Roman" w:eastAsia="Times New Roman" w:hAnsi="Times New Roman" w:cs="Times New Roman"/>
          <w:sz w:val="24"/>
          <w:szCs w:val="24"/>
        </w:rPr>
        <w:t>Sannomiya</w:t>
      </w:r>
      <w:proofErr w:type="spellEnd"/>
      <w:r w:rsidRPr="005C650F">
        <w:rPr>
          <w:rFonts w:ascii="Times New Roman" w:eastAsia="Times New Roman" w:hAnsi="Times New Roman" w:cs="Times New Roman"/>
          <w:sz w:val="24"/>
          <w:szCs w:val="24"/>
        </w:rPr>
        <w:t xml:space="preserve">, N., </w:t>
      </w:r>
      <w:proofErr w:type="spellStart"/>
      <w:r w:rsidRPr="005C650F">
        <w:rPr>
          <w:rFonts w:ascii="Times New Roman" w:eastAsia="Times New Roman" w:hAnsi="Times New Roman" w:cs="Times New Roman"/>
          <w:sz w:val="24"/>
          <w:szCs w:val="24"/>
        </w:rPr>
        <w:t>Nagira</w:t>
      </w:r>
      <w:proofErr w:type="spellEnd"/>
      <w:r w:rsidRPr="005C650F">
        <w:rPr>
          <w:rFonts w:ascii="Times New Roman" w:eastAsia="Times New Roman" w:hAnsi="Times New Roman" w:cs="Times New Roman"/>
          <w:sz w:val="24"/>
          <w:szCs w:val="24"/>
        </w:rPr>
        <w:t xml:space="preserve">, H., </w:t>
      </w:r>
      <w:proofErr w:type="spellStart"/>
      <w:r w:rsidRPr="005C650F">
        <w:rPr>
          <w:rFonts w:ascii="Times New Roman" w:eastAsia="Times New Roman" w:hAnsi="Times New Roman" w:cs="Times New Roman"/>
          <w:sz w:val="24"/>
          <w:szCs w:val="24"/>
        </w:rPr>
        <w:t>Ikunishi</w:t>
      </w:r>
      <w:proofErr w:type="spellEnd"/>
      <w:r w:rsidRPr="005C650F">
        <w:rPr>
          <w:rFonts w:ascii="Times New Roman" w:eastAsia="Times New Roman" w:hAnsi="Times New Roman" w:cs="Times New Roman"/>
          <w:sz w:val="24"/>
          <w:szCs w:val="24"/>
        </w:rPr>
        <w:t xml:space="preserve">, S., Hattori, Y., Sato, K., Fukuda, C., </w:t>
      </w:r>
      <w:proofErr w:type="spellStart"/>
      <w:r w:rsidRPr="005C650F">
        <w:rPr>
          <w:rFonts w:ascii="Times New Roman" w:eastAsia="Times New Roman" w:hAnsi="Times New Roman" w:cs="Times New Roman"/>
          <w:sz w:val="24"/>
          <w:szCs w:val="24"/>
        </w:rPr>
        <w:t>Hirooka</w:t>
      </w:r>
      <w:proofErr w:type="spellEnd"/>
      <w:r w:rsidRPr="005C650F">
        <w:rPr>
          <w:rFonts w:ascii="Times New Roman" w:eastAsia="Times New Roman" w:hAnsi="Times New Roman" w:cs="Times New Roman"/>
          <w:sz w:val="24"/>
          <w:szCs w:val="24"/>
        </w:rPr>
        <w:t xml:space="preserve">, Y., &amp; </w:t>
      </w:r>
      <w:proofErr w:type="spellStart"/>
      <w:r w:rsidRPr="005C650F">
        <w:rPr>
          <w:rFonts w:ascii="Times New Roman" w:eastAsia="Times New Roman" w:hAnsi="Times New Roman" w:cs="Times New Roman"/>
          <w:sz w:val="24"/>
          <w:szCs w:val="24"/>
        </w:rPr>
        <w:t>Maegaki</w:t>
      </w:r>
      <w:proofErr w:type="spellEnd"/>
      <w:r w:rsidRPr="005C650F">
        <w:rPr>
          <w:rFonts w:ascii="Times New Roman" w:eastAsia="Times New Roman" w:hAnsi="Times New Roman" w:cs="Times New Roman"/>
          <w:sz w:val="24"/>
          <w:szCs w:val="24"/>
        </w:rPr>
        <w:t xml:space="preserve">, Y. (2016). EEG Power Spectrum Analysis in Children with ADHD. </w:t>
      </w:r>
      <w:proofErr w:type="spellStart"/>
      <w:r w:rsidRPr="005C650F">
        <w:rPr>
          <w:rFonts w:ascii="Times New Roman" w:eastAsia="Times New Roman" w:hAnsi="Times New Roman" w:cs="Times New Roman"/>
          <w:i/>
          <w:iCs/>
          <w:sz w:val="24"/>
          <w:szCs w:val="24"/>
        </w:rPr>
        <w:t>Yonago</w:t>
      </w:r>
      <w:proofErr w:type="spellEnd"/>
      <w:r w:rsidRPr="005C650F">
        <w:rPr>
          <w:rFonts w:ascii="Times New Roman" w:eastAsia="Times New Roman" w:hAnsi="Times New Roman" w:cs="Times New Roman"/>
          <w:i/>
          <w:iCs/>
          <w:sz w:val="24"/>
          <w:szCs w:val="24"/>
        </w:rPr>
        <w:t xml:space="preserve"> Acta Medica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59</w:t>
      </w:r>
      <w:r w:rsidRPr="005C650F">
        <w:rPr>
          <w:rFonts w:ascii="Times New Roman" w:eastAsia="Times New Roman" w:hAnsi="Times New Roman" w:cs="Times New Roman"/>
          <w:sz w:val="24"/>
          <w:szCs w:val="24"/>
        </w:rPr>
        <w:t>(2), 169–173.</w:t>
      </w:r>
    </w:p>
    <w:p w14:paraId="07F2129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Kan, D. P. X., </w:t>
      </w:r>
      <w:proofErr w:type="spellStart"/>
      <w:r w:rsidRPr="005C650F">
        <w:rPr>
          <w:rFonts w:ascii="Times New Roman" w:eastAsia="Times New Roman" w:hAnsi="Times New Roman" w:cs="Times New Roman"/>
          <w:sz w:val="24"/>
          <w:szCs w:val="24"/>
        </w:rPr>
        <w:t>Croarkin</w:t>
      </w:r>
      <w:proofErr w:type="spellEnd"/>
      <w:r w:rsidRPr="005C650F">
        <w:rPr>
          <w:rFonts w:ascii="Times New Roman" w:eastAsia="Times New Roman" w:hAnsi="Times New Roman" w:cs="Times New Roman"/>
          <w:sz w:val="24"/>
          <w:szCs w:val="24"/>
        </w:rPr>
        <w:t xml:space="preserve">, P. E., Phang, C. K., &amp; Lee, P. F. (2017). EEG Differences Between Eyes-Closed and Eyes-Open Conditions at the Resting Stage for Euthymic Participants. </w:t>
      </w:r>
      <w:r w:rsidRPr="005C650F">
        <w:rPr>
          <w:rFonts w:ascii="Times New Roman" w:eastAsia="Times New Roman" w:hAnsi="Times New Roman" w:cs="Times New Roman"/>
          <w:i/>
          <w:iCs/>
          <w:sz w:val="24"/>
          <w:szCs w:val="24"/>
        </w:rPr>
        <w:t>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49</w:t>
      </w:r>
      <w:r w:rsidRPr="005C650F">
        <w:rPr>
          <w:rFonts w:ascii="Times New Roman" w:eastAsia="Times New Roman" w:hAnsi="Times New Roman" w:cs="Times New Roman"/>
          <w:sz w:val="24"/>
          <w:szCs w:val="24"/>
        </w:rPr>
        <w:t>(6), 432–440. https://doi.org/10.1007/s11062-018-9706-6</w:t>
      </w:r>
    </w:p>
    <w:p w14:paraId="6CBF05A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it-IT"/>
        </w:rPr>
        <w:t xml:space="preserve">Kang, J., Chen, H., Li, X., &amp; Li, X. (2019). </w:t>
      </w:r>
      <w:r w:rsidRPr="00203582">
        <w:rPr>
          <w:rFonts w:ascii="Times New Roman" w:eastAsia="Times New Roman" w:hAnsi="Times New Roman" w:cs="Times New Roman"/>
          <w:sz w:val="24"/>
          <w:szCs w:val="24"/>
        </w:rPr>
        <w:t xml:space="preserve">EEG entropy analysis in autistic children. </w:t>
      </w:r>
      <w:r w:rsidRPr="00203582">
        <w:rPr>
          <w:rFonts w:ascii="Times New Roman" w:eastAsia="Times New Roman" w:hAnsi="Times New Roman" w:cs="Times New Roman"/>
          <w:i/>
          <w:sz w:val="24"/>
          <w:szCs w:val="24"/>
        </w:rPr>
        <w:t>Journal of Clinical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62</w:t>
      </w:r>
      <w:r w:rsidRPr="00203582">
        <w:rPr>
          <w:rFonts w:ascii="Times New Roman" w:eastAsia="Times New Roman" w:hAnsi="Times New Roman" w:cs="Times New Roman"/>
          <w:sz w:val="24"/>
          <w:szCs w:val="24"/>
        </w:rPr>
        <w:t>, 199–206. https://doi.org/10.1016/j.jocn.2018.11.027</w:t>
      </w:r>
    </w:p>
    <w:p w14:paraId="77482A8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it-IT"/>
        </w:rPr>
        <w:t xml:space="preserve">Kang, J., Chen, H., Li, X., &amp; Li, X. (2019). </w:t>
      </w:r>
      <w:r w:rsidRPr="005C650F">
        <w:rPr>
          <w:rFonts w:ascii="Times New Roman" w:eastAsia="Times New Roman" w:hAnsi="Times New Roman" w:cs="Times New Roman"/>
          <w:sz w:val="24"/>
          <w:szCs w:val="24"/>
        </w:rPr>
        <w:t xml:space="preserve">EEG entropy analysis in autistic children. </w:t>
      </w:r>
      <w:r w:rsidRPr="005C650F">
        <w:rPr>
          <w:rFonts w:ascii="Times New Roman" w:eastAsia="Times New Roman" w:hAnsi="Times New Roman" w:cs="Times New Roman"/>
          <w:i/>
          <w:iCs/>
          <w:sz w:val="24"/>
          <w:szCs w:val="24"/>
        </w:rPr>
        <w:t>Journal of Clinical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62</w:t>
      </w:r>
      <w:r w:rsidRPr="005C650F">
        <w:rPr>
          <w:rFonts w:ascii="Times New Roman" w:eastAsia="Times New Roman" w:hAnsi="Times New Roman" w:cs="Times New Roman"/>
          <w:sz w:val="24"/>
          <w:szCs w:val="24"/>
        </w:rPr>
        <w:t>, 199–206. https://doi.org/10.1016/j.jocn.2018.11.027</w:t>
      </w:r>
    </w:p>
    <w:p w14:paraId="2695A2F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Kang, J., Jin, Y., Liang, G., &amp; Li, X. (2021). Accurate assessment of low-function autistic children based on EEG feature fusion. </w:t>
      </w:r>
      <w:r w:rsidRPr="005C650F">
        <w:rPr>
          <w:rFonts w:ascii="Times New Roman" w:eastAsia="Times New Roman" w:hAnsi="Times New Roman" w:cs="Times New Roman"/>
          <w:i/>
          <w:iCs/>
          <w:sz w:val="24"/>
          <w:szCs w:val="24"/>
        </w:rPr>
        <w:t>Journal of Clinical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90</w:t>
      </w:r>
      <w:r w:rsidRPr="005C650F">
        <w:rPr>
          <w:rFonts w:ascii="Times New Roman" w:eastAsia="Times New Roman" w:hAnsi="Times New Roman" w:cs="Times New Roman"/>
          <w:sz w:val="24"/>
          <w:szCs w:val="24"/>
        </w:rPr>
        <w:t>, 351–358. https://doi.org/10.1016/j.jocn.2021.06.022</w:t>
      </w:r>
    </w:p>
    <w:p w14:paraId="5599B0AD"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pt-PT"/>
        </w:rPr>
      </w:pPr>
      <w:r w:rsidRPr="005C650F">
        <w:rPr>
          <w:rFonts w:ascii="Times New Roman" w:eastAsia="Times New Roman" w:hAnsi="Times New Roman" w:cs="Times New Roman"/>
          <w:sz w:val="24"/>
          <w:szCs w:val="24"/>
        </w:rPr>
        <w:t xml:space="preserve">Kaushik, P., &amp; Jena, S. P. K. (2022). Effect of cognitive </w:t>
      </w:r>
      <w:proofErr w:type="spellStart"/>
      <w:r w:rsidRPr="005C650F">
        <w:rPr>
          <w:rFonts w:ascii="Times New Roman" w:eastAsia="Times New Roman" w:hAnsi="Times New Roman" w:cs="Times New Roman"/>
          <w:sz w:val="24"/>
          <w:szCs w:val="24"/>
        </w:rPr>
        <w:t>behavioral</w:t>
      </w:r>
      <w:proofErr w:type="spellEnd"/>
      <w:r w:rsidRPr="005C650F">
        <w:rPr>
          <w:rFonts w:ascii="Times New Roman" w:eastAsia="Times New Roman" w:hAnsi="Times New Roman" w:cs="Times New Roman"/>
          <w:sz w:val="24"/>
          <w:szCs w:val="24"/>
        </w:rPr>
        <w:t xml:space="preserve"> intervention on electroencephalographic band powers of children with learning difficulty under eyes-closed and eyes-open conditions. </w:t>
      </w:r>
      <w:r w:rsidRPr="005C650F">
        <w:rPr>
          <w:rFonts w:ascii="Times New Roman" w:eastAsia="Times New Roman" w:hAnsi="Times New Roman" w:cs="Times New Roman"/>
          <w:i/>
          <w:iCs/>
          <w:sz w:val="24"/>
          <w:szCs w:val="24"/>
          <w:lang w:val="pt-PT"/>
        </w:rPr>
        <w:t>Arquivos de Neuro-Psiquiatria</w:t>
      </w:r>
      <w:r w:rsidRPr="005C650F">
        <w:rPr>
          <w:rFonts w:ascii="Times New Roman" w:eastAsia="Times New Roman" w:hAnsi="Times New Roman" w:cs="Times New Roman"/>
          <w:sz w:val="24"/>
          <w:szCs w:val="24"/>
          <w:lang w:val="pt-PT"/>
        </w:rPr>
        <w:t xml:space="preserve">, </w:t>
      </w:r>
      <w:r w:rsidRPr="005C650F">
        <w:rPr>
          <w:rFonts w:ascii="Times New Roman" w:eastAsia="Times New Roman" w:hAnsi="Times New Roman" w:cs="Times New Roman"/>
          <w:i/>
          <w:iCs/>
          <w:sz w:val="24"/>
          <w:szCs w:val="24"/>
          <w:lang w:val="pt-PT"/>
        </w:rPr>
        <w:t>80</w:t>
      </w:r>
      <w:r w:rsidRPr="005C650F">
        <w:rPr>
          <w:rFonts w:ascii="Times New Roman" w:eastAsia="Times New Roman" w:hAnsi="Times New Roman" w:cs="Times New Roman"/>
          <w:sz w:val="24"/>
          <w:szCs w:val="24"/>
          <w:lang w:val="pt-PT"/>
        </w:rPr>
        <w:t>(3), 224–232. https://doi.org/10.1590/0004-282X-ANP-2020-0503</w:t>
      </w:r>
    </w:p>
    <w:p w14:paraId="041BB99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t-PT"/>
        </w:rPr>
        <w:t xml:space="preserve">Kawashima, T., Hayashi, M. J., &amp; Amano, K. (2022). </w:t>
      </w:r>
      <w:r w:rsidRPr="005C650F">
        <w:rPr>
          <w:rFonts w:ascii="Times New Roman" w:eastAsia="Times New Roman" w:hAnsi="Times New Roman" w:cs="Times New Roman"/>
          <w:sz w:val="24"/>
          <w:szCs w:val="24"/>
        </w:rPr>
        <w:t xml:space="preserve">Attentional rhythmic blink: Theta/Alpha balance in neural oscillations determines the rhythmicity in visual sampling. </w:t>
      </w:r>
      <w:proofErr w:type="spellStart"/>
      <w:r w:rsidRPr="005C650F">
        <w:rPr>
          <w:rFonts w:ascii="Times New Roman" w:eastAsia="Times New Roman" w:hAnsi="Times New Roman" w:cs="Times New Roman"/>
          <w:i/>
          <w:iCs/>
          <w:sz w:val="24"/>
          <w:szCs w:val="24"/>
        </w:rPr>
        <w:t>BioRxiv</w:t>
      </w:r>
      <w:proofErr w:type="spellEnd"/>
      <w:r w:rsidRPr="005C650F">
        <w:rPr>
          <w:rFonts w:ascii="Times New Roman" w:eastAsia="Times New Roman" w:hAnsi="Times New Roman" w:cs="Times New Roman"/>
          <w:sz w:val="24"/>
          <w:szCs w:val="24"/>
        </w:rPr>
        <w:t>. https://doi.org/10.1101/2022.04.15.488436</w:t>
      </w:r>
    </w:p>
    <w:p w14:paraId="36AC6A9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Keehn, B., Westerfield, M., Müller, R.-A., &amp; Townsend, J. (2017). Autism, attention, and alpha oscillations: an electrophysiological study of attentional capture. </w:t>
      </w:r>
      <w:r w:rsidRPr="005C650F">
        <w:rPr>
          <w:rFonts w:ascii="Times New Roman" w:eastAsia="Times New Roman" w:hAnsi="Times New Roman" w:cs="Times New Roman"/>
          <w:i/>
          <w:iCs/>
          <w:sz w:val="24"/>
          <w:szCs w:val="24"/>
        </w:rPr>
        <w:t>Biological Psychiatry: Cognitive Neuroscience and Neuroimaging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w:t>
      </w:r>
      <w:r w:rsidRPr="005C650F">
        <w:rPr>
          <w:rFonts w:ascii="Times New Roman" w:eastAsia="Times New Roman" w:hAnsi="Times New Roman" w:cs="Times New Roman"/>
          <w:sz w:val="24"/>
          <w:szCs w:val="24"/>
        </w:rPr>
        <w:t>(6), 528–536. https://doi.org/10.1016/j.bpsc.2017.06.006</w:t>
      </w:r>
    </w:p>
    <w:p w14:paraId="0F810EC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Kennedy, D. P., &amp; Courchesne, E. (2008). The intrinsic functional organization of the brain is altered in autism.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39</w:t>
      </w:r>
      <w:r w:rsidRPr="005C650F">
        <w:rPr>
          <w:rFonts w:ascii="Times New Roman" w:eastAsia="Times New Roman" w:hAnsi="Times New Roman" w:cs="Times New Roman"/>
          <w:sz w:val="24"/>
          <w:szCs w:val="24"/>
        </w:rPr>
        <w:t>(4), 1877–1885. https://doi.org/10.1016/j.neuroimage.2007.10.052</w:t>
      </w:r>
    </w:p>
    <w:p w14:paraId="652184F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Khachadourian</w:t>
      </w:r>
      <w:proofErr w:type="spellEnd"/>
      <w:r w:rsidRPr="00203582">
        <w:rPr>
          <w:rFonts w:ascii="Times New Roman" w:eastAsia="Times New Roman" w:hAnsi="Times New Roman" w:cs="Times New Roman"/>
          <w:sz w:val="24"/>
          <w:szCs w:val="24"/>
        </w:rPr>
        <w:t xml:space="preserve">, V., </w:t>
      </w:r>
      <w:proofErr w:type="spellStart"/>
      <w:r w:rsidRPr="00203582">
        <w:rPr>
          <w:rFonts w:ascii="Times New Roman" w:eastAsia="Times New Roman" w:hAnsi="Times New Roman" w:cs="Times New Roman"/>
          <w:sz w:val="24"/>
          <w:szCs w:val="24"/>
        </w:rPr>
        <w:t>Mahjani</w:t>
      </w:r>
      <w:proofErr w:type="spellEnd"/>
      <w:r w:rsidRPr="00203582">
        <w:rPr>
          <w:rFonts w:ascii="Times New Roman" w:eastAsia="Times New Roman" w:hAnsi="Times New Roman" w:cs="Times New Roman"/>
          <w:sz w:val="24"/>
          <w:szCs w:val="24"/>
        </w:rPr>
        <w:t xml:space="preserve">, B., Sandin, S., </w:t>
      </w:r>
      <w:proofErr w:type="spellStart"/>
      <w:r w:rsidRPr="00203582">
        <w:rPr>
          <w:rFonts w:ascii="Times New Roman" w:eastAsia="Times New Roman" w:hAnsi="Times New Roman" w:cs="Times New Roman"/>
          <w:sz w:val="24"/>
          <w:szCs w:val="24"/>
        </w:rPr>
        <w:t>Kolevzon</w:t>
      </w:r>
      <w:proofErr w:type="spellEnd"/>
      <w:r w:rsidRPr="00203582">
        <w:rPr>
          <w:rFonts w:ascii="Times New Roman" w:eastAsia="Times New Roman" w:hAnsi="Times New Roman" w:cs="Times New Roman"/>
          <w:sz w:val="24"/>
          <w:szCs w:val="24"/>
        </w:rPr>
        <w:t xml:space="preserve">, A., Buxbaum, J. D., Reichenberg, A., &amp; Janecka, M. (2023). Comorbidities in autism spectrum disorder and their </w:t>
      </w:r>
      <w:proofErr w:type="spellStart"/>
      <w:r w:rsidRPr="00203582">
        <w:rPr>
          <w:rFonts w:ascii="Times New Roman" w:eastAsia="Times New Roman" w:hAnsi="Times New Roman" w:cs="Times New Roman"/>
          <w:sz w:val="24"/>
          <w:szCs w:val="24"/>
        </w:rPr>
        <w:t>etiologies</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Translational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13</w:t>
      </w:r>
      <w:r w:rsidRPr="00203582">
        <w:rPr>
          <w:rFonts w:ascii="Times New Roman" w:eastAsia="Times New Roman" w:hAnsi="Times New Roman" w:cs="Times New Roman"/>
          <w:sz w:val="24"/>
          <w:szCs w:val="24"/>
        </w:rPr>
        <w:t>(1), 71. https://doi.org/10.1038/s41398-023-02374-w</w:t>
      </w:r>
    </w:p>
    <w:p w14:paraId="51F613C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fr-FR"/>
        </w:rPr>
        <w:lastRenderedPageBreak/>
        <w:t xml:space="preserve">Klin, A., Jones, W., Schultz, R., &amp; </w:t>
      </w:r>
      <w:proofErr w:type="spellStart"/>
      <w:r w:rsidRPr="005C650F">
        <w:rPr>
          <w:rFonts w:ascii="Times New Roman" w:eastAsia="Times New Roman" w:hAnsi="Times New Roman" w:cs="Times New Roman"/>
          <w:sz w:val="24"/>
          <w:szCs w:val="24"/>
          <w:lang w:val="fr-FR"/>
        </w:rPr>
        <w:t>Volkmar</w:t>
      </w:r>
      <w:proofErr w:type="spellEnd"/>
      <w:r w:rsidRPr="005C650F">
        <w:rPr>
          <w:rFonts w:ascii="Times New Roman" w:eastAsia="Times New Roman" w:hAnsi="Times New Roman" w:cs="Times New Roman"/>
          <w:sz w:val="24"/>
          <w:szCs w:val="24"/>
          <w:lang w:val="fr-FR"/>
        </w:rPr>
        <w:t xml:space="preserve">, F. (2003). </w:t>
      </w:r>
      <w:r w:rsidRPr="005C650F">
        <w:rPr>
          <w:rFonts w:ascii="Times New Roman" w:eastAsia="Times New Roman" w:hAnsi="Times New Roman" w:cs="Times New Roman"/>
          <w:sz w:val="24"/>
          <w:szCs w:val="24"/>
        </w:rPr>
        <w:t xml:space="preserve">The enactive mind, or from actions to cognition: lessons from autism. </w:t>
      </w:r>
      <w:r w:rsidRPr="005C650F">
        <w:rPr>
          <w:rFonts w:ascii="Times New Roman" w:eastAsia="Times New Roman" w:hAnsi="Times New Roman" w:cs="Times New Roman"/>
          <w:i/>
          <w:iCs/>
          <w:sz w:val="24"/>
          <w:szCs w:val="24"/>
        </w:rPr>
        <w:t>Philosophical Transactions of the Royal Society of London. Series B, Biological Sciences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358</w:t>
      </w:r>
      <w:r w:rsidRPr="005C650F">
        <w:rPr>
          <w:rFonts w:ascii="Times New Roman" w:eastAsia="Times New Roman" w:hAnsi="Times New Roman" w:cs="Times New Roman"/>
          <w:sz w:val="24"/>
          <w:szCs w:val="24"/>
        </w:rPr>
        <w:t>(1430), 345–360. https://doi.org/10.1098/rstb.2002.1202</w:t>
      </w:r>
    </w:p>
    <w:p w14:paraId="6861874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Klin, A., Shultz, S., &amp; Jones, W. (2015). </w:t>
      </w:r>
      <w:r w:rsidRPr="005C650F">
        <w:rPr>
          <w:rFonts w:ascii="Times New Roman" w:eastAsia="Times New Roman" w:hAnsi="Times New Roman" w:cs="Times New Roman"/>
          <w:sz w:val="24"/>
          <w:szCs w:val="24"/>
        </w:rPr>
        <w:t xml:space="preserve">Social visual engagement in infants and toddlers with autism: early developmental transitions and a model of pathogenesis. </w:t>
      </w:r>
      <w:r w:rsidRPr="005C650F">
        <w:rPr>
          <w:rFonts w:ascii="Times New Roman" w:eastAsia="Times New Roman" w:hAnsi="Times New Roman" w:cs="Times New Roman"/>
          <w:i/>
          <w:iCs/>
          <w:sz w:val="24"/>
          <w:szCs w:val="24"/>
        </w:rPr>
        <w:t xml:space="preserve">Neuroscience and </w:t>
      </w:r>
      <w:proofErr w:type="spellStart"/>
      <w:r w:rsidRPr="005C650F">
        <w:rPr>
          <w:rFonts w:ascii="Times New Roman" w:eastAsia="Times New Roman" w:hAnsi="Times New Roman" w:cs="Times New Roman"/>
          <w:i/>
          <w:iCs/>
          <w:sz w:val="24"/>
          <w:szCs w:val="24"/>
        </w:rPr>
        <w:t>Biobehavioral</w:t>
      </w:r>
      <w:proofErr w:type="spellEnd"/>
      <w:r w:rsidRPr="005C650F">
        <w:rPr>
          <w:rFonts w:ascii="Times New Roman" w:eastAsia="Times New Roman" w:hAnsi="Times New Roman" w:cs="Times New Roman"/>
          <w:i/>
          <w:iCs/>
          <w:sz w:val="24"/>
          <w:szCs w:val="24"/>
        </w:rPr>
        <w:t xml:space="preserve"> Reviews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50</w:t>
      </w:r>
      <w:r w:rsidRPr="005C650F">
        <w:rPr>
          <w:rFonts w:ascii="Times New Roman" w:eastAsia="Times New Roman" w:hAnsi="Times New Roman" w:cs="Times New Roman"/>
          <w:sz w:val="24"/>
          <w:szCs w:val="24"/>
        </w:rPr>
        <w:t>, 189–203. https://doi.org/10.1016/j.neubiorev.2014.10.006</w:t>
      </w:r>
    </w:p>
    <w:p w14:paraId="0090257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Knyazev, </w:t>
      </w:r>
      <w:proofErr w:type="spellStart"/>
      <w:r w:rsidRPr="005C650F">
        <w:rPr>
          <w:rFonts w:ascii="Times New Roman" w:eastAsia="Times New Roman" w:hAnsi="Times New Roman" w:cs="Times New Roman"/>
          <w:sz w:val="24"/>
          <w:szCs w:val="24"/>
        </w:rPr>
        <w:t>Gennadij</w:t>
      </w:r>
      <w:proofErr w:type="spellEnd"/>
      <w:r w:rsidRPr="005C650F">
        <w:rPr>
          <w:rFonts w:ascii="Times New Roman" w:eastAsia="Times New Roman" w:hAnsi="Times New Roman" w:cs="Times New Roman"/>
          <w:sz w:val="24"/>
          <w:szCs w:val="24"/>
        </w:rPr>
        <w:t xml:space="preserve"> G, </w:t>
      </w:r>
      <w:proofErr w:type="spellStart"/>
      <w:r w:rsidRPr="005C650F">
        <w:rPr>
          <w:rFonts w:ascii="Times New Roman" w:eastAsia="Times New Roman" w:hAnsi="Times New Roman" w:cs="Times New Roman"/>
          <w:sz w:val="24"/>
          <w:szCs w:val="24"/>
        </w:rPr>
        <w:t>Savostyanov</w:t>
      </w:r>
      <w:proofErr w:type="spellEnd"/>
      <w:r w:rsidRPr="005C650F">
        <w:rPr>
          <w:rFonts w:ascii="Times New Roman" w:eastAsia="Times New Roman" w:hAnsi="Times New Roman" w:cs="Times New Roman"/>
          <w:sz w:val="24"/>
          <w:szCs w:val="24"/>
        </w:rPr>
        <w:t xml:space="preserve">, A. N., &amp; Levin, E. A. (2004). Alpha oscillations as a correlate of trait anxiety. </w:t>
      </w:r>
      <w:r w:rsidRPr="005C650F">
        <w:rPr>
          <w:rFonts w:ascii="Times New Roman" w:eastAsia="Times New Roman" w:hAnsi="Times New Roman" w:cs="Times New Roman"/>
          <w:i/>
          <w:iCs/>
          <w:sz w:val="24"/>
          <w:szCs w:val="24"/>
        </w:rPr>
        <w:t>International Journal of Psychophysiology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53</w:t>
      </w:r>
      <w:r w:rsidRPr="005C650F">
        <w:rPr>
          <w:rFonts w:ascii="Times New Roman" w:eastAsia="Times New Roman" w:hAnsi="Times New Roman" w:cs="Times New Roman"/>
          <w:sz w:val="24"/>
          <w:szCs w:val="24"/>
        </w:rPr>
        <w:t>(2), 147–160. https://doi.org/10.1016/j.ijpsycho.2004.03.001</w:t>
      </w:r>
    </w:p>
    <w:p w14:paraId="34F9D1D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Knyazev, Gennady G. (2007). Motivation, emotion, and their inhibitory control mirrored in brain oscillations. </w:t>
      </w:r>
      <w:r w:rsidRPr="005C650F">
        <w:rPr>
          <w:rFonts w:ascii="Times New Roman" w:eastAsia="Times New Roman" w:hAnsi="Times New Roman" w:cs="Times New Roman"/>
          <w:i/>
          <w:iCs/>
          <w:sz w:val="24"/>
          <w:szCs w:val="24"/>
        </w:rPr>
        <w:t xml:space="preserve">Neuroscience and </w:t>
      </w:r>
      <w:proofErr w:type="spellStart"/>
      <w:r w:rsidRPr="005C650F">
        <w:rPr>
          <w:rFonts w:ascii="Times New Roman" w:eastAsia="Times New Roman" w:hAnsi="Times New Roman" w:cs="Times New Roman"/>
          <w:i/>
          <w:iCs/>
          <w:sz w:val="24"/>
          <w:szCs w:val="24"/>
        </w:rPr>
        <w:t>Biobehavioral</w:t>
      </w:r>
      <w:proofErr w:type="spellEnd"/>
      <w:r w:rsidRPr="005C650F">
        <w:rPr>
          <w:rFonts w:ascii="Times New Roman" w:eastAsia="Times New Roman" w:hAnsi="Times New Roman" w:cs="Times New Roman"/>
          <w:i/>
          <w:iCs/>
          <w:sz w:val="24"/>
          <w:szCs w:val="24"/>
        </w:rPr>
        <w:t xml:space="preserve"> Reviews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31</w:t>
      </w:r>
      <w:r w:rsidRPr="005C650F">
        <w:rPr>
          <w:rFonts w:ascii="Times New Roman" w:eastAsia="Times New Roman" w:hAnsi="Times New Roman" w:cs="Times New Roman"/>
          <w:sz w:val="24"/>
          <w:szCs w:val="24"/>
        </w:rPr>
        <w:t>(3), 377–395. https://doi.org/10.1016/j.neubiorev.2006.10.004</w:t>
      </w:r>
    </w:p>
    <w:p w14:paraId="6EF42B3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it-IT"/>
        </w:rPr>
        <w:t xml:space="preserve">Koba, C., Notaro, G., Tamm, S., Nilsonne, G., &amp; Hasson, U. (2021). </w:t>
      </w:r>
      <w:r w:rsidRPr="00203582">
        <w:rPr>
          <w:rFonts w:ascii="Times New Roman" w:eastAsia="Times New Roman" w:hAnsi="Times New Roman" w:cs="Times New Roman"/>
          <w:sz w:val="24"/>
          <w:szCs w:val="24"/>
        </w:rPr>
        <w:t xml:space="preserve">Spontaneous eye movements during eyes-open rest reduce resting-state-network modularity by increasing visual-sensorimotor connectivity. </w:t>
      </w:r>
      <w:r w:rsidRPr="00203582">
        <w:rPr>
          <w:rFonts w:ascii="Times New Roman" w:eastAsia="Times New Roman" w:hAnsi="Times New Roman" w:cs="Times New Roman"/>
          <w:i/>
          <w:sz w:val="24"/>
          <w:szCs w:val="24"/>
        </w:rPr>
        <w:t>Network Neuroscience (Cambridge, Mass.)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w:t>
      </w:r>
      <w:r w:rsidRPr="00203582">
        <w:rPr>
          <w:rFonts w:ascii="Times New Roman" w:eastAsia="Times New Roman" w:hAnsi="Times New Roman" w:cs="Times New Roman"/>
          <w:sz w:val="24"/>
          <w:szCs w:val="24"/>
        </w:rPr>
        <w:t>(2), 451–476. https://doi.org/10.1162/netn_a_00186</w:t>
      </w:r>
    </w:p>
    <w:p w14:paraId="282B3AA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Korgaonkar</w:t>
      </w:r>
      <w:proofErr w:type="spellEnd"/>
      <w:r w:rsidRPr="005C650F">
        <w:rPr>
          <w:rFonts w:ascii="Times New Roman" w:eastAsia="Times New Roman" w:hAnsi="Times New Roman" w:cs="Times New Roman"/>
          <w:sz w:val="24"/>
          <w:szCs w:val="24"/>
        </w:rPr>
        <w:t xml:space="preserve">, M. S., Ram, K., Williams, L. M., </w:t>
      </w:r>
      <w:proofErr w:type="spellStart"/>
      <w:r w:rsidRPr="005C650F">
        <w:rPr>
          <w:rFonts w:ascii="Times New Roman" w:eastAsia="Times New Roman" w:hAnsi="Times New Roman" w:cs="Times New Roman"/>
          <w:sz w:val="24"/>
          <w:szCs w:val="24"/>
        </w:rPr>
        <w:t>Gatt</w:t>
      </w:r>
      <w:proofErr w:type="spellEnd"/>
      <w:r w:rsidRPr="005C650F">
        <w:rPr>
          <w:rFonts w:ascii="Times New Roman" w:eastAsia="Times New Roman" w:hAnsi="Times New Roman" w:cs="Times New Roman"/>
          <w:sz w:val="24"/>
          <w:szCs w:val="24"/>
        </w:rPr>
        <w:t xml:space="preserve">, J. M., &amp; Grieve, S. M. (2014). Establishing the resting state default mode network derived from functional magnetic resonance imaging tasks as an endophenotype: A twins study.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35</w:t>
      </w:r>
      <w:r w:rsidRPr="005C650F">
        <w:rPr>
          <w:rFonts w:ascii="Times New Roman" w:eastAsia="Times New Roman" w:hAnsi="Times New Roman" w:cs="Times New Roman"/>
          <w:sz w:val="24"/>
          <w:szCs w:val="24"/>
        </w:rPr>
        <w:t>(8), 3893–3902. https://doi.org/10.1002/hbm.22446</w:t>
      </w:r>
    </w:p>
    <w:p w14:paraId="1D76148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Kosciessa</w:t>
      </w:r>
      <w:proofErr w:type="spellEnd"/>
      <w:r w:rsidRPr="00203582">
        <w:rPr>
          <w:rFonts w:ascii="Times New Roman" w:eastAsia="Times New Roman" w:hAnsi="Times New Roman" w:cs="Times New Roman"/>
          <w:sz w:val="24"/>
          <w:szCs w:val="24"/>
        </w:rPr>
        <w:t xml:space="preserve">, J. Q., Kloosterman, N. A., &amp; Garrett, D. D. (2020). Standard multiscale entropy reflects neural dynamics at mismatched temporal scales: What’s signal irregularity got to do with it? </w:t>
      </w:r>
      <w:proofErr w:type="spellStart"/>
      <w:r w:rsidRPr="00203582">
        <w:rPr>
          <w:rFonts w:ascii="Times New Roman" w:eastAsia="Times New Roman" w:hAnsi="Times New Roman" w:cs="Times New Roman"/>
          <w:i/>
          <w:sz w:val="24"/>
          <w:szCs w:val="24"/>
        </w:rPr>
        <w:t>PLoS</w:t>
      </w:r>
      <w:proofErr w:type="spellEnd"/>
      <w:r w:rsidRPr="00203582">
        <w:rPr>
          <w:rFonts w:ascii="Times New Roman" w:eastAsia="Times New Roman" w:hAnsi="Times New Roman" w:cs="Times New Roman"/>
          <w:i/>
          <w:sz w:val="24"/>
          <w:szCs w:val="24"/>
        </w:rPr>
        <w:t xml:space="preserve"> Computational Biology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16</w:t>
      </w:r>
      <w:r w:rsidRPr="00203582">
        <w:rPr>
          <w:rFonts w:ascii="Times New Roman" w:eastAsia="Times New Roman" w:hAnsi="Times New Roman" w:cs="Times New Roman"/>
          <w:sz w:val="24"/>
          <w:szCs w:val="24"/>
        </w:rPr>
        <w:t>(5), e1007885. https://doi.org/10.1371/journal.pcbi.1007885</w:t>
      </w:r>
    </w:p>
    <w:p w14:paraId="55FE3C2F"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it-IT"/>
        </w:rPr>
      </w:pPr>
      <w:proofErr w:type="spellStart"/>
      <w:r w:rsidRPr="005C650F">
        <w:rPr>
          <w:rFonts w:ascii="Times New Roman" w:eastAsia="Times New Roman" w:hAnsi="Times New Roman" w:cs="Times New Roman"/>
          <w:sz w:val="24"/>
          <w:szCs w:val="24"/>
        </w:rPr>
        <w:lastRenderedPageBreak/>
        <w:t>Kosciessa</w:t>
      </w:r>
      <w:proofErr w:type="spellEnd"/>
      <w:r w:rsidRPr="005C650F">
        <w:rPr>
          <w:rFonts w:ascii="Times New Roman" w:eastAsia="Times New Roman" w:hAnsi="Times New Roman" w:cs="Times New Roman"/>
          <w:sz w:val="24"/>
          <w:szCs w:val="24"/>
        </w:rPr>
        <w:t xml:space="preserve">, J. Q., Kloosterman, N. A., &amp; Garrett, D. D. (2020). Standard multiscale entropy reflects neural dynamics at mismatched temporal scales: What’s signal irregularity got to do with it? </w:t>
      </w:r>
      <w:r w:rsidRPr="005C650F">
        <w:rPr>
          <w:rFonts w:ascii="Times New Roman" w:eastAsia="Times New Roman" w:hAnsi="Times New Roman" w:cs="Times New Roman"/>
          <w:i/>
          <w:iCs/>
          <w:sz w:val="24"/>
          <w:szCs w:val="24"/>
          <w:lang w:val="it-IT"/>
        </w:rPr>
        <w:t>PLoS Computational Biology</w:t>
      </w:r>
      <w:r w:rsidRPr="005C650F">
        <w:rPr>
          <w:rFonts w:ascii="Times New Roman" w:eastAsia="Times New Roman" w:hAnsi="Times New Roman" w:cs="Times New Roman"/>
          <w:sz w:val="24"/>
          <w:szCs w:val="24"/>
          <w:lang w:val="it-IT"/>
        </w:rPr>
        <w:t xml:space="preserve">, </w:t>
      </w:r>
      <w:r w:rsidRPr="005C650F">
        <w:rPr>
          <w:rFonts w:ascii="Times New Roman" w:eastAsia="Times New Roman" w:hAnsi="Times New Roman" w:cs="Times New Roman"/>
          <w:i/>
          <w:iCs/>
          <w:sz w:val="24"/>
          <w:szCs w:val="24"/>
          <w:lang w:val="it-IT"/>
        </w:rPr>
        <w:t>16</w:t>
      </w:r>
      <w:r w:rsidRPr="005C650F">
        <w:rPr>
          <w:rFonts w:ascii="Times New Roman" w:eastAsia="Times New Roman" w:hAnsi="Times New Roman" w:cs="Times New Roman"/>
          <w:sz w:val="24"/>
          <w:szCs w:val="24"/>
          <w:lang w:val="it-IT"/>
        </w:rPr>
        <w:t>(5), e1007885. https://doi.org/10.1371/journal.pcbi.1007885</w:t>
      </w:r>
    </w:p>
    <w:p w14:paraId="1557B94F"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proofErr w:type="spellStart"/>
      <w:r w:rsidRPr="00F97EDC">
        <w:rPr>
          <w:rFonts w:ascii="Times New Roman" w:eastAsia="Times New Roman" w:hAnsi="Times New Roman" w:cs="Times New Roman"/>
          <w:sz w:val="24"/>
          <w:szCs w:val="24"/>
        </w:rPr>
        <w:t>Kosciessa</w:t>
      </w:r>
      <w:proofErr w:type="spellEnd"/>
      <w:r w:rsidRPr="00F97EDC">
        <w:rPr>
          <w:rFonts w:ascii="Times New Roman" w:eastAsia="Times New Roman" w:hAnsi="Times New Roman" w:cs="Times New Roman"/>
          <w:sz w:val="24"/>
          <w:szCs w:val="24"/>
        </w:rPr>
        <w:t xml:space="preserve">, J. Q., Kloosterman, N. A., &amp; Garrett, D. D. (2020). Standard multiscale entropy reflects neural dynamics at mismatched temporal scales: What’s signal irregularity got to do with it? </w:t>
      </w:r>
      <w:proofErr w:type="spellStart"/>
      <w:r w:rsidRPr="00F97EDC">
        <w:rPr>
          <w:rFonts w:ascii="Times New Roman" w:eastAsia="Times New Roman" w:hAnsi="Times New Roman" w:cs="Times New Roman"/>
          <w:sz w:val="24"/>
          <w:szCs w:val="24"/>
        </w:rPr>
        <w:t>PLoS</w:t>
      </w:r>
      <w:proofErr w:type="spellEnd"/>
      <w:r w:rsidRPr="00F97EDC">
        <w:rPr>
          <w:rFonts w:ascii="Times New Roman" w:eastAsia="Times New Roman" w:hAnsi="Times New Roman" w:cs="Times New Roman"/>
          <w:sz w:val="24"/>
          <w:szCs w:val="24"/>
        </w:rPr>
        <w:t xml:space="preserve"> Computational Biology, 16(5), e1007885. https://doi.org/10.1371/journal.pcbi.1007885</w:t>
      </w:r>
    </w:p>
    <w:p w14:paraId="616CC43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Krishnan, A., Zhang, R., Yao, V., Theesfeld, C. L., Wong, A. K., Tadych, A., </w:t>
      </w:r>
      <w:proofErr w:type="spellStart"/>
      <w:r w:rsidRPr="00203582">
        <w:rPr>
          <w:rFonts w:ascii="Times New Roman" w:eastAsia="Times New Roman" w:hAnsi="Times New Roman" w:cs="Times New Roman"/>
          <w:sz w:val="24"/>
          <w:szCs w:val="24"/>
        </w:rPr>
        <w:t>Volfovsky</w:t>
      </w:r>
      <w:proofErr w:type="spellEnd"/>
      <w:r w:rsidRPr="00203582">
        <w:rPr>
          <w:rFonts w:ascii="Times New Roman" w:eastAsia="Times New Roman" w:hAnsi="Times New Roman" w:cs="Times New Roman"/>
          <w:sz w:val="24"/>
          <w:szCs w:val="24"/>
        </w:rPr>
        <w:t xml:space="preserve">, N., Packer, A., Lash, A., &amp; </w:t>
      </w:r>
      <w:proofErr w:type="spellStart"/>
      <w:r w:rsidRPr="00203582">
        <w:rPr>
          <w:rFonts w:ascii="Times New Roman" w:eastAsia="Times New Roman" w:hAnsi="Times New Roman" w:cs="Times New Roman"/>
          <w:sz w:val="24"/>
          <w:szCs w:val="24"/>
        </w:rPr>
        <w:t>Troyanskaya</w:t>
      </w:r>
      <w:proofErr w:type="spellEnd"/>
      <w:r w:rsidRPr="00203582">
        <w:rPr>
          <w:rFonts w:ascii="Times New Roman" w:eastAsia="Times New Roman" w:hAnsi="Times New Roman" w:cs="Times New Roman"/>
          <w:sz w:val="24"/>
          <w:szCs w:val="24"/>
        </w:rPr>
        <w:t xml:space="preserve">, O. G. (2016). Genome-wide prediction and functional characterization of the genetic basis of autism spectrum disorder. </w:t>
      </w:r>
      <w:r w:rsidRPr="00203582">
        <w:rPr>
          <w:rFonts w:ascii="Times New Roman" w:eastAsia="Times New Roman" w:hAnsi="Times New Roman" w:cs="Times New Roman"/>
          <w:i/>
          <w:sz w:val="24"/>
          <w:szCs w:val="24"/>
        </w:rPr>
        <w:t>Nature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19</w:t>
      </w:r>
      <w:r w:rsidRPr="00203582">
        <w:rPr>
          <w:rFonts w:ascii="Times New Roman" w:eastAsia="Times New Roman" w:hAnsi="Times New Roman" w:cs="Times New Roman"/>
          <w:sz w:val="24"/>
          <w:szCs w:val="24"/>
        </w:rPr>
        <w:t>(11), 1454–1462. https://doi.org/10.1038/nn.4353</w:t>
      </w:r>
    </w:p>
    <w:p w14:paraId="24AF8A5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Kulage</w:t>
      </w:r>
      <w:proofErr w:type="spellEnd"/>
      <w:r w:rsidRPr="00203582">
        <w:rPr>
          <w:rFonts w:ascii="Times New Roman" w:eastAsia="Times New Roman" w:hAnsi="Times New Roman" w:cs="Times New Roman"/>
          <w:sz w:val="24"/>
          <w:szCs w:val="24"/>
        </w:rPr>
        <w:t xml:space="preserve">, K. M., Smaldone, A. M., &amp; Cohn, E. G. (2014). How will DSM-5 affect autism diagnosis? A systematic literature review and meta-analysis.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44</w:t>
      </w:r>
      <w:r w:rsidRPr="00203582">
        <w:rPr>
          <w:rFonts w:ascii="Times New Roman" w:eastAsia="Times New Roman" w:hAnsi="Times New Roman" w:cs="Times New Roman"/>
          <w:sz w:val="24"/>
          <w:szCs w:val="24"/>
        </w:rPr>
        <w:t>(8), 1918–1932. https://doi.org/10.1007/s10803-014-2065-2</w:t>
      </w:r>
    </w:p>
    <w:p w14:paraId="7D5B96E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Kundu, P., Benson, B. E., Rosen, D., Frangou, S., </w:t>
      </w:r>
      <w:proofErr w:type="spellStart"/>
      <w:r w:rsidRPr="005C650F">
        <w:rPr>
          <w:rFonts w:ascii="Times New Roman" w:eastAsia="Times New Roman" w:hAnsi="Times New Roman" w:cs="Times New Roman"/>
          <w:sz w:val="24"/>
          <w:szCs w:val="24"/>
        </w:rPr>
        <w:t>Leibenluft</w:t>
      </w:r>
      <w:proofErr w:type="spellEnd"/>
      <w:r w:rsidRPr="005C650F">
        <w:rPr>
          <w:rFonts w:ascii="Times New Roman" w:eastAsia="Times New Roman" w:hAnsi="Times New Roman" w:cs="Times New Roman"/>
          <w:sz w:val="24"/>
          <w:szCs w:val="24"/>
        </w:rPr>
        <w:t xml:space="preserve">, E., Luh, W.-M., </w:t>
      </w:r>
      <w:proofErr w:type="spellStart"/>
      <w:r w:rsidRPr="005C650F">
        <w:rPr>
          <w:rFonts w:ascii="Times New Roman" w:eastAsia="Times New Roman" w:hAnsi="Times New Roman" w:cs="Times New Roman"/>
          <w:sz w:val="24"/>
          <w:szCs w:val="24"/>
        </w:rPr>
        <w:t>Bandettini</w:t>
      </w:r>
      <w:proofErr w:type="spellEnd"/>
      <w:r w:rsidRPr="005C650F">
        <w:rPr>
          <w:rFonts w:ascii="Times New Roman" w:eastAsia="Times New Roman" w:hAnsi="Times New Roman" w:cs="Times New Roman"/>
          <w:sz w:val="24"/>
          <w:szCs w:val="24"/>
        </w:rPr>
        <w:t xml:space="preserve">, P. A., Pine, D. S., &amp; Ernst, M. (2018). The Integration of Functional Brain Activity from Adolescence to Adulthood.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38</w:t>
      </w:r>
      <w:r w:rsidRPr="005C650F">
        <w:rPr>
          <w:rFonts w:ascii="Times New Roman" w:eastAsia="Times New Roman" w:hAnsi="Times New Roman" w:cs="Times New Roman"/>
          <w:sz w:val="24"/>
          <w:szCs w:val="24"/>
        </w:rPr>
        <w:t>(14), 3559–3570. https://doi.org/10.1523/JNEUROSCI.1864-17.2018</w:t>
      </w:r>
    </w:p>
    <w:p w14:paraId="3DB81D11"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de-DE"/>
        </w:rPr>
      </w:pPr>
      <w:r w:rsidRPr="005C650F">
        <w:rPr>
          <w:rFonts w:ascii="Times New Roman" w:eastAsia="Times New Roman" w:hAnsi="Times New Roman" w:cs="Times New Roman"/>
          <w:sz w:val="24"/>
          <w:szCs w:val="24"/>
        </w:rPr>
        <w:t xml:space="preserve">Kundu, P., Inati, S. J., Evans, J. W., Luh, W.-M., &amp; </w:t>
      </w:r>
      <w:proofErr w:type="spellStart"/>
      <w:r w:rsidRPr="005C650F">
        <w:rPr>
          <w:rFonts w:ascii="Times New Roman" w:eastAsia="Times New Roman" w:hAnsi="Times New Roman" w:cs="Times New Roman"/>
          <w:sz w:val="24"/>
          <w:szCs w:val="24"/>
        </w:rPr>
        <w:t>Bandettini</w:t>
      </w:r>
      <w:proofErr w:type="spellEnd"/>
      <w:r w:rsidRPr="005C650F">
        <w:rPr>
          <w:rFonts w:ascii="Times New Roman" w:eastAsia="Times New Roman" w:hAnsi="Times New Roman" w:cs="Times New Roman"/>
          <w:sz w:val="24"/>
          <w:szCs w:val="24"/>
        </w:rPr>
        <w:t xml:space="preserve">, P. A. (2012). Differentiating BOLD and non-BOLD signals in fMRI time series using multi-echo EPI. </w:t>
      </w:r>
      <w:r w:rsidRPr="005C650F">
        <w:rPr>
          <w:rFonts w:ascii="Times New Roman" w:eastAsia="Times New Roman" w:hAnsi="Times New Roman" w:cs="Times New Roman"/>
          <w:i/>
          <w:iCs/>
          <w:sz w:val="24"/>
          <w:szCs w:val="24"/>
          <w:lang w:val="de-DE"/>
        </w:rPr>
        <w:t>Neuroimage</w:t>
      </w:r>
      <w:r w:rsidRPr="005C650F">
        <w:rPr>
          <w:rFonts w:ascii="Times New Roman" w:eastAsia="Times New Roman" w:hAnsi="Times New Roman" w:cs="Times New Roman"/>
          <w:sz w:val="24"/>
          <w:szCs w:val="24"/>
          <w:lang w:val="de-DE"/>
        </w:rPr>
        <w:t xml:space="preserve">, </w:t>
      </w:r>
      <w:r w:rsidRPr="005C650F">
        <w:rPr>
          <w:rFonts w:ascii="Times New Roman" w:eastAsia="Times New Roman" w:hAnsi="Times New Roman" w:cs="Times New Roman"/>
          <w:i/>
          <w:iCs/>
          <w:sz w:val="24"/>
          <w:szCs w:val="24"/>
          <w:lang w:val="de-DE"/>
        </w:rPr>
        <w:t>60</w:t>
      </w:r>
      <w:r w:rsidRPr="005C650F">
        <w:rPr>
          <w:rFonts w:ascii="Times New Roman" w:eastAsia="Times New Roman" w:hAnsi="Times New Roman" w:cs="Times New Roman"/>
          <w:sz w:val="24"/>
          <w:szCs w:val="24"/>
          <w:lang w:val="de-DE"/>
        </w:rPr>
        <w:t>(3), 1759–1770. https://doi.org/10.1016/j.neuroimage.2011.12.028</w:t>
      </w:r>
    </w:p>
    <w:p w14:paraId="5B3FDB3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La </w:t>
      </w:r>
      <w:proofErr w:type="spellStart"/>
      <w:r w:rsidRPr="00203582">
        <w:rPr>
          <w:rFonts w:ascii="Times New Roman" w:eastAsia="Times New Roman" w:hAnsi="Times New Roman" w:cs="Times New Roman"/>
          <w:sz w:val="24"/>
          <w:szCs w:val="24"/>
        </w:rPr>
        <w:t>Buissonnière</w:t>
      </w:r>
      <w:proofErr w:type="spellEnd"/>
      <w:r w:rsidRPr="00203582">
        <w:rPr>
          <w:rFonts w:ascii="Times New Roman" w:eastAsia="Times New Roman" w:hAnsi="Times New Roman" w:cs="Times New Roman"/>
          <w:sz w:val="24"/>
          <w:szCs w:val="24"/>
        </w:rPr>
        <w:t xml:space="preserve">-Ariza, V., Wood, J. J., Kendall, P. C., McBride, N. M., Cepeda, S. L., Small, B. J., Lewin, A. B., Kerns, C., &amp; Storch, E. A. (2018). Presentation and Correlates of Hoarding </w:t>
      </w:r>
      <w:proofErr w:type="spellStart"/>
      <w:r w:rsidRPr="00203582">
        <w:rPr>
          <w:rFonts w:ascii="Times New Roman" w:eastAsia="Times New Roman" w:hAnsi="Times New Roman" w:cs="Times New Roman"/>
          <w:sz w:val="24"/>
          <w:szCs w:val="24"/>
        </w:rPr>
        <w:t>Behaviors</w:t>
      </w:r>
      <w:proofErr w:type="spellEnd"/>
      <w:r w:rsidRPr="00203582">
        <w:rPr>
          <w:rFonts w:ascii="Times New Roman" w:eastAsia="Times New Roman" w:hAnsi="Times New Roman" w:cs="Times New Roman"/>
          <w:sz w:val="24"/>
          <w:szCs w:val="24"/>
        </w:rPr>
        <w:t xml:space="preserve"> in Children with Autism Spectrum Disorders and Comorbid Anxiety or Obsessive-Compulsive Symptoms.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48</w:t>
      </w:r>
      <w:r w:rsidRPr="00203582">
        <w:rPr>
          <w:rFonts w:ascii="Times New Roman" w:eastAsia="Times New Roman" w:hAnsi="Times New Roman" w:cs="Times New Roman"/>
          <w:sz w:val="24"/>
          <w:szCs w:val="24"/>
        </w:rPr>
        <w:t>(12), 4167–4178. https://doi.org/10.1007/s10803-018-3645-3</w:t>
      </w:r>
    </w:p>
    <w:p w14:paraId="3BCA604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La Rocca, D., Campisi, P., Vegso, B., </w:t>
      </w:r>
      <w:proofErr w:type="spellStart"/>
      <w:r w:rsidRPr="005C650F">
        <w:rPr>
          <w:rFonts w:ascii="Times New Roman" w:eastAsia="Times New Roman" w:hAnsi="Times New Roman" w:cs="Times New Roman"/>
          <w:sz w:val="24"/>
          <w:szCs w:val="24"/>
        </w:rPr>
        <w:t>Cserti</w:t>
      </w:r>
      <w:proofErr w:type="spellEnd"/>
      <w:r w:rsidRPr="005C650F">
        <w:rPr>
          <w:rFonts w:ascii="Times New Roman" w:eastAsia="Times New Roman" w:hAnsi="Times New Roman" w:cs="Times New Roman"/>
          <w:sz w:val="24"/>
          <w:szCs w:val="24"/>
        </w:rPr>
        <w:t xml:space="preserve">, P., </w:t>
      </w:r>
      <w:proofErr w:type="spellStart"/>
      <w:r w:rsidRPr="005C650F">
        <w:rPr>
          <w:rFonts w:ascii="Times New Roman" w:eastAsia="Times New Roman" w:hAnsi="Times New Roman" w:cs="Times New Roman"/>
          <w:sz w:val="24"/>
          <w:szCs w:val="24"/>
        </w:rPr>
        <w:t>Kozmann</w:t>
      </w:r>
      <w:proofErr w:type="spellEnd"/>
      <w:r w:rsidRPr="005C650F">
        <w:rPr>
          <w:rFonts w:ascii="Times New Roman" w:eastAsia="Times New Roman" w:hAnsi="Times New Roman" w:cs="Times New Roman"/>
          <w:sz w:val="24"/>
          <w:szCs w:val="24"/>
        </w:rPr>
        <w:t xml:space="preserve">, G., Babiloni, F., &amp; De Vico </w:t>
      </w:r>
      <w:proofErr w:type="spellStart"/>
      <w:r w:rsidRPr="005C650F">
        <w:rPr>
          <w:rFonts w:ascii="Times New Roman" w:eastAsia="Times New Roman" w:hAnsi="Times New Roman" w:cs="Times New Roman"/>
          <w:sz w:val="24"/>
          <w:szCs w:val="24"/>
        </w:rPr>
        <w:t>Fallani</w:t>
      </w:r>
      <w:proofErr w:type="spellEnd"/>
      <w:r w:rsidRPr="005C650F">
        <w:rPr>
          <w:rFonts w:ascii="Times New Roman" w:eastAsia="Times New Roman" w:hAnsi="Times New Roman" w:cs="Times New Roman"/>
          <w:sz w:val="24"/>
          <w:szCs w:val="24"/>
        </w:rPr>
        <w:t xml:space="preserve">, F. (2014). Human brain distinctiveness based on EEG spectral coherence connectivity. </w:t>
      </w:r>
      <w:r w:rsidRPr="005C650F">
        <w:rPr>
          <w:rFonts w:ascii="Times New Roman" w:eastAsia="Times New Roman" w:hAnsi="Times New Roman" w:cs="Times New Roman"/>
          <w:i/>
          <w:iCs/>
          <w:sz w:val="24"/>
          <w:szCs w:val="24"/>
        </w:rPr>
        <w:t>IEEE Transactions on Bio-Medical Engineering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61</w:t>
      </w:r>
      <w:r w:rsidRPr="005C650F">
        <w:rPr>
          <w:rFonts w:ascii="Times New Roman" w:eastAsia="Times New Roman" w:hAnsi="Times New Roman" w:cs="Times New Roman"/>
          <w:sz w:val="24"/>
          <w:szCs w:val="24"/>
        </w:rPr>
        <w:t>(9), 2406–2412. https://doi.org/10.1109/TBME.2014.2317881</w:t>
      </w:r>
    </w:p>
    <w:p w14:paraId="5DDBF7E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Lai, M.-C., Kassee, C., </w:t>
      </w:r>
      <w:proofErr w:type="spellStart"/>
      <w:r w:rsidRPr="005C650F">
        <w:rPr>
          <w:rFonts w:ascii="Times New Roman" w:eastAsia="Times New Roman" w:hAnsi="Times New Roman" w:cs="Times New Roman"/>
          <w:sz w:val="24"/>
          <w:szCs w:val="24"/>
        </w:rPr>
        <w:t>Besney</w:t>
      </w:r>
      <w:proofErr w:type="spellEnd"/>
      <w:r w:rsidRPr="005C650F">
        <w:rPr>
          <w:rFonts w:ascii="Times New Roman" w:eastAsia="Times New Roman" w:hAnsi="Times New Roman" w:cs="Times New Roman"/>
          <w:sz w:val="24"/>
          <w:szCs w:val="24"/>
        </w:rPr>
        <w:t xml:space="preserve">, R., Bonato, S., Hull, L., Mandy, W., Szatmari, P., &amp; </w:t>
      </w:r>
      <w:proofErr w:type="spellStart"/>
      <w:r w:rsidRPr="005C650F">
        <w:rPr>
          <w:rFonts w:ascii="Times New Roman" w:eastAsia="Times New Roman" w:hAnsi="Times New Roman" w:cs="Times New Roman"/>
          <w:sz w:val="24"/>
          <w:szCs w:val="24"/>
        </w:rPr>
        <w:t>Ameis</w:t>
      </w:r>
      <w:proofErr w:type="spellEnd"/>
      <w:r w:rsidRPr="005C650F">
        <w:rPr>
          <w:rFonts w:ascii="Times New Roman" w:eastAsia="Times New Roman" w:hAnsi="Times New Roman" w:cs="Times New Roman"/>
          <w:sz w:val="24"/>
          <w:szCs w:val="24"/>
        </w:rPr>
        <w:t xml:space="preserve">, S. H. (2019). Prevalence of co-occurring mental health diagnoses in the autism population: a systematic review and meta-analysis. </w:t>
      </w:r>
      <w:r w:rsidRPr="005C650F">
        <w:rPr>
          <w:rFonts w:ascii="Times New Roman" w:eastAsia="Times New Roman" w:hAnsi="Times New Roman" w:cs="Times New Roman"/>
          <w:i/>
          <w:iCs/>
          <w:sz w:val="24"/>
          <w:szCs w:val="24"/>
        </w:rPr>
        <w:t>The Lancet.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(10), 819–829. https://doi.org/10.1016/S2215-0366(19)30289-5</w:t>
      </w:r>
    </w:p>
    <w:p w14:paraId="5AC1512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Lancaster, G., </w:t>
      </w:r>
      <w:proofErr w:type="spellStart"/>
      <w:r w:rsidRPr="00203582">
        <w:rPr>
          <w:rFonts w:ascii="Times New Roman" w:eastAsia="Times New Roman" w:hAnsi="Times New Roman" w:cs="Times New Roman"/>
          <w:sz w:val="24"/>
          <w:szCs w:val="24"/>
        </w:rPr>
        <w:t>Iatsenko</w:t>
      </w:r>
      <w:proofErr w:type="spellEnd"/>
      <w:r w:rsidRPr="00203582">
        <w:rPr>
          <w:rFonts w:ascii="Times New Roman" w:eastAsia="Times New Roman" w:hAnsi="Times New Roman" w:cs="Times New Roman"/>
          <w:sz w:val="24"/>
          <w:szCs w:val="24"/>
        </w:rPr>
        <w:t xml:space="preserve">, D., Pidde, A., </w:t>
      </w:r>
      <w:proofErr w:type="spellStart"/>
      <w:r w:rsidRPr="00203582">
        <w:rPr>
          <w:rFonts w:ascii="Times New Roman" w:eastAsia="Times New Roman" w:hAnsi="Times New Roman" w:cs="Times New Roman"/>
          <w:sz w:val="24"/>
          <w:szCs w:val="24"/>
        </w:rPr>
        <w:t>Ticcinelli</w:t>
      </w:r>
      <w:proofErr w:type="spellEnd"/>
      <w:r w:rsidRPr="00203582">
        <w:rPr>
          <w:rFonts w:ascii="Times New Roman" w:eastAsia="Times New Roman" w:hAnsi="Times New Roman" w:cs="Times New Roman"/>
          <w:sz w:val="24"/>
          <w:szCs w:val="24"/>
        </w:rPr>
        <w:t xml:space="preserve">, V., &amp; </w:t>
      </w:r>
      <w:proofErr w:type="spellStart"/>
      <w:r w:rsidRPr="00203582">
        <w:rPr>
          <w:rFonts w:ascii="Times New Roman" w:eastAsia="Times New Roman" w:hAnsi="Times New Roman" w:cs="Times New Roman"/>
          <w:sz w:val="24"/>
          <w:szCs w:val="24"/>
        </w:rPr>
        <w:t>Stefanovska</w:t>
      </w:r>
      <w:proofErr w:type="spellEnd"/>
      <w:r w:rsidRPr="00203582">
        <w:rPr>
          <w:rFonts w:ascii="Times New Roman" w:eastAsia="Times New Roman" w:hAnsi="Times New Roman" w:cs="Times New Roman"/>
          <w:sz w:val="24"/>
          <w:szCs w:val="24"/>
        </w:rPr>
        <w:t xml:space="preserve">, A. (2018). Surrogate data for hypothesis testing of physical systems. </w:t>
      </w:r>
      <w:r w:rsidRPr="00203582">
        <w:rPr>
          <w:rFonts w:ascii="Times New Roman" w:eastAsia="Times New Roman" w:hAnsi="Times New Roman" w:cs="Times New Roman"/>
          <w:i/>
          <w:sz w:val="24"/>
          <w:szCs w:val="24"/>
        </w:rPr>
        <w:t>Physics Reports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748</w:t>
      </w:r>
      <w:r w:rsidRPr="00203582">
        <w:rPr>
          <w:rFonts w:ascii="Times New Roman" w:eastAsia="Times New Roman" w:hAnsi="Times New Roman" w:cs="Times New Roman"/>
          <w:sz w:val="24"/>
          <w:szCs w:val="24"/>
        </w:rPr>
        <w:t>, 1–60. https://doi.org/10.1016/j.physrep.2018.06.001</w:t>
      </w:r>
    </w:p>
    <w:p w14:paraId="4552F38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Lange, J., </w:t>
      </w:r>
      <w:proofErr w:type="spellStart"/>
      <w:r w:rsidRPr="005C650F">
        <w:rPr>
          <w:rFonts w:ascii="Times New Roman" w:eastAsia="Times New Roman" w:hAnsi="Times New Roman" w:cs="Times New Roman"/>
          <w:sz w:val="24"/>
          <w:szCs w:val="24"/>
        </w:rPr>
        <w:t>Oostenveld</w:t>
      </w:r>
      <w:proofErr w:type="spellEnd"/>
      <w:r w:rsidRPr="005C650F">
        <w:rPr>
          <w:rFonts w:ascii="Times New Roman" w:eastAsia="Times New Roman" w:hAnsi="Times New Roman" w:cs="Times New Roman"/>
          <w:sz w:val="24"/>
          <w:szCs w:val="24"/>
        </w:rPr>
        <w:t xml:space="preserve">, R., &amp; Fries, P. (2013). Reduced occipital alpha power indexes enhanced excitability rather than improved visual perception.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33</w:t>
      </w:r>
      <w:r w:rsidRPr="005C650F">
        <w:rPr>
          <w:rFonts w:ascii="Times New Roman" w:eastAsia="Times New Roman" w:hAnsi="Times New Roman" w:cs="Times New Roman"/>
          <w:sz w:val="24"/>
          <w:szCs w:val="24"/>
        </w:rPr>
        <w:t>(7), 3212–3220. https://doi.org/10.1523/JNEUROSCI.3755-12.2013</w:t>
      </w:r>
    </w:p>
    <w:p w14:paraId="1A562C6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Lau, Z. J., Pham, T., Chen, S. H. A., &amp; Makowski, D. (2022). </w:t>
      </w:r>
      <w:r w:rsidRPr="005C650F">
        <w:rPr>
          <w:rFonts w:ascii="Times New Roman" w:eastAsia="Times New Roman" w:hAnsi="Times New Roman" w:cs="Times New Roman"/>
          <w:sz w:val="24"/>
          <w:szCs w:val="24"/>
        </w:rPr>
        <w:t xml:space="preserve">Brain entropy, fractal dimensions and predictability: A review of complexity measures for EEG in healthy and neuropsychiatric populations. </w:t>
      </w:r>
      <w:r w:rsidRPr="005C650F">
        <w:rPr>
          <w:rFonts w:ascii="Times New Roman" w:eastAsia="Times New Roman" w:hAnsi="Times New Roman" w:cs="Times New Roman"/>
          <w:i/>
          <w:iCs/>
          <w:sz w:val="24"/>
          <w:szCs w:val="24"/>
        </w:rPr>
        <w:t>The European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56</w:t>
      </w:r>
      <w:r w:rsidRPr="005C650F">
        <w:rPr>
          <w:rFonts w:ascii="Times New Roman" w:eastAsia="Times New Roman" w:hAnsi="Times New Roman" w:cs="Times New Roman"/>
          <w:sz w:val="24"/>
          <w:szCs w:val="24"/>
        </w:rPr>
        <w:t>(7), 5047–5069. https://doi.org/10.1111/ejn.15800</w:t>
      </w:r>
    </w:p>
    <w:p w14:paraId="76F276D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Lawrence, K. E., Hernandez, L. M., Bookheimer, S. Y., &amp; </w:t>
      </w:r>
      <w:proofErr w:type="spellStart"/>
      <w:r w:rsidRPr="005C650F">
        <w:rPr>
          <w:rFonts w:ascii="Times New Roman" w:eastAsia="Times New Roman" w:hAnsi="Times New Roman" w:cs="Times New Roman"/>
          <w:sz w:val="24"/>
          <w:szCs w:val="24"/>
        </w:rPr>
        <w:t>Dapretto</w:t>
      </w:r>
      <w:proofErr w:type="spellEnd"/>
      <w:r w:rsidRPr="005C650F">
        <w:rPr>
          <w:rFonts w:ascii="Times New Roman" w:eastAsia="Times New Roman" w:hAnsi="Times New Roman" w:cs="Times New Roman"/>
          <w:sz w:val="24"/>
          <w:szCs w:val="24"/>
        </w:rPr>
        <w:t xml:space="preserve">, M. (2019). Atypical longitudinal development of functional connectivity in adolescents with autism spectrum disorder. </w:t>
      </w:r>
      <w:r w:rsidRPr="005C650F">
        <w:rPr>
          <w:rFonts w:ascii="Times New Roman" w:eastAsia="Times New Roman" w:hAnsi="Times New Roman" w:cs="Times New Roman"/>
          <w:i/>
          <w:iCs/>
          <w:sz w:val="24"/>
          <w:szCs w:val="24"/>
        </w:rPr>
        <w:t>Autism Research : Official Journal of the International Society for Autism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(1), 53–65. https://doi.org/10.1002/aur.1971</w:t>
      </w:r>
    </w:p>
    <w:p w14:paraId="4EC6B109"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Lee, M. H., Smyser, C. D., &amp; </w:t>
      </w:r>
      <w:proofErr w:type="spellStart"/>
      <w:r w:rsidRPr="00203582">
        <w:rPr>
          <w:rFonts w:ascii="Times New Roman" w:eastAsia="Times New Roman" w:hAnsi="Times New Roman" w:cs="Times New Roman"/>
          <w:sz w:val="24"/>
          <w:szCs w:val="24"/>
        </w:rPr>
        <w:t>Shimony</w:t>
      </w:r>
      <w:proofErr w:type="spellEnd"/>
      <w:r w:rsidRPr="00203582">
        <w:rPr>
          <w:rFonts w:ascii="Times New Roman" w:eastAsia="Times New Roman" w:hAnsi="Times New Roman" w:cs="Times New Roman"/>
          <w:sz w:val="24"/>
          <w:szCs w:val="24"/>
        </w:rPr>
        <w:t xml:space="preserve">, J. S. (2013). Resting-state fMRI: a review of methods and clinical applications. </w:t>
      </w:r>
      <w:r w:rsidRPr="00203582">
        <w:rPr>
          <w:rFonts w:ascii="Times New Roman" w:eastAsia="Times New Roman" w:hAnsi="Times New Roman" w:cs="Times New Roman"/>
          <w:i/>
          <w:sz w:val="24"/>
          <w:szCs w:val="24"/>
        </w:rPr>
        <w:t>American Journal of Neuroradiology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34</w:t>
      </w:r>
      <w:r w:rsidRPr="00203582">
        <w:rPr>
          <w:rFonts w:ascii="Times New Roman" w:eastAsia="Times New Roman" w:hAnsi="Times New Roman" w:cs="Times New Roman"/>
          <w:sz w:val="24"/>
          <w:szCs w:val="24"/>
        </w:rPr>
        <w:t>(10), 1866–1872. https://doi.org/10.3174/ajnr.A3263</w:t>
      </w:r>
    </w:p>
    <w:p w14:paraId="37827B5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Leech</w:t>
      </w:r>
      <w:proofErr w:type="spellEnd"/>
      <w:r w:rsidRPr="005C650F">
        <w:rPr>
          <w:rFonts w:ascii="Times New Roman" w:eastAsia="Times New Roman" w:hAnsi="Times New Roman" w:cs="Times New Roman"/>
          <w:sz w:val="24"/>
          <w:szCs w:val="24"/>
        </w:rPr>
        <w:t xml:space="preserve">, R., Braga, R., &amp; Sharp, D. J. (2012). Echoes of the brain within the posterior cingulate cortex.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32</w:t>
      </w:r>
      <w:r w:rsidRPr="005C650F">
        <w:rPr>
          <w:rFonts w:ascii="Times New Roman" w:eastAsia="Times New Roman" w:hAnsi="Times New Roman" w:cs="Times New Roman"/>
          <w:sz w:val="24"/>
          <w:szCs w:val="24"/>
        </w:rPr>
        <w:t>(1), 215–222. https://doi.org/10.1523/JNEUROSCI.3689-11.2012</w:t>
      </w:r>
    </w:p>
    <w:p w14:paraId="23C18C1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Leech</w:t>
      </w:r>
      <w:proofErr w:type="spellEnd"/>
      <w:r w:rsidRPr="005C650F">
        <w:rPr>
          <w:rFonts w:ascii="Times New Roman" w:eastAsia="Times New Roman" w:hAnsi="Times New Roman" w:cs="Times New Roman"/>
          <w:sz w:val="24"/>
          <w:szCs w:val="24"/>
        </w:rPr>
        <w:t xml:space="preserve">, R., </w:t>
      </w:r>
      <w:proofErr w:type="spellStart"/>
      <w:r w:rsidRPr="005C650F">
        <w:rPr>
          <w:rFonts w:ascii="Times New Roman" w:eastAsia="Times New Roman" w:hAnsi="Times New Roman" w:cs="Times New Roman"/>
          <w:sz w:val="24"/>
          <w:szCs w:val="24"/>
        </w:rPr>
        <w:t>Kamourieh</w:t>
      </w:r>
      <w:proofErr w:type="spellEnd"/>
      <w:r w:rsidRPr="005C650F">
        <w:rPr>
          <w:rFonts w:ascii="Times New Roman" w:eastAsia="Times New Roman" w:hAnsi="Times New Roman" w:cs="Times New Roman"/>
          <w:sz w:val="24"/>
          <w:szCs w:val="24"/>
        </w:rPr>
        <w:t xml:space="preserve">, S., Beckmann, C. F., &amp; Sharp, D. J. (2011). Fractionating the default mode network: distinct contributions of the ventral and dorsal posterior cingulate cortex to cognitive control.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31</w:t>
      </w:r>
      <w:r w:rsidRPr="005C650F">
        <w:rPr>
          <w:rFonts w:ascii="Times New Roman" w:eastAsia="Times New Roman" w:hAnsi="Times New Roman" w:cs="Times New Roman"/>
          <w:sz w:val="24"/>
          <w:szCs w:val="24"/>
        </w:rPr>
        <w:t>(9), 3217–3224. https://doi.org/10.1523/JNEUROSCI.5626-10.2011</w:t>
      </w:r>
    </w:p>
    <w:p w14:paraId="532955DB"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sv-SE"/>
        </w:rPr>
      </w:pPr>
      <w:r w:rsidRPr="00203582">
        <w:rPr>
          <w:rFonts w:ascii="Times New Roman" w:eastAsia="Times New Roman" w:hAnsi="Times New Roman" w:cs="Times New Roman"/>
          <w:sz w:val="24"/>
          <w:szCs w:val="24"/>
        </w:rPr>
        <w:t xml:space="preserve">Lei, M., Meng, G., Zhang, W. M., &amp; Sarkar, N. (2016). Sample entropy of electroencephalogram for children with autism based on virtual driving game. </w:t>
      </w:r>
      <w:r w:rsidRPr="00203582">
        <w:rPr>
          <w:rFonts w:ascii="Times New Roman" w:eastAsia="Times New Roman" w:hAnsi="Times New Roman" w:cs="Times New Roman"/>
          <w:i/>
          <w:sz w:val="24"/>
          <w:szCs w:val="24"/>
          <w:lang w:val="sv-SE"/>
        </w:rPr>
        <w:t>Acta Phys. Sin</w:t>
      </w:r>
      <w:r w:rsidRPr="00203582">
        <w:rPr>
          <w:rFonts w:ascii="Times New Roman" w:eastAsia="Times New Roman" w:hAnsi="Times New Roman" w:cs="Times New Roman"/>
          <w:sz w:val="24"/>
          <w:szCs w:val="24"/>
          <w:lang w:val="sv-SE"/>
        </w:rPr>
        <w:t xml:space="preserve">, </w:t>
      </w:r>
      <w:r w:rsidRPr="00203582">
        <w:rPr>
          <w:rFonts w:ascii="Times New Roman" w:eastAsia="Times New Roman" w:hAnsi="Times New Roman" w:cs="Times New Roman"/>
          <w:i/>
          <w:sz w:val="24"/>
          <w:szCs w:val="24"/>
          <w:lang w:val="sv-SE"/>
        </w:rPr>
        <w:t>65</w:t>
      </w:r>
      <w:r w:rsidRPr="00203582">
        <w:rPr>
          <w:rFonts w:ascii="Times New Roman" w:eastAsia="Times New Roman" w:hAnsi="Times New Roman" w:cs="Times New Roman"/>
          <w:sz w:val="24"/>
          <w:szCs w:val="24"/>
          <w:lang w:val="sv-SE"/>
        </w:rPr>
        <w:t>(108701), 10–7498.</w:t>
      </w:r>
    </w:p>
    <w:p w14:paraId="73CF8F2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Leiser, S. C., Dunlop, J., Bowlby, M. R., &amp; Devilbiss, D. M. (2011). Aligning strategies for using EEG as a surrogate biomarker: a review of preclinical and clinical research. </w:t>
      </w:r>
      <w:r w:rsidRPr="005C650F">
        <w:rPr>
          <w:rFonts w:ascii="Times New Roman" w:eastAsia="Times New Roman" w:hAnsi="Times New Roman" w:cs="Times New Roman"/>
          <w:i/>
          <w:iCs/>
          <w:sz w:val="24"/>
          <w:szCs w:val="24"/>
        </w:rPr>
        <w:t>Biochemical Pharmacology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81</w:t>
      </w:r>
      <w:r w:rsidRPr="005C650F">
        <w:rPr>
          <w:rFonts w:ascii="Times New Roman" w:eastAsia="Times New Roman" w:hAnsi="Times New Roman" w:cs="Times New Roman"/>
          <w:sz w:val="24"/>
          <w:szCs w:val="24"/>
        </w:rPr>
        <w:t>(12), 1408–1421. https://doi.org/10.1016/j.bcp.2010.10.002</w:t>
      </w:r>
    </w:p>
    <w:p w14:paraId="7CB451F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Leshikar</w:t>
      </w:r>
      <w:proofErr w:type="spellEnd"/>
      <w:r w:rsidRPr="005C650F">
        <w:rPr>
          <w:rFonts w:ascii="Times New Roman" w:eastAsia="Times New Roman" w:hAnsi="Times New Roman" w:cs="Times New Roman"/>
          <w:sz w:val="24"/>
          <w:szCs w:val="24"/>
        </w:rPr>
        <w:t xml:space="preserve">, E. D., &amp; Duarte, A. (2012). Medial prefrontal cortex supports source memory accuracy for self-referenced items. </w:t>
      </w:r>
      <w:r w:rsidRPr="005C650F">
        <w:rPr>
          <w:rFonts w:ascii="Times New Roman" w:eastAsia="Times New Roman" w:hAnsi="Times New Roman" w:cs="Times New Roman"/>
          <w:i/>
          <w:iCs/>
          <w:sz w:val="24"/>
          <w:szCs w:val="24"/>
        </w:rPr>
        <w:t>Social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(2), 126–145. https://doi.org/10.1080/17470919.2011.585242</w:t>
      </w:r>
    </w:p>
    <w:p w14:paraId="2CB864F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Levin, A. R., </w:t>
      </w:r>
      <w:proofErr w:type="spellStart"/>
      <w:r w:rsidRPr="005C650F">
        <w:rPr>
          <w:rFonts w:ascii="Times New Roman" w:eastAsia="Times New Roman" w:hAnsi="Times New Roman" w:cs="Times New Roman"/>
          <w:sz w:val="24"/>
          <w:szCs w:val="24"/>
        </w:rPr>
        <w:t>Varcin</w:t>
      </w:r>
      <w:proofErr w:type="spellEnd"/>
      <w:r w:rsidRPr="005C650F">
        <w:rPr>
          <w:rFonts w:ascii="Times New Roman" w:eastAsia="Times New Roman" w:hAnsi="Times New Roman" w:cs="Times New Roman"/>
          <w:sz w:val="24"/>
          <w:szCs w:val="24"/>
        </w:rPr>
        <w:t>, K. J., O’Leary, H. M., Tager-</w:t>
      </w:r>
      <w:proofErr w:type="spellStart"/>
      <w:r w:rsidRPr="005C650F">
        <w:rPr>
          <w:rFonts w:ascii="Times New Roman" w:eastAsia="Times New Roman" w:hAnsi="Times New Roman" w:cs="Times New Roman"/>
          <w:sz w:val="24"/>
          <w:szCs w:val="24"/>
        </w:rPr>
        <w:t>Flusberg</w:t>
      </w:r>
      <w:proofErr w:type="spellEnd"/>
      <w:r w:rsidRPr="005C650F">
        <w:rPr>
          <w:rFonts w:ascii="Times New Roman" w:eastAsia="Times New Roman" w:hAnsi="Times New Roman" w:cs="Times New Roman"/>
          <w:sz w:val="24"/>
          <w:szCs w:val="24"/>
        </w:rPr>
        <w:t xml:space="preserve">, H., &amp; Nelson, C. A. (2017). EEG power at 3 months in infants at high familial risk for autism. </w:t>
      </w:r>
      <w:r w:rsidRPr="005C650F">
        <w:rPr>
          <w:rFonts w:ascii="Times New Roman" w:eastAsia="Times New Roman" w:hAnsi="Times New Roman" w:cs="Times New Roman"/>
          <w:i/>
          <w:iCs/>
          <w:sz w:val="24"/>
          <w:szCs w:val="24"/>
        </w:rPr>
        <w:t>Journal of Neurodevelopmental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(1), 34. https://doi.org/10.1186/s11689-017-9214-9</w:t>
      </w:r>
    </w:p>
    <w:p w14:paraId="3907210B"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sv-SE"/>
        </w:rPr>
      </w:pPr>
      <w:r w:rsidRPr="005C650F">
        <w:rPr>
          <w:rFonts w:ascii="Times New Roman" w:eastAsia="Times New Roman" w:hAnsi="Times New Roman" w:cs="Times New Roman"/>
          <w:sz w:val="24"/>
          <w:szCs w:val="24"/>
        </w:rPr>
        <w:t xml:space="preserve">Li, A., Zalesky, A., Yue, W., Howes, O., Yan, H., Liu, Y., Fan, L., Whitaker, K. J., Xu, K., Rao, G., Li, J., Liu, S., Wang, M., Sun, Y., Song, M., Li, P., Chen, J., Chen, Y., Wang, H., … Liu, B. (2020). A neuroimaging biomarker for striatal dysfunction in schizophrenia. </w:t>
      </w:r>
      <w:r w:rsidRPr="005C650F">
        <w:rPr>
          <w:rFonts w:ascii="Times New Roman" w:eastAsia="Times New Roman" w:hAnsi="Times New Roman" w:cs="Times New Roman"/>
          <w:i/>
          <w:iCs/>
          <w:sz w:val="24"/>
          <w:szCs w:val="24"/>
          <w:lang w:val="sv-SE"/>
        </w:rPr>
        <w:t>Nature Medicine</w:t>
      </w:r>
      <w:r w:rsidRPr="005C650F">
        <w:rPr>
          <w:rFonts w:ascii="Times New Roman" w:eastAsia="Times New Roman" w:hAnsi="Times New Roman" w:cs="Times New Roman"/>
          <w:sz w:val="24"/>
          <w:szCs w:val="24"/>
          <w:lang w:val="sv-SE"/>
        </w:rPr>
        <w:t xml:space="preserve">, </w:t>
      </w:r>
      <w:r w:rsidRPr="005C650F">
        <w:rPr>
          <w:rFonts w:ascii="Times New Roman" w:eastAsia="Times New Roman" w:hAnsi="Times New Roman" w:cs="Times New Roman"/>
          <w:i/>
          <w:iCs/>
          <w:sz w:val="24"/>
          <w:szCs w:val="24"/>
          <w:lang w:val="sv-SE"/>
        </w:rPr>
        <w:t>26</w:t>
      </w:r>
      <w:r w:rsidRPr="005C650F">
        <w:rPr>
          <w:rFonts w:ascii="Times New Roman" w:eastAsia="Times New Roman" w:hAnsi="Times New Roman" w:cs="Times New Roman"/>
          <w:sz w:val="24"/>
          <w:szCs w:val="24"/>
          <w:lang w:val="sv-SE"/>
        </w:rPr>
        <w:t>(4), 558–565. https://doi.org/10.1038/s41591-020-0793-8</w:t>
      </w:r>
    </w:p>
    <w:p w14:paraId="618B626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sv-SE"/>
        </w:rPr>
        <w:t xml:space="preserve">Li, G., Rossbach, K., Jiang, W., &amp; Du, Y. (2018). </w:t>
      </w:r>
      <w:r w:rsidRPr="00203582">
        <w:rPr>
          <w:rFonts w:ascii="Times New Roman" w:eastAsia="Times New Roman" w:hAnsi="Times New Roman" w:cs="Times New Roman"/>
          <w:sz w:val="24"/>
          <w:szCs w:val="24"/>
        </w:rPr>
        <w:t xml:space="preserve">Resting-state brain activity in Chinese boys with low functioning autism spectrum disorder. </w:t>
      </w:r>
      <w:r w:rsidRPr="00203582">
        <w:rPr>
          <w:rFonts w:ascii="Times New Roman" w:eastAsia="Times New Roman" w:hAnsi="Times New Roman" w:cs="Times New Roman"/>
          <w:i/>
          <w:sz w:val="24"/>
          <w:szCs w:val="24"/>
        </w:rPr>
        <w:t>Annals of General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17</w:t>
      </w:r>
      <w:r w:rsidRPr="00203582">
        <w:rPr>
          <w:rFonts w:ascii="Times New Roman" w:eastAsia="Times New Roman" w:hAnsi="Times New Roman" w:cs="Times New Roman"/>
          <w:sz w:val="24"/>
          <w:szCs w:val="24"/>
        </w:rPr>
        <w:t>, 47. https://doi.org/10.1186/s12991-018-0217-z</w:t>
      </w:r>
    </w:p>
    <w:p w14:paraId="3B4A3D1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lastRenderedPageBreak/>
        <w:t xml:space="preserve">Li, G., Rossbach, K., Jiang, W., &amp; Du, Y. (2018). </w:t>
      </w:r>
      <w:r w:rsidRPr="005C650F">
        <w:rPr>
          <w:rFonts w:ascii="Times New Roman" w:eastAsia="Times New Roman" w:hAnsi="Times New Roman" w:cs="Times New Roman"/>
          <w:sz w:val="24"/>
          <w:szCs w:val="24"/>
        </w:rPr>
        <w:t xml:space="preserve">Resting-state brain activity in Chinese boys with low functioning autism spectrum disorder. </w:t>
      </w:r>
      <w:r w:rsidRPr="005C650F">
        <w:rPr>
          <w:rFonts w:ascii="Times New Roman" w:eastAsia="Times New Roman" w:hAnsi="Times New Roman" w:cs="Times New Roman"/>
          <w:i/>
          <w:iCs/>
          <w:sz w:val="24"/>
          <w:szCs w:val="24"/>
        </w:rPr>
        <w:t>Annals of General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w:t>
      </w:r>
      <w:r w:rsidRPr="005C650F">
        <w:rPr>
          <w:rFonts w:ascii="Times New Roman" w:eastAsia="Times New Roman" w:hAnsi="Times New Roman" w:cs="Times New Roman"/>
          <w:sz w:val="24"/>
          <w:szCs w:val="24"/>
        </w:rPr>
        <w:t>, 47. https://doi.org/10.1186/s12991-018-0217-z</w:t>
      </w:r>
    </w:p>
    <w:p w14:paraId="2A158B7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Li, J., Chen, X., Zheng, R., Chen, A., Zhou, Y., &amp; Ruan, J. (2022). Altered Cerebellum Spontaneous Activity in Juvenile Autism Spectrum Disorders Associated with Clinical Traits. </w:t>
      </w:r>
      <w:r w:rsidRPr="005C650F">
        <w:rPr>
          <w:rFonts w:ascii="Times New Roman" w:eastAsia="Times New Roman" w:hAnsi="Times New Roman" w:cs="Times New Roman"/>
          <w:i/>
          <w:iCs/>
          <w:sz w:val="24"/>
          <w:szCs w:val="24"/>
        </w:rPr>
        <w:t>Journal of Autism and 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52</w:t>
      </w:r>
      <w:r w:rsidRPr="005C650F">
        <w:rPr>
          <w:rFonts w:ascii="Times New Roman" w:eastAsia="Times New Roman" w:hAnsi="Times New Roman" w:cs="Times New Roman"/>
          <w:sz w:val="24"/>
          <w:szCs w:val="24"/>
        </w:rPr>
        <w:t>(6), 2497–2504. https://doi.org/10.1007/s10803-021-05167-6</w:t>
      </w:r>
    </w:p>
    <w:p w14:paraId="1795443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Li, L., He, C., Jian, T., Guo, X., Xiao, J., Li, Y., Chen, H., Kang, X., Chen, H., &amp; Duan, X. (2021). Attenuated link between the medial prefrontal cortex and the amygdala in children with autism spectrum disorder: Evidence from effective connectivity within the “social brain”. </w:t>
      </w:r>
      <w:r w:rsidRPr="005C650F">
        <w:rPr>
          <w:rFonts w:ascii="Times New Roman" w:eastAsia="Times New Roman" w:hAnsi="Times New Roman" w:cs="Times New Roman"/>
          <w:i/>
          <w:iCs/>
          <w:sz w:val="24"/>
          <w:szCs w:val="24"/>
        </w:rPr>
        <w:t>Progress in Neuro-Psychopharmacology &amp; 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111</w:t>
      </w:r>
      <w:r w:rsidRPr="005C650F">
        <w:rPr>
          <w:rFonts w:ascii="Times New Roman" w:eastAsia="Times New Roman" w:hAnsi="Times New Roman" w:cs="Times New Roman"/>
          <w:sz w:val="24"/>
          <w:szCs w:val="24"/>
        </w:rPr>
        <w:t>, 110147. https://doi.org/10.1016/j.pnpbp.2020.110147</w:t>
      </w:r>
    </w:p>
    <w:p w14:paraId="54665A2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Li, M.-T., Zhang, S.-X., Li, X., Antwi, C. O., Sun, J.-W., Wang, C., Sun, X.-H., Jia, X.-Z., &amp; Ren, J. (2021). Amplitude of Low-Frequency Fluctuation in Multiple Frequency Bands in Tension-Type Headache Patients: A Resting-State Functional Magnetic Resonance Imaging Study. </w:t>
      </w:r>
      <w:r w:rsidRPr="005C650F">
        <w:rPr>
          <w:rFonts w:ascii="Times New Roman" w:eastAsia="Times New Roman" w:hAnsi="Times New Roman" w:cs="Times New Roman"/>
          <w:i/>
          <w:iCs/>
          <w:sz w:val="24"/>
          <w:szCs w:val="24"/>
        </w:rPr>
        <w:t>Frontiers in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15</w:t>
      </w:r>
      <w:r w:rsidRPr="005C650F">
        <w:rPr>
          <w:rFonts w:ascii="Times New Roman" w:eastAsia="Times New Roman" w:hAnsi="Times New Roman" w:cs="Times New Roman"/>
          <w:sz w:val="24"/>
          <w:szCs w:val="24"/>
        </w:rPr>
        <w:t>, 742973. https://doi.org/10.3389/fnins.2021.742973</w:t>
      </w:r>
    </w:p>
    <w:p w14:paraId="759D6D25"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t xml:space="preserve">Li, R., Utevsky, A. V., Huettel, S. A., Braams, B. R., Peters, S., Crone, E. A., &amp; van Duijvenvoorde, A. C. K. (2019). Developmental maturation of the </w:t>
      </w:r>
      <w:proofErr w:type="spellStart"/>
      <w:r w:rsidRPr="005C650F">
        <w:rPr>
          <w:rFonts w:ascii="Times New Roman" w:eastAsia="Times New Roman" w:hAnsi="Times New Roman" w:cs="Times New Roman"/>
          <w:sz w:val="24"/>
          <w:szCs w:val="24"/>
        </w:rPr>
        <w:t>precuneus</w:t>
      </w:r>
      <w:proofErr w:type="spellEnd"/>
      <w:r w:rsidRPr="005C650F">
        <w:rPr>
          <w:rFonts w:ascii="Times New Roman" w:eastAsia="Times New Roman" w:hAnsi="Times New Roman" w:cs="Times New Roman"/>
          <w:sz w:val="24"/>
          <w:szCs w:val="24"/>
        </w:rPr>
        <w:t xml:space="preserve"> as a functional core of the default mode network. </w:t>
      </w:r>
      <w:r w:rsidRPr="005C650F">
        <w:rPr>
          <w:rFonts w:ascii="Times New Roman" w:eastAsia="Times New Roman" w:hAnsi="Times New Roman" w:cs="Times New Roman"/>
          <w:i/>
          <w:iCs/>
          <w:sz w:val="24"/>
          <w:szCs w:val="24"/>
          <w:lang w:val="fr-FR"/>
        </w:rPr>
        <w:t>Journal of Cognitive Neuroscience</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31</w:t>
      </w:r>
      <w:r w:rsidRPr="005C650F">
        <w:rPr>
          <w:rFonts w:ascii="Times New Roman" w:eastAsia="Times New Roman" w:hAnsi="Times New Roman" w:cs="Times New Roman"/>
          <w:sz w:val="24"/>
          <w:szCs w:val="24"/>
          <w:lang w:val="fr-FR"/>
        </w:rPr>
        <w:t>(10), 1506–1519. https://doi.org/10.1162/jocn_a_01426</w:t>
      </w:r>
    </w:p>
    <w:p w14:paraId="3371229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Li, W., Mai, X., &amp; Liu, C. (2014). The default mode network and social understanding of others: what do brain connectivity studies tell us.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w:t>
      </w:r>
      <w:r w:rsidRPr="00203582">
        <w:rPr>
          <w:rFonts w:ascii="Times New Roman" w:eastAsia="Times New Roman" w:hAnsi="Times New Roman" w:cs="Times New Roman"/>
          <w:sz w:val="24"/>
          <w:szCs w:val="24"/>
        </w:rPr>
        <w:t>, 74. https://doi.org/10.3389/fnhum.2014.00074</w:t>
      </w:r>
    </w:p>
    <w:p w14:paraId="164A031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Li, X., Zou, H., &amp; Brown, W. T. (2012). Genes associated with autism spectrum disorder. </w:t>
      </w:r>
      <w:r w:rsidRPr="00203582">
        <w:rPr>
          <w:rFonts w:ascii="Times New Roman" w:eastAsia="Times New Roman" w:hAnsi="Times New Roman" w:cs="Times New Roman"/>
          <w:i/>
          <w:sz w:val="24"/>
          <w:szCs w:val="24"/>
        </w:rPr>
        <w:t>Brain Research Bulletin</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88</w:t>
      </w:r>
      <w:r w:rsidRPr="00203582">
        <w:rPr>
          <w:rFonts w:ascii="Times New Roman" w:eastAsia="Times New Roman" w:hAnsi="Times New Roman" w:cs="Times New Roman"/>
          <w:sz w:val="24"/>
          <w:szCs w:val="24"/>
        </w:rPr>
        <w:t>(6), 543–552. https://doi.org/10.1016/j.brainresbull.2012.05.017</w:t>
      </w:r>
    </w:p>
    <w:p w14:paraId="3065F861"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lastRenderedPageBreak/>
        <w:t xml:space="preserve">Lian, F., &amp; </w:t>
      </w:r>
      <w:proofErr w:type="spellStart"/>
      <w:r w:rsidRPr="005C650F">
        <w:rPr>
          <w:rFonts w:ascii="Times New Roman" w:eastAsia="Times New Roman" w:hAnsi="Times New Roman" w:cs="Times New Roman"/>
          <w:sz w:val="24"/>
          <w:szCs w:val="24"/>
        </w:rPr>
        <w:t>Northoff</w:t>
      </w:r>
      <w:proofErr w:type="spellEnd"/>
      <w:r w:rsidRPr="005C650F">
        <w:rPr>
          <w:rFonts w:ascii="Times New Roman" w:eastAsia="Times New Roman" w:hAnsi="Times New Roman" w:cs="Times New Roman"/>
          <w:sz w:val="24"/>
          <w:szCs w:val="24"/>
        </w:rPr>
        <w:t xml:space="preserve">, G. (2021). The Lost Neural Hierarchy of the Autistic Self-Locked-Out of the Mental Self and Its Default-Mode Network. </w:t>
      </w:r>
      <w:r w:rsidRPr="005C650F">
        <w:rPr>
          <w:rFonts w:ascii="Times New Roman" w:eastAsia="Times New Roman" w:hAnsi="Times New Roman" w:cs="Times New Roman"/>
          <w:i/>
          <w:iCs/>
          <w:sz w:val="24"/>
          <w:szCs w:val="24"/>
          <w:lang w:val="fr-FR"/>
        </w:rPr>
        <w:t>Brain Sciences</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11</w:t>
      </w:r>
      <w:r w:rsidRPr="005C650F">
        <w:rPr>
          <w:rFonts w:ascii="Times New Roman" w:eastAsia="Times New Roman" w:hAnsi="Times New Roman" w:cs="Times New Roman"/>
          <w:sz w:val="24"/>
          <w:szCs w:val="24"/>
          <w:lang w:val="fr-FR"/>
        </w:rPr>
        <w:t>(5). https://doi.org/10.3390/brainsci11050574</w:t>
      </w:r>
    </w:p>
    <w:p w14:paraId="52F66559"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es-ES_tradnl"/>
        </w:rPr>
      </w:pPr>
      <w:r w:rsidRPr="005C650F">
        <w:rPr>
          <w:rFonts w:ascii="Times New Roman" w:eastAsia="Times New Roman" w:hAnsi="Times New Roman" w:cs="Times New Roman"/>
          <w:sz w:val="24"/>
          <w:szCs w:val="24"/>
          <w:lang w:val="fr-FR"/>
        </w:rPr>
        <w:t xml:space="preserve">Lin, H.-Y., Ni, H.-C., Lai, M.-C., </w:t>
      </w:r>
      <w:proofErr w:type="spellStart"/>
      <w:r w:rsidRPr="005C650F">
        <w:rPr>
          <w:rFonts w:ascii="Times New Roman" w:eastAsia="Times New Roman" w:hAnsi="Times New Roman" w:cs="Times New Roman"/>
          <w:sz w:val="24"/>
          <w:szCs w:val="24"/>
          <w:lang w:val="fr-FR"/>
        </w:rPr>
        <w:t>Tseng</w:t>
      </w:r>
      <w:proofErr w:type="spellEnd"/>
      <w:r w:rsidRPr="005C650F">
        <w:rPr>
          <w:rFonts w:ascii="Times New Roman" w:eastAsia="Times New Roman" w:hAnsi="Times New Roman" w:cs="Times New Roman"/>
          <w:sz w:val="24"/>
          <w:szCs w:val="24"/>
          <w:lang w:val="fr-FR"/>
        </w:rPr>
        <w:t xml:space="preserve">, W.-Y. I., &amp; Gau, S. S.-F. (2015). </w:t>
      </w:r>
      <w:r w:rsidRPr="005C650F">
        <w:rPr>
          <w:rFonts w:ascii="Times New Roman" w:eastAsia="Times New Roman" w:hAnsi="Times New Roman" w:cs="Times New Roman"/>
          <w:sz w:val="24"/>
          <w:szCs w:val="24"/>
        </w:rPr>
        <w:t xml:space="preserve">Regional brain volume differences between males with and without autism spectrum disorder are highly age-dependent. </w:t>
      </w:r>
      <w:r w:rsidRPr="005C650F">
        <w:rPr>
          <w:rFonts w:ascii="Times New Roman" w:eastAsia="Times New Roman" w:hAnsi="Times New Roman" w:cs="Times New Roman"/>
          <w:i/>
          <w:iCs/>
          <w:sz w:val="24"/>
          <w:szCs w:val="24"/>
          <w:lang w:val="es-ES_tradnl"/>
        </w:rPr>
        <w:t xml:space="preserve">Molecular </w:t>
      </w:r>
      <w:proofErr w:type="spellStart"/>
      <w:r w:rsidRPr="005C650F">
        <w:rPr>
          <w:rFonts w:ascii="Times New Roman" w:eastAsia="Times New Roman" w:hAnsi="Times New Roman" w:cs="Times New Roman"/>
          <w:i/>
          <w:iCs/>
          <w:sz w:val="24"/>
          <w:szCs w:val="24"/>
          <w:lang w:val="es-ES_tradnl"/>
        </w:rPr>
        <w:t>Autism</w:t>
      </w:r>
      <w:proofErr w:type="spellEnd"/>
      <w:r w:rsidRPr="005C650F">
        <w:rPr>
          <w:rFonts w:ascii="Times New Roman" w:eastAsia="Times New Roman" w:hAnsi="Times New Roman" w:cs="Times New Roman"/>
          <w:sz w:val="24"/>
          <w:szCs w:val="24"/>
          <w:lang w:val="es-ES_tradnl"/>
        </w:rPr>
        <w:t xml:space="preserve">, </w:t>
      </w:r>
      <w:r w:rsidRPr="005C650F">
        <w:rPr>
          <w:rFonts w:ascii="Times New Roman" w:eastAsia="Times New Roman" w:hAnsi="Times New Roman" w:cs="Times New Roman"/>
          <w:i/>
          <w:iCs/>
          <w:sz w:val="24"/>
          <w:szCs w:val="24"/>
          <w:lang w:val="es-ES_tradnl"/>
        </w:rPr>
        <w:t>6</w:t>
      </w:r>
      <w:r w:rsidRPr="005C650F">
        <w:rPr>
          <w:rFonts w:ascii="Times New Roman" w:eastAsia="Times New Roman" w:hAnsi="Times New Roman" w:cs="Times New Roman"/>
          <w:sz w:val="24"/>
          <w:szCs w:val="24"/>
          <w:lang w:val="es-ES_tradnl"/>
        </w:rPr>
        <w:t>, 29. https://doi.org/10.1186/s13229-015-0022-3</w:t>
      </w:r>
    </w:p>
    <w:p w14:paraId="519AE57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fr-FR"/>
        </w:rPr>
        <w:t xml:space="preserve">Lin, L., Chang, D., Song, D., Li, Y., &amp; Wang, Z. (2022). </w:t>
      </w:r>
      <w:r w:rsidRPr="005C650F">
        <w:rPr>
          <w:rFonts w:ascii="Times New Roman" w:eastAsia="Times New Roman" w:hAnsi="Times New Roman" w:cs="Times New Roman"/>
          <w:sz w:val="24"/>
          <w:szCs w:val="24"/>
        </w:rPr>
        <w:t xml:space="preserve">Lower resting brain entropy is associated with stronger task activation and deactivation.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249</w:t>
      </w:r>
      <w:r w:rsidRPr="005C650F">
        <w:rPr>
          <w:rFonts w:ascii="Times New Roman" w:eastAsia="Times New Roman" w:hAnsi="Times New Roman" w:cs="Times New Roman"/>
          <w:sz w:val="24"/>
          <w:szCs w:val="24"/>
        </w:rPr>
        <w:t>, 118875. https://doi.org/10.1016/j.neuroimage.2022.118875</w:t>
      </w:r>
    </w:p>
    <w:p w14:paraId="3E60FF4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es-ES_tradnl"/>
        </w:rPr>
        <w:t xml:space="preserve">Lin, S.-H., Lee, L.-T., &amp; Yang, Y. K. (2014). </w:t>
      </w:r>
      <w:r w:rsidRPr="005C650F">
        <w:rPr>
          <w:rFonts w:ascii="Times New Roman" w:eastAsia="Times New Roman" w:hAnsi="Times New Roman" w:cs="Times New Roman"/>
          <w:sz w:val="24"/>
          <w:szCs w:val="24"/>
        </w:rPr>
        <w:t xml:space="preserve">Serotonin and mental disorders: a concise review on molecular neuroimaging evidence. </w:t>
      </w:r>
      <w:r w:rsidRPr="005C650F">
        <w:rPr>
          <w:rFonts w:ascii="Times New Roman" w:eastAsia="Times New Roman" w:hAnsi="Times New Roman" w:cs="Times New Roman"/>
          <w:i/>
          <w:iCs/>
          <w:sz w:val="24"/>
          <w:szCs w:val="24"/>
        </w:rPr>
        <w:t>Clinical Psychopharmacology and Neuroscience : The Official Scientific Journal of the Korean College of Neuropsychopharmacology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(3), 196–202. https://doi.org/10.9758/cpn.2014.12.3.196</w:t>
      </w:r>
    </w:p>
    <w:p w14:paraId="2A2E683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Lippé</w:t>
      </w:r>
      <w:proofErr w:type="spellEnd"/>
      <w:r w:rsidRPr="00203582">
        <w:rPr>
          <w:rFonts w:ascii="Times New Roman" w:eastAsia="Times New Roman" w:hAnsi="Times New Roman" w:cs="Times New Roman"/>
          <w:sz w:val="24"/>
          <w:szCs w:val="24"/>
        </w:rPr>
        <w:t xml:space="preserve">, S., Kovacevic, N., &amp; McIntosh, A. R. (2009). Differential maturation of brain signal complexity in the human auditory and visual system.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w:t>
      </w:r>
      <w:r w:rsidRPr="00203582">
        <w:rPr>
          <w:rFonts w:ascii="Times New Roman" w:eastAsia="Times New Roman" w:hAnsi="Times New Roman" w:cs="Times New Roman"/>
          <w:sz w:val="24"/>
          <w:szCs w:val="24"/>
        </w:rPr>
        <w:t>, 48. https://doi.org/10.3389/neuro.09.048.2009</w:t>
      </w:r>
    </w:p>
    <w:p w14:paraId="515FDD0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Lippé</w:t>
      </w:r>
      <w:proofErr w:type="spellEnd"/>
      <w:r w:rsidRPr="005C650F">
        <w:rPr>
          <w:rFonts w:ascii="Times New Roman" w:eastAsia="Times New Roman" w:hAnsi="Times New Roman" w:cs="Times New Roman"/>
          <w:sz w:val="24"/>
          <w:szCs w:val="24"/>
        </w:rPr>
        <w:t xml:space="preserve">, S., Kovacevic, N., &amp; McIntosh, A. R. (2009). Differential maturation of brain signal complexity in the human auditory and visual system.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w:t>
      </w:r>
      <w:r w:rsidRPr="005C650F">
        <w:rPr>
          <w:rFonts w:ascii="Times New Roman" w:eastAsia="Times New Roman" w:hAnsi="Times New Roman" w:cs="Times New Roman"/>
          <w:sz w:val="24"/>
          <w:szCs w:val="24"/>
        </w:rPr>
        <w:t>, 48. https://doi.org/10.3389/neuro.09.048.2009</w:t>
      </w:r>
    </w:p>
    <w:p w14:paraId="65AECBA7"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r w:rsidRPr="00203582">
        <w:rPr>
          <w:rFonts w:ascii="Times New Roman" w:eastAsia="Times New Roman" w:hAnsi="Times New Roman" w:cs="Times New Roman"/>
          <w:sz w:val="24"/>
          <w:szCs w:val="24"/>
        </w:rPr>
        <w:t xml:space="preserve">Lipsitz, L. A. (1992). Loss of “complexity” and aging. </w:t>
      </w:r>
      <w:r w:rsidRPr="00203582">
        <w:rPr>
          <w:rFonts w:ascii="Times New Roman" w:eastAsia="Times New Roman" w:hAnsi="Times New Roman" w:cs="Times New Roman"/>
          <w:i/>
          <w:sz w:val="24"/>
          <w:szCs w:val="24"/>
          <w:lang w:val="fr-FR"/>
        </w:rPr>
        <w:t>JAMA</w:t>
      </w:r>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267</w:t>
      </w:r>
      <w:r w:rsidRPr="00203582">
        <w:rPr>
          <w:rFonts w:ascii="Times New Roman" w:eastAsia="Times New Roman" w:hAnsi="Times New Roman" w:cs="Times New Roman"/>
          <w:sz w:val="24"/>
          <w:szCs w:val="24"/>
          <w:lang w:val="fr-FR"/>
        </w:rPr>
        <w:t>(13), 1806. https://doi.org/10.1001/jama.1992.03480130122036</w:t>
      </w:r>
    </w:p>
    <w:p w14:paraId="7DC7A067"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t xml:space="preserve">Lipsitz, L. A. (1992). Loss of “complexity” and aging. </w:t>
      </w:r>
      <w:r w:rsidRPr="005C650F">
        <w:rPr>
          <w:rFonts w:ascii="Times New Roman" w:eastAsia="Times New Roman" w:hAnsi="Times New Roman" w:cs="Times New Roman"/>
          <w:i/>
          <w:iCs/>
          <w:sz w:val="24"/>
          <w:szCs w:val="24"/>
          <w:lang w:val="fr-FR"/>
        </w:rPr>
        <w:t>JAMA</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267</w:t>
      </w:r>
      <w:r w:rsidRPr="005C650F">
        <w:rPr>
          <w:rFonts w:ascii="Times New Roman" w:eastAsia="Times New Roman" w:hAnsi="Times New Roman" w:cs="Times New Roman"/>
          <w:sz w:val="24"/>
          <w:szCs w:val="24"/>
          <w:lang w:val="fr-FR"/>
        </w:rPr>
        <w:t>(13), 1806. https://doi.org/10.1001/jama.1992.03480130122036</w:t>
      </w:r>
    </w:p>
    <w:p w14:paraId="6E618E58"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t xml:space="preserve">Lipsitz, L. A. (1992). Loss of “complexity” and aging. </w:t>
      </w:r>
      <w:r w:rsidRPr="005C650F">
        <w:rPr>
          <w:rFonts w:ascii="Times New Roman" w:eastAsia="Times New Roman" w:hAnsi="Times New Roman" w:cs="Times New Roman"/>
          <w:i/>
          <w:iCs/>
          <w:sz w:val="24"/>
          <w:szCs w:val="24"/>
          <w:lang w:val="fr-FR"/>
        </w:rPr>
        <w:t>JAMA</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267</w:t>
      </w:r>
      <w:r w:rsidRPr="005C650F">
        <w:rPr>
          <w:rFonts w:ascii="Times New Roman" w:eastAsia="Times New Roman" w:hAnsi="Times New Roman" w:cs="Times New Roman"/>
          <w:sz w:val="24"/>
          <w:szCs w:val="24"/>
          <w:lang w:val="fr-FR"/>
        </w:rPr>
        <w:t>(13), 1806. https://doi.org/10.1001/jama.1992.03480130122036</w:t>
      </w:r>
    </w:p>
    <w:p w14:paraId="2F9EBAC9"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lastRenderedPageBreak/>
        <w:t xml:space="preserve">Lipsitz, L. A. (1992). Loss of “complexity” and aging. </w:t>
      </w:r>
      <w:r w:rsidRPr="005C650F">
        <w:rPr>
          <w:rFonts w:ascii="Times New Roman" w:eastAsia="Times New Roman" w:hAnsi="Times New Roman" w:cs="Times New Roman"/>
          <w:i/>
          <w:iCs/>
          <w:sz w:val="24"/>
          <w:szCs w:val="24"/>
          <w:lang w:val="fr-FR"/>
        </w:rPr>
        <w:t>JAMA</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267</w:t>
      </w:r>
      <w:r w:rsidRPr="005C650F">
        <w:rPr>
          <w:rFonts w:ascii="Times New Roman" w:eastAsia="Times New Roman" w:hAnsi="Times New Roman" w:cs="Times New Roman"/>
          <w:sz w:val="24"/>
          <w:szCs w:val="24"/>
          <w:lang w:val="fr-FR"/>
        </w:rPr>
        <w:t>(13), 1806. https://doi.org/10.1001/jama.1992.03480130122036</w:t>
      </w:r>
    </w:p>
    <w:p w14:paraId="77706B6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Lipsitz, L. A. (2004). Physiological complexity, aging, and the path to frailty. </w:t>
      </w:r>
      <w:r w:rsidRPr="00203582">
        <w:rPr>
          <w:rFonts w:ascii="Times New Roman" w:eastAsia="Times New Roman" w:hAnsi="Times New Roman" w:cs="Times New Roman"/>
          <w:i/>
          <w:sz w:val="24"/>
          <w:szCs w:val="24"/>
        </w:rPr>
        <w:t>Science of Aging Knowledge Environment : SAGE KE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2004</w:t>
      </w:r>
      <w:r w:rsidRPr="00203582">
        <w:rPr>
          <w:rFonts w:ascii="Times New Roman" w:eastAsia="Times New Roman" w:hAnsi="Times New Roman" w:cs="Times New Roman"/>
          <w:sz w:val="24"/>
          <w:szCs w:val="24"/>
        </w:rPr>
        <w:t>(16), pe16. https://doi.org/10.1126/sageke.2004.16.pe16</w:t>
      </w:r>
    </w:p>
    <w:p w14:paraId="2ED4A1E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fr-FR"/>
        </w:rPr>
        <w:t xml:space="preserve">Liu, X., Wu, X., Zhong, M., Huang, H., </w:t>
      </w:r>
      <w:proofErr w:type="spellStart"/>
      <w:r w:rsidRPr="005C650F">
        <w:rPr>
          <w:rFonts w:ascii="Times New Roman" w:eastAsia="Times New Roman" w:hAnsi="Times New Roman" w:cs="Times New Roman"/>
          <w:sz w:val="24"/>
          <w:szCs w:val="24"/>
          <w:lang w:val="fr-FR"/>
        </w:rPr>
        <w:t>Weng</w:t>
      </w:r>
      <w:proofErr w:type="spellEnd"/>
      <w:r w:rsidRPr="005C650F">
        <w:rPr>
          <w:rFonts w:ascii="Times New Roman" w:eastAsia="Times New Roman" w:hAnsi="Times New Roman" w:cs="Times New Roman"/>
          <w:sz w:val="24"/>
          <w:szCs w:val="24"/>
          <w:lang w:val="fr-FR"/>
        </w:rPr>
        <w:t xml:space="preserve">, Y., </w:t>
      </w:r>
      <w:proofErr w:type="spellStart"/>
      <w:r w:rsidRPr="005C650F">
        <w:rPr>
          <w:rFonts w:ascii="Times New Roman" w:eastAsia="Times New Roman" w:hAnsi="Times New Roman" w:cs="Times New Roman"/>
          <w:sz w:val="24"/>
          <w:szCs w:val="24"/>
          <w:lang w:val="fr-FR"/>
        </w:rPr>
        <w:t>Niu</w:t>
      </w:r>
      <w:proofErr w:type="spellEnd"/>
      <w:r w:rsidRPr="005C650F">
        <w:rPr>
          <w:rFonts w:ascii="Times New Roman" w:eastAsia="Times New Roman" w:hAnsi="Times New Roman" w:cs="Times New Roman"/>
          <w:sz w:val="24"/>
          <w:szCs w:val="24"/>
          <w:lang w:val="fr-FR"/>
        </w:rPr>
        <w:t xml:space="preserve">, M., Zhao, L., &amp; Huang, R. (2020). </w:t>
      </w:r>
      <w:r w:rsidRPr="005C650F">
        <w:rPr>
          <w:rFonts w:ascii="Times New Roman" w:eastAsia="Times New Roman" w:hAnsi="Times New Roman" w:cs="Times New Roman"/>
          <w:sz w:val="24"/>
          <w:szCs w:val="24"/>
        </w:rPr>
        <w:t xml:space="preserve">Dynamic Properties of Human Default Mode Network in Eyes-Closed and Eyes-Open.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33</w:t>
      </w:r>
      <w:r w:rsidRPr="005C650F">
        <w:rPr>
          <w:rFonts w:ascii="Times New Roman" w:eastAsia="Times New Roman" w:hAnsi="Times New Roman" w:cs="Times New Roman"/>
          <w:sz w:val="24"/>
          <w:szCs w:val="24"/>
        </w:rPr>
        <w:t>(6), 720–732. https://doi.org/10.1007/s10548-020-00792-3</w:t>
      </w:r>
    </w:p>
    <w:p w14:paraId="2E5445A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Liu, Z., Fukunaga, M., de Zwart, J. A., &amp; Duyn, J. H. (2010). Large-scale spontaneous fluctuations and correlations in brain electrical activity observed with magnetoencephalography.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51</w:t>
      </w:r>
      <w:r w:rsidRPr="005C650F">
        <w:rPr>
          <w:rFonts w:ascii="Times New Roman" w:eastAsia="Times New Roman" w:hAnsi="Times New Roman" w:cs="Times New Roman"/>
          <w:sz w:val="24"/>
          <w:szCs w:val="24"/>
        </w:rPr>
        <w:t>(1), 102–111. https://doi.org/10.1016/j.neuroimage.2010.01.092</w:t>
      </w:r>
    </w:p>
    <w:p w14:paraId="7201FC79"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it-IT"/>
        </w:rPr>
        <w:t xml:space="preserve">Lo, M.-T., Tsai, P.-H., Lin, P.-F., Lin, C., &amp; Hsin, Y. L. (2009). </w:t>
      </w:r>
      <w:r w:rsidRPr="00203582">
        <w:rPr>
          <w:rFonts w:ascii="Times New Roman" w:eastAsia="Times New Roman" w:hAnsi="Times New Roman" w:cs="Times New Roman"/>
          <w:sz w:val="24"/>
          <w:szCs w:val="24"/>
        </w:rPr>
        <w:t xml:space="preserve">The nonlinear and nonstationary properties in </w:t>
      </w:r>
      <w:proofErr w:type="spellStart"/>
      <w:r w:rsidRPr="00203582">
        <w:rPr>
          <w:rFonts w:ascii="Times New Roman" w:eastAsia="Times New Roman" w:hAnsi="Times New Roman" w:cs="Times New Roman"/>
          <w:sz w:val="24"/>
          <w:szCs w:val="24"/>
        </w:rPr>
        <w:t>eeg</w:t>
      </w:r>
      <w:proofErr w:type="spellEnd"/>
      <w:r w:rsidRPr="00203582">
        <w:rPr>
          <w:rFonts w:ascii="Times New Roman" w:eastAsia="Times New Roman" w:hAnsi="Times New Roman" w:cs="Times New Roman"/>
          <w:sz w:val="24"/>
          <w:szCs w:val="24"/>
        </w:rPr>
        <w:t xml:space="preserve"> signals: probing the complex fluctuations by </w:t>
      </w:r>
      <w:proofErr w:type="spellStart"/>
      <w:r w:rsidRPr="00203582">
        <w:rPr>
          <w:rFonts w:ascii="Times New Roman" w:eastAsia="Times New Roman" w:hAnsi="Times New Roman" w:cs="Times New Roman"/>
          <w:sz w:val="24"/>
          <w:szCs w:val="24"/>
        </w:rPr>
        <w:t>hilbert</w:t>
      </w:r>
      <w:proofErr w:type="spellEnd"/>
      <w:r w:rsidRPr="00203582">
        <w:rPr>
          <w:rFonts w:ascii="Times New Roman" w:eastAsia="Times New Roman" w:hAnsi="Times New Roman" w:cs="Times New Roman"/>
          <w:sz w:val="24"/>
          <w:szCs w:val="24"/>
        </w:rPr>
        <w:t>–</w:t>
      </w:r>
      <w:proofErr w:type="spellStart"/>
      <w:r w:rsidRPr="00203582">
        <w:rPr>
          <w:rFonts w:ascii="Times New Roman" w:eastAsia="Times New Roman" w:hAnsi="Times New Roman" w:cs="Times New Roman"/>
          <w:sz w:val="24"/>
          <w:szCs w:val="24"/>
        </w:rPr>
        <w:t>huang</w:t>
      </w:r>
      <w:proofErr w:type="spellEnd"/>
      <w:r w:rsidRPr="00203582">
        <w:rPr>
          <w:rFonts w:ascii="Times New Roman" w:eastAsia="Times New Roman" w:hAnsi="Times New Roman" w:cs="Times New Roman"/>
          <w:sz w:val="24"/>
          <w:szCs w:val="24"/>
        </w:rPr>
        <w:t xml:space="preserve"> transform. </w:t>
      </w:r>
      <w:r w:rsidRPr="00203582">
        <w:rPr>
          <w:rFonts w:ascii="Times New Roman" w:eastAsia="Times New Roman" w:hAnsi="Times New Roman" w:cs="Times New Roman"/>
          <w:i/>
          <w:sz w:val="24"/>
          <w:szCs w:val="24"/>
        </w:rPr>
        <w:t>Advances in Adaptive Data Analysis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01</w:t>
      </w:r>
      <w:r w:rsidRPr="00203582">
        <w:rPr>
          <w:rFonts w:ascii="Times New Roman" w:eastAsia="Times New Roman" w:hAnsi="Times New Roman" w:cs="Times New Roman"/>
          <w:sz w:val="24"/>
          <w:szCs w:val="24"/>
        </w:rPr>
        <w:t>(03), 461–482. https://doi.org/10.1142/S1793536909000199</w:t>
      </w:r>
    </w:p>
    <w:p w14:paraId="513FAD1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Lombardo, M. V., Barnes, J. L., Wheelwright, S. J., &amp; Baron-Cohen, S. (2007). Self-referential cognition and empathy in autism. </w:t>
      </w:r>
      <w:proofErr w:type="spellStart"/>
      <w:r w:rsidRPr="00203582">
        <w:rPr>
          <w:rFonts w:ascii="Times New Roman" w:eastAsia="Times New Roman" w:hAnsi="Times New Roman" w:cs="Times New Roman"/>
          <w:i/>
          <w:sz w:val="24"/>
          <w:szCs w:val="24"/>
        </w:rPr>
        <w:t>Plos</w:t>
      </w:r>
      <w:proofErr w:type="spellEnd"/>
      <w:r w:rsidRPr="00203582">
        <w:rPr>
          <w:rFonts w:ascii="Times New Roman" w:eastAsia="Times New Roman" w:hAnsi="Times New Roman" w:cs="Times New Roman"/>
          <w:i/>
          <w:sz w:val="24"/>
          <w:szCs w:val="24"/>
        </w:rPr>
        <w:t xml:space="preserve"> One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w:t>
      </w:r>
      <w:r w:rsidRPr="00203582">
        <w:rPr>
          <w:rFonts w:ascii="Times New Roman" w:eastAsia="Times New Roman" w:hAnsi="Times New Roman" w:cs="Times New Roman"/>
          <w:sz w:val="24"/>
          <w:szCs w:val="24"/>
        </w:rPr>
        <w:t>(9), e883. https://doi.org/10.1371/journal.pone.0000883</w:t>
      </w:r>
    </w:p>
    <w:p w14:paraId="12E0EE7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Lombardo, M. V., Chakrabarti, B., Bullmore, E. T., Wheelwright, S. J., Sadek, S. A., Suckling, J., MRC AIMS Consortium, &amp; Baron-Cohen, S. (2010). Shared neural circuits for mentalizing about the self and others. </w:t>
      </w:r>
      <w:r w:rsidRPr="005C650F">
        <w:rPr>
          <w:rFonts w:ascii="Times New Roman" w:eastAsia="Times New Roman" w:hAnsi="Times New Roman" w:cs="Times New Roman"/>
          <w:i/>
          <w:iCs/>
          <w:sz w:val="24"/>
          <w:szCs w:val="24"/>
        </w:rPr>
        <w:t>Journal of Cognitive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22</w:t>
      </w:r>
      <w:r w:rsidRPr="005C650F">
        <w:rPr>
          <w:rFonts w:ascii="Times New Roman" w:eastAsia="Times New Roman" w:hAnsi="Times New Roman" w:cs="Times New Roman"/>
          <w:sz w:val="24"/>
          <w:szCs w:val="24"/>
        </w:rPr>
        <w:t>(7), 1623–1635. https://doi.org/10.1162/jocn.2009.21287</w:t>
      </w:r>
    </w:p>
    <w:p w14:paraId="5A28A577"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r w:rsidRPr="00203582">
        <w:rPr>
          <w:rFonts w:ascii="Times New Roman" w:eastAsia="Times New Roman" w:hAnsi="Times New Roman" w:cs="Times New Roman"/>
          <w:sz w:val="24"/>
          <w:szCs w:val="24"/>
        </w:rPr>
        <w:t xml:space="preserve">Lombardo, M. V., Eyler, L., Moore, A., Datko, M., Carter Barnes, C., Cha, D., Courchesne, E., &amp; Pierce, K. (2019). Default mode-visual network hypoconnectivity in an autism subtype with pronounced social visual engagement difficulties. </w:t>
      </w:r>
      <w:proofErr w:type="spellStart"/>
      <w:r w:rsidRPr="00203582">
        <w:rPr>
          <w:rFonts w:ascii="Times New Roman" w:eastAsia="Times New Roman" w:hAnsi="Times New Roman" w:cs="Times New Roman"/>
          <w:i/>
          <w:sz w:val="24"/>
          <w:szCs w:val="24"/>
          <w:lang w:val="fr-FR"/>
        </w:rPr>
        <w:t>ELife</w:t>
      </w:r>
      <w:proofErr w:type="spellEnd"/>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8</w:t>
      </w:r>
      <w:r w:rsidRPr="00203582">
        <w:rPr>
          <w:rFonts w:ascii="Times New Roman" w:eastAsia="Times New Roman" w:hAnsi="Times New Roman" w:cs="Times New Roman"/>
          <w:sz w:val="24"/>
          <w:szCs w:val="24"/>
          <w:lang w:val="fr-FR"/>
        </w:rPr>
        <w:t>. https://doi.org/10.7554/eLife.47427</w:t>
      </w:r>
    </w:p>
    <w:p w14:paraId="6460B17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it-IT"/>
        </w:rPr>
        <w:lastRenderedPageBreak/>
        <w:t xml:space="preserve">Lombardo, M. V., Lai, M.-C., &amp; Baron-Cohen, S. (2019). </w:t>
      </w:r>
      <w:r w:rsidRPr="005C650F">
        <w:rPr>
          <w:rFonts w:ascii="Times New Roman" w:eastAsia="Times New Roman" w:hAnsi="Times New Roman" w:cs="Times New Roman"/>
          <w:sz w:val="24"/>
          <w:szCs w:val="24"/>
        </w:rPr>
        <w:t xml:space="preserve">Big data approaches to decomposing heterogeneity across the autism spectrum. </w:t>
      </w:r>
      <w:r w:rsidRPr="005C650F">
        <w:rPr>
          <w:rFonts w:ascii="Times New Roman" w:eastAsia="Times New Roman" w:hAnsi="Times New Roman" w:cs="Times New Roman"/>
          <w:i/>
          <w:iCs/>
          <w:sz w:val="24"/>
          <w:szCs w:val="24"/>
        </w:rPr>
        <w:t>Molecular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24</w:t>
      </w:r>
      <w:r w:rsidRPr="005C650F">
        <w:rPr>
          <w:rFonts w:ascii="Times New Roman" w:eastAsia="Times New Roman" w:hAnsi="Times New Roman" w:cs="Times New Roman"/>
          <w:sz w:val="24"/>
          <w:szCs w:val="24"/>
        </w:rPr>
        <w:t>(10), 1435–1450. https://doi.org/10.1038/s41380-018-0321-0</w:t>
      </w:r>
    </w:p>
    <w:p w14:paraId="6C84863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Long, Z., Duan, X., Mantini, D., &amp; Chen, H. (2016). Alteration of functional connectivity in autism spectrum disorder: effect of age and anatomical distance. </w:t>
      </w:r>
      <w:r w:rsidRPr="005C650F">
        <w:rPr>
          <w:rFonts w:ascii="Times New Roman" w:eastAsia="Times New Roman" w:hAnsi="Times New Roman" w:cs="Times New Roman"/>
          <w:i/>
          <w:iCs/>
          <w:sz w:val="24"/>
          <w:szCs w:val="24"/>
        </w:rPr>
        <w:t>Scientific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 26527. https://doi.org/10.1038/srep26527</w:t>
      </w:r>
    </w:p>
    <w:p w14:paraId="331D7BA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Long, Z., Duan, X., Mantini, D., &amp; Chen, H. (2016). Alteration of functional connectivity in autism spectrum disorder: effect of age and anatomical distance. </w:t>
      </w:r>
      <w:r w:rsidRPr="005C650F">
        <w:rPr>
          <w:rFonts w:ascii="Times New Roman" w:eastAsia="Times New Roman" w:hAnsi="Times New Roman" w:cs="Times New Roman"/>
          <w:i/>
          <w:iCs/>
          <w:sz w:val="24"/>
          <w:szCs w:val="24"/>
        </w:rPr>
        <w:t>Scientific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 26527. https://doi.org/10.1038/srep26527</w:t>
      </w:r>
    </w:p>
    <w:p w14:paraId="0D1D1B1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Loo, S. K., Hale, T. S., </w:t>
      </w:r>
      <w:proofErr w:type="spellStart"/>
      <w:r w:rsidRPr="005C650F">
        <w:rPr>
          <w:rFonts w:ascii="Times New Roman" w:eastAsia="Times New Roman" w:hAnsi="Times New Roman" w:cs="Times New Roman"/>
          <w:sz w:val="24"/>
          <w:szCs w:val="24"/>
        </w:rPr>
        <w:t>Macion</w:t>
      </w:r>
      <w:proofErr w:type="spellEnd"/>
      <w:r w:rsidRPr="005C650F">
        <w:rPr>
          <w:rFonts w:ascii="Times New Roman" w:eastAsia="Times New Roman" w:hAnsi="Times New Roman" w:cs="Times New Roman"/>
          <w:sz w:val="24"/>
          <w:szCs w:val="24"/>
        </w:rPr>
        <w:t xml:space="preserve">, J., Hanada, G., McGough, J. J., McCracken, J. T., &amp; Smalley, S. L. (2009). Cortical activity patterns in ADHD during arousal, activation and sustained attention. </w:t>
      </w:r>
      <w:proofErr w:type="spellStart"/>
      <w:r w:rsidRPr="005C650F">
        <w:rPr>
          <w:rFonts w:ascii="Times New Roman" w:eastAsia="Times New Roman" w:hAnsi="Times New Roman" w:cs="Times New Roman"/>
          <w:i/>
          <w:iCs/>
          <w:sz w:val="24"/>
          <w:szCs w:val="24"/>
        </w:rPr>
        <w:t>Neuropsychologia</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47</w:t>
      </w:r>
      <w:r w:rsidRPr="005C650F">
        <w:rPr>
          <w:rFonts w:ascii="Times New Roman" w:eastAsia="Times New Roman" w:hAnsi="Times New Roman" w:cs="Times New Roman"/>
          <w:sz w:val="24"/>
          <w:szCs w:val="24"/>
        </w:rPr>
        <w:t>(10), 2114–2119. https://doi.org/10.1016/j.neuropsychologia.2009.04.013</w:t>
      </w:r>
    </w:p>
    <w:p w14:paraId="30A448D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Lopes da Silva, F. H., </w:t>
      </w:r>
      <w:proofErr w:type="spellStart"/>
      <w:r w:rsidRPr="005C650F">
        <w:rPr>
          <w:rFonts w:ascii="Times New Roman" w:eastAsia="Times New Roman" w:hAnsi="Times New Roman" w:cs="Times New Roman"/>
          <w:sz w:val="24"/>
          <w:szCs w:val="24"/>
        </w:rPr>
        <w:t>Hoeks</w:t>
      </w:r>
      <w:proofErr w:type="spellEnd"/>
      <w:r w:rsidRPr="005C650F">
        <w:rPr>
          <w:rFonts w:ascii="Times New Roman" w:eastAsia="Times New Roman" w:hAnsi="Times New Roman" w:cs="Times New Roman"/>
          <w:sz w:val="24"/>
          <w:szCs w:val="24"/>
        </w:rPr>
        <w:t xml:space="preserve">, A., Smits, H., &amp; Zetterberg, L. H. (1974). Model of brain rhythmic activity. The alpha-rhythm of the thalamus. </w:t>
      </w:r>
      <w:proofErr w:type="spellStart"/>
      <w:r w:rsidRPr="005C650F">
        <w:rPr>
          <w:rFonts w:ascii="Times New Roman" w:eastAsia="Times New Roman" w:hAnsi="Times New Roman" w:cs="Times New Roman"/>
          <w:i/>
          <w:iCs/>
          <w:sz w:val="24"/>
          <w:szCs w:val="24"/>
        </w:rPr>
        <w:t>Kybernetik</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15</w:t>
      </w:r>
      <w:r w:rsidRPr="005C650F">
        <w:rPr>
          <w:rFonts w:ascii="Times New Roman" w:eastAsia="Times New Roman" w:hAnsi="Times New Roman" w:cs="Times New Roman"/>
          <w:sz w:val="24"/>
          <w:szCs w:val="24"/>
        </w:rPr>
        <w:t>(1), 27–37.</w:t>
      </w:r>
    </w:p>
    <w:p w14:paraId="298C69D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fr-FR"/>
        </w:rPr>
        <w:t xml:space="preserve">Lord, C, </w:t>
      </w:r>
      <w:proofErr w:type="spellStart"/>
      <w:r w:rsidRPr="00203582">
        <w:rPr>
          <w:rFonts w:ascii="Times New Roman" w:eastAsia="Times New Roman" w:hAnsi="Times New Roman" w:cs="Times New Roman"/>
          <w:sz w:val="24"/>
          <w:szCs w:val="24"/>
          <w:lang w:val="fr-FR"/>
        </w:rPr>
        <w:t>Rutter</w:t>
      </w:r>
      <w:proofErr w:type="spellEnd"/>
      <w:r w:rsidRPr="00203582">
        <w:rPr>
          <w:rFonts w:ascii="Times New Roman" w:eastAsia="Times New Roman" w:hAnsi="Times New Roman" w:cs="Times New Roman"/>
          <w:sz w:val="24"/>
          <w:szCs w:val="24"/>
          <w:lang w:val="fr-FR"/>
        </w:rPr>
        <w:t xml:space="preserve">, M., &amp; Le </w:t>
      </w:r>
      <w:proofErr w:type="spellStart"/>
      <w:r w:rsidRPr="00203582">
        <w:rPr>
          <w:rFonts w:ascii="Times New Roman" w:eastAsia="Times New Roman" w:hAnsi="Times New Roman" w:cs="Times New Roman"/>
          <w:sz w:val="24"/>
          <w:szCs w:val="24"/>
          <w:lang w:val="fr-FR"/>
        </w:rPr>
        <w:t>Couteur</w:t>
      </w:r>
      <w:proofErr w:type="spellEnd"/>
      <w:r w:rsidRPr="00203582">
        <w:rPr>
          <w:rFonts w:ascii="Times New Roman" w:eastAsia="Times New Roman" w:hAnsi="Times New Roman" w:cs="Times New Roman"/>
          <w:sz w:val="24"/>
          <w:szCs w:val="24"/>
          <w:lang w:val="fr-FR"/>
        </w:rPr>
        <w:t xml:space="preserve">, A. (1994). </w:t>
      </w:r>
      <w:r w:rsidRPr="00203582">
        <w:rPr>
          <w:rFonts w:ascii="Times New Roman" w:eastAsia="Times New Roman" w:hAnsi="Times New Roman" w:cs="Times New Roman"/>
          <w:sz w:val="24"/>
          <w:szCs w:val="24"/>
        </w:rPr>
        <w:t xml:space="preserve">Autism Diagnostic Interview-Revised: a revised version of a diagnostic interview for caregivers of individuals with possible pervasive developmental disorders.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24</w:t>
      </w:r>
      <w:r w:rsidRPr="00203582">
        <w:rPr>
          <w:rFonts w:ascii="Times New Roman" w:eastAsia="Times New Roman" w:hAnsi="Times New Roman" w:cs="Times New Roman"/>
          <w:sz w:val="24"/>
          <w:szCs w:val="24"/>
        </w:rPr>
        <w:t>(5), 659–685. https://doi.org/10.1007/BF02172145</w:t>
      </w:r>
    </w:p>
    <w:p w14:paraId="0AC5BE0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Lord, Catherine, </w:t>
      </w:r>
      <w:proofErr w:type="spellStart"/>
      <w:r w:rsidRPr="00203582">
        <w:rPr>
          <w:rFonts w:ascii="Times New Roman" w:eastAsia="Times New Roman" w:hAnsi="Times New Roman" w:cs="Times New Roman"/>
          <w:sz w:val="24"/>
          <w:szCs w:val="24"/>
        </w:rPr>
        <w:t>Elsabbagh</w:t>
      </w:r>
      <w:proofErr w:type="spellEnd"/>
      <w:r w:rsidRPr="00203582">
        <w:rPr>
          <w:rFonts w:ascii="Times New Roman" w:eastAsia="Times New Roman" w:hAnsi="Times New Roman" w:cs="Times New Roman"/>
          <w:sz w:val="24"/>
          <w:szCs w:val="24"/>
        </w:rPr>
        <w:t xml:space="preserve">, M., Baird, G., &amp; Veenstra-Vanderweele, J. (2018). Autism spectrum disorder. </w:t>
      </w:r>
      <w:r w:rsidRPr="00203582">
        <w:rPr>
          <w:rFonts w:ascii="Times New Roman" w:eastAsia="Times New Roman" w:hAnsi="Times New Roman" w:cs="Times New Roman"/>
          <w:i/>
          <w:sz w:val="24"/>
          <w:szCs w:val="24"/>
        </w:rPr>
        <w:t>The Lancet</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392</w:t>
      </w:r>
      <w:r w:rsidRPr="00203582">
        <w:rPr>
          <w:rFonts w:ascii="Times New Roman" w:eastAsia="Times New Roman" w:hAnsi="Times New Roman" w:cs="Times New Roman"/>
          <w:sz w:val="24"/>
          <w:szCs w:val="24"/>
        </w:rPr>
        <w:t>(10146), 508–520. https://doi.org/10.1016/S0140-6736(18)31129-2</w:t>
      </w:r>
    </w:p>
    <w:p w14:paraId="5F186A69"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Loth, E., </w:t>
      </w:r>
      <w:proofErr w:type="spellStart"/>
      <w:r w:rsidRPr="00203582">
        <w:rPr>
          <w:rFonts w:ascii="Times New Roman" w:eastAsia="Times New Roman" w:hAnsi="Times New Roman" w:cs="Times New Roman"/>
          <w:sz w:val="24"/>
          <w:szCs w:val="24"/>
        </w:rPr>
        <w:t>Spooren</w:t>
      </w:r>
      <w:proofErr w:type="spellEnd"/>
      <w:r w:rsidRPr="00203582">
        <w:rPr>
          <w:rFonts w:ascii="Times New Roman" w:eastAsia="Times New Roman" w:hAnsi="Times New Roman" w:cs="Times New Roman"/>
          <w:sz w:val="24"/>
          <w:szCs w:val="24"/>
        </w:rPr>
        <w:t xml:space="preserve">, W., Ham, L. M., Isaac, M. B., </w:t>
      </w:r>
      <w:proofErr w:type="spellStart"/>
      <w:r w:rsidRPr="00203582">
        <w:rPr>
          <w:rFonts w:ascii="Times New Roman" w:eastAsia="Times New Roman" w:hAnsi="Times New Roman" w:cs="Times New Roman"/>
          <w:sz w:val="24"/>
          <w:szCs w:val="24"/>
        </w:rPr>
        <w:t>Auriche-Benichou</w:t>
      </w:r>
      <w:proofErr w:type="spellEnd"/>
      <w:r w:rsidRPr="00203582">
        <w:rPr>
          <w:rFonts w:ascii="Times New Roman" w:eastAsia="Times New Roman" w:hAnsi="Times New Roman" w:cs="Times New Roman"/>
          <w:sz w:val="24"/>
          <w:szCs w:val="24"/>
        </w:rPr>
        <w:t xml:space="preserve">, C., </w:t>
      </w:r>
      <w:proofErr w:type="spellStart"/>
      <w:r w:rsidRPr="00203582">
        <w:rPr>
          <w:rFonts w:ascii="Times New Roman" w:eastAsia="Times New Roman" w:hAnsi="Times New Roman" w:cs="Times New Roman"/>
          <w:sz w:val="24"/>
          <w:szCs w:val="24"/>
        </w:rPr>
        <w:t>Banaschewski</w:t>
      </w:r>
      <w:proofErr w:type="spellEnd"/>
      <w:r w:rsidRPr="00203582">
        <w:rPr>
          <w:rFonts w:ascii="Times New Roman" w:eastAsia="Times New Roman" w:hAnsi="Times New Roman" w:cs="Times New Roman"/>
          <w:sz w:val="24"/>
          <w:szCs w:val="24"/>
        </w:rPr>
        <w:t xml:space="preserve">, T., Baron-Cohen, S., Broich, K., </w:t>
      </w:r>
      <w:proofErr w:type="spellStart"/>
      <w:r w:rsidRPr="00203582">
        <w:rPr>
          <w:rFonts w:ascii="Times New Roman" w:eastAsia="Times New Roman" w:hAnsi="Times New Roman" w:cs="Times New Roman"/>
          <w:sz w:val="24"/>
          <w:szCs w:val="24"/>
        </w:rPr>
        <w:t>Bölte</w:t>
      </w:r>
      <w:proofErr w:type="spellEnd"/>
      <w:r w:rsidRPr="00203582">
        <w:rPr>
          <w:rFonts w:ascii="Times New Roman" w:eastAsia="Times New Roman" w:hAnsi="Times New Roman" w:cs="Times New Roman"/>
          <w:sz w:val="24"/>
          <w:szCs w:val="24"/>
        </w:rPr>
        <w:t xml:space="preserve">, S., Bourgeron, T., Charman, T., Collier, D., de Andres-Trelles, F., Durston, S., Ecker, C., Elferink, A., Haberkamp, M., Hemmings, R., Johnson, M. H., … Murphy, D. G. M. (2016). Identification and validation of biomarkers for autism spectrum disorders. </w:t>
      </w:r>
      <w:r w:rsidRPr="00203582">
        <w:rPr>
          <w:rFonts w:ascii="Times New Roman" w:eastAsia="Times New Roman" w:hAnsi="Times New Roman" w:cs="Times New Roman"/>
          <w:i/>
          <w:sz w:val="24"/>
          <w:szCs w:val="24"/>
        </w:rPr>
        <w:t>Nature Reviews. Drug Discovery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15</w:t>
      </w:r>
      <w:r w:rsidRPr="00203582">
        <w:rPr>
          <w:rFonts w:ascii="Times New Roman" w:eastAsia="Times New Roman" w:hAnsi="Times New Roman" w:cs="Times New Roman"/>
          <w:sz w:val="24"/>
          <w:szCs w:val="24"/>
        </w:rPr>
        <w:t>(1), 70–73. https://doi.org/10.1038/nrd.2015.7</w:t>
      </w:r>
    </w:p>
    <w:p w14:paraId="46B723B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Luna, B., Padmanabhan, A., &amp; O’Hearn, K. (2010). What has fMRI told us about the development of cognitive control through adolescence? </w:t>
      </w:r>
      <w:r w:rsidRPr="005C650F">
        <w:rPr>
          <w:rFonts w:ascii="Times New Roman" w:eastAsia="Times New Roman" w:hAnsi="Times New Roman" w:cs="Times New Roman"/>
          <w:i/>
          <w:iCs/>
          <w:sz w:val="24"/>
          <w:szCs w:val="24"/>
        </w:rPr>
        <w:t>Brain and Cognition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72</w:t>
      </w:r>
      <w:r w:rsidRPr="005C650F">
        <w:rPr>
          <w:rFonts w:ascii="Times New Roman" w:eastAsia="Times New Roman" w:hAnsi="Times New Roman" w:cs="Times New Roman"/>
          <w:sz w:val="24"/>
          <w:szCs w:val="24"/>
        </w:rPr>
        <w:t>(1), 101–113. https://doi.org/10.1016/j.bandc.2009.08.005</w:t>
      </w:r>
    </w:p>
    <w:p w14:paraId="7AE33BE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Luna, B., Tervo-Clemmens, B., &amp; Calabro, F. J. (2021). Considerations when characterizing adolescent neurocognitive development. </w:t>
      </w:r>
      <w:r w:rsidRPr="005C650F">
        <w:rPr>
          <w:rFonts w:ascii="Times New Roman" w:eastAsia="Times New Roman" w:hAnsi="Times New Roman" w:cs="Times New Roman"/>
          <w:i/>
          <w:iCs/>
          <w:sz w:val="24"/>
          <w:szCs w:val="24"/>
        </w:rPr>
        <w:t>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89</w:t>
      </w:r>
      <w:r w:rsidRPr="005C650F">
        <w:rPr>
          <w:rFonts w:ascii="Times New Roman" w:eastAsia="Times New Roman" w:hAnsi="Times New Roman" w:cs="Times New Roman"/>
          <w:sz w:val="24"/>
          <w:szCs w:val="24"/>
        </w:rPr>
        <w:t>(2), 96–98. https://doi.org/10.1016/j.biopsych.2020.04.026</w:t>
      </w:r>
    </w:p>
    <w:p w14:paraId="7A7E5E9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Luo, Y., Kong, F., Qi, S., You, X., &amp; Huang, X. (2016). Resting-state functional connectivity of the default mode network associated with happiness. </w:t>
      </w:r>
      <w:r w:rsidRPr="005C650F">
        <w:rPr>
          <w:rFonts w:ascii="Times New Roman" w:eastAsia="Times New Roman" w:hAnsi="Times New Roman" w:cs="Times New Roman"/>
          <w:i/>
          <w:iCs/>
          <w:sz w:val="24"/>
          <w:szCs w:val="24"/>
        </w:rPr>
        <w:t>Social Cognitive and Affective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w:t>
      </w:r>
      <w:r w:rsidRPr="005C650F">
        <w:rPr>
          <w:rFonts w:ascii="Times New Roman" w:eastAsia="Times New Roman" w:hAnsi="Times New Roman" w:cs="Times New Roman"/>
          <w:sz w:val="24"/>
          <w:szCs w:val="24"/>
        </w:rPr>
        <w:t>(3), 516–524. https://doi.org/10.1093/scan/nsv132</w:t>
      </w:r>
    </w:p>
    <w:p w14:paraId="5CFEC38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Lv</w:t>
      </w:r>
      <w:proofErr w:type="spellEnd"/>
      <w:r w:rsidRPr="005C650F">
        <w:rPr>
          <w:rFonts w:ascii="Times New Roman" w:eastAsia="Times New Roman" w:hAnsi="Times New Roman" w:cs="Times New Roman"/>
          <w:sz w:val="24"/>
          <w:szCs w:val="24"/>
        </w:rPr>
        <w:t xml:space="preserve">, H., Wang, Z., Tong, E., Williams, L. M., Zaharchuk, G., </w:t>
      </w:r>
      <w:proofErr w:type="spellStart"/>
      <w:r w:rsidRPr="005C650F">
        <w:rPr>
          <w:rFonts w:ascii="Times New Roman" w:eastAsia="Times New Roman" w:hAnsi="Times New Roman" w:cs="Times New Roman"/>
          <w:sz w:val="24"/>
          <w:szCs w:val="24"/>
        </w:rPr>
        <w:t>Zeineh</w:t>
      </w:r>
      <w:proofErr w:type="spellEnd"/>
      <w:r w:rsidRPr="005C650F">
        <w:rPr>
          <w:rFonts w:ascii="Times New Roman" w:eastAsia="Times New Roman" w:hAnsi="Times New Roman" w:cs="Times New Roman"/>
          <w:sz w:val="24"/>
          <w:szCs w:val="24"/>
        </w:rPr>
        <w:t xml:space="preserve">, M., Goldstein-Piekarski, A. N., Ball, T. M., Liao, C., &amp; </w:t>
      </w:r>
      <w:proofErr w:type="spellStart"/>
      <w:r w:rsidRPr="005C650F">
        <w:rPr>
          <w:rFonts w:ascii="Times New Roman" w:eastAsia="Times New Roman" w:hAnsi="Times New Roman" w:cs="Times New Roman"/>
          <w:sz w:val="24"/>
          <w:szCs w:val="24"/>
        </w:rPr>
        <w:t>Wintermark</w:t>
      </w:r>
      <w:proofErr w:type="spellEnd"/>
      <w:r w:rsidRPr="005C650F">
        <w:rPr>
          <w:rFonts w:ascii="Times New Roman" w:eastAsia="Times New Roman" w:hAnsi="Times New Roman" w:cs="Times New Roman"/>
          <w:sz w:val="24"/>
          <w:szCs w:val="24"/>
        </w:rPr>
        <w:t xml:space="preserve">, M. (2018). Resting-State Functional MRI: Everything That Nonexperts Have Always Wanted to Know. </w:t>
      </w:r>
      <w:r w:rsidRPr="005C650F">
        <w:rPr>
          <w:rFonts w:ascii="Times New Roman" w:eastAsia="Times New Roman" w:hAnsi="Times New Roman" w:cs="Times New Roman"/>
          <w:i/>
          <w:iCs/>
          <w:sz w:val="24"/>
          <w:szCs w:val="24"/>
        </w:rPr>
        <w:t>American Journal of Neuroradiology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39</w:t>
      </w:r>
      <w:r w:rsidRPr="005C650F">
        <w:rPr>
          <w:rFonts w:ascii="Times New Roman" w:eastAsia="Times New Roman" w:hAnsi="Times New Roman" w:cs="Times New Roman"/>
          <w:sz w:val="24"/>
          <w:szCs w:val="24"/>
        </w:rPr>
        <w:t>(8), 1390–1399. https://doi.org/10.3174/ajnr.A5527</w:t>
      </w:r>
    </w:p>
    <w:p w14:paraId="349F1C2F"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it-IT"/>
        </w:rPr>
      </w:pPr>
      <w:r w:rsidRPr="00203582">
        <w:rPr>
          <w:rFonts w:ascii="Times New Roman" w:eastAsia="Times New Roman" w:hAnsi="Times New Roman" w:cs="Times New Roman"/>
          <w:sz w:val="24"/>
          <w:szCs w:val="24"/>
        </w:rPr>
        <w:t xml:space="preserve">Lynch, C. J., Uddin, L. Q., </w:t>
      </w:r>
      <w:proofErr w:type="spellStart"/>
      <w:r w:rsidRPr="00203582">
        <w:rPr>
          <w:rFonts w:ascii="Times New Roman" w:eastAsia="Times New Roman" w:hAnsi="Times New Roman" w:cs="Times New Roman"/>
          <w:sz w:val="24"/>
          <w:szCs w:val="24"/>
        </w:rPr>
        <w:t>Supekar</w:t>
      </w:r>
      <w:proofErr w:type="spellEnd"/>
      <w:r w:rsidRPr="00203582">
        <w:rPr>
          <w:rFonts w:ascii="Times New Roman" w:eastAsia="Times New Roman" w:hAnsi="Times New Roman" w:cs="Times New Roman"/>
          <w:sz w:val="24"/>
          <w:szCs w:val="24"/>
        </w:rPr>
        <w:t xml:space="preserve">, K., </w:t>
      </w:r>
      <w:proofErr w:type="spellStart"/>
      <w:r w:rsidRPr="00203582">
        <w:rPr>
          <w:rFonts w:ascii="Times New Roman" w:eastAsia="Times New Roman" w:hAnsi="Times New Roman" w:cs="Times New Roman"/>
          <w:sz w:val="24"/>
          <w:szCs w:val="24"/>
        </w:rPr>
        <w:t>Khouzam</w:t>
      </w:r>
      <w:proofErr w:type="spellEnd"/>
      <w:r w:rsidRPr="00203582">
        <w:rPr>
          <w:rFonts w:ascii="Times New Roman" w:eastAsia="Times New Roman" w:hAnsi="Times New Roman" w:cs="Times New Roman"/>
          <w:sz w:val="24"/>
          <w:szCs w:val="24"/>
        </w:rPr>
        <w:t xml:space="preserve">, A., Phillips, J., &amp; Menon, V. (2013). Default mode network in childhood autism: posteromedial cortex heterogeneity and relationship with social deficits. </w:t>
      </w:r>
      <w:r w:rsidRPr="00203582">
        <w:rPr>
          <w:rFonts w:ascii="Times New Roman" w:eastAsia="Times New Roman" w:hAnsi="Times New Roman" w:cs="Times New Roman"/>
          <w:i/>
          <w:sz w:val="24"/>
          <w:szCs w:val="24"/>
          <w:lang w:val="it-IT"/>
        </w:rPr>
        <w:t>Biological Psychiatry</w:t>
      </w:r>
      <w:r w:rsidRPr="00203582">
        <w:rPr>
          <w:rFonts w:ascii="Times New Roman" w:eastAsia="Times New Roman" w:hAnsi="Times New Roman" w:cs="Times New Roman"/>
          <w:sz w:val="24"/>
          <w:szCs w:val="24"/>
          <w:lang w:val="it-IT"/>
        </w:rPr>
        <w:t xml:space="preserve">, </w:t>
      </w:r>
      <w:r w:rsidRPr="00203582">
        <w:rPr>
          <w:rFonts w:ascii="Times New Roman" w:eastAsia="Times New Roman" w:hAnsi="Times New Roman" w:cs="Times New Roman"/>
          <w:i/>
          <w:sz w:val="24"/>
          <w:szCs w:val="24"/>
          <w:lang w:val="it-IT"/>
        </w:rPr>
        <w:t>74</w:t>
      </w:r>
      <w:r w:rsidRPr="00203582">
        <w:rPr>
          <w:rFonts w:ascii="Times New Roman" w:eastAsia="Times New Roman" w:hAnsi="Times New Roman" w:cs="Times New Roman"/>
          <w:sz w:val="24"/>
          <w:szCs w:val="24"/>
          <w:lang w:val="it-IT"/>
        </w:rPr>
        <w:t>(3), 212–219. https://doi.org/10.1016/j.biopsych.2012.12.013</w:t>
      </w:r>
    </w:p>
    <w:p w14:paraId="5708F54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Lynch, C. J., Uddin, L. Q., </w:t>
      </w:r>
      <w:proofErr w:type="spellStart"/>
      <w:r w:rsidRPr="005C650F">
        <w:rPr>
          <w:rFonts w:ascii="Times New Roman" w:eastAsia="Times New Roman" w:hAnsi="Times New Roman" w:cs="Times New Roman"/>
          <w:sz w:val="24"/>
          <w:szCs w:val="24"/>
        </w:rPr>
        <w:t>Supekar</w:t>
      </w:r>
      <w:proofErr w:type="spellEnd"/>
      <w:r w:rsidRPr="005C650F">
        <w:rPr>
          <w:rFonts w:ascii="Times New Roman" w:eastAsia="Times New Roman" w:hAnsi="Times New Roman" w:cs="Times New Roman"/>
          <w:sz w:val="24"/>
          <w:szCs w:val="24"/>
        </w:rPr>
        <w:t xml:space="preserve">, K., </w:t>
      </w:r>
      <w:proofErr w:type="spellStart"/>
      <w:r w:rsidRPr="005C650F">
        <w:rPr>
          <w:rFonts w:ascii="Times New Roman" w:eastAsia="Times New Roman" w:hAnsi="Times New Roman" w:cs="Times New Roman"/>
          <w:sz w:val="24"/>
          <w:szCs w:val="24"/>
        </w:rPr>
        <w:t>Khouzam</w:t>
      </w:r>
      <w:proofErr w:type="spellEnd"/>
      <w:r w:rsidRPr="005C650F">
        <w:rPr>
          <w:rFonts w:ascii="Times New Roman" w:eastAsia="Times New Roman" w:hAnsi="Times New Roman" w:cs="Times New Roman"/>
          <w:sz w:val="24"/>
          <w:szCs w:val="24"/>
        </w:rPr>
        <w:t xml:space="preserve">, A., Phillips, J., &amp; Menon, V. (2013). Default mode network in childhood autism: posteromedial cortex heterogeneity and relationship with social deficits. </w:t>
      </w:r>
      <w:r w:rsidRPr="005C650F">
        <w:rPr>
          <w:rFonts w:ascii="Times New Roman" w:eastAsia="Times New Roman" w:hAnsi="Times New Roman" w:cs="Times New Roman"/>
          <w:i/>
          <w:iCs/>
          <w:sz w:val="24"/>
          <w:szCs w:val="24"/>
        </w:rPr>
        <w:t>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74</w:t>
      </w:r>
      <w:r w:rsidRPr="005C650F">
        <w:rPr>
          <w:rFonts w:ascii="Times New Roman" w:eastAsia="Times New Roman" w:hAnsi="Times New Roman" w:cs="Times New Roman"/>
          <w:sz w:val="24"/>
          <w:szCs w:val="24"/>
        </w:rPr>
        <w:t>(3), 212–219. https://doi.org/10.1016/j.biopsych.2012.12.013</w:t>
      </w:r>
    </w:p>
    <w:p w14:paraId="0DB6026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Lynch, C. J., Uddin, L. Q., </w:t>
      </w:r>
      <w:proofErr w:type="spellStart"/>
      <w:r w:rsidRPr="005C650F">
        <w:rPr>
          <w:rFonts w:ascii="Times New Roman" w:eastAsia="Times New Roman" w:hAnsi="Times New Roman" w:cs="Times New Roman"/>
          <w:sz w:val="24"/>
          <w:szCs w:val="24"/>
        </w:rPr>
        <w:t>Supekar</w:t>
      </w:r>
      <w:proofErr w:type="spellEnd"/>
      <w:r w:rsidRPr="005C650F">
        <w:rPr>
          <w:rFonts w:ascii="Times New Roman" w:eastAsia="Times New Roman" w:hAnsi="Times New Roman" w:cs="Times New Roman"/>
          <w:sz w:val="24"/>
          <w:szCs w:val="24"/>
        </w:rPr>
        <w:t xml:space="preserve">, K., </w:t>
      </w:r>
      <w:proofErr w:type="spellStart"/>
      <w:r w:rsidRPr="005C650F">
        <w:rPr>
          <w:rFonts w:ascii="Times New Roman" w:eastAsia="Times New Roman" w:hAnsi="Times New Roman" w:cs="Times New Roman"/>
          <w:sz w:val="24"/>
          <w:szCs w:val="24"/>
        </w:rPr>
        <w:t>Khouzam</w:t>
      </w:r>
      <w:proofErr w:type="spellEnd"/>
      <w:r w:rsidRPr="005C650F">
        <w:rPr>
          <w:rFonts w:ascii="Times New Roman" w:eastAsia="Times New Roman" w:hAnsi="Times New Roman" w:cs="Times New Roman"/>
          <w:sz w:val="24"/>
          <w:szCs w:val="24"/>
        </w:rPr>
        <w:t xml:space="preserve">, A., Phillips, J., &amp; Menon, V. (2013). Default mode network in childhood autism: posteromedial cortex heterogeneity and relationship with social deficits. </w:t>
      </w:r>
      <w:r w:rsidRPr="005C650F">
        <w:rPr>
          <w:rFonts w:ascii="Times New Roman" w:eastAsia="Times New Roman" w:hAnsi="Times New Roman" w:cs="Times New Roman"/>
          <w:i/>
          <w:iCs/>
          <w:sz w:val="24"/>
          <w:szCs w:val="24"/>
        </w:rPr>
        <w:t>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74</w:t>
      </w:r>
      <w:r w:rsidRPr="005C650F">
        <w:rPr>
          <w:rFonts w:ascii="Times New Roman" w:eastAsia="Times New Roman" w:hAnsi="Times New Roman" w:cs="Times New Roman"/>
          <w:sz w:val="24"/>
          <w:szCs w:val="24"/>
        </w:rPr>
        <w:t>(3), 212–219. https://doi.org/10.1016/j.biopsych.2012.12.013</w:t>
      </w:r>
    </w:p>
    <w:p w14:paraId="1A86F4F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 F. (2022). Diagnostic and statistical manual of mental disorders-5 (DSM-5). </w:t>
      </w:r>
      <w:proofErr w:type="spellStart"/>
      <w:r w:rsidRPr="005C650F">
        <w:rPr>
          <w:rFonts w:ascii="Times New Roman" w:eastAsia="Times New Roman" w:hAnsi="Times New Roman" w:cs="Times New Roman"/>
          <w:i/>
          <w:iCs/>
          <w:sz w:val="24"/>
          <w:szCs w:val="24"/>
        </w:rPr>
        <w:t>Encyclopedia</w:t>
      </w:r>
      <w:proofErr w:type="spellEnd"/>
      <w:r w:rsidRPr="005C650F">
        <w:rPr>
          <w:rFonts w:ascii="Times New Roman" w:eastAsia="Times New Roman" w:hAnsi="Times New Roman" w:cs="Times New Roman"/>
          <w:i/>
          <w:iCs/>
          <w:sz w:val="24"/>
          <w:szCs w:val="24"/>
        </w:rPr>
        <w:t xml:space="preserve"> of Gerontology and Population Aging</w:t>
      </w:r>
      <w:r w:rsidRPr="005C650F">
        <w:rPr>
          <w:rFonts w:ascii="Times New Roman" w:eastAsia="Times New Roman" w:hAnsi="Times New Roman" w:cs="Times New Roman"/>
          <w:sz w:val="24"/>
          <w:szCs w:val="24"/>
        </w:rPr>
        <w:t>, 1414–1425.</w:t>
      </w:r>
    </w:p>
    <w:p w14:paraId="466FC559"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r w:rsidRPr="00203582">
        <w:rPr>
          <w:rFonts w:ascii="Times New Roman" w:eastAsia="Times New Roman" w:hAnsi="Times New Roman" w:cs="Times New Roman"/>
          <w:sz w:val="24"/>
          <w:szCs w:val="24"/>
          <w:lang w:val="it-IT"/>
        </w:rPr>
        <w:lastRenderedPageBreak/>
        <w:t xml:space="preserve">Maddock, R. J., Garrett, A. S., &amp; Buonocore, M. H. (2001). </w:t>
      </w:r>
      <w:r w:rsidRPr="00203582">
        <w:rPr>
          <w:rFonts w:ascii="Times New Roman" w:eastAsia="Times New Roman" w:hAnsi="Times New Roman" w:cs="Times New Roman"/>
          <w:sz w:val="24"/>
          <w:szCs w:val="24"/>
        </w:rPr>
        <w:t xml:space="preserve">Remembering familiar people: the posterior cingulate cortex and autobiographical memory retrieval. </w:t>
      </w:r>
      <w:r w:rsidRPr="00203582">
        <w:rPr>
          <w:rFonts w:ascii="Times New Roman" w:eastAsia="Times New Roman" w:hAnsi="Times New Roman" w:cs="Times New Roman"/>
          <w:i/>
          <w:sz w:val="24"/>
          <w:szCs w:val="24"/>
          <w:lang w:val="fr-FR"/>
        </w:rPr>
        <w:t>Neuroscience</w:t>
      </w:r>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104</w:t>
      </w:r>
      <w:r w:rsidRPr="00203582">
        <w:rPr>
          <w:rFonts w:ascii="Times New Roman" w:eastAsia="Times New Roman" w:hAnsi="Times New Roman" w:cs="Times New Roman"/>
          <w:sz w:val="24"/>
          <w:szCs w:val="24"/>
          <w:lang w:val="fr-FR"/>
        </w:rPr>
        <w:t>(3), 667–676. https://doi.org/10.1016/s0306-4522(01)00108-7</w:t>
      </w:r>
    </w:p>
    <w:p w14:paraId="48F2D49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Mahmoudi, A., </w:t>
      </w:r>
      <w:proofErr w:type="spellStart"/>
      <w:r w:rsidRPr="005C650F">
        <w:rPr>
          <w:rFonts w:ascii="Times New Roman" w:eastAsia="Times New Roman" w:hAnsi="Times New Roman" w:cs="Times New Roman"/>
          <w:sz w:val="24"/>
          <w:szCs w:val="24"/>
        </w:rPr>
        <w:t>Takerkart</w:t>
      </w:r>
      <w:proofErr w:type="spellEnd"/>
      <w:r w:rsidRPr="005C650F">
        <w:rPr>
          <w:rFonts w:ascii="Times New Roman" w:eastAsia="Times New Roman" w:hAnsi="Times New Roman" w:cs="Times New Roman"/>
          <w:sz w:val="24"/>
          <w:szCs w:val="24"/>
        </w:rPr>
        <w:t xml:space="preserve">, S., Regragui, F., </w:t>
      </w:r>
      <w:proofErr w:type="spellStart"/>
      <w:r w:rsidRPr="005C650F">
        <w:rPr>
          <w:rFonts w:ascii="Times New Roman" w:eastAsia="Times New Roman" w:hAnsi="Times New Roman" w:cs="Times New Roman"/>
          <w:sz w:val="24"/>
          <w:szCs w:val="24"/>
        </w:rPr>
        <w:t>Boussaoud</w:t>
      </w:r>
      <w:proofErr w:type="spellEnd"/>
      <w:r w:rsidRPr="005C650F">
        <w:rPr>
          <w:rFonts w:ascii="Times New Roman" w:eastAsia="Times New Roman" w:hAnsi="Times New Roman" w:cs="Times New Roman"/>
          <w:sz w:val="24"/>
          <w:szCs w:val="24"/>
        </w:rPr>
        <w:t xml:space="preserve">, D., &amp; Brovelli, A. (2012). Multivoxel pattern analysis for FMRI data: a review. </w:t>
      </w:r>
      <w:r w:rsidRPr="005C650F">
        <w:rPr>
          <w:rFonts w:ascii="Times New Roman" w:eastAsia="Times New Roman" w:hAnsi="Times New Roman" w:cs="Times New Roman"/>
          <w:i/>
          <w:iCs/>
          <w:sz w:val="24"/>
          <w:szCs w:val="24"/>
        </w:rPr>
        <w:t>Computational and Mathematical Methods in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2012</w:t>
      </w:r>
      <w:r w:rsidRPr="005C650F">
        <w:rPr>
          <w:rFonts w:ascii="Times New Roman" w:eastAsia="Times New Roman" w:hAnsi="Times New Roman" w:cs="Times New Roman"/>
          <w:sz w:val="24"/>
          <w:szCs w:val="24"/>
        </w:rPr>
        <w:t>, 961257. https://doi.org/10.1155/2012/961257</w:t>
      </w:r>
    </w:p>
    <w:p w14:paraId="26D2052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Maillet, D., Beaty, R. E., Adnan, A., Fox, K. C. R., Turner, G. R., &amp; Spreng, R. N. (2019). Aging and the wandering brain: Age-related differences in the neural correlates of stimulus-independent thoughts.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One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w:t>
      </w:r>
      <w:r w:rsidRPr="005C650F">
        <w:rPr>
          <w:rFonts w:ascii="Times New Roman" w:eastAsia="Times New Roman" w:hAnsi="Times New Roman" w:cs="Times New Roman"/>
          <w:sz w:val="24"/>
          <w:szCs w:val="24"/>
        </w:rPr>
        <w:t>(10), e0223981. https://doi.org/10.1371/journal.pone.0223981</w:t>
      </w:r>
    </w:p>
    <w:p w14:paraId="621CD61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Makris, N., Goldstein, J. M., Kennedy, D., Hodge, S. M., Caviness, V. S., Faraone, S. V., </w:t>
      </w:r>
      <w:proofErr w:type="spellStart"/>
      <w:r w:rsidRPr="005C650F">
        <w:rPr>
          <w:rFonts w:ascii="Times New Roman" w:eastAsia="Times New Roman" w:hAnsi="Times New Roman" w:cs="Times New Roman"/>
          <w:sz w:val="24"/>
          <w:szCs w:val="24"/>
        </w:rPr>
        <w:t>Tsuang</w:t>
      </w:r>
      <w:proofErr w:type="spellEnd"/>
      <w:r w:rsidRPr="005C650F">
        <w:rPr>
          <w:rFonts w:ascii="Times New Roman" w:eastAsia="Times New Roman" w:hAnsi="Times New Roman" w:cs="Times New Roman"/>
          <w:sz w:val="24"/>
          <w:szCs w:val="24"/>
        </w:rPr>
        <w:t xml:space="preserve">, M. T., &amp; Seidman, L. J. (2006). Decreased volume of left and total anterior insular lobule in schizophrenia. </w:t>
      </w:r>
      <w:r w:rsidRPr="005C650F">
        <w:rPr>
          <w:rFonts w:ascii="Times New Roman" w:eastAsia="Times New Roman" w:hAnsi="Times New Roman" w:cs="Times New Roman"/>
          <w:i/>
          <w:iCs/>
          <w:sz w:val="24"/>
          <w:szCs w:val="24"/>
        </w:rPr>
        <w:t>Schizophrenia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83</w:t>
      </w:r>
      <w:r w:rsidRPr="005C650F">
        <w:rPr>
          <w:rFonts w:ascii="Times New Roman" w:eastAsia="Times New Roman" w:hAnsi="Times New Roman" w:cs="Times New Roman"/>
          <w:sz w:val="24"/>
          <w:szCs w:val="24"/>
        </w:rPr>
        <w:t>(2–3), 155–171. https://doi.org/10.1016/j.schres.2005.11.020</w:t>
      </w:r>
    </w:p>
    <w:p w14:paraId="074E85F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fr-FR"/>
        </w:rPr>
        <w:t xml:space="preserve">Mandy, W., &amp; Lai, M.-C. (2016). </w:t>
      </w:r>
      <w:r w:rsidRPr="00203582">
        <w:rPr>
          <w:rFonts w:ascii="Times New Roman" w:eastAsia="Times New Roman" w:hAnsi="Times New Roman" w:cs="Times New Roman"/>
          <w:sz w:val="24"/>
          <w:szCs w:val="24"/>
        </w:rPr>
        <w:t xml:space="preserve">Annual Research Review: The role of the environment in the developmental psychopathology of autism spectrum condition. </w:t>
      </w:r>
      <w:r w:rsidRPr="00203582">
        <w:rPr>
          <w:rFonts w:ascii="Times New Roman" w:eastAsia="Times New Roman" w:hAnsi="Times New Roman" w:cs="Times New Roman"/>
          <w:i/>
          <w:sz w:val="24"/>
          <w:szCs w:val="24"/>
        </w:rPr>
        <w:t>Journal of Child Psychology and Psychiatry, and Allied Disciplines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57</w:t>
      </w:r>
      <w:r w:rsidRPr="00203582">
        <w:rPr>
          <w:rFonts w:ascii="Times New Roman" w:eastAsia="Times New Roman" w:hAnsi="Times New Roman" w:cs="Times New Roman"/>
          <w:sz w:val="24"/>
          <w:szCs w:val="24"/>
        </w:rPr>
        <w:t>(3), 271–292. https://doi.org/10.1111/jcpp.12501</w:t>
      </w:r>
    </w:p>
    <w:p w14:paraId="6A769C3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it-IT"/>
        </w:rPr>
        <w:t xml:space="preserve">Margari, L., De Giacomo, A., Craig, F., Palumbi, R., Peschechera, A., Margari, M., Picardi, F., Caldarola, M., Maghenzani, M. A., &amp; Dicuonzo, F. (2018). </w:t>
      </w:r>
      <w:r w:rsidRPr="005C650F">
        <w:rPr>
          <w:rFonts w:ascii="Times New Roman" w:eastAsia="Times New Roman" w:hAnsi="Times New Roman" w:cs="Times New Roman"/>
          <w:sz w:val="24"/>
          <w:szCs w:val="24"/>
        </w:rPr>
        <w:t xml:space="preserve">Frontal lobe metabolic alterations in autism spectrum disorder: a 1H-magnetic resonance spectroscopy study. </w:t>
      </w:r>
      <w:r w:rsidRPr="005C650F">
        <w:rPr>
          <w:rFonts w:ascii="Times New Roman" w:eastAsia="Times New Roman" w:hAnsi="Times New Roman" w:cs="Times New Roman"/>
          <w:i/>
          <w:iCs/>
          <w:sz w:val="24"/>
          <w:szCs w:val="24"/>
        </w:rPr>
        <w:t>Neuropsychiatric Disease and Treatment</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w:t>
      </w:r>
      <w:r w:rsidRPr="005C650F">
        <w:rPr>
          <w:rFonts w:ascii="Times New Roman" w:eastAsia="Times New Roman" w:hAnsi="Times New Roman" w:cs="Times New Roman"/>
          <w:sz w:val="24"/>
          <w:szCs w:val="24"/>
        </w:rPr>
        <w:t>, 1871–1876. https://doi.org/10.2147/NDT.S165375</w:t>
      </w:r>
    </w:p>
    <w:p w14:paraId="6352CB8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Marquand, A. F., Rezek, I., </w:t>
      </w:r>
      <w:proofErr w:type="spellStart"/>
      <w:r w:rsidRPr="005C650F">
        <w:rPr>
          <w:rFonts w:ascii="Times New Roman" w:eastAsia="Times New Roman" w:hAnsi="Times New Roman" w:cs="Times New Roman"/>
          <w:sz w:val="24"/>
          <w:szCs w:val="24"/>
        </w:rPr>
        <w:t>Buitelaar</w:t>
      </w:r>
      <w:proofErr w:type="spellEnd"/>
      <w:r w:rsidRPr="005C650F">
        <w:rPr>
          <w:rFonts w:ascii="Times New Roman" w:eastAsia="Times New Roman" w:hAnsi="Times New Roman" w:cs="Times New Roman"/>
          <w:sz w:val="24"/>
          <w:szCs w:val="24"/>
        </w:rPr>
        <w:t xml:space="preserve">, J., &amp; Beckmann, C. F. (2016). Understanding Heterogeneity in Clinical Cohorts Using Normative Models: Beyond Case-Control Studies. </w:t>
      </w:r>
      <w:r w:rsidRPr="005C650F">
        <w:rPr>
          <w:rFonts w:ascii="Times New Roman" w:eastAsia="Times New Roman" w:hAnsi="Times New Roman" w:cs="Times New Roman"/>
          <w:i/>
          <w:iCs/>
          <w:sz w:val="24"/>
          <w:szCs w:val="24"/>
        </w:rPr>
        <w:t>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80</w:t>
      </w:r>
      <w:r w:rsidRPr="005C650F">
        <w:rPr>
          <w:rFonts w:ascii="Times New Roman" w:eastAsia="Times New Roman" w:hAnsi="Times New Roman" w:cs="Times New Roman"/>
          <w:sz w:val="24"/>
          <w:szCs w:val="24"/>
        </w:rPr>
        <w:t>(7), 552–561. https://doi.org/10.1016/j.biopsych.2015.12.023</w:t>
      </w:r>
    </w:p>
    <w:p w14:paraId="7A560D8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Mars, R. B., Neubert, F.-X., Noonan, M. P., Sallet, J., Toni, I., &amp; Rushworth, M. F. S. (2012). On the relationship between the “default mode network” and the “social brain”.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 189. https://doi.org/10.3389/fnhum.2012.00189</w:t>
      </w:r>
    </w:p>
    <w:p w14:paraId="52528D1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Marsh, L. E., &amp; Hamilton, A. F. de C. (2011). Dissociation of mirroring and mentalising systems in autism.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56</w:t>
      </w:r>
      <w:r w:rsidRPr="005C650F">
        <w:rPr>
          <w:rFonts w:ascii="Times New Roman" w:eastAsia="Times New Roman" w:hAnsi="Times New Roman" w:cs="Times New Roman"/>
          <w:sz w:val="24"/>
          <w:szCs w:val="24"/>
        </w:rPr>
        <w:t>(3), 1511–1519. https://doi.org/10.1016/j.neuroimage.2011.02.003</w:t>
      </w:r>
    </w:p>
    <w:p w14:paraId="43FBDECF"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de-DE"/>
        </w:rPr>
      </w:pPr>
      <w:r w:rsidRPr="00203582">
        <w:rPr>
          <w:rFonts w:ascii="Times New Roman" w:eastAsia="Times New Roman" w:hAnsi="Times New Roman" w:cs="Times New Roman"/>
          <w:sz w:val="24"/>
          <w:szCs w:val="24"/>
          <w:lang w:val="de-DE"/>
        </w:rPr>
        <w:t xml:space="preserve">Marx, E., Deutschländer, A., Stephan, T., Dieterich, M., Wiesmann, M., &amp; Brandt, T. (2004). </w:t>
      </w:r>
      <w:r w:rsidRPr="00203582">
        <w:rPr>
          <w:rFonts w:ascii="Times New Roman" w:eastAsia="Times New Roman" w:hAnsi="Times New Roman" w:cs="Times New Roman"/>
          <w:sz w:val="24"/>
          <w:szCs w:val="24"/>
        </w:rPr>
        <w:t xml:space="preserve">Eyes open and eyes closed as rest conditions: impact on brain activation patterns. </w:t>
      </w:r>
      <w:r w:rsidRPr="00203582">
        <w:rPr>
          <w:rFonts w:ascii="Times New Roman" w:eastAsia="Times New Roman" w:hAnsi="Times New Roman" w:cs="Times New Roman"/>
          <w:i/>
          <w:sz w:val="24"/>
          <w:szCs w:val="24"/>
          <w:lang w:val="de-DE"/>
        </w:rPr>
        <w:t>Neuroimage</w:t>
      </w:r>
      <w:r w:rsidRPr="00203582">
        <w:rPr>
          <w:rFonts w:ascii="Times New Roman" w:eastAsia="Times New Roman" w:hAnsi="Times New Roman" w:cs="Times New Roman"/>
          <w:sz w:val="24"/>
          <w:szCs w:val="24"/>
          <w:lang w:val="de-DE"/>
        </w:rPr>
        <w:t xml:space="preserve">, </w:t>
      </w:r>
      <w:r w:rsidRPr="00203582">
        <w:rPr>
          <w:rFonts w:ascii="Times New Roman" w:eastAsia="Times New Roman" w:hAnsi="Times New Roman" w:cs="Times New Roman"/>
          <w:i/>
          <w:sz w:val="24"/>
          <w:szCs w:val="24"/>
          <w:lang w:val="de-DE"/>
        </w:rPr>
        <w:t>21</w:t>
      </w:r>
      <w:r w:rsidRPr="00203582">
        <w:rPr>
          <w:rFonts w:ascii="Times New Roman" w:eastAsia="Times New Roman" w:hAnsi="Times New Roman" w:cs="Times New Roman"/>
          <w:sz w:val="24"/>
          <w:szCs w:val="24"/>
          <w:lang w:val="de-DE"/>
        </w:rPr>
        <w:t>(4), 1818–1824. https://doi.org/10.1016/j.neuroimage.2003.12.026</w:t>
      </w:r>
    </w:p>
    <w:p w14:paraId="309F862A"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Marx, E., Deutschländer, A., Stephan, T., Dieterich, M., Wiesmann, M., &amp; Brandt, T. (2004). Eyes open and eyes closed as rest conditions: impact on brain activation patterns. Neuroimage, 21(4), 1818–1824. https://doi.org/10.1016/j.neuroimage.2003.12.026</w:t>
      </w:r>
    </w:p>
    <w:p w14:paraId="72EAC05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Marx, E., Stephan, T., Nolte, A., Deutschländer, A., Seelos, K. C., Dieterich, M., &amp; Brandt, T. (2003). </w:t>
      </w:r>
      <w:r w:rsidRPr="00203582">
        <w:rPr>
          <w:rFonts w:ascii="Times New Roman" w:eastAsia="Times New Roman" w:hAnsi="Times New Roman" w:cs="Times New Roman"/>
          <w:sz w:val="24"/>
          <w:szCs w:val="24"/>
        </w:rPr>
        <w:t xml:space="preserve">Eye closure in darkness animates sensory systems.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19</w:t>
      </w:r>
      <w:r w:rsidRPr="00203582">
        <w:rPr>
          <w:rFonts w:ascii="Times New Roman" w:eastAsia="Times New Roman" w:hAnsi="Times New Roman" w:cs="Times New Roman"/>
          <w:sz w:val="24"/>
          <w:szCs w:val="24"/>
        </w:rPr>
        <w:t>(3), 924–934. https://doi.org/10.1016/s1053-8119(03)00150-2</w:t>
      </w:r>
    </w:p>
    <w:p w14:paraId="32E29816"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Marx, E., Stephan, T., Nolte, A., Deutschländer, A., </w:t>
      </w:r>
      <w:proofErr w:type="spellStart"/>
      <w:r w:rsidRPr="00F97EDC">
        <w:rPr>
          <w:rFonts w:ascii="Times New Roman" w:eastAsia="Times New Roman" w:hAnsi="Times New Roman" w:cs="Times New Roman"/>
          <w:sz w:val="24"/>
          <w:szCs w:val="24"/>
        </w:rPr>
        <w:t>Seelos</w:t>
      </w:r>
      <w:proofErr w:type="spellEnd"/>
      <w:r w:rsidRPr="00F97EDC">
        <w:rPr>
          <w:rFonts w:ascii="Times New Roman" w:eastAsia="Times New Roman" w:hAnsi="Times New Roman" w:cs="Times New Roman"/>
          <w:sz w:val="24"/>
          <w:szCs w:val="24"/>
        </w:rPr>
        <w:t>, K. C., Dieterich, M., &amp; Brandt, T. (2003). Eye closure in darkness animates sensory systems. Neuroimage, 19(3), 924–934. https://doi.org/10.1016/s1053-8119(03)00150-2</w:t>
      </w:r>
    </w:p>
    <w:p w14:paraId="39F157D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Masi, A., DeMayo, M. M., </w:t>
      </w:r>
      <w:proofErr w:type="spellStart"/>
      <w:r w:rsidRPr="005C650F">
        <w:rPr>
          <w:rFonts w:ascii="Times New Roman" w:eastAsia="Times New Roman" w:hAnsi="Times New Roman" w:cs="Times New Roman"/>
          <w:sz w:val="24"/>
          <w:szCs w:val="24"/>
        </w:rPr>
        <w:t>Glozier</w:t>
      </w:r>
      <w:proofErr w:type="spellEnd"/>
      <w:r w:rsidRPr="005C650F">
        <w:rPr>
          <w:rFonts w:ascii="Times New Roman" w:eastAsia="Times New Roman" w:hAnsi="Times New Roman" w:cs="Times New Roman"/>
          <w:sz w:val="24"/>
          <w:szCs w:val="24"/>
        </w:rPr>
        <w:t xml:space="preserve">, N., &amp; Guastella, A. J. (2017). An overview of autism spectrum disorder, heterogeneity and treatment options. </w:t>
      </w:r>
      <w:r w:rsidRPr="005C650F">
        <w:rPr>
          <w:rFonts w:ascii="Times New Roman" w:eastAsia="Times New Roman" w:hAnsi="Times New Roman" w:cs="Times New Roman"/>
          <w:i/>
          <w:iCs/>
          <w:sz w:val="24"/>
          <w:szCs w:val="24"/>
        </w:rPr>
        <w:t>Neuroscience Bulletin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33</w:t>
      </w:r>
      <w:r w:rsidRPr="005C650F">
        <w:rPr>
          <w:rFonts w:ascii="Times New Roman" w:eastAsia="Times New Roman" w:hAnsi="Times New Roman" w:cs="Times New Roman"/>
          <w:sz w:val="24"/>
          <w:szCs w:val="24"/>
        </w:rPr>
        <w:t>(2), 183–193. https://doi.org/10.1007/s12264-017-0100-y</w:t>
      </w:r>
    </w:p>
    <w:p w14:paraId="7AC3906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Mason, L., </w:t>
      </w:r>
      <w:proofErr w:type="spellStart"/>
      <w:r w:rsidRPr="00203582">
        <w:rPr>
          <w:rFonts w:ascii="Times New Roman" w:eastAsia="Times New Roman" w:hAnsi="Times New Roman" w:cs="Times New Roman"/>
          <w:sz w:val="24"/>
          <w:szCs w:val="24"/>
        </w:rPr>
        <w:t>Moessnang</w:t>
      </w:r>
      <w:proofErr w:type="spellEnd"/>
      <w:r w:rsidRPr="00203582">
        <w:rPr>
          <w:rFonts w:ascii="Times New Roman" w:eastAsia="Times New Roman" w:hAnsi="Times New Roman" w:cs="Times New Roman"/>
          <w:sz w:val="24"/>
          <w:szCs w:val="24"/>
        </w:rPr>
        <w:t xml:space="preserve">, C., Chatham, C., Ham, L., Tillmann, J., Dumas, G., Ellis, C., Leblond, C. S., </w:t>
      </w:r>
      <w:proofErr w:type="spellStart"/>
      <w:r w:rsidRPr="00203582">
        <w:rPr>
          <w:rFonts w:ascii="Times New Roman" w:eastAsia="Times New Roman" w:hAnsi="Times New Roman" w:cs="Times New Roman"/>
          <w:sz w:val="24"/>
          <w:szCs w:val="24"/>
        </w:rPr>
        <w:t>Cliquet</w:t>
      </w:r>
      <w:proofErr w:type="spellEnd"/>
      <w:r w:rsidRPr="00203582">
        <w:rPr>
          <w:rFonts w:ascii="Times New Roman" w:eastAsia="Times New Roman" w:hAnsi="Times New Roman" w:cs="Times New Roman"/>
          <w:sz w:val="24"/>
          <w:szCs w:val="24"/>
        </w:rPr>
        <w:t xml:space="preserve">, F., Bourgeron, T., Beckmann, C., Charman, T., Oakley, B., </w:t>
      </w:r>
      <w:proofErr w:type="spellStart"/>
      <w:r w:rsidRPr="00203582">
        <w:rPr>
          <w:rFonts w:ascii="Times New Roman" w:eastAsia="Times New Roman" w:hAnsi="Times New Roman" w:cs="Times New Roman"/>
          <w:sz w:val="24"/>
          <w:szCs w:val="24"/>
        </w:rPr>
        <w:t>Banaschewski</w:t>
      </w:r>
      <w:proofErr w:type="spellEnd"/>
      <w:r w:rsidRPr="00203582">
        <w:rPr>
          <w:rFonts w:ascii="Times New Roman" w:eastAsia="Times New Roman" w:hAnsi="Times New Roman" w:cs="Times New Roman"/>
          <w:sz w:val="24"/>
          <w:szCs w:val="24"/>
        </w:rPr>
        <w:t xml:space="preserve">, T., Meyer-Lindenberg, A., Baron-Cohen, S., </w:t>
      </w:r>
      <w:proofErr w:type="spellStart"/>
      <w:r w:rsidRPr="00203582">
        <w:rPr>
          <w:rFonts w:ascii="Times New Roman" w:eastAsia="Times New Roman" w:hAnsi="Times New Roman" w:cs="Times New Roman"/>
          <w:sz w:val="24"/>
          <w:szCs w:val="24"/>
        </w:rPr>
        <w:t>Bölte</w:t>
      </w:r>
      <w:proofErr w:type="spellEnd"/>
      <w:r w:rsidRPr="00203582">
        <w:rPr>
          <w:rFonts w:ascii="Times New Roman" w:eastAsia="Times New Roman" w:hAnsi="Times New Roman" w:cs="Times New Roman"/>
          <w:sz w:val="24"/>
          <w:szCs w:val="24"/>
        </w:rPr>
        <w:t xml:space="preserve">, S., </w:t>
      </w:r>
      <w:proofErr w:type="spellStart"/>
      <w:r w:rsidRPr="00203582">
        <w:rPr>
          <w:rFonts w:ascii="Times New Roman" w:eastAsia="Times New Roman" w:hAnsi="Times New Roman" w:cs="Times New Roman"/>
          <w:sz w:val="24"/>
          <w:szCs w:val="24"/>
        </w:rPr>
        <w:t>Buitelaar</w:t>
      </w:r>
      <w:proofErr w:type="spellEnd"/>
      <w:r w:rsidRPr="00203582">
        <w:rPr>
          <w:rFonts w:ascii="Times New Roman" w:eastAsia="Times New Roman" w:hAnsi="Times New Roman" w:cs="Times New Roman"/>
          <w:sz w:val="24"/>
          <w:szCs w:val="24"/>
        </w:rPr>
        <w:t xml:space="preserve">, J. K., Durston, S., … Jones, E. J. H. (2022). Stratifying the autistic phenotype using electrophysiological indices of social perception. </w:t>
      </w:r>
      <w:r w:rsidRPr="00203582">
        <w:rPr>
          <w:rFonts w:ascii="Times New Roman" w:eastAsia="Times New Roman" w:hAnsi="Times New Roman" w:cs="Times New Roman"/>
          <w:i/>
          <w:sz w:val="24"/>
          <w:szCs w:val="24"/>
        </w:rPr>
        <w:t>Science Translational 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14</w:t>
      </w:r>
      <w:r w:rsidRPr="00203582">
        <w:rPr>
          <w:rFonts w:ascii="Times New Roman" w:eastAsia="Times New Roman" w:hAnsi="Times New Roman" w:cs="Times New Roman"/>
          <w:sz w:val="24"/>
          <w:szCs w:val="24"/>
        </w:rPr>
        <w:t>(658), eabf8987. https://doi.org/10.1126/scitranslmed.abf8987</w:t>
      </w:r>
    </w:p>
    <w:p w14:paraId="3B8762D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Mathe, S., &amp; </w:t>
      </w:r>
      <w:proofErr w:type="spellStart"/>
      <w:r w:rsidRPr="005C650F">
        <w:rPr>
          <w:rFonts w:ascii="Times New Roman" w:eastAsia="Times New Roman" w:hAnsi="Times New Roman" w:cs="Times New Roman"/>
          <w:sz w:val="24"/>
          <w:szCs w:val="24"/>
        </w:rPr>
        <w:t>Sminchisescu</w:t>
      </w:r>
      <w:proofErr w:type="spellEnd"/>
      <w:r w:rsidRPr="005C650F">
        <w:rPr>
          <w:rFonts w:ascii="Times New Roman" w:eastAsia="Times New Roman" w:hAnsi="Times New Roman" w:cs="Times New Roman"/>
          <w:sz w:val="24"/>
          <w:szCs w:val="24"/>
        </w:rPr>
        <w:t xml:space="preserve">, C. (2015). Actions in the eye: dynamic gaze datasets and learnt saliency models for visual recognition. </w:t>
      </w:r>
      <w:r w:rsidRPr="005C650F">
        <w:rPr>
          <w:rFonts w:ascii="Times New Roman" w:eastAsia="Times New Roman" w:hAnsi="Times New Roman" w:cs="Times New Roman"/>
          <w:i/>
          <w:iCs/>
          <w:sz w:val="24"/>
          <w:szCs w:val="24"/>
        </w:rPr>
        <w:t>IEEE Transactions on Pattern Analysis and Machine Intelligence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w:t>
      </w:r>
      <w:r w:rsidRPr="005C650F">
        <w:rPr>
          <w:rFonts w:ascii="Times New Roman" w:eastAsia="Times New Roman" w:hAnsi="Times New Roman" w:cs="Times New Roman"/>
          <w:sz w:val="24"/>
          <w:szCs w:val="24"/>
        </w:rPr>
        <w:t>(7), 1408–1424. https://doi.org/10.1109/TPAMI.2014.2366154</w:t>
      </w:r>
    </w:p>
    <w:p w14:paraId="53E8689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Mathewson, K. J., Jetha, M. K., Drmic, I. E., Bryson, S. E., Goldberg, J. O., &amp; Schmidt, L. A. (2012). Regional EEG alpha power, coherence, and </w:t>
      </w:r>
      <w:proofErr w:type="spellStart"/>
      <w:r w:rsidRPr="005C650F">
        <w:rPr>
          <w:rFonts w:ascii="Times New Roman" w:eastAsia="Times New Roman" w:hAnsi="Times New Roman" w:cs="Times New Roman"/>
          <w:sz w:val="24"/>
          <w:szCs w:val="24"/>
        </w:rPr>
        <w:t>behavioral</w:t>
      </w:r>
      <w:proofErr w:type="spellEnd"/>
      <w:r w:rsidRPr="005C650F">
        <w:rPr>
          <w:rFonts w:ascii="Times New Roman" w:eastAsia="Times New Roman" w:hAnsi="Times New Roman" w:cs="Times New Roman"/>
          <w:sz w:val="24"/>
          <w:szCs w:val="24"/>
        </w:rPr>
        <w:t xml:space="preserve"> symptomatology in autism spectrum disorder.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123</w:t>
      </w:r>
      <w:r w:rsidRPr="005C650F">
        <w:rPr>
          <w:rFonts w:ascii="Times New Roman" w:eastAsia="Times New Roman" w:hAnsi="Times New Roman" w:cs="Times New Roman"/>
          <w:sz w:val="24"/>
          <w:szCs w:val="24"/>
        </w:rPr>
        <w:t>(9), 1798–1809. https://doi.org/10.1016/j.clinph.2012.02.061</w:t>
      </w:r>
    </w:p>
    <w:p w14:paraId="16022EF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Maximo, J. O., Nelson, C. M., &amp; Kana, R. K. (2021). “Unrest while Resting”? Brain entropy in autism spectrum disorder. </w:t>
      </w:r>
      <w:r w:rsidRPr="00203582">
        <w:rPr>
          <w:rFonts w:ascii="Times New Roman" w:eastAsia="Times New Roman" w:hAnsi="Times New Roman" w:cs="Times New Roman"/>
          <w:i/>
          <w:sz w:val="24"/>
          <w:szCs w:val="24"/>
        </w:rPr>
        <w:t>Brain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1762</w:t>
      </w:r>
      <w:r w:rsidRPr="00203582">
        <w:rPr>
          <w:rFonts w:ascii="Times New Roman" w:eastAsia="Times New Roman" w:hAnsi="Times New Roman" w:cs="Times New Roman"/>
          <w:sz w:val="24"/>
          <w:szCs w:val="24"/>
        </w:rPr>
        <w:t>, 147435. https://doi.org/10.1016/j.brainres.2021.147435</w:t>
      </w:r>
    </w:p>
    <w:p w14:paraId="6CCFC09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Maximo, J. O., Nelson, C. M., &amp; Kana, R. K. (2021). “Unrest while Resting”? Brain entropy in autism spectrum disorder. </w:t>
      </w:r>
      <w:r w:rsidRPr="005C650F">
        <w:rPr>
          <w:rFonts w:ascii="Times New Roman" w:eastAsia="Times New Roman" w:hAnsi="Times New Roman" w:cs="Times New Roman"/>
          <w:i/>
          <w:iCs/>
          <w:sz w:val="24"/>
          <w:szCs w:val="24"/>
        </w:rPr>
        <w:t>Brain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1762</w:t>
      </w:r>
      <w:r w:rsidRPr="005C650F">
        <w:rPr>
          <w:rFonts w:ascii="Times New Roman" w:eastAsia="Times New Roman" w:hAnsi="Times New Roman" w:cs="Times New Roman"/>
          <w:sz w:val="24"/>
          <w:szCs w:val="24"/>
        </w:rPr>
        <w:t>, 147435. https://doi.org/10.1016/j.brainres.2021.147435</w:t>
      </w:r>
    </w:p>
    <w:p w14:paraId="791B85E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Maximo, J. O., Nelson, C. M., &amp; Kana, R. K. (2021). “Unrest while Resting”? Brain entropy in autism spectrum disorder. </w:t>
      </w:r>
      <w:r w:rsidRPr="005C650F">
        <w:rPr>
          <w:rFonts w:ascii="Times New Roman" w:eastAsia="Times New Roman" w:hAnsi="Times New Roman" w:cs="Times New Roman"/>
          <w:i/>
          <w:iCs/>
          <w:sz w:val="24"/>
          <w:szCs w:val="24"/>
        </w:rPr>
        <w:t>Brain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1762</w:t>
      </w:r>
      <w:r w:rsidRPr="005C650F">
        <w:rPr>
          <w:rFonts w:ascii="Times New Roman" w:eastAsia="Times New Roman" w:hAnsi="Times New Roman" w:cs="Times New Roman"/>
          <w:sz w:val="24"/>
          <w:szCs w:val="24"/>
        </w:rPr>
        <w:t>, 147435. https://doi.org/10.1016/j.brainres.2021.147435</w:t>
      </w:r>
    </w:p>
    <w:p w14:paraId="2FEC688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Maximo, J. O., Nelson, C. M., &amp; Kana, R. K. (2021). “Unrest while Resting”? Brain entropy in autism spectrum disorder. </w:t>
      </w:r>
      <w:r w:rsidRPr="005C650F">
        <w:rPr>
          <w:rFonts w:ascii="Times New Roman" w:eastAsia="Times New Roman" w:hAnsi="Times New Roman" w:cs="Times New Roman"/>
          <w:i/>
          <w:iCs/>
          <w:sz w:val="24"/>
          <w:szCs w:val="24"/>
        </w:rPr>
        <w:t>Brain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1762</w:t>
      </w:r>
      <w:r w:rsidRPr="005C650F">
        <w:rPr>
          <w:rFonts w:ascii="Times New Roman" w:eastAsia="Times New Roman" w:hAnsi="Times New Roman" w:cs="Times New Roman"/>
          <w:sz w:val="24"/>
          <w:szCs w:val="24"/>
        </w:rPr>
        <w:t>, 147435. https://doi.org/10.1016/j.brainres.2021.147435</w:t>
      </w:r>
    </w:p>
    <w:p w14:paraId="1B73B24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Maximo, J. O., Nelson, C. M., &amp; Kana, R. K. (2021). “Unrest while Resting”? Brain entropy in autism spectrum disorder. </w:t>
      </w:r>
      <w:r w:rsidRPr="005C650F">
        <w:rPr>
          <w:rFonts w:ascii="Times New Roman" w:eastAsia="Times New Roman" w:hAnsi="Times New Roman" w:cs="Times New Roman"/>
          <w:i/>
          <w:iCs/>
          <w:sz w:val="24"/>
          <w:szCs w:val="24"/>
        </w:rPr>
        <w:t>Brain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1762</w:t>
      </w:r>
      <w:r w:rsidRPr="005C650F">
        <w:rPr>
          <w:rFonts w:ascii="Times New Roman" w:eastAsia="Times New Roman" w:hAnsi="Times New Roman" w:cs="Times New Roman"/>
          <w:sz w:val="24"/>
          <w:szCs w:val="24"/>
        </w:rPr>
        <w:t>, 147435. https://doi.org/10.1016/j.brainres.2021.147435</w:t>
      </w:r>
    </w:p>
    <w:p w14:paraId="408B2B7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Mayeux, R. (2004). Biomarkers: potential uses and limitations. </w:t>
      </w:r>
      <w:proofErr w:type="spellStart"/>
      <w:r w:rsidRPr="00203582">
        <w:rPr>
          <w:rFonts w:ascii="Times New Roman" w:eastAsia="Times New Roman" w:hAnsi="Times New Roman" w:cs="Times New Roman"/>
          <w:i/>
          <w:sz w:val="24"/>
          <w:szCs w:val="24"/>
        </w:rPr>
        <w:t>NeuroRx</w:t>
      </w:r>
      <w:proofErr w:type="spellEnd"/>
      <w:r w:rsidRPr="00203582">
        <w:rPr>
          <w:rFonts w:ascii="Times New Roman" w:eastAsia="Times New Roman" w:hAnsi="Times New Roman" w:cs="Times New Roman"/>
          <w:i/>
          <w:sz w:val="24"/>
          <w:szCs w:val="24"/>
        </w:rPr>
        <w:t xml:space="preserve"> : The Journal of the American Society for Experimental </w:t>
      </w:r>
      <w:proofErr w:type="spellStart"/>
      <w:r w:rsidRPr="00203582">
        <w:rPr>
          <w:rFonts w:ascii="Times New Roman" w:eastAsia="Times New Roman" w:hAnsi="Times New Roman" w:cs="Times New Roman"/>
          <w:i/>
          <w:sz w:val="24"/>
          <w:szCs w:val="24"/>
        </w:rPr>
        <w:t>NeuroTherapeutics</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w:t>
      </w:r>
      <w:r w:rsidRPr="00203582">
        <w:rPr>
          <w:rFonts w:ascii="Times New Roman" w:eastAsia="Times New Roman" w:hAnsi="Times New Roman" w:cs="Times New Roman"/>
          <w:sz w:val="24"/>
          <w:szCs w:val="24"/>
        </w:rPr>
        <w:t>(2), 182–188. https://doi.org/10.1602/neurorx.1.2.182</w:t>
      </w:r>
    </w:p>
    <w:p w14:paraId="360EDCE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Mazoyer</w:t>
      </w:r>
      <w:proofErr w:type="spellEnd"/>
      <w:r w:rsidRPr="00203582">
        <w:rPr>
          <w:rFonts w:ascii="Times New Roman" w:eastAsia="Times New Roman" w:hAnsi="Times New Roman" w:cs="Times New Roman"/>
          <w:sz w:val="24"/>
          <w:szCs w:val="24"/>
        </w:rPr>
        <w:t xml:space="preserve">, B., Zago, L., Mellet, E., </w:t>
      </w:r>
      <w:proofErr w:type="spellStart"/>
      <w:r w:rsidRPr="00203582">
        <w:rPr>
          <w:rFonts w:ascii="Times New Roman" w:eastAsia="Times New Roman" w:hAnsi="Times New Roman" w:cs="Times New Roman"/>
          <w:sz w:val="24"/>
          <w:szCs w:val="24"/>
        </w:rPr>
        <w:t>Bricogne</w:t>
      </w:r>
      <w:proofErr w:type="spellEnd"/>
      <w:r w:rsidRPr="00203582">
        <w:rPr>
          <w:rFonts w:ascii="Times New Roman" w:eastAsia="Times New Roman" w:hAnsi="Times New Roman" w:cs="Times New Roman"/>
          <w:sz w:val="24"/>
          <w:szCs w:val="24"/>
        </w:rPr>
        <w:t xml:space="preserve">, S., </w:t>
      </w:r>
      <w:proofErr w:type="spellStart"/>
      <w:r w:rsidRPr="00203582">
        <w:rPr>
          <w:rFonts w:ascii="Times New Roman" w:eastAsia="Times New Roman" w:hAnsi="Times New Roman" w:cs="Times New Roman"/>
          <w:sz w:val="24"/>
          <w:szCs w:val="24"/>
        </w:rPr>
        <w:t>Etard</w:t>
      </w:r>
      <w:proofErr w:type="spellEnd"/>
      <w:r w:rsidRPr="00203582">
        <w:rPr>
          <w:rFonts w:ascii="Times New Roman" w:eastAsia="Times New Roman" w:hAnsi="Times New Roman" w:cs="Times New Roman"/>
          <w:sz w:val="24"/>
          <w:szCs w:val="24"/>
        </w:rPr>
        <w:t xml:space="preserve">, O., </w:t>
      </w:r>
      <w:proofErr w:type="spellStart"/>
      <w:r w:rsidRPr="00203582">
        <w:rPr>
          <w:rFonts w:ascii="Times New Roman" w:eastAsia="Times New Roman" w:hAnsi="Times New Roman" w:cs="Times New Roman"/>
          <w:sz w:val="24"/>
          <w:szCs w:val="24"/>
        </w:rPr>
        <w:t>Houdé</w:t>
      </w:r>
      <w:proofErr w:type="spellEnd"/>
      <w:r w:rsidRPr="00203582">
        <w:rPr>
          <w:rFonts w:ascii="Times New Roman" w:eastAsia="Times New Roman" w:hAnsi="Times New Roman" w:cs="Times New Roman"/>
          <w:sz w:val="24"/>
          <w:szCs w:val="24"/>
        </w:rPr>
        <w:t xml:space="preserve">, O., Crivello, F., Joliot, M., Petit, L., &amp; </w:t>
      </w:r>
      <w:proofErr w:type="spellStart"/>
      <w:r w:rsidRPr="00203582">
        <w:rPr>
          <w:rFonts w:ascii="Times New Roman" w:eastAsia="Times New Roman" w:hAnsi="Times New Roman" w:cs="Times New Roman"/>
          <w:sz w:val="24"/>
          <w:szCs w:val="24"/>
        </w:rPr>
        <w:t>Tzourio-Mazoyer</w:t>
      </w:r>
      <w:proofErr w:type="spellEnd"/>
      <w:r w:rsidRPr="00203582">
        <w:rPr>
          <w:rFonts w:ascii="Times New Roman" w:eastAsia="Times New Roman" w:hAnsi="Times New Roman" w:cs="Times New Roman"/>
          <w:sz w:val="24"/>
          <w:szCs w:val="24"/>
        </w:rPr>
        <w:t xml:space="preserve">, N. (2001). Cortical networks for working memory and executive functions sustain the conscious resting state in man. </w:t>
      </w:r>
      <w:r w:rsidRPr="00203582">
        <w:rPr>
          <w:rFonts w:ascii="Times New Roman" w:eastAsia="Times New Roman" w:hAnsi="Times New Roman" w:cs="Times New Roman"/>
          <w:i/>
          <w:sz w:val="24"/>
          <w:szCs w:val="24"/>
        </w:rPr>
        <w:t>Brain Research Bulletin</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54</w:t>
      </w:r>
      <w:r w:rsidRPr="00203582">
        <w:rPr>
          <w:rFonts w:ascii="Times New Roman" w:eastAsia="Times New Roman" w:hAnsi="Times New Roman" w:cs="Times New Roman"/>
          <w:sz w:val="24"/>
          <w:szCs w:val="24"/>
        </w:rPr>
        <w:t>(3), 287–298. https://doi.org/10.1016/S0361-9230(00)00437-8</w:t>
      </w:r>
    </w:p>
    <w:p w14:paraId="733E5D7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McAvoy, M., Larson-Prior, L., </w:t>
      </w:r>
      <w:proofErr w:type="spellStart"/>
      <w:r w:rsidRPr="005C650F">
        <w:rPr>
          <w:rFonts w:ascii="Times New Roman" w:eastAsia="Times New Roman" w:hAnsi="Times New Roman" w:cs="Times New Roman"/>
          <w:sz w:val="24"/>
          <w:szCs w:val="24"/>
        </w:rPr>
        <w:t>Ludwikow</w:t>
      </w:r>
      <w:proofErr w:type="spellEnd"/>
      <w:r w:rsidRPr="005C650F">
        <w:rPr>
          <w:rFonts w:ascii="Times New Roman" w:eastAsia="Times New Roman" w:hAnsi="Times New Roman" w:cs="Times New Roman"/>
          <w:sz w:val="24"/>
          <w:szCs w:val="24"/>
        </w:rPr>
        <w:t xml:space="preserve">, M., Zhang, D., Snyder, A. Z., </w:t>
      </w:r>
      <w:proofErr w:type="spellStart"/>
      <w:r w:rsidRPr="005C650F">
        <w:rPr>
          <w:rFonts w:ascii="Times New Roman" w:eastAsia="Times New Roman" w:hAnsi="Times New Roman" w:cs="Times New Roman"/>
          <w:sz w:val="24"/>
          <w:szCs w:val="24"/>
        </w:rPr>
        <w:t>Gusnard</w:t>
      </w:r>
      <w:proofErr w:type="spellEnd"/>
      <w:r w:rsidRPr="005C650F">
        <w:rPr>
          <w:rFonts w:ascii="Times New Roman" w:eastAsia="Times New Roman" w:hAnsi="Times New Roman" w:cs="Times New Roman"/>
          <w:sz w:val="24"/>
          <w:szCs w:val="24"/>
        </w:rPr>
        <w:t xml:space="preserve">, D. L., Raichle, M. E., &amp; </w:t>
      </w:r>
      <w:proofErr w:type="spellStart"/>
      <w:r w:rsidRPr="005C650F">
        <w:rPr>
          <w:rFonts w:ascii="Times New Roman" w:eastAsia="Times New Roman" w:hAnsi="Times New Roman" w:cs="Times New Roman"/>
          <w:sz w:val="24"/>
          <w:szCs w:val="24"/>
        </w:rPr>
        <w:t>d’Avossa</w:t>
      </w:r>
      <w:proofErr w:type="spellEnd"/>
      <w:r w:rsidRPr="005C650F">
        <w:rPr>
          <w:rFonts w:ascii="Times New Roman" w:eastAsia="Times New Roman" w:hAnsi="Times New Roman" w:cs="Times New Roman"/>
          <w:sz w:val="24"/>
          <w:szCs w:val="24"/>
        </w:rPr>
        <w:t xml:space="preserve">, G. (2012). Dissociated mean and functional connectivity BOLD signals in visual cortex during eyes closed and fixation. </w:t>
      </w:r>
      <w:r w:rsidRPr="005C650F">
        <w:rPr>
          <w:rFonts w:ascii="Times New Roman" w:eastAsia="Times New Roman" w:hAnsi="Times New Roman" w:cs="Times New Roman"/>
          <w:i/>
          <w:iCs/>
          <w:sz w:val="24"/>
          <w:szCs w:val="24"/>
        </w:rPr>
        <w:t>Journal of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108</w:t>
      </w:r>
      <w:r w:rsidRPr="005C650F">
        <w:rPr>
          <w:rFonts w:ascii="Times New Roman" w:eastAsia="Times New Roman" w:hAnsi="Times New Roman" w:cs="Times New Roman"/>
          <w:sz w:val="24"/>
          <w:szCs w:val="24"/>
        </w:rPr>
        <w:t>(9), 2363–2372. https://doi.org/10.1152/jn.00900.2011</w:t>
      </w:r>
    </w:p>
    <w:p w14:paraId="3A958C1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McAvoy, M., Larson-Prior, L., Nolan, T. S., Vaishnavi, S. N., Raichle, M. E., &amp; </w:t>
      </w:r>
      <w:proofErr w:type="spellStart"/>
      <w:r w:rsidRPr="00203582">
        <w:rPr>
          <w:rFonts w:ascii="Times New Roman" w:eastAsia="Times New Roman" w:hAnsi="Times New Roman" w:cs="Times New Roman"/>
          <w:sz w:val="24"/>
          <w:szCs w:val="24"/>
        </w:rPr>
        <w:t>d’Avossa</w:t>
      </w:r>
      <w:proofErr w:type="spellEnd"/>
      <w:r w:rsidRPr="00203582">
        <w:rPr>
          <w:rFonts w:ascii="Times New Roman" w:eastAsia="Times New Roman" w:hAnsi="Times New Roman" w:cs="Times New Roman"/>
          <w:sz w:val="24"/>
          <w:szCs w:val="24"/>
        </w:rPr>
        <w:t xml:space="preserve">, G. (2008). Resting states affect spontaneous BOLD oscillations in sensory and paralimbic cortex. </w:t>
      </w:r>
      <w:r w:rsidRPr="00203582">
        <w:rPr>
          <w:rFonts w:ascii="Times New Roman" w:eastAsia="Times New Roman" w:hAnsi="Times New Roman" w:cs="Times New Roman"/>
          <w:i/>
          <w:sz w:val="24"/>
          <w:szCs w:val="24"/>
        </w:rPr>
        <w:t>Journal of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100</w:t>
      </w:r>
      <w:r w:rsidRPr="00203582">
        <w:rPr>
          <w:rFonts w:ascii="Times New Roman" w:eastAsia="Times New Roman" w:hAnsi="Times New Roman" w:cs="Times New Roman"/>
          <w:sz w:val="24"/>
          <w:szCs w:val="24"/>
        </w:rPr>
        <w:t>(2), 922–931. https://doi.org/10.1152/jn.90426.2008</w:t>
      </w:r>
    </w:p>
    <w:p w14:paraId="162CBFD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McAvoy, M., Larson-Prior, L., Nolan, T. S., Vaishnavi, S. N., Raichle, M. E., &amp; </w:t>
      </w:r>
      <w:proofErr w:type="spellStart"/>
      <w:r w:rsidRPr="005C650F">
        <w:rPr>
          <w:rFonts w:ascii="Times New Roman" w:eastAsia="Times New Roman" w:hAnsi="Times New Roman" w:cs="Times New Roman"/>
          <w:sz w:val="24"/>
          <w:szCs w:val="24"/>
        </w:rPr>
        <w:t>d’Avossa</w:t>
      </w:r>
      <w:proofErr w:type="spellEnd"/>
      <w:r w:rsidRPr="005C650F">
        <w:rPr>
          <w:rFonts w:ascii="Times New Roman" w:eastAsia="Times New Roman" w:hAnsi="Times New Roman" w:cs="Times New Roman"/>
          <w:sz w:val="24"/>
          <w:szCs w:val="24"/>
        </w:rPr>
        <w:t xml:space="preserve">, G. (2008). Resting states affect spontaneous BOLD oscillations in sensory and paralimbic cortex. </w:t>
      </w:r>
      <w:r w:rsidRPr="005C650F">
        <w:rPr>
          <w:rFonts w:ascii="Times New Roman" w:eastAsia="Times New Roman" w:hAnsi="Times New Roman" w:cs="Times New Roman"/>
          <w:i/>
          <w:iCs/>
          <w:sz w:val="24"/>
          <w:szCs w:val="24"/>
        </w:rPr>
        <w:t>Journal of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100</w:t>
      </w:r>
      <w:r w:rsidRPr="005C650F">
        <w:rPr>
          <w:rFonts w:ascii="Times New Roman" w:eastAsia="Times New Roman" w:hAnsi="Times New Roman" w:cs="Times New Roman"/>
          <w:sz w:val="24"/>
          <w:szCs w:val="24"/>
        </w:rPr>
        <w:t>(2), 922–931. https://doi.org/10.1152/jn.90426.2008</w:t>
      </w:r>
    </w:p>
    <w:p w14:paraId="4DC8D21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McCamley, J. D., Denton, W., Arnold, A., </w:t>
      </w:r>
      <w:proofErr w:type="spellStart"/>
      <w:r w:rsidRPr="00203582">
        <w:rPr>
          <w:rFonts w:ascii="Times New Roman" w:eastAsia="Times New Roman" w:hAnsi="Times New Roman" w:cs="Times New Roman"/>
          <w:sz w:val="24"/>
          <w:szCs w:val="24"/>
        </w:rPr>
        <w:t>Raffalt</w:t>
      </w:r>
      <w:proofErr w:type="spellEnd"/>
      <w:r w:rsidRPr="00203582">
        <w:rPr>
          <w:rFonts w:ascii="Times New Roman" w:eastAsia="Times New Roman" w:hAnsi="Times New Roman" w:cs="Times New Roman"/>
          <w:sz w:val="24"/>
          <w:szCs w:val="24"/>
        </w:rPr>
        <w:t xml:space="preserve">, P. C., &amp; Yentes, J. M. (2018). On the calculation of sample entropy using continuous and discrete human gait data. </w:t>
      </w:r>
      <w:r w:rsidRPr="00203582">
        <w:rPr>
          <w:rFonts w:ascii="Times New Roman" w:eastAsia="Times New Roman" w:hAnsi="Times New Roman" w:cs="Times New Roman"/>
          <w:i/>
          <w:sz w:val="24"/>
          <w:szCs w:val="24"/>
        </w:rPr>
        <w:t>Entropy (Basel, Switzerland)</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20</w:t>
      </w:r>
      <w:r w:rsidRPr="00203582">
        <w:rPr>
          <w:rFonts w:ascii="Times New Roman" w:eastAsia="Times New Roman" w:hAnsi="Times New Roman" w:cs="Times New Roman"/>
          <w:sz w:val="24"/>
          <w:szCs w:val="24"/>
        </w:rPr>
        <w:t>(10). https://doi.org/10.3390/e20100764</w:t>
      </w:r>
    </w:p>
    <w:p w14:paraId="2C3038D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McCormick, C. E. B., Kavanaugh, B. C., </w:t>
      </w:r>
      <w:proofErr w:type="spellStart"/>
      <w:r w:rsidRPr="00203582">
        <w:rPr>
          <w:rFonts w:ascii="Times New Roman" w:eastAsia="Times New Roman" w:hAnsi="Times New Roman" w:cs="Times New Roman"/>
          <w:sz w:val="24"/>
          <w:szCs w:val="24"/>
        </w:rPr>
        <w:t>Sipsock</w:t>
      </w:r>
      <w:proofErr w:type="spellEnd"/>
      <w:r w:rsidRPr="00203582">
        <w:rPr>
          <w:rFonts w:ascii="Times New Roman" w:eastAsia="Times New Roman" w:hAnsi="Times New Roman" w:cs="Times New Roman"/>
          <w:sz w:val="24"/>
          <w:szCs w:val="24"/>
        </w:rPr>
        <w:t xml:space="preserve">, D., Righi, G., Oberman, L. M., Moreno De Luca, D., </w:t>
      </w:r>
      <w:proofErr w:type="spellStart"/>
      <w:r w:rsidRPr="00203582">
        <w:rPr>
          <w:rFonts w:ascii="Times New Roman" w:eastAsia="Times New Roman" w:hAnsi="Times New Roman" w:cs="Times New Roman"/>
          <w:sz w:val="24"/>
          <w:szCs w:val="24"/>
        </w:rPr>
        <w:t>Gamsiz</w:t>
      </w:r>
      <w:proofErr w:type="spellEnd"/>
      <w:r w:rsidRPr="00203582">
        <w:rPr>
          <w:rFonts w:ascii="Times New Roman" w:eastAsia="Times New Roman" w:hAnsi="Times New Roman" w:cs="Times New Roman"/>
          <w:sz w:val="24"/>
          <w:szCs w:val="24"/>
        </w:rPr>
        <w:t xml:space="preserve"> Uzun, E. D., Best, C. R., </w:t>
      </w:r>
      <w:proofErr w:type="spellStart"/>
      <w:r w:rsidRPr="00203582">
        <w:rPr>
          <w:rFonts w:ascii="Times New Roman" w:eastAsia="Times New Roman" w:hAnsi="Times New Roman" w:cs="Times New Roman"/>
          <w:sz w:val="24"/>
          <w:szCs w:val="24"/>
        </w:rPr>
        <w:t>Jerskey</w:t>
      </w:r>
      <w:proofErr w:type="spellEnd"/>
      <w:r w:rsidRPr="00203582">
        <w:rPr>
          <w:rFonts w:ascii="Times New Roman" w:eastAsia="Times New Roman" w:hAnsi="Times New Roman" w:cs="Times New Roman"/>
          <w:sz w:val="24"/>
          <w:szCs w:val="24"/>
        </w:rPr>
        <w:t xml:space="preserve">, B. A., Quinn, J. G., Jewel, S. B., Wu, P.-C., McLean, R. L., Levine, T. P., </w:t>
      </w:r>
      <w:proofErr w:type="spellStart"/>
      <w:r w:rsidRPr="00203582">
        <w:rPr>
          <w:rFonts w:ascii="Times New Roman" w:eastAsia="Times New Roman" w:hAnsi="Times New Roman" w:cs="Times New Roman"/>
          <w:sz w:val="24"/>
          <w:szCs w:val="24"/>
        </w:rPr>
        <w:t>Tokadjian</w:t>
      </w:r>
      <w:proofErr w:type="spellEnd"/>
      <w:r w:rsidRPr="00203582">
        <w:rPr>
          <w:rFonts w:ascii="Times New Roman" w:eastAsia="Times New Roman" w:hAnsi="Times New Roman" w:cs="Times New Roman"/>
          <w:sz w:val="24"/>
          <w:szCs w:val="24"/>
        </w:rPr>
        <w:t xml:space="preserve">, H., Perkins, K. A., Clarke, E. B., Dunn, B., Gerber, A. H., … Morrow, E. M. (2020). Autism Heterogeneity in a Densely Sampled U.S. Population: Results From the First 1,000 Participants in the RI-CART Study. </w:t>
      </w:r>
      <w:r w:rsidRPr="00203582">
        <w:rPr>
          <w:rFonts w:ascii="Times New Roman" w:eastAsia="Times New Roman" w:hAnsi="Times New Roman" w:cs="Times New Roman"/>
          <w:i/>
          <w:sz w:val="24"/>
          <w:szCs w:val="24"/>
        </w:rPr>
        <w:t>Autism Research : Official Journal of the International Society for Autism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13</w:t>
      </w:r>
      <w:r w:rsidRPr="00203582">
        <w:rPr>
          <w:rFonts w:ascii="Times New Roman" w:eastAsia="Times New Roman" w:hAnsi="Times New Roman" w:cs="Times New Roman"/>
          <w:sz w:val="24"/>
          <w:szCs w:val="24"/>
        </w:rPr>
        <w:t>(3), 474–488. https://doi.org/10.1002/aur.2261</w:t>
      </w:r>
    </w:p>
    <w:p w14:paraId="51012EF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McCormick, E. M., &amp; </w:t>
      </w:r>
      <w:proofErr w:type="spellStart"/>
      <w:r w:rsidRPr="005C650F">
        <w:rPr>
          <w:rFonts w:ascii="Times New Roman" w:eastAsia="Times New Roman" w:hAnsi="Times New Roman" w:cs="Times New Roman"/>
          <w:sz w:val="24"/>
          <w:szCs w:val="24"/>
        </w:rPr>
        <w:t>Telzer</w:t>
      </w:r>
      <w:proofErr w:type="spellEnd"/>
      <w:r w:rsidRPr="005C650F">
        <w:rPr>
          <w:rFonts w:ascii="Times New Roman" w:eastAsia="Times New Roman" w:hAnsi="Times New Roman" w:cs="Times New Roman"/>
          <w:sz w:val="24"/>
          <w:szCs w:val="24"/>
        </w:rPr>
        <w:t xml:space="preserve">, E. H. (2017). Adaptive Adolescent Flexibility: Neurodevelopment of Decision-making and Learning in a Risky Context. </w:t>
      </w:r>
      <w:r w:rsidRPr="005C650F">
        <w:rPr>
          <w:rFonts w:ascii="Times New Roman" w:eastAsia="Times New Roman" w:hAnsi="Times New Roman" w:cs="Times New Roman"/>
          <w:i/>
          <w:iCs/>
          <w:sz w:val="24"/>
          <w:szCs w:val="24"/>
        </w:rPr>
        <w:t>Journal of Cognitive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29</w:t>
      </w:r>
      <w:r w:rsidRPr="005C650F">
        <w:rPr>
          <w:rFonts w:ascii="Times New Roman" w:eastAsia="Times New Roman" w:hAnsi="Times New Roman" w:cs="Times New Roman"/>
          <w:sz w:val="24"/>
          <w:szCs w:val="24"/>
        </w:rPr>
        <w:t>(3), 413–423. https://doi.org/10.1162/jocn_a_01061</w:t>
      </w:r>
    </w:p>
    <w:p w14:paraId="3574005E"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McDonnell, M. D., &amp; Ward, L. M. (2011). The benefits of noise in neural systems: bridging theory and experiment. Nature Reviews. Neuroscience, 12(7), 415–426. https://doi.org/10.1038/nrn3061</w:t>
      </w:r>
    </w:p>
    <w:p w14:paraId="3E3EDDE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McDonough, I. M., &amp; </w:t>
      </w:r>
      <w:proofErr w:type="spellStart"/>
      <w:r w:rsidRPr="005C650F">
        <w:rPr>
          <w:rFonts w:ascii="Times New Roman" w:eastAsia="Times New Roman" w:hAnsi="Times New Roman" w:cs="Times New Roman"/>
          <w:sz w:val="24"/>
          <w:szCs w:val="24"/>
        </w:rPr>
        <w:t>Nashiro</w:t>
      </w:r>
      <w:proofErr w:type="spellEnd"/>
      <w:r w:rsidRPr="005C650F">
        <w:rPr>
          <w:rFonts w:ascii="Times New Roman" w:eastAsia="Times New Roman" w:hAnsi="Times New Roman" w:cs="Times New Roman"/>
          <w:sz w:val="24"/>
          <w:szCs w:val="24"/>
        </w:rPr>
        <w:t xml:space="preserve">, K. (2014). Network complexity as a measure of information processing across resting-state networks: evidence from the Human Connectome Project.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w:t>
      </w:r>
      <w:r w:rsidRPr="005C650F">
        <w:rPr>
          <w:rFonts w:ascii="Times New Roman" w:eastAsia="Times New Roman" w:hAnsi="Times New Roman" w:cs="Times New Roman"/>
          <w:sz w:val="24"/>
          <w:szCs w:val="24"/>
        </w:rPr>
        <w:t>, 409. https://doi.org/10.3389/fnhum.2014.00409</w:t>
      </w:r>
    </w:p>
    <w:p w14:paraId="0CD4CDC1"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McDonough, I. M., &amp; </w:t>
      </w:r>
      <w:proofErr w:type="spellStart"/>
      <w:r w:rsidRPr="00F97EDC">
        <w:rPr>
          <w:rFonts w:ascii="Times New Roman" w:eastAsia="Times New Roman" w:hAnsi="Times New Roman" w:cs="Times New Roman"/>
          <w:sz w:val="24"/>
          <w:szCs w:val="24"/>
        </w:rPr>
        <w:t>Nashiro</w:t>
      </w:r>
      <w:proofErr w:type="spellEnd"/>
      <w:r w:rsidRPr="00F97EDC">
        <w:rPr>
          <w:rFonts w:ascii="Times New Roman" w:eastAsia="Times New Roman" w:hAnsi="Times New Roman" w:cs="Times New Roman"/>
          <w:sz w:val="24"/>
          <w:szCs w:val="24"/>
        </w:rPr>
        <w:t>, K. (2014). Network complexity as a measure of information processing across resting-state networks: evidence from the Human Connectome Project. Frontiers in Human Neuroscience, 8, 409. https://doi.org/10.3389/fnhum.2014.00409</w:t>
      </w:r>
    </w:p>
    <w:p w14:paraId="5AE613D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McIlvain, G., Schneider, J. M., Matyi, M. A., McGarry, M. D., Qi, Z., Spielberg, J. M., &amp; Johnson, C. L. (2022). Mapping brain mechanical property maturation from childhood to adulthood.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263</w:t>
      </w:r>
      <w:r w:rsidRPr="005C650F">
        <w:rPr>
          <w:rFonts w:ascii="Times New Roman" w:eastAsia="Times New Roman" w:hAnsi="Times New Roman" w:cs="Times New Roman"/>
          <w:sz w:val="24"/>
          <w:szCs w:val="24"/>
        </w:rPr>
        <w:t>, 119590. https://doi.org/10.1016/j.neuroimage.2022.119590</w:t>
      </w:r>
    </w:p>
    <w:p w14:paraId="479512A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McIntosh, A R, Kovacevic, N., Lippe, S., Garrett, D., Grady, C., &amp; Jirsa, V. (2010). The development of a noisy brain. </w:t>
      </w:r>
      <w:r w:rsidRPr="005C650F">
        <w:rPr>
          <w:rFonts w:ascii="Times New Roman" w:eastAsia="Times New Roman" w:hAnsi="Times New Roman" w:cs="Times New Roman"/>
          <w:i/>
          <w:iCs/>
          <w:sz w:val="24"/>
          <w:szCs w:val="24"/>
        </w:rPr>
        <w:t xml:space="preserve">Archives </w:t>
      </w:r>
      <w:proofErr w:type="spellStart"/>
      <w:r w:rsidRPr="005C650F">
        <w:rPr>
          <w:rFonts w:ascii="Times New Roman" w:eastAsia="Times New Roman" w:hAnsi="Times New Roman" w:cs="Times New Roman"/>
          <w:i/>
          <w:iCs/>
          <w:sz w:val="24"/>
          <w:szCs w:val="24"/>
        </w:rPr>
        <w:t>Italiennes</w:t>
      </w:r>
      <w:proofErr w:type="spellEnd"/>
      <w:r w:rsidRPr="005C650F">
        <w:rPr>
          <w:rFonts w:ascii="Times New Roman" w:eastAsia="Times New Roman" w:hAnsi="Times New Roman" w:cs="Times New Roman"/>
          <w:i/>
          <w:iCs/>
          <w:sz w:val="24"/>
          <w:szCs w:val="24"/>
        </w:rPr>
        <w:t xml:space="preserve"> de </w:t>
      </w:r>
      <w:proofErr w:type="spellStart"/>
      <w:r w:rsidRPr="005C650F">
        <w:rPr>
          <w:rFonts w:ascii="Times New Roman" w:eastAsia="Times New Roman" w:hAnsi="Times New Roman" w:cs="Times New Roman"/>
          <w:i/>
          <w:iCs/>
          <w:sz w:val="24"/>
          <w:szCs w:val="24"/>
        </w:rPr>
        <w:t>Biologie</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148</w:t>
      </w:r>
      <w:r w:rsidRPr="005C650F">
        <w:rPr>
          <w:rFonts w:ascii="Times New Roman" w:eastAsia="Times New Roman" w:hAnsi="Times New Roman" w:cs="Times New Roman"/>
          <w:sz w:val="24"/>
          <w:szCs w:val="24"/>
        </w:rPr>
        <w:t>(3), 323–337.</w:t>
      </w:r>
    </w:p>
    <w:p w14:paraId="3CFA475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McIntosh, A R, </w:t>
      </w:r>
      <w:proofErr w:type="spellStart"/>
      <w:r w:rsidRPr="005C650F">
        <w:rPr>
          <w:rFonts w:ascii="Times New Roman" w:eastAsia="Times New Roman" w:hAnsi="Times New Roman" w:cs="Times New Roman"/>
          <w:sz w:val="24"/>
          <w:szCs w:val="24"/>
        </w:rPr>
        <w:t>Vakorin</w:t>
      </w:r>
      <w:proofErr w:type="spellEnd"/>
      <w:r w:rsidRPr="005C650F">
        <w:rPr>
          <w:rFonts w:ascii="Times New Roman" w:eastAsia="Times New Roman" w:hAnsi="Times New Roman" w:cs="Times New Roman"/>
          <w:sz w:val="24"/>
          <w:szCs w:val="24"/>
        </w:rPr>
        <w:t xml:space="preserve">, V., Kovacevic, N., Wang, H., Diaconescu, A., &amp; </w:t>
      </w:r>
      <w:proofErr w:type="spellStart"/>
      <w:r w:rsidRPr="005C650F">
        <w:rPr>
          <w:rFonts w:ascii="Times New Roman" w:eastAsia="Times New Roman" w:hAnsi="Times New Roman" w:cs="Times New Roman"/>
          <w:sz w:val="24"/>
          <w:szCs w:val="24"/>
        </w:rPr>
        <w:t>Protzner</w:t>
      </w:r>
      <w:proofErr w:type="spellEnd"/>
      <w:r w:rsidRPr="005C650F">
        <w:rPr>
          <w:rFonts w:ascii="Times New Roman" w:eastAsia="Times New Roman" w:hAnsi="Times New Roman" w:cs="Times New Roman"/>
          <w:sz w:val="24"/>
          <w:szCs w:val="24"/>
        </w:rPr>
        <w:t xml:space="preserve">, A. B. (2014). Spatiotemporal dependency of age-related changes in brain signal variability. </w:t>
      </w:r>
      <w:r w:rsidRPr="005C650F">
        <w:rPr>
          <w:rFonts w:ascii="Times New Roman" w:eastAsia="Times New Roman" w:hAnsi="Times New Roman" w:cs="Times New Roman"/>
          <w:i/>
          <w:iCs/>
          <w:sz w:val="24"/>
          <w:szCs w:val="24"/>
        </w:rPr>
        <w:t>Cerebral Cortex</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24</w:t>
      </w:r>
      <w:r w:rsidRPr="005C650F">
        <w:rPr>
          <w:rFonts w:ascii="Times New Roman" w:eastAsia="Times New Roman" w:hAnsi="Times New Roman" w:cs="Times New Roman"/>
          <w:sz w:val="24"/>
          <w:szCs w:val="24"/>
        </w:rPr>
        <w:t>(7), 1806–1817. https://doi.org/10.1093/cercor/bht030</w:t>
      </w:r>
    </w:p>
    <w:p w14:paraId="688EF1C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McIntosh, A. (2018). Neurocognitive aging and brain signal complexity. </w:t>
      </w:r>
      <w:proofErr w:type="spellStart"/>
      <w:r w:rsidRPr="005C650F">
        <w:rPr>
          <w:rFonts w:ascii="Times New Roman" w:eastAsia="Times New Roman" w:hAnsi="Times New Roman" w:cs="Times New Roman"/>
          <w:i/>
          <w:iCs/>
          <w:sz w:val="24"/>
          <w:szCs w:val="24"/>
        </w:rPr>
        <w:t>BioRxiv</w:t>
      </w:r>
      <w:proofErr w:type="spellEnd"/>
      <w:r w:rsidRPr="005C650F">
        <w:rPr>
          <w:rFonts w:ascii="Times New Roman" w:eastAsia="Times New Roman" w:hAnsi="Times New Roman" w:cs="Times New Roman"/>
          <w:sz w:val="24"/>
          <w:szCs w:val="24"/>
        </w:rPr>
        <w:t>. https://doi.org/10.1101/259713</w:t>
      </w:r>
    </w:p>
    <w:p w14:paraId="4EDE22B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McIntosh, A. R., Kovacevic, N., &amp; Itier, R. J. (2008). Increased brain signal variability accompanies lower </w:t>
      </w:r>
      <w:proofErr w:type="spellStart"/>
      <w:r w:rsidRPr="00203582">
        <w:rPr>
          <w:rFonts w:ascii="Times New Roman" w:eastAsia="Times New Roman" w:hAnsi="Times New Roman" w:cs="Times New Roman"/>
          <w:sz w:val="24"/>
          <w:szCs w:val="24"/>
        </w:rPr>
        <w:t>behavioral</w:t>
      </w:r>
      <w:proofErr w:type="spellEnd"/>
      <w:r w:rsidRPr="00203582">
        <w:rPr>
          <w:rFonts w:ascii="Times New Roman" w:eastAsia="Times New Roman" w:hAnsi="Times New Roman" w:cs="Times New Roman"/>
          <w:sz w:val="24"/>
          <w:szCs w:val="24"/>
        </w:rPr>
        <w:t xml:space="preserve"> variability in development. </w:t>
      </w:r>
      <w:proofErr w:type="spellStart"/>
      <w:r w:rsidRPr="00203582">
        <w:rPr>
          <w:rFonts w:ascii="Times New Roman" w:eastAsia="Times New Roman" w:hAnsi="Times New Roman" w:cs="Times New Roman"/>
          <w:i/>
          <w:sz w:val="24"/>
          <w:szCs w:val="24"/>
        </w:rPr>
        <w:t>PLoS</w:t>
      </w:r>
      <w:proofErr w:type="spellEnd"/>
      <w:r w:rsidRPr="00203582">
        <w:rPr>
          <w:rFonts w:ascii="Times New Roman" w:eastAsia="Times New Roman" w:hAnsi="Times New Roman" w:cs="Times New Roman"/>
          <w:i/>
          <w:sz w:val="24"/>
          <w:szCs w:val="24"/>
        </w:rPr>
        <w:t xml:space="preserve"> Computational Biology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w:t>
      </w:r>
      <w:r w:rsidRPr="00203582">
        <w:rPr>
          <w:rFonts w:ascii="Times New Roman" w:eastAsia="Times New Roman" w:hAnsi="Times New Roman" w:cs="Times New Roman"/>
          <w:sz w:val="24"/>
          <w:szCs w:val="24"/>
        </w:rPr>
        <w:t>(7), e1000106. https://doi.org/10.1371/journal.pcbi.1000106</w:t>
      </w:r>
    </w:p>
    <w:p w14:paraId="3AE725B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McIntosh, Anthony Randal, Kovacevic, N., &amp; Itier, R. J. (2008). Increased brain signal variability accompanies lower </w:t>
      </w:r>
      <w:proofErr w:type="spellStart"/>
      <w:r w:rsidRPr="005C650F">
        <w:rPr>
          <w:rFonts w:ascii="Times New Roman" w:eastAsia="Times New Roman" w:hAnsi="Times New Roman" w:cs="Times New Roman"/>
          <w:sz w:val="24"/>
          <w:szCs w:val="24"/>
        </w:rPr>
        <w:t>behavioral</w:t>
      </w:r>
      <w:proofErr w:type="spellEnd"/>
      <w:r w:rsidRPr="005C650F">
        <w:rPr>
          <w:rFonts w:ascii="Times New Roman" w:eastAsia="Times New Roman" w:hAnsi="Times New Roman" w:cs="Times New Roman"/>
          <w:sz w:val="24"/>
          <w:szCs w:val="24"/>
        </w:rPr>
        <w:t xml:space="preserve"> variability in development.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Computational 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w:t>
      </w:r>
      <w:r w:rsidRPr="005C650F">
        <w:rPr>
          <w:rFonts w:ascii="Times New Roman" w:eastAsia="Times New Roman" w:hAnsi="Times New Roman" w:cs="Times New Roman"/>
          <w:sz w:val="24"/>
          <w:szCs w:val="24"/>
        </w:rPr>
        <w:t>(7), e1000106. https://doi.org/10.1371/journal.pcbi.1000106</w:t>
      </w:r>
    </w:p>
    <w:p w14:paraId="509DD54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McPartland, J. C. (2017). Developing clinically practicable biomarkers for autism spectrum disorder.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47</w:t>
      </w:r>
      <w:r w:rsidRPr="00203582">
        <w:rPr>
          <w:rFonts w:ascii="Times New Roman" w:eastAsia="Times New Roman" w:hAnsi="Times New Roman" w:cs="Times New Roman"/>
          <w:sz w:val="24"/>
          <w:szCs w:val="24"/>
        </w:rPr>
        <w:t>(9), 2935–2937. https://doi.org/10.1007/s10803-017-3237-7</w:t>
      </w:r>
    </w:p>
    <w:p w14:paraId="520B3CA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i/>
          <w:iCs/>
          <w:sz w:val="24"/>
          <w:szCs w:val="24"/>
        </w:rPr>
        <w:lastRenderedPageBreak/>
        <w:t xml:space="preserve">McPartland, J., Brady, L. &amp; FNIH Biomarkers Consortium, Neuroscience Steering Committee, ABC-CT Project Team. DDT Qualification Submission: N170 to upright human faces. (2018). </w:t>
      </w:r>
      <w:r w:rsidRPr="005C650F">
        <w:rPr>
          <w:rFonts w:ascii="Times New Roman" w:eastAsia="Times New Roman" w:hAnsi="Times New Roman" w:cs="Times New Roman"/>
          <w:sz w:val="24"/>
          <w:szCs w:val="24"/>
        </w:rPr>
        <w:t>. (n.d.).</w:t>
      </w:r>
    </w:p>
    <w:p w14:paraId="1422162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McVey, A. J. (2019). The neurobiological presentation of anxiety in autism spectrum disorder: A systematic review. </w:t>
      </w:r>
      <w:r w:rsidRPr="00203582">
        <w:rPr>
          <w:rFonts w:ascii="Times New Roman" w:eastAsia="Times New Roman" w:hAnsi="Times New Roman" w:cs="Times New Roman"/>
          <w:i/>
          <w:sz w:val="24"/>
          <w:szCs w:val="24"/>
        </w:rPr>
        <w:t>Autism Research : Official Journal of the International Society for Autism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(3), 346–369. https://doi.org/10.1002/aur.2063</w:t>
      </w:r>
    </w:p>
    <w:p w14:paraId="7AB7AC74"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pt-PT"/>
        </w:rPr>
      </w:pPr>
      <w:r w:rsidRPr="005C650F">
        <w:rPr>
          <w:rFonts w:ascii="Times New Roman" w:eastAsia="Times New Roman" w:hAnsi="Times New Roman" w:cs="Times New Roman"/>
          <w:sz w:val="24"/>
          <w:szCs w:val="24"/>
        </w:rPr>
        <w:t xml:space="preserve">Mei, T., Ma, Z.-H., Guo, Y.-Q., Lu, B., Cao, Q.-J., Chen, X., Yang, L., Wang, H., Tang, X.-Z., Ji, Z.-Z., Liu, J.-R., Xu, L.-Z., Wang, L.-Q., Yang, Y.-L., Li, X., Yan, C.-G., &amp; Liu, J. (2022). Frequency-specific age-related changes in the amplitude of spontaneous fluctuations in autism. </w:t>
      </w:r>
      <w:r w:rsidRPr="005C650F">
        <w:rPr>
          <w:rFonts w:ascii="Times New Roman" w:eastAsia="Times New Roman" w:hAnsi="Times New Roman" w:cs="Times New Roman"/>
          <w:i/>
          <w:iCs/>
          <w:sz w:val="24"/>
          <w:szCs w:val="24"/>
          <w:lang w:val="pt-PT"/>
        </w:rPr>
        <w:t>Translational Pediatrics</w:t>
      </w:r>
      <w:r w:rsidRPr="005C650F">
        <w:rPr>
          <w:rFonts w:ascii="Times New Roman" w:eastAsia="Times New Roman" w:hAnsi="Times New Roman" w:cs="Times New Roman"/>
          <w:sz w:val="24"/>
          <w:szCs w:val="24"/>
          <w:lang w:val="pt-PT"/>
        </w:rPr>
        <w:t xml:space="preserve">, </w:t>
      </w:r>
      <w:r w:rsidRPr="005C650F">
        <w:rPr>
          <w:rFonts w:ascii="Times New Roman" w:eastAsia="Times New Roman" w:hAnsi="Times New Roman" w:cs="Times New Roman"/>
          <w:i/>
          <w:iCs/>
          <w:sz w:val="24"/>
          <w:szCs w:val="24"/>
          <w:lang w:val="pt-PT"/>
        </w:rPr>
        <w:t>11</w:t>
      </w:r>
      <w:r w:rsidRPr="005C650F">
        <w:rPr>
          <w:rFonts w:ascii="Times New Roman" w:eastAsia="Times New Roman" w:hAnsi="Times New Roman" w:cs="Times New Roman"/>
          <w:sz w:val="24"/>
          <w:szCs w:val="24"/>
          <w:lang w:val="pt-PT"/>
        </w:rPr>
        <w:t>(3), 349–358. https://doi.org/10.21037/tp-21-412</w:t>
      </w:r>
    </w:p>
    <w:p w14:paraId="735FCE6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Mensen, A., &amp; Khatami, R. (2013). Advanced EEG analysis using threshold-free cluster-enhancement and non-parametric statistics.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67</w:t>
      </w:r>
      <w:r w:rsidRPr="005C650F">
        <w:rPr>
          <w:rFonts w:ascii="Times New Roman" w:eastAsia="Times New Roman" w:hAnsi="Times New Roman" w:cs="Times New Roman"/>
          <w:sz w:val="24"/>
          <w:szCs w:val="24"/>
        </w:rPr>
        <w:t>, 111–118. https://doi.org/10.1016/j.neuroimage.2012.10.027</w:t>
      </w:r>
    </w:p>
    <w:p w14:paraId="3D7D635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lang w:val="fr-FR"/>
        </w:rPr>
        <w:t>Mevel</w:t>
      </w:r>
      <w:proofErr w:type="spellEnd"/>
      <w:r w:rsidRPr="00203582">
        <w:rPr>
          <w:rFonts w:ascii="Times New Roman" w:eastAsia="Times New Roman" w:hAnsi="Times New Roman" w:cs="Times New Roman"/>
          <w:sz w:val="24"/>
          <w:szCs w:val="24"/>
          <w:lang w:val="fr-FR"/>
        </w:rPr>
        <w:t xml:space="preserve">, K., </w:t>
      </w:r>
      <w:proofErr w:type="spellStart"/>
      <w:r w:rsidRPr="00203582">
        <w:rPr>
          <w:rFonts w:ascii="Times New Roman" w:eastAsia="Times New Roman" w:hAnsi="Times New Roman" w:cs="Times New Roman"/>
          <w:sz w:val="24"/>
          <w:szCs w:val="24"/>
          <w:lang w:val="fr-FR"/>
        </w:rPr>
        <w:t>Chételat</w:t>
      </w:r>
      <w:proofErr w:type="spellEnd"/>
      <w:r w:rsidRPr="00203582">
        <w:rPr>
          <w:rFonts w:ascii="Times New Roman" w:eastAsia="Times New Roman" w:hAnsi="Times New Roman" w:cs="Times New Roman"/>
          <w:sz w:val="24"/>
          <w:szCs w:val="24"/>
          <w:lang w:val="fr-FR"/>
        </w:rPr>
        <w:t xml:space="preserve">, G., Eustache, F., &amp; Desgranges, B. (2011). </w:t>
      </w:r>
      <w:r w:rsidRPr="00203582">
        <w:rPr>
          <w:rFonts w:ascii="Times New Roman" w:eastAsia="Times New Roman" w:hAnsi="Times New Roman" w:cs="Times New Roman"/>
          <w:sz w:val="24"/>
          <w:szCs w:val="24"/>
        </w:rPr>
        <w:t xml:space="preserve">The default mode network in healthy aging and Alzheimer’s disease. </w:t>
      </w:r>
      <w:r w:rsidRPr="00203582">
        <w:rPr>
          <w:rFonts w:ascii="Times New Roman" w:eastAsia="Times New Roman" w:hAnsi="Times New Roman" w:cs="Times New Roman"/>
          <w:i/>
          <w:sz w:val="24"/>
          <w:szCs w:val="24"/>
        </w:rPr>
        <w:t>International Journal of Alzheimer’s Disease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2011</w:t>
      </w:r>
      <w:r w:rsidRPr="00203582">
        <w:rPr>
          <w:rFonts w:ascii="Times New Roman" w:eastAsia="Times New Roman" w:hAnsi="Times New Roman" w:cs="Times New Roman"/>
          <w:sz w:val="24"/>
          <w:szCs w:val="24"/>
        </w:rPr>
        <w:t>, 535816. https://doi.org/10.4061/2011/535816</w:t>
      </w:r>
    </w:p>
    <w:p w14:paraId="0E58BD1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Milne, E., Gomez, R., </w:t>
      </w:r>
      <w:proofErr w:type="spellStart"/>
      <w:r w:rsidRPr="00203582">
        <w:rPr>
          <w:rFonts w:ascii="Times New Roman" w:eastAsia="Times New Roman" w:hAnsi="Times New Roman" w:cs="Times New Roman"/>
          <w:sz w:val="24"/>
          <w:szCs w:val="24"/>
        </w:rPr>
        <w:t>Giannadou</w:t>
      </w:r>
      <w:proofErr w:type="spellEnd"/>
      <w:r w:rsidRPr="00203582">
        <w:rPr>
          <w:rFonts w:ascii="Times New Roman" w:eastAsia="Times New Roman" w:hAnsi="Times New Roman" w:cs="Times New Roman"/>
          <w:sz w:val="24"/>
          <w:szCs w:val="24"/>
        </w:rPr>
        <w:t xml:space="preserve">, A., &amp; Jones, M. (2019). Atypical EEG in autism spectrum disorder: Comparing a dimensional and a categorical approach. </w:t>
      </w:r>
      <w:r w:rsidRPr="00203582">
        <w:rPr>
          <w:rFonts w:ascii="Times New Roman" w:eastAsia="Times New Roman" w:hAnsi="Times New Roman" w:cs="Times New Roman"/>
          <w:i/>
          <w:sz w:val="24"/>
          <w:szCs w:val="24"/>
        </w:rPr>
        <w:t>Journal of Abnormal Psychology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128</w:t>
      </w:r>
      <w:r w:rsidRPr="00203582">
        <w:rPr>
          <w:rFonts w:ascii="Times New Roman" w:eastAsia="Times New Roman" w:hAnsi="Times New Roman" w:cs="Times New Roman"/>
          <w:sz w:val="24"/>
          <w:szCs w:val="24"/>
        </w:rPr>
        <w:t>(5), 442–452. https://doi.org/10.1037/abn0000436</w:t>
      </w:r>
    </w:p>
    <w:p w14:paraId="7D5A4BC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Milne, E., Gomez, R., </w:t>
      </w:r>
      <w:proofErr w:type="spellStart"/>
      <w:r w:rsidRPr="005C650F">
        <w:rPr>
          <w:rFonts w:ascii="Times New Roman" w:eastAsia="Times New Roman" w:hAnsi="Times New Roman" w:cs="Times New Roman"/>
          <w:sz w:val="24"/>
          <w:szCs w:val="24"/>
        </w:rPr>
        <w:t>Giannadou</w:t>
      </w:r>
      <w:proofErr w:type="spellEnd"/>
      <w:r w:rsidRPr="005C650F">
        <w:rPr>
          <w:rFonts w:ascii="Times New Roman" w:eastAsia="Times New Roman" w:hAnsi="Times New Roman" w:cs="Times New Roman"/>
          <w:sz w:val="24"/>
          <w:szCs w:val="24"/>
        </w:rPr>
        <w:t xml:space="preserve">, A., &amp; Jones, M. (2019). Atypical EEG in autism spectrum disorder: Comparing a dimensional and a categorical approach. </w:t>
      </w:r>
      <w:r w:rsidRPr="005C650F">
        <w:rPr>
          <w:rFonts w:ascii="Times New Roman" w:eastAsia="Times New Roman" w:hAnsi="Times New Roman" w:cs="Times New Roman"/>
          <w:i/>
          <w:iCs/>
          <w:sz w:val="24"/>
          <w:szCs w:val="24"/>
        </w:rPr>
        <w:t>Journal of Abnormal Psychology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128</w:t>
      </w:r>
      <w:r w:rsidRPr="005C650F">
        <w:rPr>
          <w:rFonts w:ascii="Times New Roman" w:eastAsia="Times New Roman" w:hAnsi="Times New Roman" w:cs="Times New Roman"/>
          <w:sz w:val="24"/>
          <w:szCs w:val="24"/>
        </w:rPr>
        <w:t>(5), 442–452. https://doi.org/10.1037/abn0000436</w:t>
      </w:r>
    </w:p>
    <w:p w14:paraId="0C1A153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t-PT"/>
        </w:rPr>
        <w:t xml:space="preserve">Milne, E., Gomez, R., Giannadou, A., &amp; Jones, M. (2019). </w:t>
      </w:r>
      <w:r w:rsidRPr="005C650F">
        <w:rPr>
          <w:rFonts w:ascii="Times New Roman" w:eastAsia="Times New Roman" w:hAnsi="Times New Roman" w:cs="Times New Roman"/>
          <w:sz w:val="24"/>
          <w:szCs w:val="24"/>
        </w:rPr>
        <w:t xml:space="preserve">Atypical EEG in autism spectrum disorder: Comparing a dimensional and a categorical approach. </w:t>
      </w:r>
      <w:r w:rsidRPr="005C650F">
        <w:rPr>
          <w:rFonts w:ascii="Times New Roman" w:eastAsia="Times New Roman" w:hAnsi="Times New Roman" w:cs="Times New Roman"/>
          <w:i/>
          <w:iCs/>
          <w:sz w:val="24"/>
          <w:szCs w:val="24"/>
        </w:rPr>
        <w:t>Journal of Abnormal Psychology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128</w:t>
      </w:r>
      <w:r w:rsidRPr="005C650F">
        <w:rPr>
          <w:rFonts w:ascii="Times New Roman" w:eastAsia="Times New Roman" w:hAnsi="Times New Roman" w:cs="Times New Roman"/>
          <w:sz w:val="24"/>
          <w:szCs w:val="24"/>
        </w:rPr>
        <w:t>(5), 442–452. https://doi.org/10.1037/abn0000436</w:t>
      </w:r>
    </w:p>
    <w:p w14:paraId="5FADC06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Milner, B. (2005). The medial temporal-lobe amnesic syndrome. </w:t>
      </w:r>
      <w:r w:rsidRPr="00203582">
        <w:rPr>
          <w:rFonts w:ascii="Times New Roman" w:eastAsia="Times New Roman" w:hAnsi="Times New Roman" w:cs="Times New Roman"/>
          <w:i/>
          <w:sz w:val="24"/>
          <w:szCs w:val="24"/>
        </w:rPr>
        <w:t>The Psychiatric Clinics of North America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28</w:t>
      </w:r>
      <w:r w:rsidRPr="00203582">
        <w:rPr>
          <w:rFonts w:ascii="Times New Roman" w:eastAsia="Times New Roman" w:hAnsi="Times New Roman" w:cs="Times New Roman"/>
          <w:sz w:val="24"/>
          <w:szCs w:val="24"/>
        </w:rPr>
        <w:t>(3), 599–611, 609. https://doi.org/10.1016/j.psc.2005.06.002</w:t>
      </w:r>
    </w:p>
    <w:p w14:paraId="27BB9AF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Misić</w:t>
      </w:r>
      <w:proofErr w:type="spellEnd"/>
      <w:r w:rsidRPr="00203582">
        <w:rPr>
          <w:rFonts w:ascii="Times New Roman" w:eastAsia="Times New Roman" w:hAnsi="Times New Roman" w:cs="Times New Roman"/>
          <w:sz w:val="24"/>
          <w:szCs w:val="24"/>
        </w:rPr>
        <w:t xml:space="preserve">, B., Mills, T., Taylor, M. J., &amp; McIntosh, A. R. (2010). Brain noise is task dependent and region specific. </w:t>
      </w:r>
      <w:r w:rsidRPr="00203582">
        <w:rPr>
          <w:rFonts w:ascii="Times New Roman" w:eastAsia="Times New Roman" w:hAnsi="Times New Roman" w:cs="Times New Roman"/>
          <w:i/>
          <w:sz w:val="24"/>
          <w:szCs w:val="24"/>
        </w:rPr>
        <w:t>Journal of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104</w:t>
      </w:r>
      <w:r w:rsidRPr="00203582">
        <w:rPr>
          <w:rFonts w:ascii="Times New Roman" w:eastAsia="Times New Roman" w:hAnsi="Times New Roman" w:cs="Times New Roman"/>
          <w:sz w:val="24"/>
          <w:szCs w:val="24"/>
        </w:rPr>
        <w:t>(5), 2667–2676. https://doi.org/10.1152/jn.00648.2010</w:t>
      </w:r>
    </w:p>
    <w:p w14:paraId="6335DF1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Misić</w:t>
      </w:r>
      <w:proofErr w:type="spellEnd"/>
      <w:r w:rsidRPr="005C650F">
        <w:rPr>
          <w:rFonts w:ascii="Times New Roman" w:eastAsia="Times New Roman" w:hAnsi="Times New Roman" w:cs="Times New Roman"/>
          <w:sz w:val="24"/>
          <w:szCs w:val="24"/>
        </w:rPr>
        <w:t xml:space="preserve">, B., Mills, T., Taylor, M. J., &amp; McIntosh, A. R. (2010). Brain noise is task dependent and region specific. </w:t>
      </w:r>
      <w:r w:rsidRPr="005C650F">
        <w:rPr>
          <w:rFonts w:ascii="Times New Roman" w:eastAsia="Times New Roman" w:hAnsi="Times New Roman" w:cs="Times New Roman"/>
          <w:i/>
          <w:iCs/>
          <w:sz w:val="24"/>
          <w:szCs w:val="24"/>
        </w:rPr>
        <w:t>Journal of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104</w:t>
      </w:r>
      <w:r w:rsidRPr="005C650F">
        <w:rPr>
          <w:rFonts w:ascii="Times New Roman" w:eastAsia="Times New Roman" w:hAnsi="Times New Roman" w:cs="Times New Roman"/>
          <w:sz w:val="24"/>
          <w:szCs w:val="24"/>
        </w:rPr>
        <w:t>(5), 2667–2676. https://doi.org/10.1152/jn.00648.2010</w:t>
      </w:r>
    </w:p>
    <w:p w14:paraId="24BD110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Misić</w:t>
      </w:r>
      <w:proofErr w:type="spellEnd"/>
      <w:r w:rsidRPr="005C650F">
        <w:rPr>
          <w:rFonts w:ascii="Times New Roman" w:eastAsia="Times New Roman" w:hAnsi="Times New Roman" w:cs="Times New Roman"/>
          <w:sz w:val="24"/>
          <w:szCs w:val="24"/>
        </w:rPr>
        <w:t xml:space="preserve">, B., Mills, T., Taylor, M. J., &amp; McIntosh, A. R. (2010). Brain noise is task dependent and region specific. </w:t>
      </w:r>
      <w:r w:rsidRPr="005C650F">
        <w:rPr>
          <w:rFonts w:ascii="Times New Roman" w:eastAsia="Times New Roman" w:hAnsi="Times New Roman" w:cs="Times New Roman"/>
          <w:i/>
          <w:iCs/>
          <w:sz w:val="24"/>
          <w:szCs w:val="24"/>
        </w:rPr>
        <w:t>Journal of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104</w:t>
      </w:r>
      <w:r w:rsidRPr="005C650F">
        <w:rPr>
          <w:rFonts w:ascii="Times New Roman" w:eastAsia="Times New Roman" w:hAnsi="Times New Roman" w:cs="Times New Roman"/>
          <w:sz w:val="24"/>
          <w:szCs w:val="24"/>
        </w:rPr>
        <w:t>(5), 2667–2676. https://doi.org/10.1152/jn.00648.2010</w:t>
      </w:r>
    </w:p>
    <w:p w14:paraId="0443544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Molnar-Szakacs, I., &amp; Uddin, L. Q. (2013). Self-processing and the default mode network: interactions with the mirror neuron system.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w:t>
      </w:r>
      <w:r w:rsidRPr="00203582">
        <w:rPr>
          <w:rFonts w:ascii="Times New Roman" w:eastAsia="Times New Roman" w:hAnsi="Times New Roman" w:cs="Times New Roman"/>
          <w:sz w:val="24"/>
          <w:szCs w:val="24"/>
        </w:rPr>
        <w:t>, 571. https://doi.org/10.3389/fnhum.2013.00571</w:t>
      </w:r>
    </w:p>
    <w:p w14:paraId="2604B84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Molnar-Szakacs, I., &amp; Uddin, L. Q. (2013). Self-processing and the default mode network: interactions with the mirror neuron system.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 571. https://doi.org/10.3389/fnhum.2013.00571</w:t>
      </w:r>
    </w:p>
    <w:p w14:paraId="1E1E542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Monk, C. S., Peltier, S. J., Wiggins, J. L., Weng, S.-J., Carrasco, M., </w:t>
      </w:r>
      <w:proofErr w:type="spellStart"/>
      <w:r w:rsidRPr="00203582">
        <w:rPr>
          <w:rFonts w:ascii="Times New Roman" w:eastAsia="Times New Roman" w:hAnsi="Times New Roman" w:cs="Times New Roman"/>
          <w:sz w:val="24"/>
          <w:szCs w:val="24"/>
        </w:rPr>
        <w:t>Risi</w:t>
      </w:r>
      <w:proofErr w:type="spellEnd"/>
      <w:r w:rsidRPr="00203582">
        <w:rPr>
          <w:rFonts w:ascii="Times New Roman" w:eastAsia="Times New Roman" w:hAnsi="Times New Roman" w:cs="Times New Roman"/>
          <w:sz w:val="24"/>
          <w:szCs w:val="24"/>
        </w:rPr>
        <w:t xml:space="preserve">, S., &amp; Lord, C. (2009). Abnormalities of intrinsic functional connectivity in autism spectrum disorders.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47</w:t>
      </w:r>
      <w:r w:rsidRPr="00203582">
        <w:rPr>
          <w:rFonts w:ascii="Times New Roman" w:eastAsia="Times New Roman" w:hAnsi="Times New Roman" w:cs="Times New Roman"/>
          <w:sz w:val="24"/>
          <w:szCs w:val="24"/>
        </w:rPr>
        <w:t>(2), 764–772. https://doi.org/10.1016/j.neuroimage.2009.04.069</w:t>
      </w:r>
    </w:p>
    <w:p w14:paraId="0C8E7C1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Monk, C. S., Peltier, S. J., Wiggins, J. L., Weng, S.-J., Carrasco, M., </w:t>
      </w:r>
      <w:proofErr w:type="spellStart"/>
      <w:r w:rsidRPr="005C650F">
        <w:rPr>
          <w:rFonts w:ascii="Times New Roman" w:eastAsia="Times New Roman" w:hAnsi="Times New Roman" w:cs="Times New Roman"/>
          <w:sz w:val="24"/>
          <w:szCs w:val="24"/>
        </w:rPr>
        <w:t>Risi</w:t>
      </w:r>
      <w:proofErr w:type="spellEnd"/>
      <w:r w:rsidRPr="005C650F">
        <w:rPr>
          <w:rFonts w:ascii="Times New Roman" w:eastAsia="Times New Roman" w:hAnsi="Times New Roman" w:cs="Times New Roman"/>
          <w:sz w:val="24"/>
          <w:szCs w:val="24"/>
        </w:rPr>
        <w:t xml:space="preserve">, S., &amp; Lord, C. (2009). Abnormalities of intrinsic functional connectivity in autism spectrum disorders.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47</w:t>
      </w:r>
      <w:r w:rsidRPr="005C650F">
        <w:rPr>
          <w:rFonts w:ascii="Times New Roman" w:eastAsia="Times New Roman" w:hAnsi="Times New Roman" w:cs="Times New Roman"/>
          <w:sz w:val="24"/>
          <w:szCs w:val="24"/>
        </w:rPr>
        <w:t>(2), 764–772. https://doi.org/10.1016/j.neuroimage.2009.04.069</w:t>
      </w:r>
    </w:p>
    <w:p w14:paraId="513C1D4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Moore, V., &amp; Goodson, S. (2003). How well does early diagnosis of autism stand the test of time? Follow-up study of children assessed for autism at age 2 and development of an early diagnostic service. </w:t>
      </w:r>
      <w:r w:rsidRPr="00203582">
        <w:rPr>
          <w:rFonts w:ascii="Times New Roman" w:eastAsia="Times New Roman" w:hAnsi="Times New Roman" w:cs="Times New Roman"/>
          <w:i/>
          <w:sz w:val="24"/>
          <w:szCs w:val="24"/>
        </w:rPr>
        <w:t>Autism: The International Journal of Research and Practice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w:t>
      </w:r>
      <w:r w:rsidRPr="00203582">
        <w:rPr>
          <w:rFonts w:ascii="Times New Roman" w:eastAsia="Times New Roman" w:hAnsi="Times New Roman" w:cs="Times New Roman"/>
          <w:sz w:val="24"/>
          <w:szCs w:val="24"/>
        </w:rPr>
        <w:t>(1), 47–63. https://doi.org/10.1177/1362361303007001005</w:t>
      </w:r>
    </w:p>
    <w:p w14:paraId="0A3B33B6"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r w:rsidRPr="00203582">
        <w:rPr>
          <w:rFonts w:ascii="Times New Roman" w:eastAsia="Times New Roman" w:hAnsi="Times New Roman" w:cs="Times New Roman"/>
          <w:sz w:val="24"/>
          <w:szCs w:val="24"/>
        </w:rPr>
        <w:lastRenderedPageBreak/>
        <w:t xml:space="preserve">Moseley, R. L., Ypma, R. J. F., Holt, R. J., Floris, D., Chura, L. R., Spencer, M. D., Baron-Cohen, S., Suckling, J., Bullmore, E., &amp; Rubinov, M. (2015). Whole-brain functional hypoconnectivity as an endophenotype of autism in adolescents. </w:t>
      </w:r>
      <w:proofErr w:type="spellStart"/>
      <w:r w:rsidRPr="00203582">
        <w:rPr>
          <w:rFonts w:ascii="Times New Roman" w:eastAsia="Times New Roman" w:hAnsi="Times New Roman" w:cs="Times New Roman"/>
          <w:i/>
          <w:sz w:val="24"/>
          <w:szCs w:val="24"/>
          <w:lang w:val="fr-FR"/>
        </w:rPr>
        <w:t>NeuroImage</w:t>
      </w:r>
      <w:proofErr w:type="spellEnd"/>
      <w:r w:rsidRPr="00203582">
        <w:rPr>
          <w:rFonts w:ascii="Times New Roman" w:eastAsia="Times New Roman" w:hAnsi="Times New Roman" w:cs="Times New Roman"/>
          <w:i/>
          <w:sz w:val="24"/>
          <w:szCs w:val="24"/>
          <w:lang w:val="fr-FR"/>
        </w:rPr>
        <w:t xml:space="preserve">. </w:t>
      </w:r>
      <w:proofErr w:type="spellStart"/>
      <w:r w:rsidRPr="00203582">
        <w:rPr>
          <w:rFonts w:ascii="Times New Roman" w:eastAsia="Times New Roman" w:hAnsi="Times New Roman" w:cs="Times New Roman"/>
          <w:i/>
          <w:sz w:val="24"/>
          <w:szCs w:val="24"/>
          <w:lang w:val="fr-FR"/>
        </w:rPr>
        <w:t>Clinical</w:t>
      </w:r>
      <w:proofErr w:type="spellEnd"/>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9</w:t>
      </w:r>
      <w:r w:rsidRPr="00203582">
        <w:rPr>
          <w:rFonts w:ascii="Times New Roman" w:eastAsia="Times New Roman" w:hAnsi="Times New Roman" w:cs="Times New Roman"/>
          <w:sz w:val="24"/>
          <w:szCs w:val="24"/>
          <w:lang w:val="fr-FR"/>
        </w:rPr>
        <w:t>, 140–152. https://doi.org/10.1016/j.nicl.2015.07.015</w:t>
      </w:r>
    </w:p>
    <w:p w14:paraId="1C3B929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Mowinckel, A. M., &amp; Vidal-Piñeiro, D. (2020). Visualization of brain statistics with R packages </w:t>
      </w:r>
      <w:proofErr w:type="spellStart"/>
      <w:r w:rsidRPr="005C650F">
        <w:rPr>
          <w:rFonts w:ascii="Times New Roman" w:eastAsia="Times New Roman" w:hAnsi="Times New Roman" w:cs="Times New Roman"/>
          <w:i/>
          <w:iCs/>
          <w:sz w:val="24"/>
          <w:szCs w:val="24"/>
        </w:rPr>
        <w:t>ggseg</w:t>
      </w:r>
      <w:proofErr w:type="spellEnd"/>
      <w:r w:rsidRPr="005C650F">
        <w:rPr>
          <w:rFonts w:ascii="Times New Roman" w:eastAsia="Times New Roman" w:hAnsi="Times New Roman" w:cs="Times New Roman"/>
          <w:sz w:val="24"/>
          <w:szCs w:val="24"/>
        </w:rPr>
        <w:t xml:space="preserve"> and </w:t>
      </w:r>
      <w:r w:rsidRPr="005C650F">
        <w:rPr>
          <w:rFonts w:ascii="Times New Roman" w:eastAsia="Times New Roman" w:hAnsi="Times New Roman" w:cs="Times New Roman"/>
          <w:i/>
          <w:iCs/>
          <w:sz w:val="24"/>
          <w:szCs w:val="24"/>
        </w:rPr>
        <w:t>ggseg3d</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Advances in Methods and Practices in Psychological 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w:t>
      </w:r>
      <w:r w:rsidRPr="005C650F">
        <w:rPr>
          <w:rFonts w:ascii="Times New Roman" w:eastAsia="Times New Roman" w:hAnsi="Times New Roman" w:cs="Times New Roman"/>
          <w:sz w:val="24"/>
          <w:szCs w:val="24"/>
        </w:rPr>
        <w:t>(4), 466–483. https://doi.org/10.1177/2515245920928009</w:t>
      </w:r>
    </w:p>
    <w:p w14:paraId="3472F9D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Muller, C. L., Anacker, A. M. J., &amp; Veenstra-VanderWeele, J. (2016). The serotonin system in autism spectrum disorder: From biomarker to animal models. </w:t>
      </w:r>
      <w:r w:rsidRPr="005C650F">
        <w:rPr>
          <w:rFonts w:ascii="Times New Roman" w:eastAsia="Times New Roman" w:hAnsi="Times New Roman" w:cs="Times New Roman"/>
          <w:i/>
          <w:iCs/>
          <w:sz w:val="24"/>
          <w:szCs w:val="24"/>
        </w:rPr>
        <w:t>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321</w:t>
      </w:r>
      <w:r w:rsidRPr="005C650F">
        <w:rPr>
          <w:rFonts w:ascii="Times New Roman" w:eastAsia="Times New Roman" w:hAnsi="Times New Roman" w:cs="Times New Roman"/>
          <w:sz w:val="24"/>
          <w:szCs w:val="24"/>
        </w:rPr>
        <w:t>, 24–41. https://doi.org/10.1016/j.neuroscience.2015.11.010</w:t>
      </w:r>
    </w:p>
    <w:p w14:paraId="39E801F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lang w:val="fr-FR"/>
        </w:rPr>
        <w:t>Murias</w:t>
      </w:r>
      <w:proofErr w:type="spellEnd"/>
      <w:r w:rsidRPr="00203582">
        <w:rPr>
          <w:rFonts w:ascii="Times New Roman" w:eastAsia="Times New Roman" w:hAnsi="Times New Roman" w:cs="Times New Roman"/>
          <w:sz w:val="24"/>
          <w:szCs w:val="24"/>
          <w:lang w:val="fr-FR"/>
        </w:rPr>
        <w:t xml:space="preserve">, M., Webb, S. J., </w:t>
      </w:r>
      <w:proofErr w:type="spellStart"/>
      <w:r w:rsidRPr="00203582">
        <w:rPr>
          <w:rFonts w:ascii="Times New Roman" w:eastAsia="Times New Roman" w:hAnsi="Times New Roman" w:cs="Times New Roman"/>
          <w:sz w:val="24"/>
          <w:szCs w:val="24"/>
          <w:lang w:val="fr-FR"/>
        </w:rPr>
        <w:t>Greenson</w:t>
      </w:r>
      <w:proofErr w:type="spellEnd"/>
      <w:r w:rsidRPr="00203582">
        <w:rPr>
          <w:rFonts w:ascii="Times New Roman" w:eastAsia="Times New Roman" w:hAnsi="Times New Roman" w:cs="Times New Roman"/>
          <w:sz w:val="24"/>
          <w:szCs w:val="24"/>
          <w:lang w:val="fr-FR"/>
        </w:rPr>
        <w:t xml:space="preserve">, J., &amp; Dawson, G. (2007). </w:t>
      </w:r>
      <w:r w:rsidRPr="00203582">
        <w:rPr>
          <w:rFonts w:ascii="Times New Roman" w:eastAsia="Times New Roman" w:hAnsi="Times New Roman" w:cs="Times New Roman"/>
          <w:sz w:val="24"/>
          <w:szCs w:val="24"/>
        </w:rPr>
        <w:t xml:space="preserve">Resting state cortical connectivity reflected in EEG coherence in individuals with autism. </w:t>
      </w:r>
      <w:r w:rsidRPr="00203582">
        <w:rPr>
          <w:rFonts w:ascii="Times New Roman" w:eastAsia="Times New Roman" w:hAnsi="Times New Roman" w:cs="Times New Roman"/>
          <w:i/>
          <w:sz w:val="24"/>
          <w:szCs w:val="24"/>
        </w:rPr>
        <w:t>Biological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62</w:t>
      </w:r>
      <w:r w:rsidRPr="00203582">
        <w:rPr>
          <w:rFonts w:ascii="Times New Roman" w:eastAsia="Times New Roman" w:hAnsi="Times New Roman" w:cs="Times New Roman"/>
          <w:sz w:val="24"/>
          <w:szCs w:val="24"/>
        </w:rPr>
        <w:t>(3), 270–273. https://doi.org/10.1016/j.biopsych.2006.11.012</w:t>
      </w:r>
    </w:p>
    <w:p w14:paraId="14A0AF3C"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pl-PL"/>
        </w:rPr>
      </w:pPr>
      <w:r w:rsidRPr="005C650F">
        <w:rPr>
          <w:rFonts w:ascii="Times New Roman" w:eastAsia="Times New Roman" w:hAnsi="Times New Roman" w:cs="Times New Roman"/>
          <w:sz w:val="24"/>
          <w:szCs w:val="24"/>
        </w:rPr>
        <w:t xml:space="preserve">Murias, M., Webb, S. J., Greenson, J., &amp; Dawson, G. (2007). Resting state cortical connectivity reflected in EEG coherence in individuals with autism. </w:t>
      </w:r>
      <w:r w:rsidRPr="005C650F">
        <w:rPr>
          <w:rFonts w:ascii="Times New Roman" w:eastAsia="Times New Roman" w:hAnsi="Times New Roman" w:cs="Times New Roman"/>
          <w:i/>
          <w:iCs/>
          <w:sz w:val="24"/>
          <w:szCs w:val="24"/>
          <w:lang w:val="pl-PL"/>
        </w:rPr>
        <w:t>Biological Psychiatry</w:t>
      </w:r>
      <w:r w:rsidRPr="005C650F">
        <w:rPr>
          <w:rFonts w:ascii="Times New Roman" w:eastAsia="Times New Roman" w:hAnsi="Times New Roman" w:cs="Times New Roman"/>
          <w:sz w:val="24"/>
          <w:szCs w:val="24"/>
          <w:lang w:val="pl-PL"/>
        </w:rPr>
        <w:t xml:space="preserve">, </w:t>
      </w:r>
      <w:r w:rsidRPr="005C650F">
        <w:rPr>
          <w:rFonts w:ascii="Times New Roman" w:eastAsia="Times New Roman" w:hAnsi="Times New Roman" w:cs="Times New Roman"/>
          <w:i/>
          <w:iCs/>
          <w:sz w:val="24"/>
          <w:szCs w:val="24"/>
          <w:lang w:val="pl-PL"/>
        </w:rPr>
        <w:t>62</w:t>
      </w:r>
      <w:r w:rsidRPr="005C650F">
        <w:rPr>
          <w:rFonts w:ascii="Times New Roman" w:eastAsia="Times New Roman" w:hAnsi="Times New Roman" w:cs="Times New Roman"/>
          <w:sz w:val="24"/>
          <w:szCs w:val="24"/>
          <w:lang w:val="pl-PL"/>
        </w:rPr>
        <w:t>(3), 270–273. https://doi.org/10.1016/j.biopsych.2006.11.012</w:t>
      </w:r>
    </w:p>
    <w:p w14:paraId="736F5B59"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de-DE"/>
        </w:rPr>
      </w:pPr>
      <w:r w:rsidRPr="005C650F">
        <w:rPr>
          <w:rFonts w:ascii="Times New Roman" w:eastAsia="Times New Roman" w:hAnsi="Times New Roman" w:cs="Times New Roman"/>
          <w:sz w:val="24"/>
          <w:szCs w:val="24"/>
        </w:rPr>
        <w:t xml:space="preserve">Murphy, K., </w:t>
      </w:r>
      <w:proofErr w:type="spellStart"/>
      <w:r w:rsidRPr="005C650F">
        <w:rPr>
          <w:rFonts w:ascii="Times New Roman" w:eastAsia="Times New Roman" w:hAnsi="Times New Roman" w:cs="Times New Roman"/>
          <w:sz w:val="24"/>
          <w:szCs w:val="24"/>
        </w:rPr>
        <w:t>Birn</w:t>
      </w:r>
      <w:proofErr w:type="spellEnd"/>
      <w:r w:rsidRPr="005C650F">
        <w:rPr>
          <w:rFonts w:ascii="Times New Roman" w:eastAsia="Times New Roman" w:hAnsi="Times New Roman" w:cs="Times New Roman"/>
          <w:sz w:val="24"/>
          <w:szCs w:val="24"/>
        </w:rPr>
        <w:t xml:space="preserve">, R. M., &amp; </w:t>
      </w:r>
      <w:proofErr w:type="spellStart"/>
      <w:r w:rsidRPr="005C650F">
        <w:rPr>
          <w:rFonts w:ascii="Times New Roman" w:eastAsia="Times New Roman" w:hAnsi="Times New Roman" w:cs="Times New Roman"/>
          <w:sz w:val="24"/>
          <w:szCs w:val="24"/>
        </w:rPr>
        <w:t>Bandettini</w:t>
      </w:r>
      <w:proofErr w:type="spellEnd"/>
      <w:r w:rsidRPr="005C650F">
        <w:rPr>
          <w:rFonts w:ascii="Times New Roman" w:eastAsia="Times New Roman" w:hAnsi="Times New Roman" w:cs="Times New Roman"/>
          <w:sz w:val="24"/>
          <w:szCs w:val="24"/>
        </w:rPr>
        <w:t xml:space="preserve">, P. A. (2013). Resting-state fMRI confounds and cleanup. </w:t>
      </w:r>
      <w:r w:rsidRPr="005C650F">
        <w:rPr>
          <w:rFonts w:ascii="Times New Roman" w:eastAsia="Times New Roman" w:hAnsi="Times New Roman" w:cs="Times New Roman"/>
          <w:i/>
          <w:iCs/>
          <w:sz w:val="24"/>
          <w:szCs w:val="24"/>
          <w:lang w:val="de-DE"/>
        </w:rPr>
        <w:t>Neuroimage</w:t>
      </w:r>
      <w:r w:rsidRPr="005C650F">
        <w:rPr>
          <w:rFonts w:ascii="Times New Roman" w:eastAsia="Times New Roman" w:hAnsi="Times New Roman" w:cs="Times New Roman"/>
          <w:sz w:val="24"/>
          <w:szCs w:val="24"/>
          <w:lang w:val="de-DE"/>
        </w:rPr>
        <w:t xml:space="preserve">, </w:t>
      </w:r>
      <w:r w:rsidRPr="005C650F">
        <w:rPr>
          <w:rFonts w:ascii="Times New Roman" w:eastAsia="Times New Roman" w:hAnsi="Times New Roman" w:cs="Times New Roman"/>
          <w:i/>
          <w:iCs/>
          <w:sz w:val="24"/>
          <w:szCs w:val="24"/>
          <w:lang w:val="de-DE"/>
        </w:rPr>
        <w:t>80</w:t>
      </w:r>
      <w:r w:rsidRPr="005C650F">
        <w:rPr>
          <w:rFonts w:ascii="Times New Roman" w:eastAsia="Times New Roman" w:hAnsi="Times New Roman" w:cs="Times New Roman"/>
          <w:sz w:val="24"/>
          <w:szCs w:val="24"/>
          <w:lang w:val="de-DE"/>
        </w:rPr>
        <w:t>, 349–359. https://doi.org/10.1016/j.neuroimage.2013.04.001</w:t>
      </w:r>
    </w:p>
    <w:p w14:paraId="12105B4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l-PL"/>
        </w:rPr>
        <w:t xml:space="preserve">Nácher, V., Ledberg, A., Deco, G., &amp; Romo, R. (2013). </w:t>
      </w:r>
      <w:r w:rsidRPr="005C650F">
        <w:rPr>
          <w:rFonts w:ascii="Times New Roman" w:eastAsia="Times New Roman" w:hAnsi="Times New Roman" w:cs="Times New Roman"/>
          <w:sz w:val="24"/>
          <w:szCs w:val="24"/>
        </w:rPr>
        <w:t xml:space="preserve">Coherent delta-band oscillations between cortical areas correlate with decision making.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110</w:t>
      </w:r>
      <w:r w:rsidRPr="005C650F">
        <w:rPr>
          <w:rFonts w:ascii="Times New Roman" w:eastAsia="Times New Roman" w:hAnsi="Times New Roman" w:cs="Times New Roman"/>
          <w:sz w:val="24"/>
          <w:szCs w:val="24"/>
        </w:rPr>
        <w:t>(37), 15085–15090. https://doi.org/10.1073/pnas.1314681110</w:t>
      </w:r>
    </w:p>
    <w:p w14:paraId="188A3C5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Nair, A., Jolliffe, M., Lograsso, Y. S. S., &amp; Bearden, C. E. (2020). A Review of Default Mode Network Connectivity and Its Association With Social Cognition in Adolescents With Autism Spectrum Disorder and Early-Onset Psychosis. </w:t>
      </w:r>
      <w:r w:rsidRPr="005C650F">
        <w:rPr>
          <w:rFonts w:ascii="Times New Roman" w:eastAsia="Times New Roman" w:hAnsi="Times New Roman" w:cs="Times New Roman"/>
          <w:i/>
          <w:iCs/>
          <w:sz w:val="24"/>
          <w:szCs w:val="24"/>
        </w:rPr>
        <w:t>Frontiers in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w:t>
      </w:r>
      <w:r w:rsidRPr="005C650F">
        <w:rPr>
          <w:rFonts w:ascii="Times New Roman" w:eastAsia="Times New Roman" w:hAnsi="Times New Roman" w:cs="Times New Roman"/>
          <w:sz w:val="24"/>
          <w:szCs w:val="24"/>
        </w:rPr>
        <w:t>, 614. https://doi.org/10.3389/fpsyt.2020.00614</w:t>
      </w:r>
    </w:p>
    <w:p w14:paraId="0A387F2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Natarajan, K., Acharya U, R., Alias, F., </w:t>
      </w:r>
      <w:proofErr w:type="spellStart"/>
      <w:r w:rsidRPr="00203582">
        <w:rPr>
          <w:rFonts w:ascii="Times New Roman" w:eastAsia="Times New Roman" w:hAnsi="Times New Roman" w:cs="Times New Roman"/>
          <w:sz w:val="24"/>
          <w:szCs w:val="24"/>
        </w:rPr>
        <w:t>Tiboleng</w:t>
      </w:r>
      <w:proofErr w:type="spellEnd"/>
      <w:r w:rsidRPr="00203582">
        <w:rPr>
          <w:rFonts w:ascii="Times New Roman" w:eastAsia="Times New Roman" w:hAnsi="Times New Roman" w:cs="Times New Roman"/>
          <w:sz w:val="24"/>
          <w:szCs w:val="24"/>
        </w:rPr>
        <w:t xml:space="preserve">, T., &amp; </w:t>
      </w:r>
      <w:proofErr w:type="spellStart"/>
      <w:r w:rsidRPr="00203582">
        <w:rPr>
          <w:rFonts w:ascii="Times New Roman" w:eastAsia="Times New Roman" w:hAnsi="Times New Roman" w:cs="Times New Roman"/>
          <w:sz w:val="24"/>
          <w:szCs w:val="24"/>
        </w:rPr>
        <w:t>Puthusserypady</w:t>
      </w:r>
      <w:proofErr w:type="spellEnd"/>
      <w:r w:rsidRPr="00203582">
        <w:rPr>
          <w:rFonts w:ascii="Times New Roman" w:eastAsia="Times New Roman" w:hAnsi="Times New Roman" w:cs="Times New Roman"/>
          <w:sz w:val="24"/>
          <w:szCs w:val="24"/>
        </w:rPr>
        <w:t xml:space="preserve">, S. K. (2004). Nonlinear analysis of EEG signals at different mental states. </w:t>
      </w:r>
      <w:r w:rsidRPr="00203582">
        <w:rPr>
          <w:rFonts w:ascii="Times New Roman" w:eastAsia="Times New Roman" w:hAnsi="Times New Roman" w:cs="Times New Roman"/>
          <w:i/>
          <w:sz w:val="24"/>
          <w:szCs w:val="24"/>
        </w:rPr>
        <w:t>Biomedical Engineering Online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w:t>
      </w:r>
      <w:r w:rsidRPr="00203582">
        <w:rPr>
          <w:rFonts w:ascii="Times New Roman" w:eastAsia="Times New Roman" w:hAnsi="Times New Roman" w:cs="Times New Roman"/>
          <w:sz w:val="24"/>
          <w:szCs w:val="24"/>
        </w:rPr>
        <w:t>(1), 7. https://doi.org/10.1186/1475-925X-3-7</w:t>
      </w:r>
    </w:p>
    <w:p w14:paraId="34732747" w14:textId="77777777" w:rsidR="00ED57EB" w:rsidRPr="00203582" w:rsidRDefault="00ED57EB" w:rsidP="00ED57EB">
      <w:pPr>
        <w:spacing w:line="480" w:lineRule="auto"/>
        <w:ind w:left="708" w:hanging="708"/>
        <w:rPr>
          <w:rFonts w:ascii="Times New Roman" w:eastAsia="Times New Roman" w:hAnsi="Times New Roman" w:cs="Times New Roman"/>
          <w:i/>
          <w:sz w:val="24"/>
          <w:szCs w:val="24"/>
        </w:rPr>
      </w:pPr>
      <w:r w:rsidRPr="00203582">
        <w:rPr>
          <w:rFonts w:ascii="Times New Roman" w:eastAsia="Times New Roman" w:hAnsi="Times New Roman" w:cs="Times New Roman"/>
          <w:sz w:val="24"/>
          <w:szCs w:val="24"/>
        </w:rPr>
        <w:t xml:space="preserve">Nayak, C. S., &amp; Anilkumar, A. C. (2020). </w:t>
      </w:r>
      <w:r w:rsidRPr="00203582">
        <w:rPr>
          <w:rFonts w:ascii="Times New Roman" w:eastAsia="Times New Roman" w:hAnsi="Times New Roman" w:cs="Times New Roman"/>
          <w:i/>
          <w:sz w:val="24"/>
          <w:szCs w:val="24"/>
        </w:rPr>
        <w:t xml:space="preserve">EEG Normal Waveforms. </w:t>
      </w:r>
      <w:proofErr w:type="spellStart"/>
      <w:r w:rsidRPr="00203582">
        <w:rPr>
          <w:rFonts w:ascii="Times New Roman" w:eastAsia="Times New Roman" w:hAnsi="Times New Roman" w:cs="Times New Roman"/>
          <w:i/>
          <w:sz w:val="24"/>
          <w:szCs w:val="24"/>
        </w:rPr>
        <w:t>StatPearls</w:t>
      </w:r>
      <w:proofErr w:type="spellEnd"/>
      <w:r w:rsidRPr="00203582">
        <w:rPr>
          <w:rFonts w:ascii="Times New Roman" w:eastAsia="Times New Roman" w:hAnsi="Times New Roman" w:cs="Times New Roman"/>
          <w:i/>
          <w:sz w:val="24"/>
          <w:szCs w:val="24"/>
        </w:rPr>
        <w:t>.</w:t>
      </w:r>
    </w:p>
    <w:p w14:paraId="40B6B16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Nelson, S. B., &amp; </w:t>
      </w:r>
      <w:proofErr w:type="spellStart"/>
      <w:r w:rsidRPr="005C650F">
        <w:rPr>
          <w:rFonts w:ascii="Times New Roman" w:eastAsia="Times New Roman" w:hAnsi="Times New Roman" w:cs="Times New Roman"/>
          <w:sz w:val="24"/>
          <w:szCs w:val="24"/>
        </w:rPr>
        <w:t>Valakh</w:t>
      </w:r>
      <w:proofErr w:type="spellEnd"/>
      <w:r w:rsidRPr="005C650F">
        <w:rPr>
          <w:rFonts w:ascii="Times New Roman" w:eastAsia="Times New Roman" w:hAnsi="Times New Roman" w:cs="Times New Roman"/>
          <w:sz w:val="24"/>
          <w:szCs w:val="24"/>
        </w:rPr>
        <w:t xml:space="preserve">, V. (2015). Excitatory/inhibitory balance and circuit homeostasis in autism spectrum disorders. </w:t>
      </w:r>
      <w:r w:rsidRPr="005C650F">
        <w:rPr>
          <w:rFonts w:ascii="Times New Roman" w:eastAsia="Times New Roman" w:hAnsi="Times New Roman" w:cs="Times New Roman"/>
          <w:i/>
          <w:iCs/>
          <w:sz w:val="24"/>
          <w:szCs w:val="24"/>
        </w:rPr>
        <w:t>Neuron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87</w:t>
      </w:r>
      <w:r w:rsidRPr="005C650F">
        <w:rPr>
          <w:rFonts w:ascii="Times New Roman" w:eastAsia="Times New Roman" w:hAnsi="Times New Roman" w:cs="Times New Roman"/>
          <w:sz w:val="24"/>
          <w:szCs w:val="24"/>
        </w:rPr>
        <w:t>(4), 684–698. https://doi.org/10.1016/j.neuron.2015.07.033</w:t>
      </w:r>
    </w:p>
    <w:p w14:paraId="3BC0716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Newson, J. J., &amp; Thiagarajan, T. C. (2018). EEG frequency bands in psychiatric disorders: A review of resting state studies.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 521. https://doi.org/10.3389/fnhum.2018.00521</w:t>
      </w:r>
    </w:p>
    <w:p w14:paraId="60CAF34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Newson, J. J., &amp; Thiagarajan, T. C. (2018). EEG frequency bands in psychiatric disorders: A review of resting state studies.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521. https://doi.org/10.3389/fnhum.2018.00521</w:t>
      </w:r>
    </w:p>
    <w:p w14:paraId="64E3BE7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Newson, J. J., &amp; Thiagarajan, T. C. (2018). EEG frequency bands in psychiatric disorders: A review of resting state studies.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521. https://doi.org/10.3389/fnhum.2018.00521</w:t>
      </w:r>
    </w:p>
    <w:p w14:paraId="100F972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Nezafati</w:t>
      </w:r>
      <w:proofErr w:type="spellEnd"/>
      <w:r w:rsidRPr="00203582">
        <w:rPr>
          <w:rFonts w:ascii="Times New Roman" w:eastAsia="Times New Roman" w:hAnsi="Times New Roman" w:cs="Times New Roman"/>
          <w:sz w:val="24"/>
          <w:szCs w:val="24"/>
        </w:rPr>
        <w:t xml:space="preserve">, M., </w:t>
      </w:r>
      <w:proofErr w:type="spellStart"/>
      <w:r w:rsidRPr="00203582">
        <w:rPr>
          <w:rFonts w:ascii="Times New Roman" w:eastAsia="Times New Roman" w:hAnsi="Times New Roman" w:cs="Times New Roman"/>
          <w:sz w:val="24"/>
          <w:szCs w:val="24"/>
        </w:rPr>
        <w:t>Temmar</w:t>
      </w:r>
      <w:proofErr w:type="spellEnd"/>
      <w:r w:rsidRPr="00203582">
        <w:rPr>
          <w:rFonts w:ascii="Times New Roman" w:eastAsia="Times New Roman" w:hAnsi="Times New Roman" w:cs="Times New Roman"/>
          <w:sz w:val="24"/>
          <w:szCs w:val="24"/>
        </w:rPr>
        <w:t xml:space="preserve">, H., &amp; Keilholz, S. D. (2020). Functional MRI signal complexity analysis using sample entropy. </w:t>
      </w:r>
      <w:r w:rsidRPr="00203582">
        <w:rPr>
          <w:rFonts w:ascii="Times New Roman" w:eastAsia="Times New Roman" w:hAnsi="Times New Roman" w:cs="Times New Roman"/>
          <w:i/>
          <w:sz w:val="24"/>
          <w:szCs w:val="24"/>
        </w:rPr>
        <w:t>Frontiers in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14</w:t>
      </w:r>
      <w:r w:rsidRPr="00203582">
        <w:rPr>
          <w:rFonts w:ascii="Times New Roman" w:eastAsia="Times New Roman" w:hAnsi="Times New Roman" w:cs="Times New Roman"/>
          <w:sz w:val="24"/>
          <w:szCs w:val="24"/>
        </w:rPr>
        <w:t>, 700. https://doi.org/10.3389/fnins.2020.00700</w:t>
      </w:r>
    </w:p>
    <w:p w14:paraId="41259F09"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lang w:val="de-DE"/>
        </w:rPr>
        <w:t xml:space="preserve">Nezafati, M., Temmar, H., &amp; Keilholz, S. D. (2020). </w:t>
      </w:r>
      <w:r w:rsidRPr="005C650F">
        <w:rPr>
          <w:rFonts w:ascii="Times New Roman" w:eastAsia="Times New Roman" w:hAnsi="Times New Roman" w:cs="Times New Roman"/>
          <w:sz w:val="24"/>
          <w:szCs w:val="24"/>
        </w:rPr>
        <w:t xml:space="preserve">Functional MRI signal complexity analysis using sample entropy. </w:t>
      </w:r>
      <w:proofErr w:type="spellStart"/>
      <w:r w:rsidRPr="005C650F">
        <w:rPr>
          <w:rFonts w:ascii="Times New Roman" w:eastAsia="Times New Roman" w:hAnsi="Times New Roman" w:cs="Times New Roman"/>
          <w:i/>
          <w:iCs/>
          <w:sz w:val="24"/>
          <w:szCs w:val="24"/>
          <w:lang w:val="fr-FR"/>
        </w:rPr>
        <w:t>Frontiers</w:t>
      </w:r>
      <w:proofErr w:type="spellEnd"/>
      <w:r w:rsidRPr="005C650F">
        <w:rPr>
          <w:rFonts w:ascii="Times New Roman" w:eastAsia="Times New Roman" w:hAnsi="Times New Roman" w:cs="Times New Roman"/>
          <w:i/>
          <w:iCs/>
          <w:sz w:val="24"/>
          <w:szCs w:val="24"/>
          <w:lang w:val="fr-FR"/>
        </w:rPr>
        <w:t xml:space="preserve"> in Neuroscience</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14</w:t>
      </w:r>
      <w:r w:rsidRPr="005C650F">
        <w:rPr>
          <w:rFonts w:ascii="Times New Roman" w:eastAsia="Times New Roman" w:hAnsi="Times New Roman" w:cs="Times New Roman"/>
          <w:sz w:val="24"/>
          <w:szCs w:val="24"/>
          <w:lang w:val="fr-FR"/>
        </w:rPr>
        <w:t>, 700. https://doi.org/10.3389/fnins.2020.00700</w:t>
      </w:r>
    </w:p>
    <w:p w14:paraId="5B52F22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fr-FR"/>
        </w:rPr>
        <w:t xml:space="preserve">Nichols, T. E. (2012). </w:t>
      </w:r>
      <w:r w:rsidRPr="005C650F">
        <w:rPr>
          <w:rFonts w:ascii="Times New Roman" w:eastAsia="Times New Roman" w:hAnsi="Times New Roman" w:cs="Times New Roman"/>
          <w:sz w:val="24"/>
          <w:szCs w:val="24"/>
        </w:rPr>
        <w:t xml:space="preserve">Multiple testing corrections, nonparametric methods, and random field theory.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62</w:t>
      </w:r>
      <w:r w:rsidRPr="005C650F">
        <w:rPr>
          <w:rFonts w:ascii="Times New Roman" w:eastAsia="Times New Roman" w:hAnsi="Times New Roman" w:cs="Times New Roman"/>
          <w:sz w:val="24"/>
          <w:szCs w:val="24"/>
        </w:rPr>
        <w:t>(2), 811–815. https://doi.org/10.1016/j.neuroimage.2012.04.014</w:t>
      </w:r>
    </w:p>
    <w:p w14:paraId="182008B3"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Nichols, T. E. (2017). Notes on creating a standardized version of DVARS. </w:t>
      </w:r>
      <w:proofErr w:type="spellStart"/>
      <w:r w:rsidRPr="00F97EDC">
        <w:rPr>
          <w:rFonts w:ascii="Times New Roman" w:eastAsia="Times New Roman" w:hAnsi="Times New Roman" w:cs="Times New Roman"/>
          <w:sz w:val="24"/>
          <w:szCs w:val="24"/>
        </w:rPr>
        <w:t>ArXiv</w:t>
      </w:r>
      <w:proofErr w:type="spellEnd"/>
      <w:r w:rsidRPr="00F97EDC">
        <w:rPr>
          <w:rFonts w:ascii="Times New Roman" w:eastAsia="Times New Roman" w:hAnsi="Times New Roman" w:cs="Times New Roman"/>
          <w:sz w:val="24"/>
          <w:szCs w:val="24"/>
        </w:rPr>
        <w:t xml:space="preserve"> Preprint ArXiv:1704.01469.</w:t>
      </w:r>
    </w:p>
    <w:p w14:paraId="1FFA88A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Nielsen, J. A., Zielinski, B. A., Fletcher, P. T., Alexander, A. L., Lange, N., Bigler, E. D., Lainhart, J. E., &amp; Anderson, J. S. (2013). Multisite functional connectivity MRI classification of autism: ABIDE results.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 599. https://doi.org/10.3389/fnhum.2013.00599</w:t>
      </w:r>
    </w:p>
    <w:p w14:paraId="69594F6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Niu, Y., Sun, J., Wang, B., Yang, Y., Wen, X., &amp; Xiang, J. (2022). Trajectories of brain entropy across lifetime estimated by resting state functional magnetic resonance imaging. </w:t>
      </w:r>
      <w:r w:rsidRPr="00203582">
        <w:rPr>
          <w:rFonts w:ascii="Times New Roman" w:eastAsia="Times New Roman" w:hAnsi="Times New Roman" w:cs="Times New Roman"/>
          <w:i/>
          <w:sz w:val="24"/>
          <w:szCs w:val="24"/>
        </w:rPr>
        <w:t>Human Brain Mapping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43</w:t>
      </w:r>
      <w:r w:rsidRPr="00203582">
        <w:rPr>
          <w:rFonts w:ascii="Times New Roman" w:eastAsia="Times New Roman" w:hAnsi="Times New Roman" w:cs="Times New Roman"/>
          <w:sz w:val="24"/>
          <w:szCs w:val="24"/>
        </w:rPr>
        <w:t>(14), 4359–4369. https://doi.org/10.1002/hbm.25959</w:t>
      </w:r>
    </w:p>
    <w:p w14:paraId="2247E90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Niu, Y., Sun, J., Wang, B., Yang, Y., Wen, X., &amp; Xiang, J. (2022). Trajectories of brain entropy across lifetime estimated by resting state functional magnetic resonance imaging.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43</w:t>
      </w:r>
      <w:r w:rsidRPr="005C650F">
        <w:rPr>
          <w:rFonts w:ascii="Times New Roman" w:eastAsia="Times New Roman" w:hAnsi="Times New Roman" w:cs="Times New Roman"/>
          <w:sz w:val="24"/>
          <w:szCs w:val="24"/>
        </w:rPr>
        <w:t>(14), 4359–4369. https://doi.org/10.1002/hbm.25959</w:t>
      </w:r>
    </w:p>
    <w:p w14:paraId="3BC282E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Nunez, P L, &amp; Harth, E. (1982). </w:t>
      </w:r>
      <w:r w:rsidRPr="00203582">
        <w:rPr>
          <w:rFonts w:ascii="Times New Roman" w:eastAsia="Times New Roman" w:hAnsi="Times New Roman" w:cs="Times New Roman"/>
          <w:i/>
          <w:sz w:val="24"/>
          <w:szCs w:val="24"/>
        </w:rPr>
        <w:t xml:space="preserve">electric fields of the brain: the </w:t>
      </w:r>
      <w:proofErr w:type="spellStart"/>
      <w:r w:rsidRPr="00203582">
        <w:rPr>
          <w:rFonts w:ascii="Times New Roman" w:eastAsia="Times New Roman" w:hAnsi="Times New Roman" w:cs="Times New Roman"/>
          <w:i/>
          <w:sz w:val="24"/>
          <w:szCs w:val="24"/>
        </w:rPr>
        <w:t>neurophysics</w:t>
      </w:r>
      <w:proofErr w:type="spellEnd"/>
      <w:r w:rsidRPr="00203582">
        <w:rPr>
          <w:rFonts w:ascii="Times New Roman" w:eastAsia="Times New Roman" w:hAnsi="Times New Roman" w:cs="Times New Roman"/>
          <w:i/>
          <w:sz w:val="24"/>
          <w:szCs w:val="24"/>
        </w:rPr>
        <w:t xml:space="preserve"> of </w:t>
      </w:r>
      <w:proofErr w:type="spellStart"/>
      <w:r w:rsidRPr="00203582">
        <w:rPr>
          <w:rFonts w:ascii="Times New Roman" w:eastAsia="Times New Roman" w:hAnsi="Times New Roman" w:cs="Times New Roman"/>
          <w:i/>
          <w:sz w:val="24"/>
          <w:szCs w:val="24"/>
        </w:rPr>
        <w:t>eeg</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Physics Today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35</w:t>
      </w:r>
      <w:r w:rsidRPr="00203582">
        <w:rPr>
          <w:rFonts w:ascii="Times New Roman" w:eastAsia="Times New Roman" w:hAnsi="Times New Roman" w:cs="Times New Roman"/>
          <w:sz w:val="24"/>
          <w:szCs w:val="24"/>
        </w:rPr>
        <w:t>(6), 59–59. https://doi.org/10.1063/1.2915137</w:t>
      </w:r>
    </w:p>
    <w:p w14:paraId="302408C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Nunez, P. L. (1989). Generation of human EEG by a combination of long and short range neocortical interactions. </w:t>
      </w:r>
      <w:r w:rsidRPr="005C650F">
        <w:rPr>
          <w:rFonts w:ascii="Times New Roman" w:eastAsia="Times New Roman" w:hAnsi="Times New Roman" w:cs="Times New Roman"/>
          <w:i/>
          <w:iCs/>
          <w:sz w:val="24"/>
          <w:szCs w:val="24"/>
        </w:rPr>
        <w:t>Brain Topography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w:t>
      </w:r>
      <w:r w:rsidRPr="005C650F">
        <w:rPr>
          <w:rFonts w:ascii="Times New Roman" w:eastAsia="Times New Roman" w:hAnsi="Times New Roman" w:cs="Times New Roman"/>
          <w:sz w:val="24"/>
          <w:szCs w:val="24"/>
        </w:rPr>
        <w:t>(3), 199–215. https://doi.org/10.1007/BF01129583</w:t>
      </w:r>
    </w:p>
    <w:p w14:paraId="717234C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Nunez, Paul L. (1974). The brain wave equation: a model for the EEG. </w:t>
      </w:r>
      <w:r w:rsidRPr="00203582">
        <w:rPr>
          <w:rFonts w:ascii="Times New Roman" w:eastAsia="Times New Roman" w:hAnsi="Times New Roman" w:cs="Times New Roman"/>
          <w:i/>
          <w:sz w:val="24"/>
          <w:szCs w:val="24"/>
        </w:rPr>
        <w:t>Mathematical Biosciences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21</w:t>
      </w:r>
      <w:r w:rsidRPr="00203582">
        <w:rPr>
          <w:rFonts w:ascii="Times New Roman" w:eastAsia="Times New Roman" w:hAnsi="Times New Roman" w:cs="Times New Roman"/>
          <w:sz w:val="24"/>
          <w:szCs w:val="24"/>
        </w:rPr>
        <w:t>(3–4), 279–297. https://doi.org/10.1016/0025-5564(74)90020-0</w:t>
      </w:r>
    </w:p>
    <w:p w14:paraId="455F98C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Oakley, B. F. M., Loth, E., Jones, E. J. H., Chatham, C. H., &amp; Murphy, D. G. (2022). Advances in the identification and validation of autism biomarkers. </w:t>
      </w:r>
      <w:r w:rsidRPr="00203582">
        <w:rPr>
          <w:rFonts w:ascii="Times New Roman" w:eastAsia="Times New Roman" w:hAnsi="Times New Roman" w:cs="Times New Roman"/>
          <w:i/>
          <w:sz w:val="24"/>
          <w:szCs w:val="24"/>
        </w:rPr>
        <w:t>Nature Reviews. Drug Discovery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21</w:t>
      </w:r>
      <w:r w:rsidRPr="00203582">
        <w:rPr>
          <w:rFonts w:ascii="Times New Roman" w:eastAsia="Times New Roman" w:hAnsi="Times New Roman" w:cs="Times New Roman"/>
          <w:sz w:val="24"/>
          <w:szCs w:val="24"/>
        </w:rPr>
        <w:t>(10), 697–698. https://doi.org/10.1038/d41573-022-00141-y</w:t>
      </w:r>
    </w:p>
    <w:p w14:paraId="7F73CB4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Oakley, B. F. M., Loth, E., Jones, E. J. H., Chatham, C. H., &amp; Murphy, D. G. (2022). Advances in the identification and validation of autism biomarkers. </w:t>
      </w:r>
      <w:r w:rsidRPr="005C650F">
        <w:rPr>
          <w:rFonts w:ascii="Times New Roman" w:eastAsia="Times New Roman" w:hAnsi="Times New Roman" w:cs="Times New Roman"/>
          <w:i/>
          <w:iCs/>
          <w:sz w:val="24"/>
          <w:szCs w:val="24"/>
        </w:rPr>
        <w:t>Nature Reviews. Drug Discovery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21</w:t>
      </w:r>
      <w:r w:rsidRPr="005C650F">
        <w:rPr>
          <w:rFonts w:ascii="Times New Roman" w:eastAsia="Times New Roman" w:hAnsi="Times New Roman" w:cs="Times New Roman"/>
          <w:sz w:val="24"/>
          <w:szCs w:val="24"/>
        </w:rPr>
        <w:t>(10), 697–698. https://doi.org/10.1038/d41573-022-00141-y</w:t>
      </w:r>
    </w:p>
    <w:p w14:paraId="184B22B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Ogawa, S., Menon, R. S., Tank, D. W., Kim, S. G., Merkle, H., Ellermann, J. M., &amp; </w:t>
      </w:r>
      <w:proofErr w:type="spellStart"/>
      <w:r w:rsidRPr="00203582">
        <w:rPr>
          <w:rFonts w:ascii="Times New Roman" w:eastAsia="Times New Roman" w:hAnsi="Times New Roman" w:cs="Times New Roman"/>
          <w:sz w:val="24"/>
          <w:szCs w:val="24"/>
        </w:rPr>
        <w:t>Ugurbil</w:t>
      </w:r>
      <w:proofErr w:type="spellEnd"/>
      <w:r w:rsidRPr="00203582">
        <w:rPr>
          <w:rFonts w:ascii="Times New Roman" w:eastAsia="Times New Roman" w:hAnsi="Times New Roman" w:cs="Times New Roman"/>
          <w:sz w:val="24"/>
          <w:szCs w:val="24"/>
        </w:rPr>
        <w:t xml:space="preserve">, K. (1993). Functional brain mapping by blood oxygenation level-dependent contrast magnetic resonance imaging. A comparison of signal characteristics with a biophysical model. </w:t>
      </w:r>
      <w:r w:rsidRPr="00203582">
        <w:rPr>
          <w:rFonts w:ascii="Times New Roman" w:eastAsia="Times New Roman" w:hAnsi="Times New Roman" w:cs="Times New Roman"/>
          <w:i/>
          <w:sz w:val="24"/>
          <w:szCs w:val="24"/>
        </w:rPr>
        <w:t>Biophysical Journal</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64</w:t>
      </w:r>
      <w:r w:rsidRPr="00203582">
        <w:rPr>
          <w:rFonts w:ascii="Times New Roman" w:eastAsia="Times New Roman" w:hAnsi="Times New Roman" w:cs="Times New Roman"/>
          <w:sz w:val="24"/>
          <w:szCs w:val="24"/>
        </w:rPr>
        <w:t>(3), 803–812. https://doi.org/10.1016/S0006-3495(93)81441-3</w:t>
      </w:r>
    </w:p>
    <w:p w14:paraId="1580778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Okazaki, R., Takahashi, T., Ueno, K., Takahashi, K., </w:t>
      </w:r>
      <w:proofErr w:type="spellStart"/>
      <w:r w:rsidRPr="00203582">
        <w:rPr>
          <w:rFonts w:ascii="Times New Roman" w:eastAsia="Times New Roman" w:hAnsi="Times New Roman" w:cs="Times New Roman"/>
          <w:sz w:val="24"/>
          <w:szCs w:val="24"/>
        </w:rPr>
        <w:t>Ishitobi</w:t>
      </w:r>
      <w:proofErr w:type="spellEnd"/>
      <w:r w:rsidRPr="00203582">
        <w:rPr>
          <w:rFonts w:ascii="Times New Roman" w:eastAsia="Times New Roman" w:hAnsi="Times New Roman" w:cs="Times New Roman"/>
          <w:sz w:val="24"/>
          <w:szCs w:val="24"/>
        </w:rPr>
        <w:t xml:space="preserve">, M., Kikuchi, M., </w:t>
      </w:r>
      <w:proofErr w:type="spellStart"/>
      <w:r w:rsidRPr="00203582">
        <w:rPr>
          <w:rFonts w:ascii="Times New Roman" w:eastAsia="Times New Roman" w:hAnsi="Times New Roman" w:cs="Times New Roman"/>
          <w:sz w:val="24"/>
          <w:szCs w:val="24"/>
        </w:rPr>
        <w:t>Higashima</w:t>
      </w:r>
      <w:proofErr w:type="spellEnd"/>
      <w:r w:rsidRPr="00203582">
        <w:rPr>
          <w:rFonts w:ascii="Times New Roman" w:eastAsia="Times New Roman" w:hAnsi="Times New Roman" w:cs="Times New Roman"/>
          <w:sz w:val="24"/>
          <w:szCs w:val="24"/>
        </w:rPr>
        <w:t xml:space="preserve">, M., &amp; Wada, Y. (2015). Changes in EEG complexity with electroconvulsive therapy in a patient with autism spectrum disorders: a multiscale entropy approach.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w:t>
      </w:r>
      <w:r w:rsidRPr="00203582">
        <w:rPr>
          <w:rFonts w:ascii="Times New Roman" w:eastAsia="Times New Roman" w:hAnsi="Times New Roman" w:cs="Times New Roman"/>
          <w:sz w:val="24"/>
          <w:szCs w:val="24"/>
        </w:rPr>
        <w:t>, 106. https://doi.org/10.3389/fnhum.2015.00106</w:t>
      </w:r>
    </w:p>
    <w:p w14:paraId="7C75C80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Okazaki, R., Takahashi, T., Ueno, K., Takahashi, K., </w:t>
      </w:r>
      <w:proofErr w:type="spellStart"/>
      <w:r w:rsidRPr="005C650F">
        <w:rPr>
          <w:rFonts w:ascii="Times New Roman" w:eastAsia="Times New Roman" w:hAnsi="Times New Roman" w:cs="Times New Roman"/>
          <w:sz w:val="24"/>
          <w:szCs w:val="24"/>
        </w:rPr>
        <w:t>Ishitobi</w:t>
      </w:r>
      <w:proofErr w:type="spellEnd"/>
      <w:r w:rsidRPr="005C650F">
        <w:rPr>
          <w:rFonts w:ascii="Times New Roman" w:eastAsia="Times New Roman" w:hAnsi="Times New Roman" w:cs="Times New Roman"/>
          <w:sz w:val="24"/>
          <w:szCs w:val="24"/>
        </w:rPr>
        <w:t xml:space="preserve">, M., Kikuchi, M., </w:t>
      </w:r>
      <w:proofErr w:type="spellStart"/>
      <w:r w:rsidRPr="005C650F">
        <w:rPr>
          <w:rFonts w:ascii="Times New Roman" w:eastAsia="Times New Roman" w:hAnsi="Times New Roman" w:cs="Times New Roman"/>
          <w:sz w:val="24"/>
          <w:szCs w:val="24"/>
        </w:rPr>
        <w:t>Higashima</w:t>
      </w:r>
      <w:proofErr w:type="spellEnd"/>
      <w:r w:rsidRPr="005C650F">
        <w:rPr>
          <w:rFonts w:ascii="Times New Roman" w:eastAsia="Times New Roman" w:hAnsi="Times New Roman" w:cs="Times New Roman"/>
          <w:sz w:val="24"/>
          <w:szCs w:val="24"/>
        </w:rPr>
        <w:t xml:space="preserve">, M., &amp; Wada, Y. (2015). Changes in EEG complexity with electroconvulsive therapy in a patient with autism spectrum disorders: a multiscale entropy approach.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106. https://doi.org/10.3389/fnhum.2015.00106</w:t>
      </w:r>
    </w:p>
    <w:p w14:paraId="4D87ED3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Orekhova, E. V., </w:t>
      </w:r>
      <w:proofErr w:type="spellStart"/>
      <w:r w:rsidRPr="005C650F">
        <w:rPr>
          <w:rFonts w:ascii="Times New Roman" w:eastAsia="Times New Roman" w:hAnsi="Times New Roman" w:cs="Times New Roman"/>
          <w:sz w:val="24"/>
          <w:szCs w:val="24"/>
        </w:rPr>
        <w:t>Elsabbagh</w:t>
      </w:r>
      <w:proofErr w:type="spellEnd"/>
      <w:r w:rsidRPr="005C650F">
        <w:rPr>
          <w:rFonts w:ascii="Times New Roman" w:eastAsia="Times New Roman" w:hAnsi="Times New Roman" w:cs="Times New Roman"/>
          <w:sz w:val="24"/>
          <w:szCs w:val="24"/>
        </w:rPr>
        <w:t xml:space="preserve">, M., Jones, E. J., Dawson, G., Charman, T., Johnson, M. H., &amp; BASIS Team. (2014). EEG hyper-connectivity in high-risk infants is associated with later autism. </w:t>
      </w:r>
      <w:r w:rsidRPr="005C650F">
        <w:rPr>
          <w:rFonts w:ascii="Times New Roman" w:eastAsia="Times New Roman" w:hAnsi="Times New Roman" w:cs="Times New Roman"/>
          <w:i/>
          <w:iCs/>
          <w:sz w:val="24"/>
          <w:szCs w:val="24"/>
        </w:rPr>
        <w:t>Journal of Neurodevelopmental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(1), 40. https://doi.org/10.1186/1866-1955-6-40</w:t>
      </w:r>
    </w:p>
    <w:p w14:paraId="72A5339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Orekhova, E. V., </w:t>
      </w:r>
      <w:proofErr w:type="spellStart"/>
      <w:r w:rsidRPr="005C650F">
        <w:rPr>
          <w:rFonts w:ascii="Times New Roman" w:eastAsia="Times New Roman" w:hAnsi="Times New Roman" w:cs="Times New Roman"/>
          <w:sz w:val="24"/>
          <w:szCs w:val="24"/>
        </w:rPr>
        <w:t>Stroganova</w:t>
      </w:r>
      <w:proofErr w:type="spellEnd"/>
      <w:r w:rsidRPr="005C650F">
        <w:rPr>
          <w:rFonts w:ascii="Times New Roman" w:eastAsia="Times New Roman" w:hAnsi="Times New Roman" w:cs="Times New Roman"/>
          <w:sz w:val="24"/>
          <w:szCs w:val="24"/>
        </w:rPr>
        <w:t xml:space="preserve">, T. A., Nygren, G., </w:t>
      </w:r>
      <w:proofErr w:type="spellStart"/>
      <w:r w:rsidRPr="005C650F">
        <w:rPr>
          <w:rFonts w:ascii="Times New Roman" w:eastAsia="Times New Roman" w:hAnsi="Times New Roman" w:cs="Times New Roman"/>
          <w:sz w:val="24"/>
          <w:szCs w:val="24"/>
        </w:rPr>
        <w:t>Tsetlin</w:t>
      </w:r>
      <w:proofErr w:type="spellEnd"/>
      <w:r w:rsidRPr="005C650F">
        <w:rPr>
          <w:rFonts w:ascii="Times New Roman" w:eastAsia="Times New Roman" w:hAnsi="Times New Roman" w:cs="Times New Roman"/>
          <w:sz w:val="24"/>
          <w:szCs w:val="24"/>
        </w:rPr>
        <w:t xml:space="preserve">, M. M., </w:t>
      </w:r>
      <w:proofErr w:type="spellStart"/>
      <w:r w:rsidRPr="005C650F">
        <w:rPr>
          <w:rFonts w:ascii="Times New Roman" w:eastAsia="Times New Roman" w:hAnsi="Times New Roman" w:cs="Times New Roman"/>
          <w:sz w:val="24"/>
          <w:szCs w:val="24"/>
        </w:rPr>
        <w:t>Posikera</w:t>
      </w:r>
      <w:proofErr w:type="spellEnd"/>
      <w:r w:rsidRPr="005C650F">
        <w:rPr>
          <w:rFonts w:ascii="Times New Roman" w:eastAsia="Times New Roman" w:hAnsi="Times New Roman" w:cs="Times New Roman"/>
          <w:sz w:val="24"/>
          <w:szCs w:val="24"/>
        </w:rPr>
        <w:t xml:space="preserve">, I. N., </w:t>
      </w:r>
      <w:proofErr w:type="spellStart"/>
      <w:r w:rsidRPr="005C650F">
        <w:rPr>
          <w:rFonts w:ascii="Times New Roman" w:eastAsia="Times New Roman" w:hAnsi="Times New Roman" w:cs="Times New Roman"/>
          <w:sz w:val="24"/>
          <w:szCs w:val="24"/>
        </w:rPr>
        <w:t>Gillberg</w:t>
      </w:r>
      <w:proofErr w:type="spellEnd"/>
      <w:r w:rsidRPr="005C650F">
        <w:rPr>
          <w:rFonts w:ascii="Times New Roman" w:eastAsia="Times New Roman" w:hAnsi="Times New Roman" w:cs="Times New Roman"/>
          <w:sz w:val="24"/>
          <w:szCs w:val="24"/>
        </w:rPr>
        <w:t xml:space="preserve">, C., &amp; Elam, M. (2007). Excess of high frequency electroencephalogram oscillations in boys with autism. </w:t>
      </w:r>
      <w:r w:rsidRPr="005C650F">
        <w:rPr>
          <w:rFonts w:ascii="Times New Roman" w:eastAsia="Times New Roman" w:hAnsi="Times New Roman" w:cs="Times New Roman"/>
          <w:i/>
          <w:iCs/>
          <w:sz w:val="24"/>
          <w:szCs w:val="24"/>
        </w:rPr>
        <w:t>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62</w:t>
      </w:r>
      <w:r w:rsidRPr="005C650F">
        <w:rPr>
          <w:rFonts w:ascii="Times New Roman" w:eastAsia="Times New Roman" w:hAnsi="Times New Roman" w:cs="Times New Roman"/>
          <w:sz w:val="24"/>
          <w:szCs w:val="24"/>
        </w:rPr>
        <w:t>(9), 1022–1029. https://doi.org/10.1016/j.biopsych.2006.12.029</w:t>
      </w:r>
    </w:p>
    <w:p w14:paraId="46BA3B4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Orekhova, E. V., </w:t>
      </w:r>
      <w:proofErr w:type="spellStart"/>
      <w:r w:rsidRPr="005C650F">
        <w:rPr>
          <w:rFonts w:ascii="Times New Roman" w:eastAsia="Times New Roman" w:hAnsi="Times New Roman" w:cs="Times New Roman"/>
          <w:sz w:val="24"/>
          <w:szCs w:val="24"/>
        </w:rPr>
        <w:t>Stroganova</w:t>
      </w:r>
      <w:proofErr w:type="spellEnd"/>
      <w:r w:rsidRPr="005C650F">
        <w:rPr>
          <w:rFonts w:ascii="Times New Roman" w:eastAsia="Times New Roman" w:hAnsi="Times New Roman" w:cs="Times New Roman"/>
          <w:sz w:val="24"/>
          <w:szCs w:val="24"/>
        </w:rPr>
        <w:t xml:space="preserve">, T. A., </w:t>
      </w:r>
      <w:proofErr w:type="spellStart"/>
      <w:r w:rsidRPr="005C650F">
        <w:rPr>
          <w:rFonts w:ascii="Times New Roman" w:eastAsia="Times New Roman" w:hAnsi="Times New Roman" w:cs="Times New Roman"/>
          <w:sz w:val="24"/>
          <w:szCs w:val="24"/>
        </w:rPr>
        <w:t>Prokofyev</w:t>
      </w:r>
      <w:proofErr w:type="spellEnd"/>
      <w:r w:rsidRPr="005C650F">
        <w:rPr>
          <w:rFonts w:ascii="Times New Roman" w:eastAsia="Times New Roman" w:hAnsi="Times New Roman" w:cs="Times New Roman"/>
          <w:sz w:val="24"/>
          <w:szCs w:val="24"/>
        </w:rPr>
        <w:t xml:space="preserve">, A. O., Nygren, G., </w:t>
      </w:r>
      <w:proofErr w:type="spellStart"/>
      <w:r w:rsidRPr="005C650F">
        <w:rPr>
          <w:rFonts w:ascii="Times New Roman" w:eastAsia="Times New Roman" w:hAnsi="Times New Roman" w:cs="Times New Roman"/>
          <w:sz w:val="24"/>
          <w:szCs w:val="24"/>
        </w:rPr>
        <w:t>Gillberg</w:t>
      </w:r>
      <w:proofErr w:type="spellEnd"/>
      <w:r w:rsidRPr="005C650F">
        <w:rPr>
          <w:rFonts w:ascii="Times New Roman" w:eastAsia="Times New Roman" w:hAnsi="Times New Roman" w:cs="Times New Roman"/>
          <w:sz w:val="24"/>
          <w:szCs w:val="24"/>
        </w:rPr>
        <w:t xml:space="preserve">, C., &amp; Elam, M. (2008). Sensory gating in young children with autism: relation to age, IQ, and EEG gamma oscillations. </w:t>
      </w:r>
      <w:r w:rsidRPr="005C650F">
        <w:rPr>
          <w:rFonts w:ascii="Times New Roman" w:eastAsia="Times New Roman" w:hAnsi="Times New Roman" w:cs="Times New Roman"/>
          <w:i/>
          <w:iCs/>
          <w:sz w:val="24"/>
          <w:szCs w:val="24"/>
        </w:rPr>
        <w:t>Neuroscience Letters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434</w:t>
      </w:r>
      <w:r w:rsidRPr="005C650F">
        <w:rPr>
          <w:rFonts w:ascii="Times New Roman" w:eastAsia="Times New Roman" w:hAnsi="Times New Roman" w:cs="Times New Roman"/>
          <w:sz w:val="24"/>
          <w:szCs w:val="24"/>
        </w:rPr>
        <w:t>(2), 218–223. https://doi.org/10.1016/j.neulet.2008.01.066</w:t>
      </w:r>
    </w:p>
    <w:p w14:paraId="71809E1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Ostrowski, L. M., Spencer, E. R., Bird, L. M., Thibert, R., Komorowski, R. W., Kramer, M. A., &amp; Chu, C. J. (2021). Delta power robustly predicts cognitive function in Angelman syndrome. </w:t>
      </w:r>
      <w:r w:rsidRPr="005C650F">
        <w:rPr>
          <w:rFonts w:ascii="Times New Roman" w:eastAsia="Times New Roman" w:hAnsi="Times New Roman" w:cs="Times New Roman"/>
          <w:i/>
          <w:iCs/>
          <w:sz w:val="24"/>
          <w:szCs w:val="24"/>
        </w:rPr>
        <w:t>Annals of Clinical and Translational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w:t>
      </w:r>
      <w:r w:rsidRPr="005C650F">
        <w:rPr>
          <w:rFonts w:ascii="Times New Roman" w:eastAsia="Times New Roman" w:hAnsi="Times New Roman" w:cs="Times New Roman"/>
          <w:sz w:val="24"/>
          <w:szCs w:val="24"/>
        </w:rPr>
        <w:t>(7), 1433–1445. https://doi.org/10.1002/acn3.51385</w:t>
      </w:r>
    </w:p>
    <w:p w14:paraId="6E3E5C0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Paakki</w:t>
      </w:r>
      <w:proofErr w:type="spellEnd"/>
      <w:r w:rsidRPr="00203582">
        <w:rPr>
          <w:rFonts w:ascii="Times New Roman" w:eastAsia="Times New Roman" w:hAnsi="Times New Roman" w:cs="Times New Roman"/>
          <w:sz w:val="24"/>
          <w:szCs w:val="24"/>
        </w:rPr>
        <w:t xml:space="preserve">, J.-J., </w:t>
      </w:r>
      <w:proofErr w:type="spellStart"/>
      <w:r w:rsidRPr="00203582">
        <w:rPr>
          <w:rFonts w:ascii="Times New Roman" w:eastAsia="Times New Roman" w:hAnsi="Times New Roman" w:cs="Times New Roman"/>
          <w:sz w:val="24"/>
          <w:szCs w:val="24"/>
        </w:rPr>
        <w:t>Rahko</w:t>
      </w:r>
      <w:proofErr w:type="spellEnd"/>
      <w:r w:rsidRPr="00203582">
        <w:rPr>
          <w:rFonts w:ascii="Times New Roman" w:eastAsia="Times New Roman" w:hAnsi="Times New Roman" w:cs="Times New Roman"/>
          <w:sz w:val="24"/>
          <w:szCs w:val="24"/>
        </w:rPr>
        <w:t xml:space="preserve">, J., Long, X., Moilanen, I., Tervonen, O., Nikkinen, J., Starck, T., Remes, J., Hurtig, T., </w:t>
      </w:r>
      <w:proofErr w:type="spellStart"/>
      <w:r w:rsidRPr="00203582">
        <w:rPr>
          <w:rFonts w:ascii="Times New Roman" w:eastAsia="Times New Roman" w:hAnsi="Times New Roman" w:cs="Times New Roman"/>
          <w:sz w:val="24"/>
          <w:szCs w:val="24"/>
        </w:rPr>
        <w:t>Haapsamo</w:t>
      </w:r>
      <w:proofErr w:type="spellEnd"/>
      <w:r w:rsidRPr="00203582">
        <w:rPr>
          <w:rFonts w:ascii="Times New Roman" w:eastAsia="Times New Roman" w:hAnsi="Times New Roman" w:cs="Times New Roman"/>
          <w:sz w:val="24"/>
          <w:szCs w:val="24"/>
        </w:rPr>
        <w:t xml:space="preserve">, H., Jussila, K., </w:t>
      </w:r>
      <w:proofErr w:type="spellStart"/>
      <w:r w:rsidRPr="00203582">
        <w:rPr>
          <w:rFonts w:ascii="Times New Roman" w:eastAsia="Times New Roman" w:hAnsi="Times New Roman" w:cs="Times New Roman"/>
          <w:sz w:val="24"/>
          <w:szCs w:val="24"/>
        </w:rPr>
        <w:t>Kuusikko-Gauffin</w:t>
      </w:r>
      <w:proofErr w:type="spellEnd"/>
      <w:r w:rsidRPr="00203582">
        <w:rPr>
          <w:rFonts w:ascii="Times New Roman" w:eastAsia="Times New Roman" w:hAnsi="Times New Roman" w:cs="Times New Roman"/>
          <w:sz w:val="24"/>
          <w:szCs w:val="24"/>
        </w:rPr>
        <w:t xml:space="preserve">, S., Mattila, M.-L., Zang, Y., &amp; Kiviniemi, V. (2010). Alterations in regional homogeneity of resting-state brain activity in autism spectrum disorders. </w:t>
      </w:r>
      <w:r w:rsidRPr="00203582">
        <w:rPr>
          <w:rFonts w:ascii="Times New Roman" w:eastAsia="Times New Roman" w:hAnsi="Times New Roman" w:cs="Times New Roman"/>
          <w:i/>
          <w:sz w:val="24"/>
          <w:szCs w:val="24"/>
        </w:rPr>
        <w:t>Brain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1321</w:t>
      </w:r>
      <w:r w:rsidRPr="00203582">
        <w:rPr>
          <w:rFonts w:ascii="Times New Roman" w:eastAsia="Times New Roman" w:hAnsi="Times New Roman" w:cs="Times New Roman"/>
          <w:sz w:val="24"/>
          <w:szCs w:val="24"/>
        </w:rPr>
        <w:t>, 169–179. https://doi.org/10.1016/j.brainres.2009.12.081</w:t>
      </w:r>
    </w:p>
    <w:p w14:paraId="695E74C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Padmanabhan, A., Lynn, A., Foran, W., Luna, B., &amp; O’Hearn, K. (2013). Age related changes in striatal resting state functional connectivity in autism.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w:t>
      </w:r>
      <w:r w:rsidRPr="00203582">
        <w:rPr>
          <w:rFonts w:ascii="Times New Roman" w:eastAsia="Times New Roman" w:hAnsi="Times New Roman" w:cs="Times New Roman"/>
          <w:sz w:val="24"/>
          <w:szCs w:val="24"/>
        </w:rPr>
        <w:t>, 814. https://doi.org/10.3389/fnhum.2013.00814</w:t>
      </w:r>
    </w:p>
    <w:p w14:paraId="67B3D61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Palus, M. (1996). Nonlinearity in normal human EEG: cycles, temporal asymmetry, </w:t>
      </w:r>
      <w:proofErr w:type="spellStart"/>
      <w:r w:rsidRPr="00203582">
        <w:rPr>
          <w:rFonts w:ascii="Times New Roman" w:eastAsia="Times New Roman" w:hAnsi="Times New Roman" w:cs="Times New Roman"/>
          <w:sz w:val="24"/>
          <w:szCs w:val="24"/>
        </w:rPr>
        <w:t>nonstationarity</w:t>
      </w:r>
      <w:proofErr w:type="spellEnd"/>
      <w:r w:rsidRPr="00203582">
        <w:rPr>
          <w:rFonts w:ascii="Times New Roman" w:eastAsia="Times New Roman" w:hAnsi="Times New Roman" w:cs="Times New Roman"/>
          <w:sz w:val="24"/>
          <w:szCs w:val="24"/>
        </w:rPr>
        <w:t xml:space="preserve"> and randomness, not chaos. </w:t>
      </w:r>
      <w:r w:rsidRPr="00203582">
        <w:rPr>
          <w:rFonts w:ascii="Times New Roman" w:eastAsia="Times New Roman" w:hAnsi="Times New Roman" w:cs="Times New Roman"/>
          <w:i/>
          <w:sz w:val="24"/>
          <w:szCs w:val="24"/>
        </w:rPr>
        <w:t>Biological Cybernetics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75</w:t>
      </w:r>
      <w:r w:rsidRPr="00203582">
        <w:rPr>
          <w:rFonts w:ascii="Times New Roman" w:eastAsia="Times New Roman" w:hAnsi="Times New Roman" w:cs="Times New Roman"/>
          <w:sz w:val="24"/>
          <w:szCs w:val="24"/>
        </w:rPr>
        <w:t>(5), 389–396. https://doi.org/10.1007/s004220050304</w:t>
      </w:r>
    </w:p>
    <w:p w14:paraId="7928B5E6"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Park, J., Kawai, Y., &amp; Asada, M. (2023). Spike timing-dependent plasticity under imbalanced excitation and inhibition reduces the complexity of neural activity. Frontiers in Computational Neuroscience, 17, 1169288. https://doi.org/10.3389/fncom.2023.1169288</w:t>
      </w:r>
    </w:p>
    <w:p w14:paraId="29D7235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Parker, T. C., Crowley, M. J., Naples, A. J., Rolison, M. J., Wu, J., Trapani, J. A., &amp; McPartland, J. C. (2021). The N170 event-related potential reflects delayed neural response to faces when visual attention is directed to the eyes in youths with ASD. </w:t>
      </w:r>
      <w:r w:rsidRPr="005C650F">
        <w:rPr>
          <w:rFonts w:ascii="Times New Roman" w:eastAsia="Times New Roman" w:hAnsi="Times New Roman" w:cs="Times New Roman"/>
          <w:i/>
          <w:iCs/>
          <w:sz w:val="24"/>
          <w:szCs w:val="24"/>
        </w:rPr>
        <w:t>Autism Research : Official Journal of the International Society for Autism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w:t>
      </w:r>
      <w:r w:rsidRPr="005C650F">
        <w:rPr>
          <w:rFonts w:ascii="Times New Roman" w:eastAsia="Times New Roman" w:hAnsi="Times New Roman" w:cs="Times New Roman"/>
          <w:sz w:val="24"/>
          <w:szCs w:val="24"/>
        </w:rPr>
        <w:t>(7), 1347–1356. https://doi.org/10.1002/aur.2505</w:t>
      </w:r>
    </w:p>
    <w:p w14:paraId="3D73213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Parkes, L., Satterthwaite, T. D., &amp; Bassett, D. S. (2020). Towards precise resting-state fMRI biomarkers in psychiatry: synthesizing developments in transdiagnostic research, dimensional models of psychopathology, and normative neurodevelopment. </w:t>
      </w:r>
      <w:r w:rsidRPr="005C650F">
        <w:rPr>
          <w:rFonts w:ascii="Times New Roman" w:eastAsia="Times New Roman" w:hAnsi="Times New Roman" w:cs="Times New Roman"/>
          <w:i/>
          <w:iCs/>
          <w:sz w:val="24"/>
          <w:szCs w:val="24"/>
        </w:rPr>
        <w:t>Current Opinion in Neurobiology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65</w:t>
      </w:r>
      <w:r w:rsidRPr="005C650F">
        <w:rPr>
          <w:rFonts w:ascii="Times New Roman" w:eastAsia="Times New Roman" w:hAnsi="Times New Roman" w:cs="Times New Roman"/>
          <w:sz w:val="24"/>
          <w:szCs w:val="24"/>
        </w:rPr>
        <w:t>, 120–128. https://doi.org/10.1016/j.conb.2020.10.016</w:t>
      </w:r>
    </w:p>
    <w:p w14:paraId="04CDEA5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Pedersen, M., </w:t>
      </w:r>
      <w:proofErr w:type="spellStart"/>
      <w:r w:rsidRPr="00203582">
        <w:rPr>
          <w:rFonts w:ascii="Times New Roman" w:eastAsia="Times New Roman" w:hAnsi="Times New Roman" w:cs="Times New Roman"/>
          <w:sz w:val="24"/>
          <w:szCs w:val="24"/>
        </w:rPr>
        <w:t>Omidvarnia</w:t>
      </w:r>
      <w:proofErr w:type="spellEnd"/>
      <w:r w:rsidRPr="00203582">
        <w:rPr>
          <w:rFonts w:ascii="Times New Roman" w:eastAsia="Times New Roman" w:hAnsi="Times New Roman" w:cs="Times New Roman"/>
          <w:sz w:val="24"/>
          <w:szCs w:val="24"/>
        </w:rPr>
        <w:t xml:space="preserve">, A., Walz, J. M., Zalesky, A., &amp; Jackson, G. D. (2017). Spontaneous brain network activity: Analysis of its temporal complexity. </w:t>
      </w:r>
      <w:r w:rsidRPr="00203582">
        <w:rPr>
          <w:rFonts w:ascii="Times New Roman" w:eastAsia="Times New Roman" w:hAnsi="Times New Roman" w:cs="Times New Roman"/>
          <w:i/>
          <w:sz w:val="24"/>
          <w:szCs w:val="24"/>
        </w:rPr>
        <w:t>Network Neuroscience (Cambridge, Mass.)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w:t>
      </w:r>
      <w:r w:rsidRPr="00203582">
        <w:rPr>
          <w:rFonts w:ascii="Times New Roman" w:eastAsia="Times New Roman" w:hAnsi="Times New Roman" w:cs="Times New Roman"/>
          <w:sz w:val="24"/>
          <w:szCs w:val="24"/>
        </w:rPr>
        <w:t>(2), 100–115. https://doi.org/10.1162/NETN_a_00006</w:t>
      </w:r>
    </w:p>
    <w:p w14:paraId="6AA3B74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Pedregosa, F., </w:t>
      </w:r>
      <w:proofErr w:type="spellStart"/>
      <w:r w:rsidRPr="005C650F">
        <w:rPr>
          <w:rFonts w:ascii="Times New Roman" w:eastAsia="Times New Roman" w:hAnsi="Times New Roman" w:cs="Times New Roman"/>
          <w:sz w:val="24"/>
          <w:szCs w:val="24"/>
        </w:rPr>
        <w:t>Varoquaux</w:t>
      </w:r>
      <w:proofErr w:type="spellEnd"/>
      <w:r w:rsidRPr="005C650F">
        <w:rPr>
          <w:rFonts w:ascii="Times New Roman" w:eastAsia="Times New Roman" w:hAnsi="Times New Roman" w:cs="Times New Roman"/>
          <w:sz w:val="24"/>
          <w:szCs w:val="24"/>
        </w:rPr>
        <w:t xml:space="preserve">, G., </w:t>
      </w:r>
      <w:proofErr w:type="spellStart"/>
      <w:r w:rsidRPr="005C650F">
        <w:rPr>
          <w:rFonts w:ascii="Times New Roman" w:eastAsia="Times New Roman" w:hAnsi="Times New Roman" w:cs="Times New Roman"/>
          <w:sz w:val="24"/>
          <w:szCs w:val="24"/>
        </w:rPr>
        <w:t>Gramfort</w:t>
      </w:r>
      <w:proofErr w:type="spellEnd"/>
      <w:r w:rsidRPr="005C650F">
        <w:rPr>
          <w:rFonts w:ascii="Times New Roman" w:eastAsia="Times New Roman" w:hAnsi="Times New Roman" w:cs="Times New Roman"/>
          <w:sz w:val="24"/>
          <w:szCs w:val="24"/>
        </w:rPr>
        <w:t xml:space="preserve">, A., Michel, V., Thirion, B., Grisel, O., Blondel, M., </w:t>
      </w:r>
      <w:proofErr w:type="spellStart"/>
      <w:r w:rsidRPr="005C650F">
        <w:rPr>
          <w:rFonts w:ascii="Times New Roman" w:eastAsia="Times New Roman" w:hAnsi="Times New Roman" w:cs="Times New Roman"/>
          <w:sz w:val="24"/>
          <w:szCs w:val="24"/>
        </w:rPr>
        <w:t>Prettenhofer</w:t>
      </w:r>
      <w:proofErr w:type="spellEnd"/>
      <w:r w:rsidRPr="005C650F">
        <w:rPr>
          <w:rFonts w:ascii="Times New Roman" w:eastAsia="Times New Roman" w:hAnsi="Times New Roman" w:cs="Times New Roman"/>
          <w:sz w:val="24"/>
          <w:szCs w:val="24"/>
        </w:rPr>
        <w:t xml:space="preserve">, P., Weiss, R., Dubourg, V., &amp; Vanderplas, J. (2011). Scikit-learn: Machine learning in Python. </w:t>
      </w:r>
      <w:r w:rsidRPr="005C650F">
        <w:rPr>
          <w:rFonts w:ascii="Times New Roman" w:eastAsia="Times New Roman" w:hAnsi="Times New Roman" w:cs="Times New Roman"/>
          <w:i/>
          <w:iCs/>
          <w:sz w:val="24"/>
          <w:szCs w:val="24"/>
        </w:rPr>
        <w:t>The Journal of Machine Learning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2825–2830.</w:t>
      </w:r>
    </w:p>
    <w:p w14:paraId="25BB67C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Pereira, F., Mitchell, T., &amp; </w:t>
      </w:r>
      <w:proofErr w:type="spellStart"/>
      <w:r w:rsidRPr="005C650F">
        <w:rPr>
          <w:rFonts w:ascii="Times New Roman" w:eastAsia="Times New Roman" w:hAnsi="Times New Roman" w:cs="Times New Roman"/>
          <w:sz w:val="24"/>
          <w:szCs w:val="24"/>
        </w:rPr>
        <w:t>Botvinick</w:t>
      </w:r>
      <w:proofErr w:type="spellEnd"/>
      <w:r w:rsidRPr="005C650F">
        <w:rPr>
          <w:rFonts w:ascii="Times New Roman" w:eastAsia="Times New Roman" w:hAnsi="Times New Roman" w:cs="Times New Roman"/>
          <w:sz w:val="24"/>
          <w:szCs w:val="24"/>
        </w:rPr>
        <w:t xml:space="preserve">, M. (2009). Machine learning classifiers and fMRI: a tutorial overview.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45</w:t>
      </w:r>
      <w:r w:rsidRPr="005C650F">
        <w:rPr>
          <w:rFonts w:ascii="Times New Roman" w:eastAsia="Times New Roman" w:hAnsi="Times New Roman" w:cs="Times New Roman"/>
          <w:sz w:val="24"/>
          <w:szCs w:val="24"/>
        </w:rPr>
        <w:t xml:space="preserve">(1 </w:t>
      </w:r>
      <w:proofErr w:type="spellStart"/>
      <w:r w:rsidRPr="005C650F">
        <w:rPr>
          <w:rFonts w:ascii="Times New Roman" w:eastAsia="Times New Roman" w:hAnsi="Times New Roman" w:cs="Times New Roman"/>
          <w:sz w:val="24"/>
          <w:szCs w:val="24"/>
        </w:rPr>
        <w:t>Suppl</w:t>
      </w:r>
      <w:proofErr w:type="spellEnd"/>
      <w:r w:rsidRPr="005C650F">
        <w:rPr>
          <w:rFonts w:ascii="Times New Roman" w:eastAsia="Times New Roman" w:hAnsi="Times New Roman" w:cs="Times New Roman"/>
          <w:sz w:val="24"/>
          <w:szCs w:val="24"/>
        </w:rPr>
        <w:t>), S199-209. https://doi.org/10.1016/j.neuroimage.2008.11.007</w:t>
      </w:r>
    </w:p>
    <w:p w14:paraId="218810B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Petro, N. M., Ott, L. R., Penhale, S. H., Rempe, M. P., Embury, C. M., </w:t>
      </w:r>
      <w:proofErr w:type="spellStart"/>
      <w:r w:rsidRPr="005C650F">
        <w:rPr>
          <w:rFonts w:ascii="Times New Roman" w:eastAsia="Times New Roman" w:hAnsi="Times New Roman" w:cs="Times New Roman"/>
          <w:sz w:val="24"/>
          <w:szCs w:val="24"/>
        </w:rPr>
        <w:t>Picci</w:t>
      </w:r>
      <w:proofErr w:type="spellEnd"/>
      <w:r w:rsidRPr="005C650F">
        <w:rPr>
          <w:rFonts w:ascii="Times New Roman" w:eastAsia="Times New Roman" w:hAnsi="Times New Roman" w:cs="Times New Roman"/>
          <w:sz w:val="24"/>
          <w:szCs w:val="24"/>
        </w:rPr>
        <w:t xml:space="preserve">, G., Wang, Y.-P., Stephen, J. M., Calhoun, V. D., &amp; Wilson, T. W. (2022). Eyes-closed versus eyes-open differences in spontaneous neural dynamics during development.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258</w:t>
      </w:r>
      <w:r w:rsidRPr="005C650F">
        <w:rPr>
          <w:rFonts w:ascii="Times New Roman" w:eastAsia="Times New Roman" w:hAnsi="Times New Roman" w:cs="Times New Roman"/>
          <w:sz w:val="24"/>
          <w:szCs w:val="24"/>
        </w:rPr>
        <w:t>, 119337. https://doi.org/10.1016/j.neuroimage.2022.119337</w:t>
      </w:r>
    </w:p>
    <w:p w14:paraId="7BF6C9E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Petro, N. M., Ott, L. R., Penhale, S. H., Rempe, M. P., Embury, C. M., </w:t>
      </w:r>
      <w:proofErr w:type="spellStart"/>
      <w:r w:rsidRPr="005C650F">
        <w:rPr>
          <w:rFonts w:ascii="Times New Roman" w:eastAsia="Times New Roman" w:hAnsi="Times New Roman" w:cs="Times New Roman"/>
          <w:sz w:val="24"/>
          <w:szCs w:val="24"/>
        </w:rPr>
        <w:t>Picci</w:t>
      </w:r>
      <w:proofErr w:type="spellEnd"/>
      <w:r w:rsidRPr="005C650F">
        <w:rPr>
          <w:rFonts w:ascii="Times New Roman" w:eastAsia="Times New Roman" w:hAnsi="Times New Roman" w:cs="Times New Roman"/>
          <w:sz w:val="24"/>
          <w:szCs w:val="24"/>
        </w:rPr>
        <w:t xml:space="preserve">, G., Wang, Y.-P., Stephen, J. M., Calhoun, V. D., &amp; Wilson, T. W. (2022). Eyes-closed versus eyes-open differences in spontaneous neural dynamics during development.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258</w:t>
      </w:r>
      <w:r w:rsidRPr="005C650F">
        <w:rPr>
          <w:rFonts w:ascii="Times New Roman" w:eastAsia="Times New Roman" w:hAnsi="Times New Roman" w:cs="Times New Roman"/>
          <w:sz w:val="24"/>
          <w:szCs w:val="24"/>
        </w:rPr>
        <w:t>, 119337. https://doi.org/10.1016/j.neuroimage.2022.119337</w:t>
      </w:r>
    </w:p>
    <w:p w14:paraId="45AD437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Pfefferbaum</w:t>
      </w:r>
      <w:proofErr w:type="spellEnd"/>
      <w:r w:rsidRPr="005C650F">
        <w:rPr>
          <w:rFonts w:ascii="Times New Roman" w:eastAsia="Times New Roman" w:hAnsi="Times New Roman" w:cs="Times New Roman"/>
          <w:sz w:val="24"/>
          <w:szCs w:val="24"/>
        </w:rPr>
        <w:t xml:space="preserve">, A., </w:t>
      </w:r>
      <w:proofErr w:type="spellStart"/>
      <w:r w:rsidRPr="005C650F">
        <w:rPr>
          <w:rFonts w:ascii="Times New Roman" w:eastAsia="Times New Roman" w:hAnsi="Times New Roman" w:cs="Times New Roman"/>
          <w:sz w:val="24"/>
          <w:szCs w:val="24"/>
        </w:rPr>
        <w:t>Mathalon</w:t>
      </w:r>
      <w:proofErr w:type="spellEnd"/>
      <w:r w:rsidRPr="005C650F">
        <w:rPr>
          <w:rFonts w:ascii="Times New Roman" w:eastAsia="Times New Roman" w:hAnsi="Times New Roman" w:cs="Times New Roman"/>
          <w:sz w:val="24"/>
          <w:szCs w:val="24"/>
        </w:rPr>
        <w:t xml:space="preserve">, D. H., Sullivan, E. V., Rawles, J. M., Zipursky, R. B., &amp; Lim, K. O. (1994). A quantitative magnetic resonance imaging study of changes in brain morphology from infancy to late adulthood. </w:t>
      </w:r>
      <w:r w:rsidRPr="005C650F">
        <w:rPr>
          <w:rFonts w:ascii="Times New Roman" w:eastAsia="Times New Roman" w:hAnsi="Times New Roman" w:cs="Times New Roman"/>
          <w:i/>
          <w:iCs/>
          <w:sz w:val="24"/>
          <w:szCs w:val="24"/>
        </w:rPr>
        <w:t>Archives of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51</w:t>
      </w:r>
      <w:r w:rsidRPr="005C650F">
        <w:rPr>
          <w:rFonts w:ascii="Times New Roman" w:eastAsia="Times New Roman" w:hAnsi="Times New Roman" w:cs="Times New Roman"/>
          <w:sz w:val="24"/>
          <w:szCs w:val="24"/>
        </w:rPr>
        <w:t>(9), 874–887. https://doi.org/10.1001/archneur.1994.00540210046012</w:t>
      </w:r>
    </w:p>
    <w:p w14:paraId="2302194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Pfurtscheller</w:t>
      </w:r>
      <w:proofErr w:type="spellEnd"/>
      <w:r w:rsidRPr="005C650F">
        <w:rPr>
          <w:rFonts w:ascii="Times New Roman" w:eastAsia="Times New Roman" w:hAnsi="Times New Roman" w:cs="Times New Roman"/>
          <w:sz w:val="24"/>
          <w:szCs w:val="24"/>
        </w:rPr>
        <w:t xml:space="preserve">, G. (1992). Event-related synchronization (ERS): an electrophysiological correlate of cortical areas at rest. </w:t>
      </w:r>
      <w:r w:rsidRPr="005C650F">
        <w:rPr>
          <w:rFonts w:ascii="Times New Roman" w:eastAsia="Times New Roman" w:hAnsi="Times New Roman" w:cs="Times New Roman"/>
          <w:i/>
          <w:iCs/>
          <w:sz w:val="24"/>
          <w:szCs w:val="24"/>
        </w:rPr>
        <w:t>Electroencephalography and 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83</w:t>
      </w:r>
      <w:r w:rsidRPr="005C650F">
        <w:rPr>
          <w:rFonts w:ascii="Times New Roman" w:eastAsia="Times New Roman" w:hAnsi="Times New Roman" w:cs="Times New Roman"/>
          <w:sz w:val="24"/>
          <w:szCs w:val="24"/>
        </w:rPr>
        <w:t>(1), 62–69. https://doi.org/10.1016/0013-4694(92)90133-3</w:t>
      </w:r>
    </w:p>
    <w:p w14:paraId="228F911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Pfurtscheller</w:t>
      </w:r>
      <w:proofErr w:type="spellEnd"/>
      <w:r w:rsidRPr="005C650F">
        <w:rPr>
          <w:rFonts w:ascii="Times New Roman" w:eastAsia="Times New Roman" w:hAnsi="Times New Roman" w:cs="Times New Roman"/>
          <w:sz w:val="24"/>
          <w:szCs w:val="24"/>
        </w:rPr>
        <w:t xml:space="preserve">, G. (1997). EEG event-related desynchronization (ERD) and synchronization (ERS). </w:t>
      </w:r>
      <w:r w:rsidRPr="005C650F">
        <w:rPr>
          <w:rFonts w:ascii="Times New Roman" w:eastAsia="Times New Roman" w:hAnsi="Times New Roman" w:cs="Times New Roman"/>
          <w:i/>
          <w:iCs/>
          <w:sz w:val="24"/>
          <w:szCs w:val="24"/>
        </w:rPr>
        <w:t>Electroencephalography and 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103</w:t>
      </w:r>
      <w:r w:rsidRPr="005C650F">
        <w:rPr>
          <w:rFonts w:ascii="Times New Roman" w:eastAsia="Times New Roman" w:hAnsi="Times New Roman" w:cs="Times New Roman"/>
          <w:sz w:val="24"/>
          <w:szCs w:val="24"/>
        </w:rPr>
        <w:t>(1), 26. https://doi.org/10.1016/S0013-4694(97)88021-6</w:t>
      </w:r>
    </w:p>
    <w:p w14:paraId="78BE7F0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Pfurtscheller</w:t>
      </w:r>
      <w:proofErr w:type="spellEnd"/>
      <w:r w:rsidRPr="005C650F">
        <w:rPr>
          <w:rFonts w:ascii="Times New Roman" w:eastAsia="Times New Roman" w:hAnsi="Times New Roman" w:cs="Times New Roman"/>
          <w:sz w:val="24"/>
          <w:szCs w:val="24"/>
        </w:rPr>
        <w:t xml:space="preserve">, G., </w:t>
      </w:r>
      <w:proofErr w:type="spellStart"/>
      <w:r w:rsidRPr="005C650F">
        <w:rPr>
          <w:rFonts w:ascii="Times New Roman" w:eastAsia="Times New Roman" w:hAnsi="Times New Roman" w:cs="Times New Roman"/>
          <w:sz w:val="24"/>
          <w:szCs w:val="24"/>
        </w:rPr>
        <w:t>Stancák</w:t>
      </w:r>
      <w:proofErr w:type="spellEnd"/>
      <w:r w:rsidRPr="005C650F">
        <w:rPr>
          <w:rFonts w:ascii="Times New Roman" w:eastAsia="Times New Roman" w:hAnsi="Times New Roman" w:cs="Times New Roman"/>
          <w:sz w:val="24"/>
          <w:szCs w:val="24"/>
        </w:rPr>
        <w:t xml:space="preserve">, A., &amp; Neuper, C. (1996). Event-related synchronization (ERS) in the alpha band--an electrophysiological correlate of cortical idling: A review. </w:t>
      </w:r>
      <w:r w:rsidRPr="005C650F">
        <w:rPr>
          <w:rFonts w:ascii="Times New Roman" w:eastAsia="Times New Roman" w:hAnsi="Times New Roman" w:cs="Times New Roman"/>
          <w:i/>
          <w:iCs/>
          <w:sz w:val="24"/>
          <w:szCs w:val="24"/>
        </w:rPr>
        <w:t>International Journal of Psychophysiology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24</w:t>
      </w:r>
      <w:r w:rsidRPr="005C650F">
        <w:rPr>
          <w:rFonts w:ascii="Times New Roman" w:eastAsia="Times New Roman" w:hAnsi="Times New Roman" w:cs="Times New Roman"/>
          <w:sz w:val="24"/>
          <w:szCs w:val="24"/>
        </w:rPr>
        <w:t>(1–2), 39–46. https://doi.org/10.1016/S0167-8760(96)00066-9</w:t>
      </w:r>
    </w:p>
    <w:p w14:paraId="3F1B9DDC"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nl-NL"/>
        </w:rPr>
      </w:pPr>
      <w:r w:rsidRPr="00203582">
        <w:rPr>
          <w:rFonts w:ascii="Times New Roman" w:eastAsia="Times New Roman" w:hAnsi="Times New Roman" w:cs="Times New Roman"/>
          <w:sz w:val="24"/>
          <w:szCs w:val="24"/>
        </w:rPr>
        <w:t xml:space="preserve">Pham, T. D. (2017). Time-Shift Multiscale Entropy Analysis of Physiological Signals. </w:t>
      </w:r>
      <w:r w:rsidRPr="00203582">
        <w:rPr>
          <w:rFonts w:ascii="Times New Roman" w:eastAsia="Times New Roman" w:hAnsi="Times New Roman" w:cs="Times New Roman"/>
          <w:i/>
          <w:sz w:val="24"/>
          <w:szCs w:val="24"/>
          <w:lang w:val="nl-NL"/>
        </w:rPr>
        <w:t>Entropy</w:t>
      </w:r>
      <w:r w:rsidRPr="00203582">
        <w:rPr>
          <w:rFonts w:ascii="Times New Roman" w:eastAsia="Times New Roman" w:hAnsi="Times New Roman" w:cs="Times New Roman"/>
          <w:sz w:val="24"/>
          <w:szCs w:val="24"/>
          <w:lang w:val="nl-NL"/>
        </w:rPr>
        <w:t xml:space="preserve">, </w:t>
      </w:r>
      <w:r w:rsidRPr="00203582">
        <w:rPr>
          <w:rFonts w:ascii="Times New Roman" w:eastAsia="Times New Roman" w:hAnsi="Times New Roman" w:cs="Times New Roman"/>
          <w:i/>
          <w:sz w:val="24"/>
          <w:szCs w:val="24"/>
          <w:lang w:val="nl-NL"/>
        </w:rPr>
        <w:t>19</w:t>
      </w:r>
      <w:r w:rsidRPr="00203582">
        <w:rPr>
          <w:rFonts w:ascii="Times New Roman" w:eastAsia="Times New Roman" w:hAnsi="Times New Roman" w:cs="Times New Roman"/>
          <w:sz w:val="24"/>
          <w:szCs w:val="24"/>
          <w:lang w:val="nl-NL"/>
        </w:rPr>
        <w:t>(6), 257. https://doi.org/10.3390/e19060257</w:t>
      </w:r>
    </w:p>
    <w:p w14:paraId="2183DFD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nl-NL"/>
        </w:rPr>
        <w:lastRenderedPageBreak/>
        <w:t xml:space="preserve">Pijn, J. P., Van Neerven, J., Noest, A., &amp; Lopes da Silva, F. H. (1991). </w:t>
      </w:r>
      <w:r w:rsidRPr="00203582">
        <w:rPr>
          <w:rFonts w:ascii="Times New Roman" w:eastAsia="Times New Roman" w:hAnsi="Times New Roman" w:cs="Times New Roman"/>
          <w:sz w:val="24"/>
          <w:szCs w:val="24"/>
        </w:rPr>
        <w:t xml:space="preserve">Chaos or noise in EEG signals; dependence on state and brain site. </w:t>
      </w:r>
      <w:r w:rsidRPr="00203582">
        <w:rPr>
          <w:rFonts w:ascii="Times New Roman" w:eastAsia="Times New Roman" w:hAnsi="Times New Roman" w:cs="Times New Roman"/>
          <w:i/>
          <w:sz w:val="24"/>
          <w:szCs w:val="24"/>
        </w:rPr>
        <w:t>Electroencephalography and 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79</w:t>
      </w:r>
      <w:r w:rsidRPr="00203582">
        <w:rPr>
          <w:rFonts w:ascii="Times New Roman" w:eastAsia="Times New Roman" w:hAnsi="Times New Roman" w:cs="Times New Roman"/>
          <w:sz w:val="24"/>
          <w:szCs w:val="24"/>
        </w:rPr>
        <w:t>(5), 371–381. https://doi.org/10.1016/0013-4694(91)90202-F</w:t>
      </w:r>
    </w:p>
    <w:p w14:paraId="5B2FB3B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Pincus, S. (1995). Approximate entropy (</w:t>
      </w:r>
      <w:proofErr w:type="spellStart"/>
      <w:r w:rsidRPr="00203582">
        <w:rPr>
          <w:rFonts w:ascii="Times New Roman" w:eastAsia="Times New Roman" w:hAnsi="Times New Roman" w:cs="Times New Roman"/>
          <w:sz w:val="24"/>
          <w:szCs w:val="24"/>
        </w:rPr>
        <w:t>ApEn</w:t>
      </w:r>
      <w:proofErr w:type="spellEnd"/>
      <w:r w:rsidRPr="00203582">
        <w:rPr>
          <w:rFonts w:ascii="Times New Roman" w:eastAsia="Times New Roman" w:hAnsi="Times New Roman" w:cs="Times New Roman"/>
          <w:sz w:val="24"/>
          <w:szCs w:val="24"/>
        </w:rPr>
        <w:t xml:space="preserve">) as a complexity measure. </w:t>
      </w:r>
      <w:r w:rsidRPr="00203582">
        <w:rPr>
          <w:rFonts w:ascii="Times New Roman" w:eastAsia="Times New Roman" w:hAnsi="Times New Roman" w:cs="Times New Roman"/>
          <w:i/>
          <w:sz w:val="24"/>
          <w:szCs w:val="24"/>
        </w:rPr>
        <w:t>Chaos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w:t>
      </w:r>
      <w:r w:rsidRPr="00203582">
        <w:rPr>
          <w:rFonts w:ascii="Times New Roman" w:eastAsia="Times New Roman" w:hAnsi="Times New Roman" w:cs="Times New Roman"/>
          <w:sz w:val="24"/>
          <w:szCs w:val="24"/>
        </w:rPr>
        <w:t>(1), 110–117. https://doi.org/10.1063/1.166092</w:t>
      </w:r>
    </w:p>
    <w:p w14:paraId="500E678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Pincus, S. (1995). Approximate entropy (</w:t>
      </w:r>
      <w:proofErr w:type="spellStart"/>
      <w:r w:rsidRPr="005C650F">
        <w:rPr>
          <w:rFonts w:ascii="Times New Roman" w:eastAsia="Times New Roman" w:hAnsi="Times New Roman" w:cs="Times New Roman"/>
          <w:sz w:val="24"/>
          <w:szCs w:val="24"/>
        </w:rPr>
        <w:t>ApEn</w:t>
      </w:r>
      <w:proofErr w:type="spellEnd"/>
      <w:r w:rsidRPr="005C650F">
        <w:rPr>
          <w:rFonts w:ascii="Times New Roman" w:eastAsia="Times New Roman" w:hAnsi="Times New Roman" w:cs="Times New Roman"/>
          <w:sz w:val="24"/>
          <w:szCs w:val="24"/>
        </w:rPr>
        <w:t xml:space="preserve">) as a complexity measure. </w:t>
      </w:r>
      <w:r w:rsidRPr="005C650F">
        <w:rPr>
          <w:rFonts w:ascii="Times New Roman" w:eastAsia="Times New Roman" w:hAnsi="Times New Roman" w:cs="Times New Roman"/>
          <w:i/>
          <w:iCs/>
          <w:sz w:val="24"/>
          <w:szCs w:val="24"/>
        </w:rPr>
        <w:t>Chaos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(1), 110–117. https://doi.org/10.1063/1.166092</w:t>
      </w:r>
    </w:p>
    <w:p w14:paraId="53A7273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Pincus, S. M. (1991). Approximate entropy as a measure of system complexity. </w:t>
      </w:r>
      <w:r w:rsidRPr="00203582">
        <w:rPr>
          <w:rFonts w:ascii="Times New Roman" w:eastAsia="Times New Roman" w:hAnsi="Times New Roman" w:cs="Times New Roman"/>
          <w:i/>
          <w:sz w:val="24"/>
          <w:szCs w:val="24"/>
        </w:rPr>
        <w:t>Proceedings of the National Academy of Sciences of the United States of America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88</w:t>
      </w:r>
      <w:r w:rsidRPr="00203582">
        <w:rPr>
          <w:rFonts w:ascii="Times New Roman" w:eastAsia="Times New Roman" w:hAnsi="Times New Roman" w:cs="Times New Roman"/>
          <w:sz w:val="24"/>
          <w:szCs w:val="24"/>
        </w:rPr>
        <w:t>(6), 2297–2301. https://doi.org/10.1073/pnas.88.6.2297</w:t>
      </w:r>
    </w:p>
    <w:p w14:paraId="4E9791F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Pincus, S. M. (1991). Approximate entropy as a measure of system complexity.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88</w:t>
      </w:r>
      <w:r w:rsidRPr="005C650F">
        <w:rPr>
          <w:rFonts w:ascii="Times New Roman" w:eastAsia="Times New Roman" w:hAnsi="Times New Roman" w:cs="Times New Roman"/>
          <w:sz w:val="24"/>
          <w:szCs w:val="24"/>
        </w:rPr>
        <w:t>(6), 2297–2301. https://doi.org/10.1073/pnas.88.6.2297</w:t>
      </w:r>
    </w:p>
    <w:p w14:paraId="27C8752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sv-SE"/>
        </w:rPr>
        <w:t xml:space="preserve">Pineda, J. A., Juavinett, A., &amp; Datko, M. (2012). </w:t>
      </w:r>
      <w:r w:rsidRPr="00203582">
        <w:rPr>
          <w:rFonts w:ascii="Times New Roman" w:eastAsia="Times New Roman" w:hAnsi="Times New Roman" w:cs="Times New Roman"/>
          <w:sz w:val="24"/>
          <w:szCs w:val="24"/>
        </w:rPr>
        <w:t xml:space="preserve">Self-regulation of brain oscillations as a treatment for aberrant brain connections in children with autism. </w:t>
      </w:r>
      <w:r w:rsidRPr="00203582">
        <w:rPr>
          <w:rFonts w:ascii="Times New Roman" w:eastAsia="Times New Roman" w:hAnsi="Times New Roman" w:cs="Times New Roman"/>
          <w:i/>
          <w:sz w:val="24"/>
          <w:szCs w:val="24"/>
        </w:rPr>
        <w:t>Medical Hypotheses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79</w:t>
      </w:r>
      <w:r w:rsidRPr="00203582">
        <w:rPr>
          <w:rFonts w:ascii="Times New Roman" w:eastAsia="Times New Roman" w:hAnsi="Times New Roman" w:cs="Times New Roman"/>
          <w:sz w:val="24"/>
          <w:szCs w:val="24"/>
        </w:rPr>
        <w:t>(6), 790–798. https://doi.org/10.1016/j.mehy.2012.08.031</w:t>
      </w:r>
    </w:p>
    <w:p w14:paraId="5043DFC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Pistorius, T., Aldrich, C., </w:t>
      </w:r>
      <w:proofErr w:type="spellStart"/>
      <w:r w:rsidRPr="00203582">
        <w:rPr>
          <w:rFonts w:ascii="Times New Roman" w:eastAsia="Times New Roman" w:hAnsi="Times New Roman" w:cs="Times New Roman"/>
          <w:sz w:val="24"/>
          <w:szCs w:val="24"/>
        </w:rPr>
        <w:t>Auret</w:t>
      </w:r>
      <w:proofErr w:type="spellEnd"/>
      <w:r w:rsidRPr="00203582">
        <w:rPr>
          <w:rFonts w:ascii="Times New Roman" w:eastAsia="Times New Roman" w:hAnsi="Times New Roman" w:cs="Times New Roman"/>
          <w:sz w:val="24"/>
          <w:szCs w:val="24"/>
        </w:rPr>
        <w:t xml:space="preserve">, L., &amp; Pineda, J. (2013). Early Detection of risk of autism spectrum disorder based on recurrence quantification analysis of electroencephalographic signals. </w:t>
      </w:r>
      <w:r w:rsidRPr="00203582">
        <w:rPr>
          <w:rFonts w:ascii="Times New Roman" w:eastAsia="Times New Roman" w:hAnsi="Times New Roman" w:cs="Times New Roman"/>
          <w:i/>
          <w:sz w:val="24"/>
          <w:szCs w:val="24"/>
        </w:rPr>
        <w:t>2013 6th International IEEE/EMBS Conference on Neural Engineering (NER)</w:t>
      </w:r>
      <w:r w:rsidRPr="00203582">
        <w:rPr>
          <w:rFonts w:ascii="Times New Roman" w:eastAsia="Times New Roman" w:hAnsi="Times New Roman" w:cs="Times New Roman"/>
          <w:sz w:val="24"/>
          <w:szCs w:val="24"/>
        </w:rPr>
        <w:t>, 198–201. https://doi.org/10.1109/NER.2013.6695906</w:t>
      </w:r>
    </w:p>
    <w:p w14:paraId="56ED3B2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Pistorius, T., Aldrich, C., Auret, L., &amp; Pineda, J. (2013). </w:t>
      </w:r>
      <w:r w:rsidRPr="005C650F">
        <w:rPr>
          <w:rFonts w:ascii="Times New Roman" w:eastAsia="Times New Roman" w:hAnsi="Times New Roman" w:cs="Times New Roman"/>
          <w:sz w:val="24"/>
          <w:szCs w:val="24"/>
        </w:rPr>
        <w:t xml:space="preserve">Early Detection of risk of autism spectrum disorder based on recurrence quantification analysis of electroencephalographic signals. </w:t>
      </w:r>
      <w:r w:rsidRPr="005C650F">
        <w:rPr>
          <w:rFonts w:ascii="Times New Roman" w:eastAsia="Times New Roman" w:hAnsi="Times New Roman" w:cs="Times New Roman"/>
          <w:i/>
          <w:iCs/>
          <w:sz w:val="24"/>
          <w:szCs w:val="24"/>
        </w:rPr>
        <w:t>2013 6th International IEEE/EMBS Conference on Neural Engineering (NER)</w:t>
      </w:r>
      <w:r w:rsidRPr="005C650F">
        <w:rPr>
          <w:rFonts w:ascii="Times New Roman" w:eastAsia="Times New Roman" w:hAnsi="Times New Roman" w:cs="Times New Roman"/>
          <w:sz w:val="24"/>
          <w:szCs w:val="24"/>
        </w:rPr>
        <w:t>, 198–201. https://doi.org/10.1109/NER.2013.6695906</w:t>
      </w:r>
    </w:p>
    <w:p w14:paraId="6603EB5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Polizzotto, N., Takahashi, T., Walker, C., &amp; Cho, R. (2015). Wide Range Multiscale Entropy Changes through Development. </w:t>
      </w:r>
      <w:r w:rsidRPr="005C650F">
        <w:rPr>
          <w:rFonts w:ascii="Times New Roman" w:eastAsia="Times New Roman" w:hAnsi="Times New Roman" w:cs="Times New Roman"/>
          <w:i/>
          <w:iCs/>
          <w:sz w:val="24"/>
          <w:szCs w:val="24"/>
        </w:rPr>
        <w:t>Entropy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18</w:t>
      </w:r>
      <w:r w:rsidRPr="005C650F">
        <w:rPr>
          <w:rFonts w:ascii="Times New Roman" w:eastAsia="Times New Roman" w:hAnsi="Times New Roman" w:cs="Times New Roman"/>
          <w:sz w:val="24"/>
          <w:szCs w:val="24"/>
        </w:rPr>
        <w:t>(1), 12. https://doi.org/10.3390/e18010012</w:t>
      </w:r>
    </w:p>
    <w:p w14:paraId="3F673E38"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Pool, R. (1989). Is It Healthy to Be Chaotic? Chaos may provide a healthy flexibility to the heart, brain, and other parts of the body. Conversely, many ailments may be associated with a loss of this </w:t>
      </w:r>
      <w:proofErr w:type="spellStart"/>
      <w:r w:rsidRPr="00203582">
        <w:rPr>
          <w:rFonts w:ascii="Times New Roman" w:eastAsia="Times New Roman" w:hAnsi="Times New Roman" w:cs="Times New Roman"/>
          <w:sz w:val="24"/>
          <w:szCs w:val="24"/>
        </w:rPr>
        <w:t>chaoticflexibility</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243</w:t>
      </w:r>
      <w:r w:rsidRPr="00203582">
        <w:rPr>
          <w:rFonts w:ascii="Times New Roman" w:eastAsia="Times New Roman" w:hAnsi="Times New Roman" w:cs="Times New Roman"/>
          <w:sz w:val="24"/>
          <w:szCs w:val="24"/>
        </w:rPr>
        <w:t>(4891), 604–607.</w:t>
      </w:r>
    </w:p>
    <w:p w14:paraId="76CAC23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Pool, R. (1989). Is It Healthy to Be Chaotic? Chaos may provide a healthy flexibility to the heart, brain, and other parts of the body. Conversely, many ailments may be associated with a loss of this </w:t>
      </w:r>
      <w:proofErr w:type="spellStart"/>
      <w:r w:rsidRPr="005C650F">
        <w:rPr>
          <w:rFonts w:ascii="Times New Roman" w:eastAsia="Times New Roman" w:hAnsi="Times New Roman" w:cs="Times New Roman"/>
          <w:sz w:val="24"/>
          <w:szCs w:val="24"/>
        </w:rPr>
        <w:t>chaoticflexibility</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243</w:t>
      </w:r>
      <w:r w:rsidRPr="005C650F">
        <w:rPr>
          <w:rFonts w:ascii="Times New Roman" w:eastAsia="Times New Roman" w:hAnsi="Times New Roman" w:cs="Times New Roman"/>
          <w:sz w:val="24"/>
          <w:szCs w:val="24"/>
        </w:rPr>
        <w:t>(4891), 604–607.</w:t>
      </w:r>
    </w:p>
    <w:p w14:paraId="5B8A541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Pop-Jordanova, N., </w:t>
      </w:r>
      <w:proofErr w:type="spellStart"/>
      <w:r w:rsidRPr="005C650F">
        <w:rPr>
          <w:rFonts w:ascii="Times New Roman" w:eastAsia="Times New Roman" w:hAnsi="Times New Roman" w:cs="Times New Roman"/>
          <w:sz w:val="24"/>
          <w:szCs w:val="24"/>
        </w:rPr>
        <w:t>Zorcec</w:t>
      </w:r>
      <w:proofErr w:type="spellEnd"/>
      <w:r w:rsidRPr="005C650F">
        <w:rPr>
          <w:rFonts w:ascii="Times New Roman" w:eastAsia="Times New Roman" w:hAnsi="Times New Roman" w:cs="Times New Roman"/>
          <w:sz w:val="24"/>
          <w:szCs w:val="24"/>
        </w:rPr>
        <w:t xml:space="preserve">, T., </w:t>
      </w:r>
      <w:proofErr w:type="spellStart"/>
      <w:r w:rsidRPr="005C650F">
        <w:rPr>
          <w:rFonts w:ascii="Times New Roman" w:eastAsia="Times New Roman" w:hAnsi="Times New Roman" w:cs="Times New Roman"/>
          <w:sz w:val="24"/>
          <w:szCs w:val="24"/>
        </w:rPr>
        <w:t>Demerdzieva</w:t>
      </w:r>
      <w:proofErr w:type="spellEnd"/>
      <w:r w:rsidRPr="005C650F">
        <w:rPr>
          <w:rFonts w:ascii="Times New Roman" w:eastAsia="Times New Roman" w:hAnsi="Times New Roman" w:cs="Times New Roman"/>
          <w:sz w:val="24"/>
          <w:szCs w:val="24"/>
        </w:rPr>
        <w:t xml:space="preserve">, A., &amp; </w:t>
      </w:r>
      <w:proofErr w:type="spellStart"/>
      <w:r w:rsidRPr="005C650F">
        <w:rPr>
          <w:rFonts w:ascii="Times New Roman" w:eastAsia="Times New Roman" w:hAnsi="Times New Roman" w:cs="Times New Roman"/>
          <w:sz w:val="24"/>
          <w:szCs w:val="24"/>
        </w:rPr>
        <w:t>Gucev</w:t>
      </w:r>
      <w:proofErr w:type="spellEnd"/>
      <w:r w:rsidRPr="005C650F">
        <w:rPr>
          <w:rFonts w:ascii="Times New Roman" w:eastAsia="Times New Roman" w:hAnsi="Times New Roman" w:cs="Times New Roman"/>
          <w:sz w:val="24"/>
          <w:szCs w:val="24"/>
        </w:rPr>
        <w:t xml:space="preserve">, Z. (2010). QEEG characteristics and spectrum weighted frequency for children diagnosed as autistic spectrum disorder. </w:t>
      </w:r>
      <w:r w:rsidRPr="005C650F">
        <w:rPr>
          <w:rFonts w:ascii="Times New Roman" w:eastAsia="Times New Roman" w:hAnsi="Times New Roman" w:cs="Times New Roman"/>
          <w:i/>
          <w:iCs/>
          <w:sz w:val="24"/>
          <w:szCs w:val="24"/>
        </w:rPr>
        <w:t>Nonlinear Biomedical Physics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w:t>
      </w:r>
      <w:r w:rsidRPr="005C650F">
        <w:rPr>
          <w:rFonts w:ascii="Times New Roman" w:eastAsia="Times New Roman" w:hAnsi="Times New Roman" w:cs="Times New Roman"/>
          <w:sz w:val="24"/>
          <w:szCs w:val="24"/>
        </w:rPr>
        <w:t>(1), 4. https://doi.org/10.1186/1753-4631-4-4</w:t>
      </w:r>
    </w:p>
    <w:p w14:paraId="64C9879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Port, R. G., Oberman, L. M., &amp; Roberts, T. P. (2019). Revisiting the excitation/inhibition imbalance hypothesis of ASD through a clinical lens. </w:t>
      </w:r>
      <w:r w:rsidRPr="005C650F">
        <w:rPr>
          <w:rFonts w:ascii="Times New Roman" w:eastAsia="Times New Roman" w:hAnsi="Times New Roman" w:cs="Times New Roman"/>
          <w:i/>
          <w:iCs/>
          <w:sz w:val="24"/>
          <w:szCs w:val="24"/>
        </w:rPr>
        <w:t>The British Journal of Radiology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92</w:t>
      </w:r>
      <w:r w:rsidRPr="005C650F">
        <w:rPr>
          <w:rFonts w:ascii="Times New Roman" w:eastAsia="Times New Roman" w:hAnsi="Times New Roman" w:cs="Times New Roman"/>
          <w:sz w:val="24"/>
          <w:szCs w:val="24"/>
        </w:rPr>
        <w:t>(1101), 20180944. https://doi.org/10.1259/bjr.20180944</w:t>
      </w:r>
    </w:p>
    <w:p w14:paraId="2264A34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Power, J. D., Fair, D. A., </w:t>
      </w:r>
      <w:proofErr w:type="spellStart"/>
      <w:r w:rsidRPr="005C650F">
        <w:rPr>
          <w:rFonts w:ascii="Times New Roman" w:eastAsia="Times New Roman" w:hAnsi="Times New Roman" w:cs="Times New Roman"/>
          <w:sz w:val="24"/>
          <w:szCs w:val="24"/>
        </w:rPr>
        <w:t>Schlaggar</w:t>
      </w:r>
      <w:proofErr w:type="spellEnd"/>
      <w:r w:rsidRPr="005C650F">
        <w:rPr>
          <w:rFonts w:ascii="Times New Roman" w:eastAsia="Times New Roman" w:hAnsi="Times New Roman" w:cs="Times New Roman"/>
          <w:sz w:val="24"/>
          <w:szCs w:val="24"/>
        </w:rPr>
        <w:t xml:space="preserve">, B. L., &amp; Petersen, S. E. (2010). The development of human functional brain networks. </w:t>
      </w:r>
      <w:r w:rsidRPr="005C650F">
        <w:rPr>
          <w:rFonts w:ascii="Times New Roman" w:eastAsia="Times New Roman" w:hAnsi="Times New Roman" w:cs="Times New Roman"/>
          <w:i/>
          <w:iCs/>
          <w:sz w:val="24"/>
          <w:szCs w:val="24"/>
        </w:rPr>
        <w:t>Neuron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67</w:t>
      </w:r>
      <w:r w:rsidRPr="005C650F">
        <w:rPr>
          <w:rFonts w:ascii="Times New Roman" w:eastAsia="Times New Roman" w:hAnsi="Times New Roman" w:cs="Times New Roman"/>
          <w:sz w:val="24"/>
          <w:szCs w:val="24"/>
        </w:rPr>
        <w:t>(5), 735–748. https://doi.org/10.1016/j.neuron.2010.08.017</w:t>
      </w:r>
    </w:p>
    <w:p w14:paraId="09D7827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Pradhan, N., &amp; Dutt, D. N. (1993). A nonlinear perspective in understanding the </w:t>
      </w:r>
      <w:proofErr w:type="spellStart"/>
      <w:r w:rsidRPr="005C650F">
        <w:rPr>
          <w:rFonts w:ascii="Times New Roman" w:eastAsia="Times New Roman" w:hAnsi="Times New Roman" w:cs="Times New Roman"/>
          <w:sz w:val="24"/>
          <w:szCs w:val="24"/>
        </w:rPr>
        <w:t>neurodynamics</w:t>
      </w:r>
      <w:proofErr w:type="spellEnd"/>
      <w:r w:rsidRPr="005C650F">
        <w:rPr>
          <w:rFonts w:ascii="Times New Roman" w:eastAsia="Times New Roman" w:hAnsi="Times New Roman" w:cs="Times New Roman"/>
          <w:sz w:val="24"/>
          <w:szCs w:val="24"/>
        </w:rPr>
        <w:t xml:space="preserve"> of EEG. </w:t>
      </w:r>
      <w:r w:rsidRPr="005C650F">
        <w:rPr>
          <w:rFonts w:ascii="Times New Roman" w:eastAsia="Times New Roman" w:hAnsi="Times New Roman" w:cs="Times New Roman"/>
          <w:i/>
          <w:iCs/>
          <w:sz w:val="24"/>
          <w:szCs w:val="24"/>
        </w:rPr>
        <w:t>Computers in Biology and 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23</w:t>
      </w:r>
      <w:r w:rsidRPr="005C650F">
        <w:rPr>
          <w:rFonts w:ascii="Times New Roman" w:eastAsia="Times New Roman" w:hAnsi="Times New Roman" w:cs="Times New Roman"/>
          <w:sz w:val="24"/>
          <w:szCs w:val="24"/>
        </w:rPr>
        <w:t>(6), 425–442. https://doi.org/10.1016/0010-4825(93)90091-e</w:t>
      </w:r>
    </w:p>
    <w:p w14:paraId="2BB54CF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Psychiatric, A. A. (2000). Diagnostic and Statistical Manual of Mental Disorders 4th Ed text revision. </w:t>
      </w:r>
      <w:r w:rsidRPr="00203582">
        <w:rPr>
          <w:rFonts w:ascii="Times New Roman" w:eastAsia="Times New Roman" w:hAnsi="Times New Roman" w:cs="Times New Roman"/>
          <w:i/>
          <w:sz w:val="24"/>
          <w:szCs w:val="24"/>
        </w:rPr>
        <w:t>(No Title)</w:t>
      </w:r>
      <w:r w:rsidRPr="00203582">
        <w:rPr>
          <w:rFonts w:ascii="Times New Roman" w:eastAsia="Times New Roman" w:hAnsi="Times New Roman" w:cs="Times New Roman"/>
          <w:sz w:val="24"/>
          <w:szCs w:val="24"/>
        </w:rPr>
        <w:t>.</w:t>
      </w:r>
    </w:p>
    <w:p w14:paraId="6555DCD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Pudil, P., </w:t>
      </w:r>
      <w:proofErr w:type="spellStart"/>
      <w:r w:rsidRPr="005C650F">
        <w:rPr>
          <w:rFonts w:ascii="Times New Roman" w:eastAsia="Times New Roman" w:hAnsi="Times New Roman" w:cs="Times New Roman"/>
          <w:sz w:val="24"/>
          <w:szCs w:val="24"/>
        </w:rPr>
        <w:t>Novovičová</w:t>
      </w:r>
      <w:proofErr w:type="spellEnd"/>
      <w:r w:rsidRPr="005C650F">
        <w:rPr>
          <w:rFonts w:ascii="Times New Roman" w:eastAsia="Times New Roman" w:hAnsi="Times New Roman" w:cs="Times New Roman"/>
          <w:sz w:val="24"/>
          <w:szCs w:val="24"/>
        </w:rPr>
        <w:t xml:space="preserve">, J., &amp; Kittler, J. (1994). Floating search methods in feature selection. </w:t>
      </w:r>
      <w:r w:rsidRPr="005C650F">
        <w:rPr>
          <w:rFonts w:ascii="Times New Roman" w:eastAsia="Times New Roman" w:hAnsi="Times New Roman" w:cs="Times New Roman"/>
          <w:i/>
          <w:iCs/>
          <w:sz w:val="24"/>
          <w:szCs w:val="24"/>
        </w:rPr>
        <w:t>Pattern Recognition Letters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15</w:t>
      </w:r>
      <w:r w:rsidRPr="005C650F">
        <w:rPr>
          <w:rFonts w:ascii="Times New Roman" w:eastAsia="Times New Roman" w:hAnsi="Times New Roman" w:cs="Times New Roman"/>
          <w:sz w:val="24"/>
          <w:szCs w:val="24"/>
        </w:rPr>
        <w:t>(11), 1119–1125. https://doi.org/10.1016/0167-8655(94)90127-9</w:t>
      </w:r>
    </w:p>
    <w:p w14:paraId="2A05364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Qian, S., Wang, X., Qu, X., Zhang, P., Li, Q., Wang, R., &amp; Liu, D.-Q. (2019). Links Between the Amplitude Modulation of Low-Frequency Spontaneous Fluctuation Across Resting State </w:t>
      </w:r>
      <w:r w:rsidRPr="00203582">
        <w:rPr>
          <w:rFonts w:ascii="Times New Roman" w:eastAsia="Times New Roman" w:hAnsi="Times New Roman" w:cs="Times New Roman"/>
          <w:sz w:val="24"/>
          <w:szCs w:val="24"/>
        </w:rPr>
        <w:lastRenderedPageBreak/>
        <w:t xml:space="preserve">Conditions and Thalamic Functional Connectivity.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13</w:t>
      </w:r>
      <w:r w:rsidRPr="00203582">
        <w:rPr>
          <w:rFonts w:ascii="Times New Roman" w:eastAsia="Times New Roman" w:hAnsi="Times New Roman" w:cs="Times New Roman"/>
          <w:sz w:val="24"/>
          <w:szCs w:val="24"/>
        </w:rPr>
        <w:t>, 199. https://doi.org/10.3389/fnhum.2019.00199</w:t>
      </w:r>
    </w:p>
    <w:p w14:paraId="24FF773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Raichle, M E, MacLeod, A. M., Snyder, A. Z., Powers, W. J., </w:t>
      </w:r>
      <w:proofErr w:type="spellStart"/>
      <w:r w:rsidRPr="00203582">
        <w:rPr>
          <w:rFonts w:ascii="Times New Roman" w:eastAsia="Times New Roman" w:hAnsi="Times New Roman" w:cs="Times New Roman"/>
          <w:sz w:val="24"/>
          <w:szCs w:val="24"/>
        </w:rPr>
        <w:t>Gusnard</w:t>
      </w:r>
      <w:proofErr w:type="spellEnd"/>
      <w:r w:rsidRPr="00203582">
        <w:rPr>
          <w:rFonts w:ascii="Times New Roman" w:eastAsia="Times New Roman" w:hAnsi="Times New Roman" w:cs="Times New Roman"/>
          <w:sz w:val="24"/>
          <w:szCs w:val="24"/>
        </w:rPr>
        <w:t xml:space="preserve">, D. A., &amp; Shulman, G. L. (2001). A default mode of brain function. </w:t>
      </w:r>
      <w:r w:rsidRPr="00203582">
        <w:rPr>
          <w:rFonts w:ascii="Times New Roman" w:eastAsia="Times New Roman" w:hAnsi="Times New Roman" w:cs="Times New Roman"/>
          <w:i/>
          <w:sz w:val="24"/>
          <w:szCs w:val="24"/>
        </w:rPr>
        <w:t>Proceedings of the National Academy of Sciences of the United States of America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98</w:t>
      </w:r>
      <w:r w:rsidRPr="00203582">
        <w:rPr>
          <w:rFonts w:ascii="Times New Roman" w:eastAsia="Times New Roman" w:hAnsi="Times New Roman" w:cs="Times New Roman"/>
          <w:sz w:val="24"/>
          <w:szCs w:val="24"/>
        </w:rPr>
        <w:t>(2), 676–682. https://doi.org/10.1073/pnas.98.2.676</w:t>
      </w:r>
    </w:p>
    <w:p w14:paraId="778E434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Raichle, M. E. (2015). The restless brain: how intrinsic activity organizes brain function. </w:t>
      </w:r>
      <w:r w:rsidRPr="005C650F">
        <w:rPr>
          <w:rFonts w:ascii="Times New Roman" w:eastAsia="Times New Roman" w:hAnsi="Times New Roman" w:cs="Times New Roman"/>
          <w:i/>
          <w:iCs/>
          <w:sz w:val="24"/>
          <w:szCs w:val="24"/>
        </w:rPr>
        <w:t>Philosophical Transactions of the Royal Society of London. Series B, Biological Sciences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370</w:t>
      </w:r>
      <w:r w:rsidRPr="005C650F">
        <w:rPr>
          <w:rFonts w:ascii="Times New Roman" w:eastAsia="Times New Roman" w:hAnsi="Times New Roman" w:cs="Times New Roman"/>
          <w:sz w:val="24"/>
          <w:szCs w:val="24"/>
        </w:rPr>
        <w:t>(1668). https://doi.org/10.1098/rstb.2014.0172</w:t>
      </w:r>
    </w:p>
    <w:p w14:paraId="27B754F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Raichle, M. E., MacLeod, A. M., Snyder, A. Z., Powers, W. J., </w:t>
      </w:r>
      <w:proofErr w:type="spellStart"/>
      <w:r w:rsidRPr="005C650F">
        <w:rPr>
          <w:rFonts w:ascii="Times New Roman" w:eastAsia="Times New Roman" w:hAnsi="Times New Roman" w:cs="Times New Roman"/>
          <w:sz w:val="24"/>
          <w:szCs w:val="24"/>
        </w:rPr>
        <w:t>Gusnard</w:t>
      </w:r>
      <w:proofErr w:type="spellEnd"/>
      <w:r w:rsidRPr="005C650F">
        <w:rPr>
          <w:rFonts w:ascii="Times New Roman" w:eastAsia="Times New Roman" w:hAnsi="Times New Roman" w:cs="Times New Roman"/>
          <w:sz w:val="24"/>
          <w:szCs w:val="24"/>
        </w:rPr>
        <w:t xml:space="preserve">, D. A., &amp; Shulman, G. L. (2001). A default mode of brain function.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98</w:t>
      </w:r>
      <w:r w:rsidRPr="005C650F">
        <w:rPr>
          <w:rFonts w:ascii="Times New Roman" w:eastAsia="Times New Roman" w:hAnsi="Times New Roman" w:cs="Times New Roman"/>
          <w:sz w:val="24"/>
          <w:szCs w:val="24"/>
        </w:rPr>
        <w:t>(2), 676–682. https://doi.org/10.1073/pnas.98.2.676</w:t>
      </w:r>
    </w:p>
    <w:p w14:paraId="3F42F8F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Raichle, M. E., MacLeod, A. M., Snyder, A. Z., Powers, W. J., </w:t>
      </w:r>
      <w:proofErr w:type="spellStart"/>
      <w:r w:rsidRPr="005C650F">
        <w:rPr>
          <w:rFonts w:ascii="Times New Roman" w:eastAsia="Times New Roman" w:hAnsi="Times New Roman" w:cs="Times New Roman"/>
          <w:sz w:val="24"/>
          <w:szCs w:val="24"/>
        </w:rPr>
        <w:t>Gusnard</w:t>
      </w:r>
      <w:proofErr w:type="spellEnd"/>
      <w:r w:rsidRPr="005C650F">
        <w:rPr>
          <w:rFonts w:ascii="Times New Roman" w:eastAsia="Times New Roman" w:hAnsi="Times New Roman" w:cs="Times New Roman"/>
          <w:sz w:val="24"/>
          <w:szCs w:val="24"/>
        </w:rPr>
        <w:t xml:space="preserve">, D. A., &amp; Shulman, G. L. (2001). A default mode of brain function.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98</w:t>
      </w:r>
      <w:r w:rsidRPr="005C650F">
        <w:rPr>
          <w:rFonts w:ascii="Times New Roman" w:eastAsia="Times New Roman" w:hAnsi="Times New Roman" w:cs="Times New Roman"/>
          <w:sz w:val="24"/>
          <w:szCs w:val="24"/>
        </w:rPr>
        <w:t>(2), 676–682. https://doi.org/10.1073/pnas.98.2.676</w:t>
      </w:r>
    </w:p>
    <w:p w14:paraId="0756244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pt-PT"/>
        </w:rPr>
        <w:t xml:space="preserve">Raichle, Marcus E, &amp; Snyder, A. Z. (2007). </w:t>
      </w:r>
      <w:r w:rsidRPr="00203582">
        <w:rPr>
          <w:rFonts w:ascii="Times New Roman" w:eastAsia="Times New Roman" w:hAnsi="Times New Roman" w:cs="Times New Roman"/>
          <w:sz w:val="24"/>
          <w:szCs w:val="24"/>
        </w:rPr>
        <w:t xml:space="preserve">A default mode of brain function: a brief history of an evolving idea.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37</w:t>
      </w:r>
      <w:r w:rsidRPr="00203582">
        <w:rPr>
          <w:rFonts w:ascii="Times New Roman" w:eastAsia="Times New Roman" w:hAnsi="Times New Roman" w:cs="Times New Roman"/>
          <w:sz w:val="24"/>
          <w:szCs w:val="24"/>
        </w:rPr>
        <w:t>(4), 1083–1090; discussion 1097. https://doi.org/10.1016/j.neuroimage.2007.02.041</w:t>
      </w:r>
    </w:p>
    <w:p w14:paraId="0EB98325" w14:textId="77777777" w:rsidR="00ED57EB" w:rsidRPr="00203582" w:rsidRDefault="00ED57EB" w:rsidP="00ED57EB">
      <w:pPr>
        <w:spacing w:line="480" w:lineRule="auto"/>
        <w:jc w:val="center"/>
        <w:rPr>
          <w:rFonts w:ascii="Times New Roman" w:eastAsia="Times New Roman" w:hAnsi="Times New Roman" w:cs="Times New Roman"/>
          <w:b/>
          <w:sz w:val="24"/>
          <w:szCs w:val="24"/>
        </w:rPr>
      </w:pPr>
      <w:r w:rsidRPr="00203582">
        <w:rPr>
          <w:rFonts w:ascii="Times New Roman" w:eastAsia="Times New Roman" w:hAnsi="Times New Roman" w:cs="Times New Roman"/>
          <w:b/>
          <w:sz w:val="24"/>
          <w:szCs w:val="24"/>
        </w:rPr>
        <w:t>References</w:t>
      </w:r>
    </w:p>
    <w:p w14:paraId="7DE8D86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Reiter, M. A., </w:t>
      </w:r>
      <w:proofErr w:type="spellStart"/>
      <w:r w:rsidRPr="005C650F">
        <w:rPr>
          <w:rFonts w:ascii="Times New Roman" w:eastAsia="Times New Roman" w:hAnsi="Times New Roman" w:cs="Times New Roman"/>
          <w:sz w:val="24"/>
          <w:szCs w:val="24"/>
        </w:rPr>
        <w:t>Jahedi</w:t>
      </w:r>
      <w:proofErr w:type="spellEnd"/>
      <w:r w:rsidRPr="005C650F">
        <w:rPr>
          <w:rFonts w:ascii="Times New Roman" w:eastAsia="Times New Roman" w:hAnsi="Times New Roman" w:cs="Times New Roman"/>
          <w:sz w:val="24"/>
          <w:szCs w:val="24"/>
        </w:rPr>
        <w:t xml:space="preserve">, A., Jac Fredo, A. R., Fishman, I., Bailey, B., &amp; Müller, R.-A. (2021). Performance of machine learning classification models of autism using resting-state fMRI is contingent on sample heterogeneity. </w:t>
      </w:r>
      <w:r w:rsidRPr="005C650F">
        <w:rPr>
          <w:rFonts w:ascii="Times New Roman" w:eastAsia="Times New Roman" w:hAnsi="Times New Roman" w:cs="Times New Roman"/>
          <w:i/>
          <w:iCs/>
          <w:sz w:val="24"/>
          <w:szCs w:val="24"/>
        </w:rPr>
        <w:t>Neural Computing &amp; Applications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33</w:t>
      </w:r>
      <w:r w:rsidRPr="005C650F">
        <w:rPr>
          <w:rFonts w:ascii="Times New Roman" w:eastAsia="Times New Roman" w:hAnsi="Times New Roman" w:cs="Times New Roman"/>
          <w:sz w:val="24"/>
          <w:szCs w:val="24"/>
        </w:rPr>
        <w:t>(8), 3299–3310. https://doi.org/10.1007/s00521-020-05193-y</w:t>
      </w:r>
    </w:p>
    <w:p w14:paraId="68C245C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Reiter, M. A., </w:t>
      </w:r>
      <w:proofErr w:type="spellStart"/>
      <w:r w:rsidRPr="005C650F">
        <w:rPr>
          <w:rFonts w:ascii="Times New Roman" w:eastAsia="Times New Roman" w:hAnsi="Times New Roman" w:cs="Times New Roman"/>
          <w:sz w:val="24"/>
          <w:szCs w:val="24"/>
        </w:rPr>
        <w:t>Jahedi</w:t>
      </w:r>
      <w:proofErr w:type="spellEnd"/>
      <w:r w:rsidRPr="005C650F">
        <w:rPr>
          <w:rFonts w:ascii="Times New Roman" w:eastAsia="Times New Roman" w:hAnsi="Times New Roman" w:cs="Times New Roman"/>
          <w:sz w:val="24"/>
          <w:szCs w:val="24"/>
        </w:rPr>
        <w:t xml:space="preserve">, A., Jac Fredo, A. R., Fishman, I., Bailey, B., &amp; Müller, R.-A. (2021). Performance of machine learning classification models of autism using resting-state fMRI is contingent on </w:t>
      </w:r>
      <w:r w:rsidRPr="005C650F">
        <w:rPr>
          <w:rFonts w:ascii="Times New Roman" w:eastAsia="Times New Roman" w:hAnsi="Times New Roman" w:cs="Times New Roman"/>
          <w:sz w:val="24"/>
          <w:szCs w:val="24"/>
        </w:rPr>
        <w:lastRenderedPageBreak/>
        <w:t xml:space="preserve">sample heterogeneity. </w:t>
      </w:r>
      <w:r w:rsidRPr="005C650F">
        <w:rPr>
          <w:rFonts w:ascii="Times New Roman" w:eastAsia="Times New Roman" w:hAnsi="Times New Roman" w:cs="Times New Roman"/>
          <w:i/>
          <w:iCs/>
          <w:sz w:val="24"/>
          <w:szCs w:val="24"/>
        </w:rPr>
        <w:t>Neural Computing &amp; Applications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33</w:t>
      </w:r>
      <w:r w:rsidRPr="005C650F">
        <w:rPr>
          <w:rFonts w:ascii="Times New Roman" w:eastAsia="Times New Roman" w:hAnsi="Times New Roman" w:cs="Times New Roman"/>
          <w:sz w:val="24"/>
          <w:szCs w:val="24"/>
        </w:rPr>
        <w:t>(8), 3299–3310. https://doi.org/10.1007/s00521-020-05193-y</w:t>
      </w:r>
    </w:p>
    <w:p w14:paraId="7FFBA7D9"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t xml:space="preserve">Reiter, M. A., </w:t>
      </w:r>
      <w:proofErr w:type="spellStart"/>
      <w:r w:rsidRPr="005C650F">
        <w:rPr>
          <w:rFonts w:ascii="Times New Roman" w:eastAsia="Times New Roman" w:hAnsi="Times New Roman" w:cs="Times New Roman"/>
          <w:sz w:val="24"/>
          <w:szCs w:val="24"/>
        </w:rPr>
        <w:t>Jahedi</w:t>
      </w:r>
      <w:proofErr w:type="spellEnd"/>
      <w:r w:rsidRPr="005C650F">
        <w:rPr>
          <w:rFonts w:ascii="Times New Roman" w:eastAsia="Times New Roman" w:hAnsi="Times New Roman" w:cs="Times New Roman"/>
          <w:sz w:val="24"/>
          <w:szCs w:val="24"/>
        </w:rPr>
        <w:t xml:space="preserve">, A., Jac Fredo, A. R., Fishman, I., Bailey, B., &amp; Müller, R.-A. (2021). Performance of machine learning classification models of autism using resting-state fMRI is contingent on sample heterogeneity. </w:t>
      </w:r>
      <w:r w:rsidRPr="005C650F">
        <w:rPr>
          <w:rFonts w:ascii="Times New Roman" w:eastAsia="Times New Roman" w:hAnsi="Times New Roman" w:cs="Times New Roman"/>
          <w:i/>
          <w:iCs/>
          <w:sz w:val="24"/>
          <w:szCs w:val="24"/>
          <w:lang w:val="fr-FR"/>
        </w:rPr>
        <w:t xml:space="preserve">Neural </w:t>
      </w:r>
      <w:proofErr w:type="spellStart"/>
      <w:r w:rsidRPr="005C650F">
        <w:rPr>
          <w:rFonts w:ascii="Times New Roman" w:eastAsia="Times New Roman" w:hAnsi="Times New Roman" w:cs="Times New Roman"/>
          <w:i/>
          <w:iCs/>
          <w:sz w:val="24"/>
          <w:szCs w:val="24"/>
          <w:lang w:val="fr-FR"/>
        </w:rPr>
        <w:t>Computing</w:t>
      </w:r>
      <w:proofErr w:type="spellEnd"/>
      <w:r w:rsidRPr="005C650F">
        <w:rPr>
          <w:rFonts w:ascii="Times New Roman" w:eastAsia="Times New Roman" w:hAnsi="Times New Roman" w:cs="Times New Roman"/>
          <w:i/>
          <w:iCs/>
          <w:sz w:val="24"/>
          <w:szCs w:val="24"/>
          <w:lang w:val="fr-FR"/>
        </w:rPr>
        <w:t xml:space="preserve"> &amp; Applications</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33</w:t>
      </w:r>
      <w:r w:rsidRPr="005C650F">
        <w:rPr>
          <w:rFonts w:ascii="Times New Roman" w:eastAsia="Times New Roman" w:hAnsi="Times New Roman" w:cs="Times New Roman"/>
          <w:sz w:val="24"/>
          <w:szCs w:val="24"/>
          <w:lang w:val="fr-FR"/>
        </w:rPr>
        <w:t>(8), 3299–3310. https://doi.org/10.1007/s00521-020-05193-y</w:t>
      </w:r>
    </w:p>
    <w:p w14:paraId="746337C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Reiter, M. A., </w:t>
      </w:r>
      <w:proofErr w:type="spellStart"/>
      <w:r w:rsidRPr="005C650F">
        <w:rPr>
          <w:rFonts w:ascii="Times New Roman" w:eastAsia="Times New Roman" w:hAnsi="Times New Roman" w:cs="Times New Roman"/>
          <w:sz w:val="24"/>
          <w:szCs w:val="24"/>
        </w:rPr>
        <w:t>Jahedi</w:t>
      </w:r>
      <w:proofErr w:type="spellEnd"/>
      <w:r w:rsidRPr="005C650F">
        <w:rPr>
          <w:rFonts w:ascii="Times New Roman" w:eastAsia="Times New Roman" w:hAnsi="Times New Roman" w:cs="Times New Roman"/>
          <w:sz w:val="24"/>
          <w:szCs w:val="24"/>
        </w:rPr>
        <w:t xml:space="preserve">, A., Jac Fredo, A. R., Fishman, I., Bailey, B., &amp; Müller, R.-A. (2021). Performance of machine learning classification models of autism using resting-state fMRI is contingent on sample heterogeneity. </w:t>
      </w:r>
      <w:r w:rsidRPr="005C650F">
        <w:rPr>
          <w:rFonts w:ascii="Times New Roman" w:eastAsia="Times New Roman" w:hAnsi="Times New Roman" w:cs="Times New Roman"/>
          <w:i/>
          <w:iCs/>
          <w:sz w:val="24"/>
          <w:szCs w:val="24"/>
        </w:rPr>
        <w:t>Neural Computing &amp; Applications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33</w:t>
      </w:r>
      <w:r w:rsidRPr="005C650F">
        <w:rPr>
          <w:rFonts w:ascii="Times New Roman" w:eastAsia="Times New Roman" w:hAnsi="Times New Roman" w:cs="Times New Roman"/>
          <w:sz w:val="24"/>
          <w:szCs w:val="24"/>
        </w:rPr>
        <w:t>(8), 3299–3310. https://doi.org/10.1007/s00521-020-05193-y</w:t>
      </w:r>
    </w:p>
    <w:p w14:paraId="1D5EADC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Richman, J. S., &amp; Moorman, J. R. (2000). Physiological time-series analysis using approximate entropy and sample entropy. </w:t>
      </w:r>
      <w:r w:rsidRPr="00203582">
        <w:rPr>
          <w:rFonts w:ascii="Times New Roman" w:eastAsia="Times New Roman" w:hAnsi="Times New Roman" w:cs="Times New Roman"/>
          <w:i/>
          <w:sz w:val="24"/>
          <w:szCs w:val="24"/>
        </w:rPr>
        <w:t>American Journal of Physiology. Heart and Circulatory 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278</w:t>
      </w:r>
      <w:r w:rsidRPr="00203582">
        <w:rPr>
          <w:rFonts w:ascii="Times New Roman" w:eastAsia="Times New Roman" w:hAnsi="Times New Roman" w:cs="Times New Roman"/>
          <w:sz w:val="24"/>
          <w:szCs w:val="24"/>
        </w:rPr>
        <w:t>(6), H2039-49. https://doi.org/10.1152/ajpheart.2000.278.6.H2039</w:t>
      </w:r>
    </w:p>
    <w:p w14:paraId="543D437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Richman, J. S., &amp; Moorman, J. R. (2000). Physiological time-series analysis using approximate entropy and sample entropy. </w:t>
      </w:r>
      <w:r w:rsidRPr="005C650F">
        <w:rPr>
          <w:rFonts w:ascii="Times New Roman" w:eastAsia="Times New Roman" w:hAnsi="Times New Roman" w:cs="Times New Roman"/>
          <w:i/>
          <w:iCs/>
          <w:sz w:val="24"/>
          <w:szCs w:val="24"/>
        </w:rPr>
        <w:t>American Journal of Physiology. Heart and Circulatory 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278</w:t>
      </w:r>
      <w:r w:rsidRPr="005C650F">
        <w:rPr>
          <w:rFonts w:ascii="Times New Roman" w:eastAsia="Times New Roman" w:hAnsi="Times New Roman" w:cs="Times New Roman"/>
          <w:sz w:val="24"/>
          <w:szCs w:val="24"/>
        </w:rPr>
        <w:t>(6), H2039-49. https://doi.org/10.1152/ajpheart.2000.278.6.H2039</w:t>
      </w:r>
    </w:p>
    <w:p w14:paraId="4D532C5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Risi</w:t>
      </w:r>
      <w:proofErr w:type="spellEnd"/>
      <w:r w:rsidRPr="00203582">
        <w:rPr>
          <w:rFonts w:ascii="Times New Roman" w:eastAsia="Times New Roman" w:hAnsi="Times New Roman" w:cs="Times New Roman"/>
          <w:sz w:val="24"/>
          <w:szCs w:val="24"/>
        </w:rPr>
        <w:t xml:space="preserve">, S., Lord, C., Gotham, K., Corsello, C., Chrysler, C., Szatmari, P., Cook, E. H., Leventhal, B. L., &amp; Pickles, A. (2006). Combining information from multiple sources in the diagnosis of autism spectrum disorders. </w:t>
      </w:r>
      <w:r w:rsidRPr="00203582">
        <w:rPr>
          <w:rFonts w:ascii="Times New Roman" w:eastAsia="Times New Roman" w:hAnsi="Times New Roman" w:cs="Times New Roman"/>
          <w:i/>
          <w:sz w:val="24"/>
          <w:szCs w:val="24"/>
        </w:rPr>
        <w:t>Journal of the American Academy of Child and Adolescent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45</w:t>
      </w:r>
      <w:r w:rsidRPr="00203582">
        <w:rPr>
          <w:rFonts w:ascii="Times New Roman" w:eastAsia="Times New Roman" w:hAnsi="Times New Roman" w:cs="Times New Roman"/>
          <w:sz w:val="24"/>
          <w:szCs w:val="24"/>
        </w:rPr>
        <w:t>(9), 1094–1103. https://doi.org/10.1097/01.chi.0000227880.42780.0e</w:t>
      </w:r>
    </w:p>
    <w:p w14:paraId="0AD7D65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Rorden</w:t>
      </w:r>
      <w:proofErr w:type="spellEnd"/>
      <w:r w:rsidRPr="005C650F">
        <w:rPr>
          <w:rFonts w:ascii="Times New Roman" w:eastAsia="Times New Roman" w:hAnsi="Times New Roman" w:cs="Times New Roman"/>
          <w:sz w:val="24"/>
          <w:szCs w:val="24"/>
        </w:rPr>
        <w:t xml:space="preserve">, C., &amp; Brett, M. (2000). Stereotaxic display of brain lesions. </w:t>
      </w:r>
      <w:r w:rsidRPr="005C650F">
        <w:rPr>
          <w:rFonts w:ascii="Times New Roman" w:eastAsia="Times New Roman" w:hAnsi="Times New Roman" w:cs="Times New Roman"/>
          <w:i/>
          <w:iCs/>
          <w:sz w:val="24"/>
          <w:szCs w:val="24"/>
        </w:rPr>
        <w:t>Behavioural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(4), 191–200. https://doi.org/10.1155/2000/421719</w:t>
      </w:r>
    </w:p>
    <w:p w14:paraId="1546F3A5"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it-IT"/>
        </w:rPr>
      </w:pPr>
      <w:r w:rsidRPr="00203582">
        <w:rPr>
          <w:rFonts w:ascii="Times New Roman" w:eastAsia="Times New Roman" w:hAnsi="Times New Roman" w:cs="Times New Roman"/>
          <w:sz w:val="24"/>
          <w:szCs w:val="24"/>
          <w:lang w:val="de-DE"/>
        </w:rPr>
        <w:t xml:space="preserve">Röschke, J., &amp; Aldenhoff, J. B. (1992). </w:t>
      </w:r>
      <w:r w:rsidRPr="00203582">
        <w:rPr>
          <w:rFonts w:ascii="Times New Roman" w:eastAsia="Times New Roman" w:hAnsi="Times New Roman" w:cs="Times New Roman"/>
          <w:sz w:val="24"/>
          <w:szCs w:val="24"/>
        </w:rPr>
        <w:t xml:space="preserve">A nonlinear approach to brain function: deterministic chaos and sleep EEG. </w:t>
      </w:r>
      <w:r w:rsidRPr="00203582">
        <w:rPr>
          <w:rFonts w:ascii="Times New Roman" w:eastAsia="Times New Roman" w:hAnsi="Times New Roman" w:cs="Times New Roman"/>
          <w:i/>
          <w:sz w:val="24"/>
          <w:szCs w:val="24"/>
          <w:lang w:val="it-IT"/>
        </w:rPr>
        <w:t>Sleep</w:t>
      </w:r>
      <w:r w:rsidRPr="00203582">
        <w:rPr>
          <w:rFonts w:ascii="Times New Roman" w:eastAsia="Times New Roman" w:hAnsi="Times New Roman" w:cs="Times New Roman"/>
          <w:sz w:val="24"/>
          <w:szCs w:val="24"/>
          <w:lang w:val="it-IT"/>
        </w:rPr>
        <w:t xml:space="preserve">, </w:t>
      </w:r>
      <w:r w:rsidRPr="00203582">
        <w:rPr>
          <w:rFonts w:ascii="Times New Roman" w:eastAsia="Times New Roman" w:hAnsi="Times New Roman" w:cs="Times New Roman"/>
          <w:i/>
          <w:sz w:val="24"/>
          <w:szCs w:val="24"/>
          <w:lang w:val="it-IT"/>
        </w:rPr>
        <w:t>15</w:t>
      </w:r>
      <w:r w:rsidRPr="00203582">
        <w:rPr>
          <w:rFonts w:ascii="Times New Roman" w:eastAsia="Times New Roman" w:hAnsi="Times New Roman" w:cs="Times New Roman"/>
          <w:sz w:val="24"/>
          <w:szCs w:val="24"/>
          <w:lang w:val="it-IT"/>
        </w:rPr>
        <w:t>(2), 95–101. https://doi.org/10.1093/sleep/15.2.95</w:t>
      </w:r>
    </w:p>
    <w:p w14:paraId="5DFDB63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fr-FR"/>
        </w:rPr>
        <w:lastRenderedPageBreak/>
        <w:t xml:space="preserve">Rosenberg, B. M., </w:t>
      </w:r>
      <w:proofErr w:type="spellStart"/>
      <w:r w:rsidRPr="005C650F">
        <w:rPr>
          <w:rFonts w:ascii="Times New Roman" w:eastAsia="Times New Roman" w:hAnsi="Times New Roman" w:cs="Times New Roman"/>
          <w:sz w:val="24"/>
          <w:szCs w:val="24"/>
          <w:lang w:val="fr-FR"/>
        </w:rPr>
        <w:t>Mennigen</w:t>
      </w:r>
      <w:proofErr w:type="spellEnd"/>
      <w:r w:rsidRPr="005C650F">
        <w:rPr>
          <w:rFonts w:ascii="Times New Roman" w:eastAsia="Times New Roman" w:hAnsi="Times New Roman" w:cs="Times New Roman"/>
          <w:sz w:val="24"/>
          <w:szCs w:val="24"/>
          <w:lang w:val="fr-FR"/>
        </w:rPr>
        <w:t xml:space="preserve">, E., Monti, M. M., &amp; Kaiser, R. H. (2020). </w:t>
      </w:r>
      <w:r w:rsidRPr="005C650F">
        <w:rPr>
          <w:rFonts w:ascii="Times New Roman" w:eastAsia="Times New Roman" w:hAnsi="Times New Roman" w:cs="Times New Roman"/>
          <w:sz w:val="24"/>
          <w:szCs w:val="24"/>
        </w:rPr>
        <w:t xml:space="preserve">Functional Segregation of Human Brain Networks Across the Lifespan: An Exploratory Analysis of Static and Dynamic Resting-State Functional Connectivity. </w:t>
      </w:r>
      <w:r w:rsidRPr="005C650F">
        <w:rPr>
          <w:rFonts w:ascii="Times New Roman" w:eastAsia="Times New Roman" w:hAnsi="Times New Roman" w:cs="Times New Roman"/>
          <w:i/>
          <w:iCs/>
          <w:sz w:val="24"/>
          <w:szCs w:val="24"/>
        </w:rPr>
        <w:t>Frontiers in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w:t>
      </w:r>
      <w:r w:rsidRPr="005C650F">
        <w:rPr>
          <w:rFonts w:ascii="Times New Roman" w:eastAsia="Times New Roman" w:hAnsi="Times New Roman" w:cs="Times New Roman"/>
          <w:sz w:val="24"/>
          <w:szCs w:val="24"/>
        </w:rPr>
        <w:t>, 561594. https://doi.org/10.3389/fnins.2020.561594</w:t>
      </w:r>
    </w:p>
    <w:p w14:paraId="69443B7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it-IT"/>
        </w:rPr>
        <w:t xml:space="preserve">Rossini, P. M., Rossi, S., Babiloni, C., &amp; Polich, J. (2007). </w:t>
      </w:r>
      <w:r w:rsidRPr="00203582">
        <w:rPr>
          <w:rFonts w:ascii="Times New Roman" w:eastAsia="Times New Roman" w:hAnsi="Times New Roman" w:cs="Times New Roman"/>
          <w:sz w:val="24"/>
          <w:szCs w:val="24"/>
        </w:rPr>
        <w:t xml:space="preserve">Clinical neurophysiology of aging brain: from normal aging to neurodegeneration. </w:t>
      </w:r>
      <w:r w:rsidRPr="00203582">
        <w:rPr>
          <w:rFonts w:ascii="Times New Roman" w:eastAsia="Times New Roman" w:hAnsi="Times New Roman" w:cs="Times New Roman"/>
          <w:i/>
          <w:sz w:val="24"/>
          <w:szCs w:val="24"/>
        </w:rPr>
        <w:t>Progress in Neurobiology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83</w:t>
      </w:r>
      <w:r w:rsidRPr="00203582">
        <w:rPr>
          <w:rFonts w:ascii="Times New Roman" w:eastAsia="Times New Roman" w:hAnsi="Times New Roman" w:cs="Times New Roman"/>
          <w:sz w:val="24"/>
          <w:szCs w:val="24"/>
        </w:rPr>
        <w:t>(6), 375–400. https://doi.org/10.1016/j.pneurobio.2007.07.010</w:t>
      </w:r>
    </w:p>
    <w:p w14:paraId="79A9214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Rosso, O. A., Martin, M. T., &amp; Plastino, A. (2002). Brain electrical activity analysis using wavelet-based informational tools. </w:t>
      </w:r>
      <w:proofErr w:type="spellStart"/>
      <w:r w:rsidRPr="00203582">
        <w:rPr>
          <w:rFonts w:ascii="Times New Roman" w:eastAsia="Times New Roman" w:hAnsi="Times New Roman" w:cs="Times New Roman"/>
          <w:i/>
          <w:sz w:val="24"/>
          <w:szCs w:val="24"/>
        </w:rPr>
        <w:t>Physica</w:t>
      </w:r>
      <w:proofErr w:type="spellEnd"/>
      <w:r w:rsidRPr="00203582">
        <w:rPr>
          <w:rFonts w:ascii="Times New Roman" w:eastAsia="Times New Roman" w:hAnsi="Times New Roman" w:cs="Times New Roman"/>
          <w:i/>
          <w:sz w:val="24"/>
          <w:szCs w:val="24"/>
        </w:rPr>
        <w:t xml:space="preserve"> A: Statistical Mechanics and Its Applications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313</w:t>
      </w:r>
      <w:r w:rsidRPr="00203582">
        <w:rPr>
          <w:rFonts w:ascii="Times New Roman" w:eastAsia="Times New Roman" w:hAnsi="Times New Roman" w:cs="Times New Roman"/>
          <w:sz w:val="24"/>
          <w:szCs w:val="24"/>
        </w:rPr>
        <w:t>(3–4), 587–608. https://doi.org/10.1016/S0378-4371(02)00958-5</w:t>
      </w:r>
    </w:p>
    <w:p w14:paraId="686DDE8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Rubenstein, J. L. R., &amp; </w:t>
      </w:r>
      <w:proofErr w:type="spellStart"/>
      <w:r w:rsidRPr="005C650F">
        <w:rPr>
          <w:rFonts w:ascii="Times New Roman" w:eastAsia="Times New Roman" w:hAnsi="Times New Roman" w:cs="Times New Roman"/>
          <w:sz w:val="24"/>
          <w:szCs w:val="24"/>
        </w:rPr>
        <w:t>Merzenich</w:t>
      </w:r>
      <w:proofErr w:type="spellEnd"/>
      <w:r w:rsidRPr="005C650F">
        <w:rPr>
          <w:rFonts w:ascii="Times New Roman" w:eastAsia="Times New Roman" w:hAnsi="Times New Roman" w:cs="Times New Roman"/>
          <w:sz w:val="24"/>
          <w:szCs w:val="24"/>
        </w:rPr>
        <w:t xml:space="preserve">, M. M. (2003). Model of autism: increased ratio of excitation/inhibition in key neural systems. </w:t>
      </w:r>
      <w:r w:rsidRPr="005C650F">
        <w:rPr>
          <w:rFonts w:ascii="Times New Roman" w:eastAsia="Times New Roman" w:hAnsi="Times New Roman" w:cs="Times New Roman"/>
          <w:i/>
          <w:iCs/>
          <w:sz w:val="24"/>
          <w:szCs w:val="24"/>
        </w:rPr>
        <w:t xml:space="preserve">Genes, Brain, and </w:t>
      </w:r>
      <w:proofErr w:type="spellStart"/>
      <w:r w:rsidRPr="005C650F">
        <w:rPr>
          <w:rFonts w:ascii="Times New Roman" w:eastAsia="Times New Roman" w:hAnsi="Times New Roman" w:cs="Times New Roman"/>
          <w:i/>
          <w:iCs/>
          <w:sz w:val="24"/>
          <w:szCs w:val="24"/>
        </w:rPr>
        <w:t>Behavior</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w:t>
      </w:r>
      <w:r w:rsidRPr="005C650F">
        <w:rPr>
          <w:rFonts w:ascii="Times New Roman" w:eastAsia="Times New Roman" w:hAnsi="Times New Roman" w:cs="Times New Roman"/>
          <w:sz w:val="24"/>
          <w:szCs w:val="24"/>
        </w:rPr>
        <w:t>(5), 255–267. https://doi.org/10.1034/j.1601-183X.2003.00037.x</w:t>
      </w:r>
    </w:p>
    <w:p w14:paraId="59FFD7E8"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sv-SE"/>
        </w:rPr>
        <w:t xml:space="preserve">Ruggeri, B., Sarkans, U., Schumann, G., &amp; Persico, A. M. (2014). </w:t>
      </w:r>
      <w:r w:rsidRPr="00203582">
        <w:rPr>
          <w:rFonts w:ascii="Times New Roman" w:eastAsia="Times New Roman" w:hAnsi="Times New Roman" w:cs="Times New Roman"/>
          <w:sz w:val="24"/>
          <w:szCs w:val="24"/>
        </w:rPr>
        <w:t xml:space="preserve">Biomarkers in autism spectrum disorder: the old and the new. </w:t>
      </w:r>
      <w:r w:rsidRPr="00203582">
        <w:rPr>
          <w:rFonts w:ascii="Times New Roman" w:eastAsia="Times New Roman" w:hAnsi="Times New Roman" w:cs="Times New Roman"/>
          <w:i/>
          <w:sz w:val="24"/>
          <w:szCs w:val="24"/>
        </w:rPr>
        <w:t>Psychopharmacology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231</w:t>
      </w:r>
      <w:r w:rsidRPr="00203582">
        <w:rPr>
          <w:rFonts w:ascii="Times New Roman" w:eastAsia="Times New Roman" w:hAnsi="Times New Roman" w:cs="Times New Roman"/>
          <w:sz w:val="24"/>
          <w:szCs w:val="24"/>
        </w:rPr>
        <w:t>(6), 1201–1216. https://doi.org/10.1007/s00213-013-3290-7</w:t>
      </w:r>
    </w:p>
    <w:p w14:paraId="470AD5D1"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pl-PL"/>
        </w:rPr>
      </w:pPr>
      <w:r w:rsidRPr="005C650F">
        <w:rPr>
          <w:rFonts w:ascii="Times New Roman" w:eastAsia="Times New Roman" w:hAnsi="Times New Roman" w:cs="Times New Roman"/>
          <w:sz w:val="24"/>
          <w:szCs w:val="24"/>
        </w:rPr>
        <w:t xml:space="preserve">Ruggeri, B., </w:t>
      </w:r>
      <w:proofErr w:type="spellStart"/>
      <w:r w:rsidRPr="005C650F">
        <w:rPr>
          <w:rFonts w:ascii="Times New Roman" w:eastAsia="Times New Roman" w:hAnsi="Times New Roman" w:cs="Times New Roman"/>
          <w:sz w:val="24"/>
          <w:szCs w:val="24"/>
        </w:rPr>
        <w:t>Sarkans</w:t>
      </w:r>
      <w:proofErr w:type="spellEnd"/>
      <w:r w:rsidRPr="005C650F">
        <w:rPr>
          <w:rFonts w:ascii="Times New Roman" w:eastAsia="Times New Roman" w:hAnsi="Times New Roman" w:cs="Times New Roman"/>
          <w:sz w:val="24"/>
          <w:szCs w:val="24"/>
        </w:rPr>
        <w:t xml:space="preserve">, U., Schumann, G., &amp; Persico, A. M. (2014). Biomarkers in autism spectrum disorder: the old and the new. </w:t>
      </w:r>
      <w:r w:rsidRPr="005C650F">
        <w:rPr>
          <w:rFonts w:ascii="Times New Roman" w:eastAsia="Times New Roman" w:hAnsi="Times New Roman" w:cs="Times New Roman"/>
          <w:i/>
          <w:iCs/>
          <w:sz w:val="24"/>
          <w:szCs w:val="24"/>
          <w:lang w:val="pl-PL"/>
        </w:rPr>
        <w:t>Psychopharmacology</w:t>
      </w:r>
      <w:r w:rsidRPr="005C650F">
        <w:rPr>
          <w:rFonts w:ascii="Times New Roman" w:eastAsia="Times New Roman" w:hAnsi="Times New Roman" w:cs="Times New Roman"/>
          <w:sz w:val="24"/>
          <w:szCs w:val="24"/>
          <w:lang w:val="pl-PL"/>
        </w:rPr>
        <w:t xml:space="preserve">, </w:t>
      </w:r>
      <w:r w:rsidRPr="005C650F">
        <w:rPr>
          <w:rFonts w:ascii="Times New Roman" w:eastAsia="Times New Roman" w:hAnsi="Times New Roman" w:cs="Times New Roman"/>
          <w:i/>
          <w:iCs/>
          <w:sz w:val="24"/>
          <w:szCs w:val="24"/>
          <w:lang w:val="pl-PL"/>
        </w:rPr>
        <w:t>231</w:t>
      </w:r>
      <w:r w:rsidRPr="005C650F">
        <w:rPr>
          <w:rFonts w:ascii="Times New Roman" w:eastAsia="Times New Roman" w:hAnsi="Times New Roman" w:cs="Times New Roman"/>
          <w:sz w:val="24"/>
          <w:szCs w:val="24"/>
          <w:lang w:val="pl-PL"/>
        </w:rPr>
        <w:t>(6), 1201–1216. https://doi.org/10.1007/s00213-013-3290-7</w:t>
      </w:r>
    </w:p>
    <w:p w14:paraId="05B99A6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Ruggeri, B., </w:t>
      </w:r>
      <w:proofErr w:type="spellStart"/>
      <w:r w:rsidRPr="005C650F">
        <w:rPr>
          <w:rFonts w:ascii="Times New Roman" w:eastAsia="Times New Roman" w:hAnsi="Times New Roman" w:cs="Times New Roman"/>
          <w:sz w:val="24"/>
          <w:szCs w:val="24"/>
        </w:rPr>
        <w:t>Sarkans</w:t>
      </w:r>
      <w:proofErr w:type="spellEnd"/>
      <w:r w:rsidRPr="005C650F">
        <w:rPr>
          <w:rFonts w:ascii="Times New Roman" w:eastAsia="Times New Roman" w:hAnsi="Times New Roman" w:cs="Times New Roman"/>
          <w:sz w:val="24"/>
          <w:szCs w:val="24"/>
        </w:rPr>
        <w:t xml:space="preserve">, U., Schumann, G., &amp; Persico, A. M. (2014). Biomarkers in autism spectrum disorder: the old and the new. </w:t>
      </w:r>
      <w:r w:rsidRPr="005C650F">
        <w:rPr>
          <w:rFonts w:ascii="Times New Roman" w:eastAsia="Times New Roman" w:hAnsi="Times New Roman" w:cs="Times New Roman"/>
          <w:i/>
          <w:iCs/>
          <w:sz w:val="24"/>
          <w:szCs w:val="24"/>
        </w:rPr>
        <w:t>Psychopharmacology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231</w:t>
      </w:r>
      <w:r w:rsidRPr="005C650F">
        <w:rPr>
          <w:rFonts w:ascii="Times New Roman" w:eastAsia="Times New Roman" w:hAnsi="Times New Roman" w:cs="Times New Roman"/>
          <w:sz w:val="24"/>
          <w:szCs w:val="24"/>
        </w:rPr>
        <w:t>(6), 1201–1216. https://doi.org/10.1007/s00213-013-3290-7</w:t>
      </w:r>
    </w:p>
    <w:p w14:paraId="3C653557"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sv-SE"/>
        </w:rPr>
      </w:pPr>
      <w:r w:rsidRPr="00203582">
        <w:rPr>
          <w:rFonts w:ascii="Times New Roman" w:eastAsia="Times New Roman" w:hAnsi="Times New Roman" w:cs="Times New Roman"/>
          <w:sz w:val="24"/>
          <w:szCs w:val="24"/>
        </w:rPr>
        <w:t xml:space="preserve">Rydzewska, E., Hughes-McCormack, L. A., </w:t>
      </w:r>
      <w:proofErr w:type="spellStart"/>
      <w:r w:rsidRPr="00203582">
        <w:rPr>
          <w:rFonts w:ascii="Times New Roman" w:eastAsia="Times New Roman" w:hAnsi="Times New Roman" w:cs="Times New Roman"/>
          <w:sz w:val="24"/>
          <w:szCs w:val="24"/>
        </w:rPr>
        <w:t>Gillberg</w:t>
      </w:r>
      <w:proofErr w:type="spellEnd"/>
      <w:r w:rsidRPr="00203582">
        <w:rPr>
          <w:rFonts w:ascii="Times New Roman" w:eastAsia="Times New Roman" w:hAnsi="Times New Roman" w:cs="Times New Roman"/>
          <w:sz w:val="24"/>
          <w:szCs w:val="24"/>
        </w:rPr>
        <w:t xml:space="preserve">, C., Henderson, A., </w:t>
      </w:r>
      <w:proofErr w:type="spellStart"/>
      <w:r w:rsidRPr="00203582">
        <w:rPr>
          <w:rFonts w:ascii="Times New Roman" w:eastAsia="Times New Roman" w:hAnsi="Times New Roman" w:cs="Times New Roman"/>
          <w:sz w:val="24"/>
          <w:szCs w:val="24"/>
        </w:rPr>
        <w:t>MacIntyre</w:t>
      </w:r>
      <w:proofErr w:type="spellEnd"/>
      <w:r w:rsidRPr="00203582">
        <w:rPr>
          <w:rFonts w:ascii="Times New Roman" w:eastAsia="Times New Roman" w:hAnsi="Times New Roman" w:cs="Times New Roman"/>
          <w:sz w:val="24"/>
          <w:szCs w:val="24"/>
        </w:rPr>
        <w:t xml:space="preserve">, C., Rintoul, J., &amp; Cooper, S.-A. (2018). Prevalence of long-term health conditions in adults with autism: </w:t>
      </w:r>
      <w:r w:rsidRPr="00203582">
        <w:rPr>
          <w:rFonts w:ascii="Times New Roman" w:eastAsia="Times New Roman" w:hAnsi="Times New Roman" w:cs="Times New Roman"/>
          <w:sz w:val="24"/>
          <w:szCs w:val="24"/>
        </w:rPr>
        <w:lastRenderedPageBreak/>
        <w:t xml:space="preserve">observational study of a whole country population. </w:t>
      </w:r>
      <w:r w:rsidRPr="00203582">
        <w:rPr>
          <w:rFonts w:ascii="Times New Roman" w:eastAsia="Times New Roman" w:hAnsi="Times New Roman" w:cs="Times New Roman"/>
          <w:i/>
          <w:sz w:val="24"/>
          <w:szCs w:val="24"/>
          <w:lang w:val="sv-SE"/>
        </w:rPr>
        <w:t>BMJ Open</w:t>
      </w:r>
      <w:r w:rsidRPr="00203582">
        <w:rPr>
          <w:rFonts w:ascii="Times New Roman" w:eastAsia="Times New Roman" w:hAnsi="Times New Roman" w:cs="Times New Roman"/>
          <w:sz w:val="24"/>
          <w:szCs w:val="24"/>
          <w:lang w:val="sv-SE"/>
        </w:rPr>
        <w:t xml:space="preserve">, </w:t>
      </w:r>
      <w:r w:rsidRPr="00203582">
        <w:rPr>
          <w:rFonts w:ascii="Times New Roman" w:eastAsia="Times New Roman" w:hAnsi="Times New Roman" w:cs="Times New Roman"/>
          <w:i/>
          <w:sz w:val="24"/>
          <w:szCs w:val="24"/>
          <w:lang w:val="sv-SE"/>
        </w:rPr>
        <w:t>8</w:t>
      </w:r>
      <w:r w:rsidRPr="00203582">
        <w:rPr>
          <w:rFonts w:ascii="Times New Roman" w:eastAsia="Times New Roman" w:hAnsi="Times New Roman" w:cs="Times New Roman"/>
          <w:sz w:val="24"/>
          <w:szCs w:val="24"/>
          <w:lang w:val="sv-SE"/>
        </w:rPr>
        <w:t>(8), e023945. https://doi.org/10.1136/bmjopen-2018-023945</w:t>
      </w:r>
    </w:p>
    <w:p w14:paraId="11BC0ED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Saghafi, A., </w:t>
      </w:r>
      <w:proofErr w:type="spellStart"/>
      <w:r w:rsidRPr="005C650F">
        <w:rPr>
          <w:rFonts w:ascii="Times New Roman" w:eastAsia="Times New Roman" w:hAnsi="Times New Roman" w:cs="Times New Roman"/>
          <w:sz w:val="24"/>
          <w:szCs w:val="24"/>
        </w:rPr>
        <w:t>Tsokos</w:t>
      </w:r>
      <w:proofErr w:type="spellEnd"/>
      <w:r w:rsidRPr="005C650F">
        <w:rPr>
          <w:rFonts w:ascii="Times New Roman" w:eastAsia="Times New Roman" w:hAnsi="Times New Roman" w:cs="Times New Roman"/>
          <w:sz w:val="24"/>
          <w:szCs w:val="24"/>
        </w:rPr>
        <w:t xml:space="preserve">, C. P., Goudarzi, M., &amp; </w:t>
      </w:r>
      <w:proofErr w:type="spellStart"/>
      <w:r w:rsidRPr="005C650F">
        <w:rPr>
          <w:rFonts w:ascii="Times New Roman" w:eastAsia="Times New Roman" w:hAnsi="Times New Roman" w:cs="Times New Roman"/>
          <w:sz w:val="24"/>
          <w:szCs w:val="24"/>
        </w:rPr>
        <w:t>Farhidzadeh</w:t>
      </w:r>
      <w:proofErr w:type="spellEnd"/>
      <w:r w:rsidRPr="005C650F">
        <w:rPr>
          <w:rFonts w:ascii="Times New Roman" w:eastAsia="Times New Roman" w:hAnsi="Times New Roman" w:cs="Times New Roman"/>
          <w:sz w:val="24"/>
          <w:szCs w:val="24"/>
        </w:rPr>
        <w:t xml:space="preserve">, H. (2017). Random eye state change detection in real-time using EEG signals. </w:t>
      </w:r>
      <w:r w:rsidRPr="005C650F">
        <w:rPr>
          <w:rFonts w:ascii="Times New Roman" w:eastAsia="Times New Roman" w:hAnsi="Times New Roman" w:cs="Times New Roman"/>
          <w:i/>
          <w:iCs/>
          <w:sz w:val="24"/>
          <w:szCs w:val="24"/>
        </w:rPr>
        <w:t>Expert Systems with Applications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72</w:t>
      </w:r>
      <w:r w:rsidRPr="005C650F">
        <w:rPr>
          <w:rFonts w:ascii="Times New Roman" w:eastAsia="Times New Roman" w:hAnsi="Times New Roman" w:cs="Times New Roman"/>
          <w:sz w:val="24"/>
          <w:szCs w:val="24"/>
        </w:rPr>
        <w:t>, 42–48. https://doi.org/10.1016/j.eswa.2016.12.010</w:t>
      </w:r>
    </w:p>
    <w:p w14:paraId="76932054"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r w:rsidRPr="00203582">
        <w:rPr>
          <w:rFonts w:ascii="Times New Roman" w:eastAsia="Times New Roman" w:hAnsi="Times New Roman" w:cs="Times New Roman"/>
          <w:sz w:val="24"/>
          <w:szCs w:val="24"/>
          <w:lang w:val="sv-SE"/>
        </w:rPr>
        <w:t xml:space="preserve">Sato, J. R., Takahashi, D. Y., Hoexter, M. Q., Massirer, K. B., &amp; Fujita, A. (2013). </w:t>
      </w:r>
      <w:r w:rsidRPr="00203582">
        <w:rPr>
          <w:rFonts w:ascii="Times New Roman" w:eastAsia="Times New Roman" w:hAnsi="Times New Roman" w:cs="Times New Roman"/>
          <w:sz w:val="24"/>
          <w:szCs w:val="24"/>
        </w:rPr>
        <w:t xml:space="preserve">Measuring network’s entropy in ADHD: a new approach to investigate neuropsychiatric disorders. </w:t>
      </w:r>
      <w:proofErr w:type="spellStart"/>
      <w:r w:rsidRPr="00203582">
        <w:rPr>
          <w:rFonts w:ascii="Times New Roman" w:eastAsia="Times New Roman" w:hAnsi="Times New Roman" w:cs="Times New Roman"/>
          <w:i/>
          <w:sz w:val="24"/>
          <w:szCs w:val="24"/>
          <w:lang w:val="fr-FR"/>
        </w:rPr>
        <w:t>Neuroimage</w:t>
      </w:r>
      <w:proofErr w:type="spellEnd"/>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77</w:t>
      </w:r>
      <w:r w:rsidRPr="00203582">
        <w:rPr>
          <w:rFonts w:ascii="Times New Roman" w:eastAsia="Times New Roman" w:hAnsi="Times New Roman" w:cs="Times New Roman"/>
          <w:sz w:val="24"/>
          <w:szCs w:val="24"/>
          <w:lang w:val="fr-FR"/>
        </w:rPr>
        <w:t>, 44–51. https://doi.org/10.1016/j.neuroimage.2013.03.035</w:t>
      </w:r>
    </w:p>
    <w:p w14:paraId="054C33E0"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pt-PT"/>
        </w:rPr>
      </w:pPr>
      <w:r w:rsidRPr="00203582">
        <w:rPr>
          <w:rFonts w:ascii="Times New Roman" w:eastAsia="Times New Roman" w:hAnsi="Times New Roman" w:cs="Times New Roman"/>
          <w:sz w:val="24"/>
          <w:szCs w:val="24"/>
          <w:lang w:val="fr-FR"/>
        </w:rPr>
        <w:t xml:space="preserve">Saxe, G. N., </w:t>
      </w:r>
      <w:proofErr w:type="spellStart"/>
      <w:r w:rsidRPr="00203582">
        <w:rPr>
          <w:rFonts w:ascii="Times New Roman" w:eastAsia="Times New Roman" w:hAnsi="Times New Roman" w:cs="Times New Roman"/>
          <w:sz w:val="24"/>
          <w:szCs w:val="24"/>
          <w:lang w:val="fr-FR"/>
        </w:rPr>
        <w:t>Calderone</w:t>
      </w:r>
      <w:proofErr w:type="spellEnd"/>
      <w:r w:rsidRPr="00203582">
        <w:rPr>
          <w:rFonts w:ascii="Times New Roman" w:eastAsia="Times New Roman" w:hAnsi="Times New Roman" w:cs="Times New Roman"/>
          <w:sz w:val="24"/>
          <w:szCs w:val="24"/>
          <w:lang w:val="fr-FR"/>
        </w:rPr>
        <w:t xml:space="preserve">, D., &amp; Morales, L. J. (2018). </w:t>
      </w:r>
      <w:r w:rsidRPr="00203582">
        <w:rPr>
          <w:rFonts w:ascii="Times New Roman" w:eastAsia="Times New Roman" w:hAnsi="Times New Roman" w:cs="Times New Roman"/>
          <w:sz w:val="24"/>
          <w:szCs w:val="24"/>
        </w:rPr>
        <w:t xml:space="preserve">Brain entropy and human intelligence: A resting-state fMRI study. </w:t>
      </w:r>
      <w:r w:rsidRPr="00203582">
        <w:rPr>
          <w:rFonts w:ascii="Times New Roman" w:eastAsia="Times New Roman" w:hAnsi="Times New Roman" w:cs="Times New Roman"/>
          <w:i/>
          <w:sz w:val="24"/>
          <w:szCs w:val="24"/>
          <w:lang w:val="pt-PT"/>
        </w:rPr>
        <w:t>Plos One</w:t>
      </w:r>
      <w:r w:rsidRPr="00203582">
        <w:rPr>
          <w:rFonts w:ascii="Times New Roman" w:eastAsia="Times New Roman" w:hAnsi="Times New Roman" w:cs="Times New Roman"/>
          <w:sz w:val="24"/>
          <w:szCs w:val="24"/>
          <w:lang w:val="pt-PT"/>
        </w:rPr>
        <w:t xml:space="preserve">, </w:t>
      </w:r>
      <w:r w:rsidRPr="00203582">
        <w:rPr>
          <w:rFonts w:ascii="Times New Roman" w:eastAsia="Times New Roman" w:hAnsi="Times New Roman" w:cs="Times New Roman"/>
          <w:i/>
          <w:sz w:val="24"/>
          <w:szCs w:val="24"/>
          <w:lang w:val="pt-PT"/>
        </w:rPr>
        <w:t>13</w:t>
      </w:r>
      <w:r w:rsidRPr="00203582">
        <w:rPr>
          <w:rFonts w:ascii="Times New Roman" w:eastAsia="Times New Roman" w:hAnsi="Times New Roman" w:cs="Times New Roman"/>
          <w:sz w:val="24"/>
          <w:szCs w:val="24"/>
          <w:lang w:val="pt-PT"/>
        </w:rPr>
        <w:t>(2), e0191582. https://doi.org/10.1371/journal.pone.0191582</w:t>
      </w:r>
    </w:p>
    <w:p w14:paraId="576EC78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Sayers, E. W., Bolton, E. E., Brister, J. R., </w:t>
      </w:r>
      <w:proofErr w:type="spellStart"/>
      <w:r w:rsidRPr="005C650F">
        <w:rPr>
          <w:rFonts w:ascii="Times New Roman" w:eastAsia="Times New Roman" w:hAnsi="Times New Roman" w:cs="Times New Roman"/>
          <w:sz w:val="24"/>
          <w:szCs w:val="24"/>
        </w:rPr>
        <w:t>Canese</w:t>
      </w:r>
      <w:proofErr w:type="spellEnd"/>
      <w:r w:rsidRPr="005C650F">
        <w:rPr>
          <w:rFonts w:ascii="Times New Roman" w:eastAsia="Times New Roman" w:hAnsi="Times New Roman" w:cs="Times New Roman"/>
          <w:sz w:val="24"/>
          <w:szCs w:val="24"/>
        </w:rPr>
        <w:t xml:space="preserve">, K., Chan, J., Comeau, D. C., Connor, R., Funk, K., Kelly, C., Kim, S., Madej, T., </w:t>
      </w:r>
      <w:proofErr w:type="spellStart"/>
      <w:r w:rsidRPr="005C650F">
        <w:rPr>
          <w:rFonts w:ascii="Times New Roman" w:eastAsia="Times New Roman" w:hAnsi="Times New Roman" w:cs="Times New Roman"/>
          <w:sz w:val="24"/>
          <w:szCs w:val="24"/>
        </w:rPr>
        <w:t>Marchler</w:t>
      </w:r>
      <w:proofErr w:type="spellEnd"/>
      <w:r w:rsidRPr="005C650F">
        <w:rPr>
          <w:rFonts w:ascii="Times New Roman" w:eastAsia="Times New Roman" w:hAnsi="Times New Roman" w:cs="Times New Roman"/>
          <w:sz w:val="24"/>
          <w:szCs w:val="24"/>
        </w:rPr>
        <w:t xml:space="preserve">-Bauer, A., </w:t>
      </w:r>
      <w:proofErr w:type="spellStart"/>
      <w:r w:rsidRPr="005C650F">
        <w:rPr>
          <w:rFonts w:ascii="Times New Roman" w:eastAsia="Times New Roman" w:hAnsi="Times New Roman" w:cs="Times New Roman"/>
          <w:sz w:val="24"/>
          <w:szCs w:val="24"/>
        </w:rPr>
        <w:t>Lanczycki</w:t>
      </w:r>
      <w:proofErr w:type="spellEnd"/>
      <w:r w:rsidRPr="005C650F">
        <w:rPr>
          <w:rFonts w:ascii="Times New Roman" w:eastAsia="Times New Roman" w:hAnsi="Times New Roman" w:cs="Times New Roman"/>
          <w:sz w:val="24"/>
          <w:szCs w:val="24"/>
        </w:rPr>
        <w:t xml:space="preserve">, C., Lathrop, S., Lu, Z., Thibaud-Nissen, F., Murphy, T., Phan, L., Skripchenko, Y., … Sherry, S. T. (2022). Database resources of the national </w:t>
      </w:r>
      <w:proofErr w:type="spellStart"/>
      <w:r w:rsidRPr="005C650F">
        <w:rPr>
          <w:rFonts w:ascii="Times New Roman" w:eastAsia="Times New Roman" w:hAnsi="Times New Roman" w:cs="Times New Roman"/>
          <w:sz w:val="24"/>
          <w:szCs w:val="24"/>
        </w:rPr>
        <w:t>center</w:t>
      </w:r>
      <w:proofErr w:type="spellEnd"/>
      <w:r w:rsidRPr="005C650F">
        <w:rPr>
          <w:rFonts w:ascii="Times New Roman" w:eastAsia="Times New Roman" w:hAnsi="Times New Roman" w:cs="Times New Roman"/>
          <w:sz w:val="24"/>
          <w:szCs w:val="24"/>
        </w:rPr>
        <w:t xml:space="preserve"> for biotechnology information. </w:t>
      </w:r>
      <w:r w:rsidRPr="005C650F">
        <w:rPr>
          <w:rFonts w:ascii="Times New Roman" w:eastAsia="Times New Roman" w:hAnsi="Times New Roman" w:cs="Times New Roman"/>
          <w:i/>
          <w:iCs/>
          <w:sz w:val="24"/>
          <w:szCs w:val="24"/>
        </w:rPr>
        <w:t>Nucleic Acids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50</w:t>
      </w:r>
      <w:r w:rsidRPr="005C650F">
        <w:rPr>
          <w:rFonts w:ascii="Times New Roman" w:eastAsia="Times New Roman" w:hAnsi="Times New Roman" w:cs="Times New Roman"/>
          <w:sz w:val="24"/>
          <w:szCs w:val="24"/>
        </w:rPr>
        <w:t>(D1), D20–D26. https://doi.org/10.1093/nar/gkab1112</w:t>
      </w:r>
    </w:p>
    <w:p w14:paraId="4FE8835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Schain, R. J., &amp; Freedman, D. X. (1961). Studies on 5-hydroxyindole metabolism in autistic and other mentally retarded children. </w:t>
      </w:r>
      <w:r w:rsidRPr="005C650F">
        <w:rPr>
          <w:rFonts w:ascii="Times New Roman" w:eastAsia="Times New Roman" w:hAnsi="Times New Roman" w:cs="Times New Roman"/>
          <w:i/>
          <w:iCs/>
          <w:sz w:val="24"/>
          <w:szCs w:val="24"/>
        </w:rPr>
        <w:t xml:space="preserve">The Journal of </w:t>
      </w:r>
      <w:proofErr w:type="spellStart"/>
      <w:r w:rsidRPr="005C650F">
        <w:rPr>
          <w:rFonts w:ascii="Times New Roman" w:eastAsia="Times New Roman" w:hAnsi="Times New Roman" w:cs="Times New Roman"/>
          <w:i/>
          <w:iCs/>
          <w:sz w:val="24"/>
          <w:szCs w:val="24"/>
        </w:rPr>
        <w:t>Pediatrics</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58</w:t>
      </w:r>
      <w:r w:rsidRPr="005C650F">
        <w:rPr>
          <w:rFonts w:ascii="Times New Roman" w:eastAsia="Times New Roman" w:hAnsi="Times New Roman" w:cs="Times New Roman"/>
          <w:sz w:val="24"/>
          <w:szCs w:val="24"/>
        </w:rPr>
        <w:t>, 315–320. https://doi.org/10.1016/s0022-3476(61)80261-8</w:t>
      </w:r>
    </w:p>
    <w:p w14:paraId="26048F6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pt-PT"/>
        </w:rPr>
        <w:t xml:space="preserve">Schenck, J. F. (1996). </w:t>
      </w:r>
      <w:r w:rsidRPr="00203582">
        <w:rPr>
          <w:rFonts w:ascii="Times New Roman" w:eastAsia="Times New Roman" w:hAnsi="Times New Roman" w:cs="Times New Roman"/>
          <w:sz w:val="24"/>
          <w:szCs w:val="24"/>
        </w:rPr>
        <w:t xml:space="preserve">The role of magnetic susceptibility in magnetic resonance imaging: MRI magnetic compatibility of the first and second kinds. </w:t>
      </w:r>
      <w:r w:rsidRPr="00203582">
        <w:rPr>
          <w:rFonts w:ascii="Times New Roman" w:eastAsia="Times New Roman" w:hAnsi="Times New Roman" w:cs="Times New Roman"/>
          <w:i/>
          <w:sz w:val="24"/>
          <w:szCs w:val="24"/>
        </w:rPr>
        <w:t>Medical Physics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23</w:t>
      </w:r>
      <w:r w:rsidRPr="00203582">
        <w:rPr>
          <w:rFonts w:ascii="Times New Roman" w:eastAsia="Times New Roman" w:hAnsi="Times New Roman" w:cs="Times New Roman"/>
          <w:sz w:val="24"/>
          <w:szCs w:val="24"/>
        </w:rPr>
        <w:t>(6), 815–850. https://doi.org/10.1118/1.597854</w:t>
      </w:r>
    </w:p>
    <w:p w14:paraId="17FD5B1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Scherer, S. W., &amp; Dawson, G. (2011). Risk factors for autism: translating genomic discoveries into diagnostics. </w:t>
      </w:r>
      <w:r w:rsidRPr="005C650F">
        <w:rPr>
          <w:rFonts w:ascii="Times New Roman" w:eastAsia="Times New Roman" w:hAnsi="Times New Roman" w:cs="Times New Roman"/>
          <w:i/>
          <w:iCs/>
          <w:sz w:val="24"/>
          <w:szCs w:val="24"/>
        </w:rPr>
        <w:t>Human Genetics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130</w:t>
      </w:r>
      <w:r w:rsidRPr="005C650F">
        <w:rPr>
          <w:rFonts w:ascii="Times New Roman" w:eastAsia="Times New Roman" w:hAnsi="Times New Roman" w:cs="Times New Roman"/>
          <w:sz w:val="24"/>
          <w:szCs w:val="24"/>
        </w:rPr>
        <w:t>(1), 123–148. https://doi.org/10.1007/s00439-011-1037-2</w:t>
      </w:r>
    </w:p>
    <w:p w14:paraId="6D9CA64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Schnitzler, A., &amp; Gross, J. (2005). Normal and pathological oscillatory communication in the brain. </w:t>
      </w:r>
      <w:r w:rsidRPr="005C650F">
        <w:rPr>
          <w:rFonts w:ascii="Times New Roman" w:eastAsia="Times New Roman" w:hAnsi="Times New Roman" w:cs="Times New Roman"/>
          <w:i/>
          <w:iCs/>
          <w:sz w:val="24"/>
          <w:szCs w:val="24"/>
        </w:rPr>
        <w:t>Nature Reviews.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w:t>
      </w:r>
      <w:r w:rsidRPr="005C650F">
        <w:rPr>
          <w:rFonts w:ascii="Times New Roman" w:eastAsia="Times New Roman" w:hAnsi="Times New Roman" w:cs="Times New Roman"/>
          <w:sz w:val="24"/>
          <w:szCs w:val="24"/>
        </w:rPr>
        <w:t>(4), 285–296. https://doi.org/10.1038/nrn1650</w:t>
      </w:r>
    </w:p>
    <w:p w14:paraId="2DA39D4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School of Chemical Engineering and Technology, Xi’an </w:t>
      </w:r>
      <w:proofErr w:type="spellStart"/>
      <w:r w:rsidRPr="00203582">
        <w:rPr>
          <w:rFonts w:ascii="Times New Roman" w:eastAsia="Times New Roman" w:hAnsi="Times New Roman" w:cs="Times New Roman"/>
          <w:sz w:val="24"/>
          <w:szCs w:val="24"/>
        </w:rPr>
        <w:t>Jiaotong</w:t>
      </w:r>
      <w:proofErr w:type="spellEnd"/>
      <w:r w:rsidRPr="00203582">
        <w:rPr>
          <w:rFonts w:ascii="Times New Roman" w:eastAsia="Times New Roman" w:hAnsi="Times New Roman" w:cs="Times New Roman"/>
          <w:sz w:val="24"/>
          <w:szCs w:val="24"/>
        </w:rPr>
        <w:t xml:space="preserve"> University, Xi’an 710049, China, &amp; Wu, W. (2017). Multiscale entropy analysis of electrochemical noise. </w:t>
      </w:r>
      <w:r w:rsidRPr="00203582">
        <w:rPr>
          <w:rFonts w:ascii="Times New Roman" w:eastAsia="Times New Roman" w:hAnsi="Times New Roman" w:cs="Times New Roman"/>
          <w:i/>
          <w:sz w:val="24"/>
          <w:szCs w:val="24"/>
        </w:rPr>
        <w:t>International Journal of Electrochemical Science</w:t>
      </w:r>
      <w:r w:rsidRPr="00203582">
        <w:rPr>
          <w:rFonts w:ascii="Times New Roman" w:eastAsia="Times New Roman" w:hAnsi="Times New Roman" w:cs="Times New Roman"/>
          <w:sz w:val="24"/>
          <w:szCs w:val="24"/>
        </w:rPr>
        <w:t>, 11602–11615. https://doi.org/10.20964/2017.12.06</w:t>
      </w:r>
    </w:p>
    <w:p w14:paraId="78D4879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School of Chemical Engineering and Technology, Xi’an </w:t>
      </w:r>
      <w:proofErr w:type="spellStart"/>
      <w:r w:rsidRPr="005C650F">
        <w:rPr>
          <w:rFonts w:ascii="Times New Roman" w:eastAsia="Times New Roman" w:hAnsi="Times New Roman" w:cs="Times New Roman"/>
          <w:sz w:val="24"/>
          <w:szCs w:val="24"/>
        </w:rPr>
        <w:t>Jiaotong</w:t>
      </w:r>
      <w:proofErr w:type="spellEnd"/>
      <w:r w:rsidRPr="005C650F">
        <w:rPr>
          <w:rFonts w:ascii="Times New Roman" w:eastAsia="Times New Roman" w:hAnsi="Times New Roman" w:cs="Times New Roman"/>
          <w:sz w:val="24"/>
          <w:szCs w:val="24"/>
        </w:rPr>
        <w:t xml:space="preserve"> University, Xi’an 710049, China, &amp; Wu, W. (2017). Multiscale entropy analysis of electrochemical noise. </w:t>
      </w:r>
      <w:r w:rsidRPr="005C650F">
        <w:rPr>
          <w:rFonts w:ascii="Times New Roman" w:eastAsia="Times New Roman" w:hAnsi="Times New Roman" w:cs="Times New Roman"/>
          <w:i/>
          <w:iCs/>
          <w:sz w:val="24"/>
          <w:szCs w:val="24"/>
        </w:rPr>
        <w:t>International Journal of Electrochemical Science</w:t>
      </w:r>
      <w:r w:rsidRPr="005C650F">
        <w:rPr>
          <w:rFonts w:ascii="Times New Roman" w:eastAsia="Times New Roman" w:hAnsi="Times New Roman" w:cs="Times New Roman"/>
          <w:sz w:val="24"/>
          <w:szCs w:val="24"/>
        </w:rPr>
        <w:t>, 11602–11615. https://doi.org/10.20964/2017.12.06</w:t>
      </w:r>
    </w:p>
    <w:p w14:paraId="0C61FEC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Schreiber, T., &amp; Schmitz, A. (1996). Improved surrogate data for nonlinearity tests. </w:t>
      </w:r>
      <w:r w:rsidRPr="00203582">
        <w:rPr>
          <w:rFonts w:ascii="Times New Roman" w:eastAsia="Times New Roman" w:hAnsi="Times New Roman" w:cs="Times New Roman"/>
          <w:i/>
          <w:sz w:val="24"/>
          <w:szCs w:val="24"/>
        </w:rPr>
        <w:t>Physical Review Letters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77</w:t>
      </w:r>
      <w:r w:rsidRPr="00203582">
        <w:rPr>
          <w:rFonts w:ascii="Times New Roman" w:eastAsia="Times New Roman" w:hAnsi="Times New Roman" w:cs="Times New Roman"/>
          <w:sz w:val="24"/>
          <w:szCs w:val="24"/>
        </w:rPr>
        <w:t>(4), 635–638. https://doi.org/10.1103/PhysRevLett.77.635</w:t>
      </w:r>
    </w:p>
    <w:p w14:paraId="2676D867"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Schreiber, T., &amp; Schmitz, A. (1996). Improved surrogate data for nonlinearity tests. Physical Review Letters, 77(4), 635–638. https://doi.org/10.1103/PhysRevLett.77.635</w:t>
      </w:r>
    </w:p>
    <w:p w14:paraId="3858BA4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Shannon, C. E. (1948). A mathematical theory of communication. </w:t>
      </w:r>
      <w:r w:rsidRPr="00203582">
        <w:rPr>
          <w:rFonts w:ascii="Times New Roman" w:eastAsia="Times New Roman" w:hAnsi="Times New Roman" w:cs="Times New Roman"/>
          <w:i/>
          <w:sz w:val="24"/>
          <w:szCs w:val="24"/>
        </w:rPr>
        <w:t>Bell System Technical Journal</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27</w:t>
      </w:r>
      <w:r w:rsidRPr="00203582">
        <w:rPr>
          <w:rFonts w:ascii="Times New Roman" w:eastAsia="Times New Roman" w:hAnsi="Times New Roman" w:cs="Times New Roman"/>
          <w:sz w:val="24"/>
          <w:szCs w:val="24"/>
        </w:rPr>
        <w:t>(3), 379–423. https://doi.org/10.1002/j.1538-7305.1948.tb01338.x</w:t>
      </w:r>
    </w:p>
    <w:p w14:paraId="3EEF7EA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Sharma, N., Mishra, R., &amp; Mishra, D. (2015). The fifth edition of Diagnostic and Statistical Manual of Mental Disorders (DSM-5): what is new for the </w:t>
      </w:r>
      <w:proofErr w:type="spellStart"/>
      <w:r w:rsidRPr="00203582">
        <w:rPr>
          <w:rFonts w:ascii="Times New Roman" w:eastAsia="Times New Roman" w:hAnsi="Times New Roman" w:cs="Times New Roman"/>
          <w:sz w:val="24"/>
          <w:szCs w:val="24"/>
        </w:rPr>
        <w:t>pediatrician</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 xml:space="preserve">Indian </w:t>
      </w:r>
      <w:proofErr w:type="spellStart"/>
      <w:r w:rsidRPr="00203582">
        <w:rPr>
          <w:rFonts w:ascii="Times New Roman" w:eastAsia="Times New Roman" w:hAnsi="Times New Roman" w:cs="Times New Roman"/>
          <w:i/>
          <w:sz w:val="24"/>
          <w:szCs w:val="24"/>
        </w:rPr>
        <w:t>Pediatrics</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52</w:t>
      </w:r>
      <w:r w:rsidRPr="00203582">
        <w:rPr>
          <w:rFonts w:ascii="Times New Roman" w:eastAsia="Times New Roman" w:hAnsi="Times New Roman" w:cs="Times New Roman"/>
          <w:sz w:val="24"/>
          <w:szCs w:val="24"/>
        </w:rPr>
        <w:t>(2), 141–143. https://doi.org/10.1007/s13312-015-0589-y</w:t>
      </w:r>
    </w:p>
    <w:p w14:paraId="04DB8BD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Sheline, Y. I., </w:t>
      </w:r>
      <w:proofErr w:type="spellStart"/>
      <w:r w:rsidRPr="00203582">
        <w:rPr>
          <w:rFonts w:ascii="Times New Roman" w:eastAsia="Times New Roman" w:hAnsi="Times New Roman" w:cs="Times New Roman"/>
          <w:sz w:val="24"/>
          <w:szCs w:val="24"/>
        </w:rPr>
        <w:t>Barch</w:t>
      </w:r>
      <w:proofErr w:type="spellEnd"/>
      <w:r w:rsidRPr="00203582">
        <w:rPr>
          <w:rFonts w:ascii="Times New Roman" w:eastAsia="Times New Roman" w:hAnsi="Times New Roman" w:cs="Times New Roman"/>
          <w:sz w:val="24"/>
          <w:szCs w:val="24"/>
        </w:rPr>
        <w:t xml:space="preserve">, D. M., Price, J. L., Rundle, M. M., Vaishnavi, S. N., Snyder, A. Z., Mintun, M. A., Wang, S., Coalson, R. S., &amp; Raichle, M. E. (2009). The default mode network and self-referential processes in depression. </w:t>
      </w:r>
      <w:r w:rsidRPr="00203582">
        <w:rPr>
          <w:rFonts w:ascii="Times New Roman" w:eastAsia="Times New Roman" w:hAnsi="Times New Roman" w:cs="Times New Roman"/>
          <w:i/>
          <w:sz w:val="24"/>
          <w:szCs w:val="24"/>
        </w:rPr>
        <w:t>Proceedings of the National Academy of Sciences of the United States of America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106</w:t>
      </w:r>
      <w:r w:rsidRPr="00203582">
        <w:rPr>
          <w:rFonts w:ascii="Times New Roman" w:eastAsia="Times New Roman" w:hAnsi="Times New Roman" w:cs="Times New Roman"/>
          <w:sz w:val="24"/>
          <w:szCs w:val="24"/>
        </w:rPr>
        <w:t>(6), 1942–1947. https://doi.org/10.1073/pnas.0812686106</w:t>
      </w:r>
    </w:p>
    <w:p w14:paraId="75916F07"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de-DE"/>
        </w:rPr>
      </w:pPr>
      <w:r w:rsidRPr="00203582">
        <w:rPr>
          <w:rFonts w:ascii="Times New Roman" w:eastAsia="Times New Roman" w:hAnsi="Times New Roman" w:cs="Times New Roman"/>
          <w:sz w:val="24"/>
          <w:szCs w:val="24"/>
        </w:rPr>
        <w:t xml:space="preserve">Sheng, J., Li, Q., Liu, T., &amp; Wang, X. (2022). Cerebrospinal fluid dynamics along the optic nerve. </w:t>
      </w:r>
      <w:r w:rsidRPr="00203582">
        <w:rPr>
          <w:rFonts w:ascii="Times New Roman" w:eastAsia="Times New Roman" w:hAnsi="Times New Roman" w:cs="Times New Roman"/>
          <w:i/>
          <w:sz w:val="24"/>
          <w:szCs w:val="24"/>
          <w:lang w:val="de-DE"/>
        </w:rPr>
        <w:t>Frontiers in Neurology</w:t>
      </w:r>
      <w:r w:rsidRPr="00203582">
        <w:rPr>
          <w:rFonts w:ascii="Times New Roman" w:eastAsia="Times New Roman" w:hAnsi="Times New Roman" w:cs="Times New Roman"/>
          <w:sz w:val="24"/>
          <w:szCs w:val="24"/>
          <w:lang w:val="de-DE"/>
        </w:rPr>
        <w:t xml:space="preserve">, </w:t>
      </w:r>
      <w:r w:rsidRPr="00203582">
        <w:rPr>
          <w:rFonts w:ascii="Times New Roman" w:eastAsia="Times New Roman" w:hAnsi="Times New Roman" w:cs="Times New Roman"/>
          <w:i/>
          <w:sz w:val="24"/>
          <w:szCs w:val="24"/>
          <w:lang w:val="de-DE"/>
        </w:rPr>
        <w:t>13</w:t>
      </w:r>
      <w:r w:rsidRPr="00203582">
        <w:rPr>
          <w:rFonts w:ascii="Times New Roman" w:eastAsia="Times New Roman" w:hAnsi="Times New Roman" w:cs="Times New Roman"/>
          <w:sz w:val="24"/>
          <w:szCs w:val="24"/>
          <w:lang w:val="de-DE"/>
        </w:rPr>
        <w:t>, 931523. https://doi.org/10.3389/fneur.2022.931523</w:t>
      </w:r>
    </w:p>
    <w:p w14:paraId="675D664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Shephard, E., Tye, C., Ashwood, K. L., Azadi, B., Asherson, P., Bolton, P. F., &amp; McLoughlin, G. (2018). Resting-State Neurophysiological Activity Patterns in Young People with ASD, ADHD, and ASD + ADHD. </w:t>
      </w:r>
      <w:r w:rsidRPr="005C650F">
        <w:rPr>
          <w:rFonts w:ascii="Times New Roman" w:eastAsia="Times New Roman" w:hAnsi="Times New Roman" w:cs="Times New Roman"/>
          <w:i/>
          <w:iCs/>
          <w:sz w:val="24"/>
          <w:szCs w:val="24"/>
        </w:rPr>
        <w:t>Journal of Autism and 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48</w:t>
      </w:r>
      <w:r w:rsidRPr="005C650F">
        <w:rPr>
          <w:rFonts w:ascii="Times New Roman" w:eastAsia="Times New Roman" w:hAnsi="Times New Roman" w:cs="Times New Roman"/>
          <w:sz w:val="24"/>
          <w:szCs w:val="24"/>
        </w:rPr>
        <w:t>(1), 110–122. https://doi.org/10.1007/s10803-017-3300-4</w:t>
      </w:r>
    </w:p>
    <w:p w14:paraId="052908F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lastRenderedPageBreak/>
        <w:t xml:space="preserve">Shulman, G. L., Corbetta, M., Buckner, R. L., Fiez, J. A., Miezin, F. M., Raichle, M. E., &amp; Petersen, S. E. (1997). </w:t>
      </w:r>
      <w:r w:rsidRPr="00203582">
        <w:rPr>
          <w:rFonts w:ascii="Times New Roman" w:eastAsia="Times New Roman" w:hAnsi="Times New Roman" w:cs="Times New Roman"/>
          <w:sz w:val="24"/>
          <w:szCs w:val="24"/>
        </w:rPr>
        <w:t xml:space="preserve">Common Blood Flow Changes across Visual Tasks: I. Increases in Subcortical Structures and Cerebellum but Not in Nonvisual Cortex. </w:t>
      </w:r>
      <w:r w:rsidRPr="00203582">
        <w:rPr>
          <w:rFonts w:ascii="Times New Roman" w:eastAsia="Times New Roman" w:hAnsi="Times New Roman" w:cs="Times New Roman"/>
          <w:i/>
          <w:sz w:val="24"/>
          <w:szCs w:val="24"/>
        </w:rPr>
        <w:t>Journal of Cognitive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w:t>
      </w:r>
      <w:r w:rsidRPr="00203582">
        <w:rPr>
          <w:rFonts w:ascii="Times New Roman" w:eastAsia="Times New Roman" w:hAnsi="Times New Roman" w:cs="Times New Roman"/>
          <w:sz w:val="24"/>
          <w:szCs w:val="24"/>
        </w:rPr>
        <w:t>(5), 624–647. https://doi.org/10.1162/jocn.1997.9.5.624</w:t>
      </w:r>
    </w:p>
    <w:p w14:paraId="1249791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Simons, S., Espino, P., &amp; </w:t>
      </w:r>
      <w:proofErr w:type="spellStart"/>
      <w:r w:rsidRPr="00203582">
        <w:rPr>
          <w:rFonts w:ascii="Times New Roman" w:eastAsia="Times New Roman" w:hAnsi="Times New Roman" w:cs="Times New Roman"/>
          <w:sz w:val="24"/>
          <w:szCs w:val="24"/>
        </w:rPr>
        <w:t>Abásolo</w:t>
      </w:r>
      <w:proofErr w:type="spellEnd"/>
      <w:r w:rsidRPr="00203582">
        <w:rPr>
          <w:rFonts w:ascii="Times New Roman" w:eastAsia="Times New Roman" w:hAnsi="Times New Roman" w:cs="Times New Roman"/>
          <w:sz w:val="24"/>
          <w:szCs w:val="24"/>
        </w:rPr>
        <w:t xml:space="preserve">, D. (2018). Fuzzy Entropy Analysis of the Electroencephalogram in Patients with Alzheimer’s Disease: Is the Method Superior to Sample Entropy? </w:t>
      </w:r>
      <w:r w:rsidRPr="00203582">
        <w:rPr>
          <w:rFonts w:ascii="Times New Roman" w:eastAsia="Times New Roman" w:hAnsi="Times New Roman" w:cs="Times New Roman"/>
          <w:i/>
          <w:sz w:val="24"/>
          <w:szCs w:val="24"/>
        </w:rPr>
        <w:t>Entropy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20</w:t>
      </w:r>
      <w:r w:rsidRPr="00203582">
        <w:rPr>
          <w:rFonts w:ascii="Times New Roman" w:eastAsia="Times New Roman" w:hAnsi="Times New Roman" w:cs="Times New Roman"/>
          <w:sz w:val="24"/>
          <w:szCs w:val="24"/>
        </w:rPr>
        <w:t>(1), 21. https://doi.org/10.3390/e20010021</w:t>
      </w:r>
    </w:p>
    <w:p w14:paraId="27B667C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Skudlarski</w:t>
      </w:r>
      <w:proofErr w:type="spellEnd"/>
      <w:r w:rsidRPr="00203582">
        <w:rPr>
          <w:rFonts w:ascii="Times New Roman" w:eastAsia="Times New Roman" w:hAnsi="Times New Roman" w:cs="Times New Roman"/>
          <w:sz w:val="24"/>
          <w:szCs w:val="24"/>
        </w:rPr>
        <w:t xml:space="preserve">, P., Constable, R. T., &amp; Gore, J. C. (1999). ROC analysis of statistical methods used in functional MRI: individual subjects.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w:t>
      </w:r>
      <w:r w:rsidRPr="00203582">
        <w:rPr>
          <w:rFonts w:ascii="Times New Roman" w:eastAsia="Times New Roman" w:hAnsi="Times New Roman" w:cs="Times New Roman"/>
          <w:sz w:val="24"/>
          <w:szCs w:val="24"/>
        </w:rPr>
        <w:t>(3), 311–329. https://doi.org/10.1006/nimg.1999.0402</w:t>
      </w:r>
    </w:p>
    <w:p w14:paraId="1BB72424"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Sleimen-Malkoun</w:t>
      </w:r>
      <w:proofErr w:type="spellEnd"/>
      <w:r w:rsidRPr="00203582">
        <w:rPr>
          <w:rFonts w:ascii="Times New Roman" w:eastAsia="Times New Roman" w:hAnsi="Times New Roman" w:cs="Times New Roman"/>
          <w:sz w:val="24"/>
          <w:szCs w:val="24"/>
        </w:rPr>
        <w:t xml:space="preserve">, R., Perdikis, D., Müller, V., Blanc, J.-L., Huys, R., Temprado, J.-J., &amp; Jirsa, V. K. (2015). Brain Dynamics of Aging: Multiscale Variability of EEG Signals at Rest and during an Auditory Oddball Task. </w:t>
      </w:r>
      <w:proofErr w:type="spellStart"/>
      <w:r w:rsidRPr="00203582">
        <w:rPr>
          <w:rFonts w:ascii="Times New Roman" w:eastAsia="Times New Roman" w:hAnsi="Times New Roman" w:cs="Times New Roman"/>
          <w:i/>
          <w:sz w:val="24"/>
          <w:szCs w:val="24"/>
        </w:rPr>
        <w:t>ENeuro</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w:t>
      </w:r>
      <w:r w:rsidRPr="00203582">
        <w:rPr>
          <w:rFonts w:ascii="Times New Roman" w:eastAsia="Times New Roman" w:hAnsi="Times New Roman" w:cs="Times New Roman"/>
          <w:sz w:val="24"/>
          <w:szCs w:val="24"/>
        </w:rPr>
        <w:t>(3). https://doi.org/10.1523/ENEURO.0067-14.2015</w:t>
      </w:r>
    </w:p>
    <w:p w14:paraId="5BF2486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Smith, R. X., Yan, L., &amp; Wang, D. J. J. (2014). Multiple time scale complexity analysis of resting state FMRI. </w:t>
      </w:r>
      <w:r w:rsidRPr="00203582">
        <w:rPr>
          <w:rFonts w:ascii="Times New Roman" w:eastAsia="Times New Roman" w:hAnsi="Times New Roman" w:cs="Times New Roman"/>
          <w:i/>
          <w:sz w:val="24"/>
          <w:szCs w:val="24"/>
        </w:rPr>
        <w:t xml:space="preserve">Brain Imaging and </w:t>
      </w:r>
      <w:proofErr w:type="spellStart"/>
      <w:r w:rsidRPr="00203582">
        <w:rPr>
          <w:rFonts w:ascii="Times New Roman" w:eastAsia="Times New Roman" w:hAnsi="Times New Roman" w:cs="Times New Roman"/>
          <w:i/>
          <w:sz w:val="24"/>
          <w:szCs w:val="24"/>
        </w:rPr>
        <w:t>Behavior</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w:t>
      </w:r>
      <w:r w:rsidRPr="00203582">
        <w:rPr>
          <w:rFonts w:ascii="Times New Roman" w:eastAsia="Times New Roman" w:hAnsi="Times New Roman" w:cs="Times New Roman"/>
          <w:sz w:val="24"/>
          <w:szCs w:val="24"/>
        </w:rPr>
        <w:t>(2), 284–291. https://doi.org/10.1007/s11682-013-9276-6</w:t>
      </w:r>
    </w:p>
    <w:p w14:paraId="78D1652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Smith, R. X., Yan, L., &amp; Wang, D. J. J. (2014). Multiple time scale complexity analysis of resting state FMRI. </w:t>
      </w:r>
      <w:r w:rsidRPr="005C650F">
        <w:rPr>
          <w:rFonts w:ascii="Times New Roman" w:eastAsia="Times New Roman" w:hAnsi="Times New Roman" w:cs="Times New Roman"/>
          <w:i/>
          <w:iCs/>
          <w:sz w:val="24"/>
          <w:szCs w:val="24"/>
        </w:rPr>
        <w:t xml:space="preserve">Brain Imaging and </w:t>
      </w:r>
      <w:proofErr w:type="spellStart"/>
      <w:r w:rsidRPr="005C650F">
        <w:rPr>
          <w:rFonts w:ascii="Times New Roman" w:eastAsia="Times New Roman" w:hAnsi="Times New Roman" w:cs="Times New Roman"/>
          <w:i/>
          <w:iCs/>
          <w:sz w:val="24"/>
          <w:szCs w:val="24"/>
        </w:rPr>
        <w:t>Behavior</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w:t>
      </w:r>
      <w:r w:rsidRPr="005C650F">
        <w:rPr>
          <w:rFonts w:ascii="Times New Roman" w:eastAsia="Times New Roman" w:hAnsi="Times New Roman" w:cs="Times New Roman"/>
          <w:sz w:val="24"/>
          <w:szCs w:val="24"/>
        </w:rPr>
        <w:t>(2), 284–291. https://doi.org/10.1007/s11682-013-9276-6</w:t>
      </w:r>
    </w:p>
    <w:p w14:paraId="14223DB2"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sv-SE"/>
        </w:rPr>
      </w:pPr>
      <w:r w:rsidRPr="005C650F">
        <w:rPr>
          <w:rFonts w:ascii="Times New Roman" w:eastAsia="Times New Roman" w:hAnsi="Times New Roman" w:cs="Times New Roman"/>
          <w:sz w:val="24"/>
          <w:szCs w:val="24"/>
        </w:rPr>
        <w:t xml:space="preserve">Smith, S. M., &amp; Nichols, T. E. (2009). Threshold-free cluster enhancement: addressing problems of smoothing, threshold dependence and localisation in cluster inference. </w:t>
      </w:r>
      <w:r w:rsidRPr="005C650F">
        <w:rPr>
          <w:rFonts w:ascii="Times New Roman" w:eastAsia="Times New Roman" w:hAnsi="Times New Roman" w:cs="Times New Roman"/>
          <w:i/>
          <w:iCs/>
          <w:sz w:val="24"/>
          <w:szCs w:val="24"/>
          <w:lang w:val="sv-SE"/>
        </w:rPr>
        <w:t>Neuroimage</w:t>
      </w:r>
      <w:r w:rsidRPr="005C650F">
        <w:rPr>
          <w:rFonts w:ascii="Times New Roman" w:eastAsia="Times New Roman" w:hAnsi="Times New Roman" w:cs="Times New Roman"/>
          <w:sz w:val="24"/>
          <w:szCs w:val="24"/>
          <w:lang w:val="sv-SE"/>
        </w:rPr>
        <w:t xml:space="preserve">, </w:t>
      </w:r>
      <w:r w:rsidRPr="005C650F">
        <w:rPr>
          <w:rFonts w:ascii="Times New Roman" w:eastAsia="Times New Roman" w:hAnsi="Times New Roman" w:cs="Times New Roman"/>
          <w:i/>
          <w:iCs/>
          <w:sz w:val="24"/>
          <w:szCs w:val="24"/>
          <w:lang w:val="sv-SE"/>
        </w:rPr>
        <w:t>44</w:t>
      </w:r>
      <w:r w:rsidRPr="005C650F">
        <w:rPr>
          <w:rFonts w:ascii="Times New Roman" w:eastAsia="Times New Roman" w:hAnsi="Times New Roman" w:cs="Times New Roman"/>
          <w:sz w:val="24"/>
          <w:szCs w:val="24"/>
          <w:lang w:val="sv-SE"/>
        </w:rPr>
        <w:t>(1), 83–98. https://doi.org/10.1016/j.neuroimage.2008.03.061</w:t>
      </w:r>
    </w:p>
    <w:p w14:paraId="00A595E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l-PL"/>
        </w:rPr>
        <w:t xml:space="preserve">Smith, S. M., &amp; Nichols, T. E. (2009). </w:t>
      </w:r>
      <w:r w:rsidRPr="005C650F">
        <w:rPr>
          <w:rFonts w:ascii="Times New Roman" w:eastAsia="Times New Roman" w:hAnsi="Times New Roman" w:cs="Times New Roman"/>
          <w:sz w:val="24"/>
          <w:szCs w:val="24"/>
        </w:rPr>
        <w:t xml:space="preserve">Threshold-free cluster enhancement: addressing problems of smoothing, threshold dependence and localisation in cluster inference.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44</w:t>
      </w:r>
      <w:r w:rsidRPr="005C650F">
        <w:rPr>
          <w:rFonts w:ascii="Times New Roman" w:eastAsia="Times New Roman" w:hAnsi="Times New Roman" w:cs="Times New Roman"/>
          <w:sz w:val="24"/>
          <w:szCs w:val="24"/>
        </w:rPr>
        <w:t>(1), 83–98. https://doi.org/10.1016/j.neuroimage.2008.03.061</w:t>
      </w:r>
    </w:p>
    <w:p w14:paraId="6B73A5C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lastRenderedPageBreak/>
        <w:t>Sokunbi</w:t>
      </w:r>
      <w:proofErr w:type="spellEnd"/>
      <w:r w:rsidRPr="00203582">
        <w:rPr>
          <w:rFonts w:ascii="Times New Roman" w:eastAsia="Times New Roman" w:hAnsi="Times New Roman" w:cs="Times New Roman"/>
          <w:sz w:val="24"/>
          <w:szCs w:val="24"/>
        </w:rPr>
        <w:t xml:space="preserve">, M. O. (2014). Sample entropy reveals high discriminative power between young and elderly adults in short fMRI data sets. </w:t>
      </w:r>
      <w:r w:rsidRPr="00203582">
        <w:rPr>
          <w:rFonts w:ascii="Times New Roman" w:eastAsia="Times New Roman" w:hAnsi="Times New Roman" w:cs="Times New Roman"/>
          <w:i/>
          <w:sz w:val="24"/>
          <w:szCs w:val="24"/>
        </w:rPr>
        <w:t xml:space="preserve">Frontiers in </w:t>
      </w:r>
      <w:proofErr w:type="spellStart"/>
      <w:r w:rsidRPr="00203582">
        <w:rPr>
          <w:rFonts w:ascii="Times New Roman" w:eastAsia="Times New Roman" w:hAnsi="Times New Roman" w:cs="Times New Roman"/>
          <w:i/>
          <w:sz w:val="24"/>
          <w:szCs w:val="24"/>
        </w:rPr>
        <w:t>Neuroinformatics</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8</w:t>
      </w:r>
      <w:r w:rsidRPr="00203582">
        <w:rPr>
          <w:rFonts w:ascii="Times New Roman" w:eastAsia="Times New Roman" w:hAnsi="Times New Roman" w:cs="Times New Roman"/>
          <w:sz w:val="24"/>
          <w:szCs w:val="24"/>
        </w:rPr>
        <w:t>, 69. https://doi.org/10.3389/fninf.2014.00069</w:t>
      </w:r>
    </w:p>
    <w:p w14:paraId="4EAB1F8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Sokunbi</w:t>
      </w:r>
      <w:proofErr w:type="spellEnd"/>
      <w:r w:rsidRPr="005C650F">
        <w:rPr>
          <w:rFonts w:ascii="Times New Roman" w:eastAsia="Times New Roman" w:hAnsi="Times New Roman" w:cs="Times New Roman"/>
          <w:sz w:val="24"/>
          <w:szCs w:val="24"/>
        </w:rPr>
        <w:t xml:space="preserve">, M. O. (2014). Sample entropy reveals high discriminative power between young and elderly adults in short fMRI data sets. </w:t>
      </w:r>
      <w:r w:rsidRPr="005C650F">
        <w:rPr>
          <w:rFonts w:ascii="Times New Roman" w:eastAsia="Times New Roman" w:hAnsi="Times New Roman" w:cs="Times New Roman"/>
          <w:i/>
          <w:iCs/>
          <w:sz w:val="24"/>
          <w:szCs w:val="24"/>
        </w:rPr>
        <w:t xml:space="preserve">Frontiers in </w:t>
      </w:r>
      <w:proofErr w:type="spellStart"/>
      <w:r w:rsidRPr="005C650F">
        <w:rPr>
          <w:rFonts w:ascii="Times New Roman" w:eastAsia="Times New Roman" w:hAnsi="Times New Roman" w:cs="Times New Roman"/>
          <w:i/>
          <w:iCs/>
          <w:sz w:val="24"/>
          <w:szCs w:val="24"/>
        </w:rPr>
        <w:t>Neuroinformatics</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w:t>
      </w:r>
      <w:r w:rsidRPr="005C650F">
        <w:rPr>
          <w:rFonts w:ascii="Times New Roman" w:eastAsia="Times New Roman" w:hAnsi="Times New Roman" w:cs="Times New Roman"/>
          <w:sz w:val="24"/>
          <w:szCs w:val="24"/>
        </w:rPr>
        <w:t>, 69. https://doi.org/10.3389/fninf.2014.00069</w:t>
      </w:r>
    </w:p>
    <w:p w14:paraId="15E6576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Sokunbi</w:t>
      </w:r>
      <w:proofErr w:type="spellEnd"/>
      <w:r w:rsidRPr="005C650F">
        <w:rPr>
          <w:rFonts w:ascii="Times New Roman" w:eastAsia="Times New Roman" w:hAnsi="Times New Roman" w:cs="Times New Roman"/>
          <w:sz w:val="24"/>
          <w:szCs w:val="24"/>
        </w:rPr>
        <w:t xml:space="preserve">, M. O. (2014). Sample entropy reveals high discriminative power between young and elderly adults in short fMRI data sets. </w:t>
      </w:r>
      <w:r w:rsidRPr="005C650F">
        <w:rPr>
          <w:rFonts w:ascii="Times New Roman" w:eastAsia="Times New Roman" w:hAnsi="Times New Roman" w:cs="Times New Roman"/>
          <w:i/>
          <w:iCs/>
          <w:sz w:val="24"/>
          <w:szCs w:val="24"/>
        </w:rPr>
        <w:t xml:space="preserve">Frontiers in </w:t>
      </w:r>
      <w:proofErr w:type="spellStart"/>
      <w:r w:rsidRPr="005C650F">
        <w:rPr>
          <w:rFonts w:ascii="Times New Roman" w:eastAsia="Times New Roman" w:hAnsi="Times New Roman" w:cs="Times New Roman"/>
          <w:i/>
          <w:iCs/>
          <w:sz w:val="24"/>
          <w:szCs w:val="24"/>
        </w:rPr>
        <w:t>Neuroinformatics</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w:t>
      </w:r>
      <w:r w:rsidRPr="005C650F">
        <w:rPr>
          <w:rFonts w:ascii="Times New Roman" w:eastAsia="Times New Roman" w:hAnsi="Times New Roman" w:cs="Times New Roman"/>
          <w:sz w:val="24"/>
          <w:szCs w:val="24"/>
        </w:rPr>
        <w:t>, 69. https://doi.org/10.3389/fninf.2014.00069</w:t>
      </w:r>
    </w:p>
    <w:p w14:paraId="40B351C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Sokunbi</w:t>
      </w:r>
      <w:proofErr w:type="spellEnd"/>
      <w:r w:rsidRPr="005C650F">
        <w:rPr>
          <w:rFonts w:ascii="Times New Roman" w:eastAsia="Times New Roman" w:hAnsi="Times New Roman" w:cs="Times New Roman"/>
          <w:sz w:val="24"/>
          <w:szCs w:val="24"/>
        </w:rPr>
        <w:t xml:space="preserve">, M. O., Cameron, G. G., Ahearn, T. S., Murray, A. D., &amp; Staff, R. T. (2015). Fuzzy approximate entropy analysis of resting state fMRI signal complexity across the adult life span. </w:t>
      </w:r>
      <w:r w:rsidRPr="005C650F">
        <w:rPr>
          <w:rFonts w:ascii="Times New Roman" w:eastAsia="Times New Roman" w:hAnsi="Times New Roman" w:cs="Times New Roman"/>
          <w:i/>
          <w:iCs/>
          <w:sz w:val="24"/>
          <w:szCs w:val="24"/>
        </w:rPr>
        <w:t>Medical Engineering &amp; Physics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w:t>
      </w:r>
      <w:r w:rsidRPr="005C650F">
        <w:rPr>
          <w:rFonts w:ascii="Times New Roman" w:eastAsia="Times New Roman" w:hAnsi="Times New Roman" w:cs="Times New Roman"/>
          <w:sz w:val="24"/>
          <w:szCs w:val="24"/>
        </w:rPr>
        <w:t>(11), 1082–1090. https://doi.org/10.1016/j.medengphy.2015.09.001</w:t>
      </w:r>
    </w:p>
    <w:p w14:paraId="3A54E67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Sokunbi</w:t>
      </w:r>
      <w:proofErr w:type="spellEnd"/>
      <w:r w:rsidRPr="00203582">
        <w:rPr>
          <w:rFonts w:ascii="Times New Roman" w:eastAsia="Times New Roman" w:hAnsi="Times New Roman" w:cs="Times New Roman"/>
          <w:sz w:val="24"/>
          <w:szCs w:val="24"/>
        </w:rPr>
        <w:t xml:space="preserve">, M. O., Fung, W., </w:t>
      </w:r>
      <w:proofErr w:type="spellStart"/>
      <w:r w:rsidRPr="00203582">
        <w:rPr>
          <w:rFonts w:ascii="Times New Roman" w:eastAsia="Times New Roman" w:hAnsi="Times New Roman" w:cs="Times New Roman"/>
          <w:sz w:val="24"/>
          <w:szCs w:val="24"/>
        </w:rPr>
        <w:t>Sawlani</w:t>
      </w:r>
      <w:proofErr w:type="spellEnd"/>
      <w:r w:rsidRPr="00203582">
        <w:rPr>
          <w:rFonts w:ascii="Times New Roman" w:eastAsia="Times New Roman" w:hAnsi="Times New Roman" w:cs="Times New Roman"/>
          <w:sz w:val="24"/>
          <w:szCs w:val="24"/>
        </w:rPr>
        <w:t xml:space="preserve">, V., Choppin, S., Linden, D. E. J., &amp; Thome, J. (2013). Resting state fMRI entropy probes complexity of brain activity in adults with ADHD. </w:t>
      </w:r>
      <w:r w:rsidRPr="00203582">
        <w:rPr>
          <w:rFonts w:ascii="Times New Roman" w:eastAsia="Times New Roman" w:hAnsi="Times New Roman" w:cs="Times New Roman"/>
          <w:i/>
          <w:sz w:val="24"/>
          <w:szCs w:val="24"/>
        </w:rPr>
        <w:t>Psychiatry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214</w:t>
      </w:r>
      <w:r w:rsidRPr="00203582">
        <w:rPr>
          <w:rFonts w:ascii="Times New Roman" w:eastAsia="Times New Roman" w:hAnsi="Times New Roman" w:cs="Times New Roman"/>
          <w:sz w:val="24"/>
          <w:szCs w:val="24"/>
        </w:rPr>
        <w:t>(3), 341–348. https://doi.org/10.1016/j.pscychresns.2013.10.001</w:t>
      </w:r>
    </w:p>
    <w:p w14:paraId="661AD67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Sokunbi</w:t>
      </w:r>
      <w:proofErr w:type="spellEnd"/>
      <w:r w:rsidRPr="00203582">
        <w:rPr>
          <w:rFonts w:ascii="Times New Roman" w:eastAsia="Times New Roman" w:hAnsi="Times New Roman" w:cs="Times New Roman"/>
          <w:sz w:val="24"/>
          <w:szCs w:val="24"/>
        </w:rPr>
        <w:t xml:space="preserve">, M. O., Gradin, V. B., Waiter, G. D., Cameron, G. G., Ahearn, T. S., Murray, A. D., Steele, D. J., &amp; Staff, R. T. (2014). Nonlinear complexity analysis of brain FMRI signals in schizophrenia. </w:t>
      </w:r>
      <w:proofErr w:type="spellStart"/>
      <w:r w:rsidRPr="00203582">
        <w:rPr>
          <w:rFonts w:ascii="Times New Roman" w:eastAsia="Times New Roman" w:hAnsi="Times New Roman" w:cs="Times New Roman"/>
          <w:i/>
          <w:sz w:val="24"/>
          <w:szCs w:val="24"/>
        </w:rPr>
        <w:t>Plos</w:t>
      </w:r>
      <w:proofErr w:type="spellEnd"/>
      <w:r w:rsidRPr="00203582">
        <w:rPr>
          <w:rFonts w:ascii="Times New Roman" w:eastAsia="Times New Roman" w:hAnsi="Times New Roman" w:cs="Times New Roman"/>
          <w:i/>
          <w:sz w:val="24"/>
          <w:szCs w:val="24"/>
        </w:rPr>
        <w:t xml:space="preserve"> One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w:t>
      </w:r>
      <w:r w:rsidRPr="00203582">
        <w:rPr>
          <w:rFonts w:ascii="Times New Roman" w:eastAsia="Times New Roman" w:hAnsi="Times New Roman" w:cs="Times New Roman"/>
          <w:sz w:val="24"/>
          <w:szCs w:val="24"/>
        </w:rPr>
        <w:t>(5), e95146. https://doi.org/10.1371/journal.pone.0095146</w:t>
      </w:r>
    </w:p>
    <w:p w14:paraId="2EA1C47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Sokunbi</w:t>
      </w:r>
      <w:proofErr w:type="spellEnd"/>
      <w:r w:rsidRPr="00203582">
        <w:rPr>
          <w:rFonts w:ascii="Times New Roman" w:eastAsia="Times New Roman" w:hAnsi="Times New Roman" w:cs="Times New Roman"/>
          <w:sz w:val="24"/>
          <w:szCs w:val="24"/>
        </w:rPr>
        <w:t xml:space="preserve">, M. O., Staff, R. T., Waiter, G. D., Ahearn, T. S., Fox, H. C., Deary, I. J., Starr, J. M., Whalley, L. J., &amp; Murray, A. D. (2011). Inter-individual differences in fMRI entropy measurements in old age. </w:t>
      </w:r>
      <w:r w:rsidRPr="00203582">
        <w:rPr>
          <w:rFonts w:ascii="Times New Roman" w:eastAsia="Times New Roman" w:hAnsi="Times New Roman" w:cs="Times New Roman"/>
          <w:i/>
          <w:sz w:val="24"/>
          <w:szCs w:val="24"/>
        </w:rPr>
        <w:t>IEEE Transactions on Bio-Medical Engineering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58</w:t>
      </w:r>
      <w:r w:rsidRPr="00203582">
        <w:rPr>
          <w:rFonts w:ascii="Times New Roman" w:eastAsia="Times New Roman" w:hAnsi="Times New Roman" w:cs="Times New Roman"/>
          <w:sz w:val="24"/>
          <w:szCs w:val="24"/>
        </w:rPr>
        <w:t>(11), 3206–3214. https://doi.org/10.1109/TBME.2011.2164793</w:t>
      </w:r>
    </w:p>
    <w:p w14:paraId="0EFB803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Spear, L. P. (2013). Adolescent neurodevelopment. </w:t>
      </w:r>
      <w:r w:rsidRPr="005C650F">
        <w:rPr>
          <w:rFonts w:ascii="Times New Roman" w:eastAsia="Times New Roman" w:hAnsi="Times New Roman" w:cs="Times New Roman"/>
          <w:i/>
          <w:iCs/>
          <w:sz w:val="24"/>
          <w:szCs w:val="24"/>
        </w:rPr>
        <w:t>The Journal of Adolescent Health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52</w:t>
      </w:r>
      <w:r w:rsidRPr="005C650F">
        <w:rPr>
          <w:rFonts w:ascii="Times New Roman" w:eastAsia="Times New Roman" w:hAnsi="Times New Roman" w:cs="Times New Roman"/>
          <w:sz w:val="24"/>
          <w:szCs w:val="24"/>
        </w:rPr>
        <w:t xml:space="preserve">(2 </w:t>
      </w:r>
      <w:proofErr w:type="spellStart"/>
      <w:r w:rsidRPr="005C650F">
        <w:rPr>
          <w:rFonts w:ascii="Times New Roman" w:eastAsia="Times New Roman" w:hAnsi="Times New Roman" w:cs="Times New Roman"/>
          <w:sz w:val="24"/>
          <w:szCs w:val="24"/>
        </w:rPr>
        <w:t>Suppl</w:t>
      </w:r>
      <w:proofErr w:type="spellEnd"/>
      <w:r w:rsidRPr="005C650F">
        <w:rPr>
          <w:rFonts w:ascii="Times New Roman" w:eastAsia="Times New Roman" w:hAnsi="Times New Roman" w:cs="Times New Roman"/>
          <w:sz w:val="24"/>
          <w:szCs w:val="24"/>
        </w:rPr>
        <w:t xml:space="preserve"> 2), S7-13. https://doi.org/10.1016/j.jadohealth.2012.05.006</w:t>
      </w:r>
    </w:p>
    <w:p w14:paraId="6171CC0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Spreng, R. N., &amp; Grady, C. L. (2010). Patterns of brain activity supporting autobiographical memory, prospection, and theory of mind, and their relationship to the default mode network. </w:t>
      </w:r>
      <w:r w:rsidRPr="00203582">
        <w:rPr>
          <w:rFonts w:ascii="Times New Roman" w:eastAsia="Times New Roman" w:hAnsi="Times New Roman" w:cs="Times New Roman"/>
          <w:i/>
          <w:sz w:val="24"/>
          <w:szCs w:val="24"/>
        </w:rPr>
        <w:t>Journal of Cognitive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22</w:t>
      </w:r>
      <w:r w:rsidRPr="00203582">
        <w:rPr>
          <w:rFonts w:ascii="Times New Roman" w:eastAsia="Times New Roman" w:hAnsi="Times New Roman" w:cs="Times New Roman"/>
          <w:sz w:val="24"/>
          <w:szCs w:val="24"/>
        </w:rPr>
        <w:t>(6), 1112–1123. https://doi.org/10.1162/jocn.2009.21282</w:t>
      </w:r>
    </w:p>
    <w:p w14:paraId="65AC84B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Spreng, R. N., &amp; Grady, C. L. (2010). Patterns of brain activity supporting autobiographical memory, prospection, and theory of mind, and their relationship to the default mode network. </w:t>
      </w:r>
      <w:r w:rsidRPr="005C650F">
        <w:rPr>
          <w:rFonts w:ascii="Times New Roman" w:eastAsia="Times New Roman" w:hAnsi="Times New Roman" w:cs="Times New Roman"/>
          <w:i/>
          <w:iCs/>
          <w:sz w:val="24"/>
          <w:szCs w:val="24"/>
        </w:rPr>
        <w:t>Journal of Cognitive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22</w:t>
      </w:r>
      <w:r w:rsidRPr="005C650F">
        <w:rPr>
          <w:rFonts w:ascii="Times New Roman" w:eastAsia="Times New Roman" w:hAnsi="Times New Roman" w:cs="Times New Roman"/>
          <w:sz w:val="24"/>
          <w:szCs w:val="24"/>
        </w:rPr>
        <w:t>(6), 1112–1123. https://doi.org/10.1162/jocn.2009.21282</w:t>
      </w:r>
    </w:p>
    <w:p w14:paraId="266CB428"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Stein, D. J., Shoptaw, S. J., Vigo, D. V., Lund, C., Cuijpers, P., </w:t>
      </w:r>
      <w:proofErr w:type="spellStart"/>
      <w:r w:rsidRPr="00203582">
        <w:rPr>
          <w:rFonts w:ascii="Times New Roman" w:eastAsia="Times New Roman" w:hAnsi="Times New Roman" w:cs="Times New Roman"/>
          <w:sz w:val="24"/>
          <w:szCs w:val="24"/>
        </w:rPr>
        <w:t>Bantjes</w:t>
      </w:r>
      <w:proofErr w:type="spellEnd"/>
      <w:r w:rsidRPr="00203582">
        <w:rPr>
          <w:rFonts w:ascii="Times New Roman" w:eastAsia="Times New Roman" w:hAnsi="Times New Roman" w:cs="Times New Roman"/>
          <w:sz w:val="24"/>
          <w:szCs w:val="24"/>
        </w:rPr>
        <w:t xml:space="preserve">, J., Sartorius, N., &amp; Maj, M. (2022). Psychiatric diagnosis and treatment in the 21st century: paradigm shifts versus incremental integration. </w:t>
      </w:r>
      <w:r w:rsidRPr="00203582">
        <w:rPr>
          <w:rFonts w:ascii="Times New Roman" w:eastAsia="Times New Roman" w:hAnsi="Times New Roman" w:cs="Times New Roman"/>
          <w:i/>
          <w:sz w:val="24"/>
          <w:szCs w:val="24"/>
        </w:rPr>
        <w:t>World Psychiatry : Official Journal of the World Psychiatric Association (WPA)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21</w:t>
      </w:r>
      <w:r w:rsidRPr="00203582">
        <w:rPr>
          <w:rFonts w:ascii="Times New Roman" w:eastAsia="Times New Roman" w:hAnsi="Times New Roman" w:cs="Times New Roman"/>
          <w:sz w:val="24"/>
          <w:szCs w:val="24"/>
        </w:rPr>
        <w:t>(3), 393–414. https://doi.org/10.1002/wps.20998</w:t>
      </w:r>
    </w:p>
    <w:p w14:paraId="33481B2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Steinbeis</w:t>
      </w:r>
      <w:proofErr w:type="spellEnd"/>
      <w:r w:rsidRPr="00203582">
        <w:rPr>
          <w:rFonts w:ascii="Times New Roman" w:eastAsia="Times New Roman" w:hAnsi="Times New Roman" w:cs="Times New Roman"/>
          <w:sz w:val="24"/>
          <w:szCs w:val="24"/>
        </w:rPr>
        <w:t xml:space="preserve">, N. (2016). The role of self-other distinction in understanding others’ mental and emotional states: neurocognitive mechanisms in children and adults. </w:t>
      </w:r>
      <w:r w:rsidRPr="00203582">
        <w:rPr>
          <w:rFonts w:ascii="Times New Roman" w:eastAsia="Times New Roman" w:hAnsi="Times New Roman" w:cs="Times New Roman"/>
          <w:i/>
          <w:sz w:val="24"/>
          <w:szCs w:val="24"/>
        </w:rPr>
        <w:t>Philosophical Transactions of the Royal Society of London. Series B, Biological Sciences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371</w:t>
      </w:r>
      <w:r w:rsidRPr="00203582">
        <w:rPr>
          <w:rFonts w:ascii="Times New Roman" w:eastAsia="Times New Roman" w:hAnsi="Times New Roman" w:cs="Times New Roman"/>
          <w:sz w:val="24"/>
          <w:szCs w:val="24"/>
        </w:rPr>
        <w:t>(1686), 20150074. https://doi.org/10.1098/rstb.2015.0074</w:t>
      </w:r>
    </w:p>
    <w:p w14:paraId="7047737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Stelzer, J., Chen, Y., &amp; Turner, R. (2013). Statistical inference and multiple testing correction in classification-based multi-voxel pattern analysis (MVPA): random permutations and cluster size control.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65</w:t>
      </w:r>
      <w:r w:rsidRPr="005C650F">
        <w:rPr>
          <w:rFonts w:ascii="Times New Roman" w:eastAsia="Times New Roman" w:hAnsi="Times New Roman" w:cs="Times New Roman"/>
          <w:sz w:val="24"/>
          <w:szCs w:val="24"/>
        </w:rPr>
        <w:t>, 69–82. https://doi.org/10.1016/j.neuroimage.2012.09.063</w:t>
      </w:r>
    </w:p>
    <w:p w14:paraId="0025D8E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pt-PT"/>
        </w:rPr>
        <w:t xml:space="preserve">Strimbu, K., &amp; Tavel, J. A. (2010). </w:t>
      </w:r>
      <w:r w:rsidRPr="00203582">
        <w:rPr>
          <w:rFonts w:ascii="Times New Roman" w:eastAsia="Times New Roman" w:hAnsi="Times New Roman" w:cs="Times New Roman"/>
          <w:sz w:val="24"/>
          <w:szCs w:val="24"/>
        </w:rPr>
        <w:t xml:space="preserve">What are biomarkers? </w:t>
      </w:r>
      <w:r w:rsidRPr="00203582">
        <w:rPr>
          <w:rFonts w:ascii="Times New Roman" w:eastAsia="Times New Roman" w:hAnsi="Times New Roman" w:cs="Times New Roman"/>
          <w:i/>
          <w:sz w:val="24"/>
          <w:szCs w:val="24"/>
        </w:rPr>
        <w:t>Current Opinion in HIV and AIDS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w:t>
      </w:r>
      <w:r w:rsidRPr="00203582">
        <w:rPr>
          <w:rFonts w:ascii="Times New Roman" w:eastAsia="Times New Roman" w:hAnsi="Times New Roman" w:cs="Times New Roman"/>
          <w:sz w:val="24"/>
          <w:szCs w:val="24"/>
        </w:rPr>
        <w:t>(6), 463–466. https://doi.org/10.1097/COH.0b013e32833ed177</w:t>
      </w:r>
    </w:p>
    <w:p w14:paraId="46FED7C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Stroganova, T. A., Nygren, G., Tsetlin, M. M., Posikera, I. N., Gillberg, C., Elam, M., &amp; Orekhova, E. V. (2007). </w:t>
      </w:r>
      <w:r w:rsidRPr="005C650F">
        <w:rPr>
          <w:rFonts w:ascii="Times New Roman" w:eastAsia="Times New Roman" w:hAnsi="Times New Roman" w:cs="Times New Roman"/>
          <w:sz w:val="24"/>
          <w:szCs w:val="24"/>
        </w:rPr>
        <w:t xml:space="preserve">Abnormal EEG lateralization in boys with autism.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118</w:t>
      </w:r>
      <w:r w:rsidRPr="005C650F">
        <w:rPr>
          <w:rFonts w:ascii="Times New Roman" w:eastAsia="Times New Roman" w:hAnsi="Times New Roman" w:cs="Times New Roman"/>
          <w:sz w:val="24"/>
          <w:szCs w:val="24"/>
        </w:rPr>
        <w:t>(8), 1842–1854. https://doi.org/10.1016/j.clinph.2007.05.005</w:t>
      </w:r>
    </w:p>
    <w:p w14:paraId="39A8E08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sv-SE"/>
        </w:rPr>
        <w:t xml:space="preserve">Supekar, K., Musen, M., &amp; Menon, V. (2009). </w:t>
      </w:r>
      <w:r w:rsidRPr="005C650F">
        <w:rPr>
          <w:rFonts w:ascii="Times New Roman" w:eastAsia="Times New Roman" w:hAnsi="Times New Roman" w:cs="Times New Roman"/>
          <w:sz w:val="24"/>
          <w:szCs w:val="24"/>
        </w:rPr>
        <w:t xml:space="preserve">Development of large-scale functional brain networks in children.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Biology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(7), e1000157. https://doi.org/10.1371/journal.pbio.1000157</w:t>
      </w:r>
    </w:p>
    <w:p w14:paraId="1EBAB79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lastRenderedPageBreak/>
        <w:t>Supekar</w:t>
      </w:r>
      <w:proofErr w:type="spellEnd"/>
      <w:r w:rsidRPr="005C650F">
        <w:rPr>
          <w:rFonts w:ascii="Times New Roman" w:eastAsia="Times New Roman" w:hAnsi="Times New Roman" w:cs="Times New Roman"/>
          <w:sz w:val="24"/>
          <w:szCs w:val="24"/>
        </w:rPr>
        <w:t xml:space="preserve">, K., Uddin, L. Q., </w:t>
      </w:r>
      <w:proofErr w:type="spellStart"/>
      <w:r w:rsidRPr="005C650F">
        <w:rPr>
          <w:rFonts w:ascii="Times New Roman" w:eastAsia="Times New Roman" w:hAnsi="Times New Roman" w:cs="Times New Roman"/>
          <w:sz w:val="24"/>
          <w:szCs w:val="24"/>
        </w:rPr>
        <w:t>Khouzam</w:t>
      </w:r>
      <w:proofErr w:type="spellEnd"/>
      <w:r w:rsidRPr="005C650F">
        <w:rPr>
          <w:rFonts w:ascii="Times New Roman" w:eastAsia="Times New Roman" w:hAnsi="Times New Roman" w:cs="Times New Roman"/>
          <w:sz w:val="24"/>
          <w:szCs w:val="24"/>
        </w:rPr>
        <w:t xml:space="preserve">, A., Phillips, J., Gaillard, W. D., Kenworthy, L. E., </w:t>
      </w:r>
      <w:proofErr w:type="spellStart"/>
      <w:r w:rsidRPr="005C650F">
        <w:rPr>
          <w:rFonts w:ascii="Times New Roman" w:eastAsia="Times New Roman" w:hAnsi="Times New Roman" w:cs="Times New Roman"/>
          <w:sz w:val="24"/>
          <w:szCs w:val="24"/>
        </w:rPr>
        <w:t>Yerys</w:t>
      </w:r>
      <w:proofErr w:type="spellEnd"/>
      <w:r w:rsidRPr="005C650F">
        <w:rPr>
          <w:rFonts w:ascii="Times New Roman" w:eastAsia="Times New Roman" w:hAnsi="Times New Roman" w:cs="Times New Roman"/>
          <w:sz w:val="24"/>
          <w:szCs w:val="24"/>
        </w:rPr>
        <w:t xml:space="preserve">, B. E., Vaidya, C. J., &amp; Menon, V. (2013). Brain hyperconnectivity in children with autism and its links to social deficits. </w:t>
      </w:r>
      <w:r w:rsidRPr="005C650F">
        <w:rPr>
          <w:rFonts w:ascii="Times New Roman" w:eastAsia="Times New Roman" w:hAnsi="Times New Roman" w:cs="Times New Roman"/>
          <w:i/>
          <w:iCs/>
          <w:sz w:val="24"/>
          <w:szCs w:val="24"/>
        </w:rPr>
        <w:t>Cell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(3), 738–747. https://doi.org/10.1016/j.celrep.2013.10.001</w:t>
      </w:r>
    </w:p>
    <w:p w14:paraId="7C2120A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Supekar</w:t>
      </w:r>
      <w:proofErr w:type="spellEnd"/>
      <w:r w:rsidRPr="005C650F">
        <w:rPr>
          <w:rFonts w:ascii="Times New Roman" w:eastAsia="Times New Roman" w:hAnsi="Times New Roman" w:cs="Times New Roman"/>
          <w:sz w:val="24"/>
          <w:szCs w:val="24"/>
        </w:rPr>
        <w:t xml:space="preserve">, K., Uddin, L. Q., Prater, K., Amin, H., </w:t>
      </w:r>
      <w:proofErr w:type="spellStart"/>
      <w:r w:rsidRPr="005C650F">
        <w:rPr>
          <w:rFonts w:ascii="Times New Roman" w:eastAsia="Times New Roman" w:hAnsi="Times New Roman" w:cs="Times New Roman"/>
          <w:sz w:val="24"/>
          <w:szCs w:val="24"/>
        </w:rPr>
        <w:t>Greicius</w:t>
      </w:r>
      <w:proofErr w:type="spellEnd"/>
      <w:r w:rsidRPr="005C650F">
        <w:rPr>
          <w:rFonts w:ascii="Times New Roman" w:eastAsia="Times New Roman" w:hAnsi="Times New Roman" w:cs="Times New Roman"/>
          <w:sz w:val="24"/>
          <w:szCs w:val="24"/>
        </w:rPr>
        <w:t xml:space="preserve">, M. D., &amp; Menon, V. (2010). Development of functional and structural connectivity within the default mode network in young children.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52</w:t>
      </w:r>
      <w:r w:rsidRPr="005C650F">
        <w:rPr>
          <w:rFonts w:ascii="Times New Roman" w:eastAsia="Times New Roman" w:hAnsi="Times New Roman" w:cs="Times New Roman"/>
          <w:sz w:val="24"/>
          <w:szCs w:val="24"/>
        </w:rPr>
        <w:t>(1), 290–301. https://doi.org/10.1016/j.neuroimage.2010.04.009</w:t>
      </w:r>
    </w:p>
    <w:p w14:paraId="1DEF4F03"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fr-FR"/>
        </w:rPr>
      </w:pPr>
      <w:r w:rsidRPr="005C650F">
        <w:rPr>
          <w:rFonts w:ascii="Times New Roman" w:eastAsia="Times New Roman" w:hAnsi="Times New Roman" w:cs="Times New Roman"/>
          <w:sz w:val="24"/>
          <w:szCs w:val="24"/>
        </w:rPr>
        <w:t>Tager-</w:t>
      </w:r>
      <w:proofErr w:type="spellStart"/>
      <w:r w:rsidRPr="005C650F">
        <w:rPr>
          <w:rFonts w:ascii="Times New Roman" w:eastAsia="Times New Roman" w:hAnsi="Times New Roman" w:cs="Times New Roman"/>
          <w:sz w:val="24"/>
          <w:szCs w:val="24"/>
        </w:rPr>
        <w:t>Flusberg</w:t>
      </w:r>
      <w:proofErr w:type="spellEnd"/>
      <w:r w:rsidRPr="005C650F">
        <w:rPr>
          <w:rFonts w:ascii="Times New Roman" w:eastAsia="Times New Roman" w:hAnsi="Times New Roman" w:cs="Times New Roman"/>
          <w:sz w:val="24"/>
          <w:szCs w:val="24"/>
        </w:rPr>
        <w:t xml:space="preserve">, H. (2007). Evaluating the Theory-of-Mind Hypothesis of Autism. </w:t>
      </w:r>
      <w:proofErr w:type="spellStart"/>
      <w:r w:rsidRPr="005C650F">
        <w:rPr>
          <w:rFonts w:ascii="Times New Roman" w:eastAsia="Times New Roman" w:hAnsi="Times New Roman" w:cs="Times New Roman"/>
          <w:i/>
          <w:iCs/>
          <w:sz w:val="24"/>
          <w:szCs w:val="24"/>
          <w:lang w:val="fr-FR"/>
        </w:rPr>
        <w:t>Current</w:t>
      </w:r>
      <w:proofErr w:type="spellEnd"/>
      <w:r w:rsidRPr="005C650F">
        <w:rPr>
          <w:rFonts w:ascii="Times New Roman" w:eastAsia="Times New Roman" w:hAnsi="Times New Roman" w:cs="Times New Roman"/>
          <w:i/>
          <w:iCs/>
          <w:sz w:val="24"/>
          <w:szCs w:val="24"/>
          <w:lang w:val="fr-FR"/>
        </w:rPr>
        <w:t xml:space="preserve"> Directions in </w:t>
      </w:r>
      <w:proofErr w:type="spellStart"/>
      <w:r w:rsidRPr="005C650F">
        <w:rPr>
          <w:rFonts w:ascii="Times New Roman" w:eastAsia="Times New Roman" w:hAnsi="Times New Roman" w:cs="Times New Roman"/>
          <w:i/>
          <w:iCs/>
          <w:sz w:val="24"/>
          <w:szCs w:val="24"/>
          <w:lang w:val="fr-FR"/>
        </w:rPr>
        <w:t>Psychological</w:t>
      </w:r>
      <w:proofErr w:type="spellEnd"/>
      <w:r w:rsidRPr="005C650F">
        <w:rPr>
          <w:rFonts w:ascii="Times New Roman" w:eastAsia="Times New Roman" w:hAnsi="Times New Roman" w:cs="Times New Roman"/>
          <w:i/>
          <w:iCs/>
          <w:sz w:val="24"/>
          <w:szCs w:val="24"/>
          <w:lang w:val="fr-FR"/>
        </w:rPr>
        <w:t xml:space="preserve"> Science</w:t>
      </w:r>
      <w:r w:rsidRPr="005C650F">
        <w:rPr>
          <w:rFonts w:ascii="Times New Roman" w:eastAsia="Times New Roman" w:hAnsi="Times New Roman" w:cs="Times New Roman"/>
          <w:sz w:val="24"/>
          <w:szCs w:val="24"/>
          <w:lang w:val="fr-FR"/>
        </w:rPr>
        <w:t xml:space="preserve">, </w:t>
      </w:r>
      <w:r w:rsidRPr="005C650F">
        <w:rPr>
          <w:rFonts w:ascii="Times New Roman" w:eastAsia="Times New Roman" w:hAnsi="Times New Roman" w:cs="Times New Roman"/>
          <w:i/>
          <w:iCs/>
          <w:sz w:val="24"/>
          <w:szCs w:val="24"/>
          <w:lang w:val="fr-FR"/>
        </w:rPr>
        <w:t>16</w:t>
      </w:r>
      <w:r w:rsidRPr="005C650F">
        <w:rPr>
          <w:rFonts w:ascii="Times New Roman" w:eastAsia="Times New Roman" w:hAnsi="Times New Roman" w:cs="Times New Roman"/>
          <w:sz w:val="24"/>
          <w:szCs w:val="24"/>
          <w:lang w:val="fr-FR"/>
        </w:rPr>
        <w:t>(6), 311–315. https://doi.org/10.1111/j.1467-8721.2007.00527.x</w:t>
      </w:r>
    </w:p>
    <w:p w14:paraId="00B6E88E"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Takahashi, T. (2013). Complexity of spontaneous brain activity in mental disorders. </w:t>
      </w:r>
      <w:r w:rsidRPr="005C650F">
        <w:rPr>
          <w:rFonts w:ascii="Times New Roman" w:eastAsia="Times New Roman" w:hAnsi="Times New Roman" w:cs="Times New Roman"/>
          <w:i/>
          <w:iCs/>
          <w:sz w:val="24"/>
          <w:szCs w:val="24"/>
        </w:rPr>
        <w:t>Progress in Neuro-Psychopharmacology &amp; 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45</w:t>
      </w:r>
      <w:r w:rsidRPr="005C650F">
        <w:rPr>
          <w:rFonts w:ascii="Times New Roman" w:eastAsia="Times New Roman" w:hAnsi="Times New Roman" w:cs="Times New Roman"/>
          <w:sz w:val="24"/>
          <w:szCs w:val="24"/>
        </w:rPr>
        <w:t>, 258–266. https://doi.org/10.1016/j.pnpbp.2012.05.001</w:t>
      </w:r>
    </w:p>
    <w:p w14:paraId="0404477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Takahashi, T. (2013). Complexity of spontaneous brain activity in mental disorders. </w:t>
      </w:r>
      <w:r w:rsidRPr="005C650F">
        <w:rPr>
          <w:rFonts w:ascii="Times New Roman" w:eastAsia="Times New Roman" w:hAnsi="Times New Roman" w:cs="Times New Roman"/>
          <w:i/>
          <w:iCs/>
          <w:sz w:val="24"/>
          <w:szCs w:val="24"/>
        </w:rPr>
        <w:t>Progress in Neuro-Psychopharmacology &amp; Biological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45</w:t>
      </w:r>
      <w:r w:rsidRPr="005C650F">
        <w:rPr>
          <w:rFonts w:ascii="Times New Roman" w:eastAsia="Times New Roman" w:hAnsi="Times New Roman" w:cs="Times New Roman"/>
          <w:sz w:val="24"/>
          <w:szCs w:val="24"/>
        </w:rPr>
        <w:t>, 258–266. https://doi.org/10.1016/j.pnpbp.2012.05.001</w:t>
      </w:r>
    </w:p>
    <w:p w14:paraId="333726D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Takahashi, T., Cho, R. Y., Murata, T., Mizuno, T., Kikuchi, M., Mizukami, K., Kosaka, H., Takahashi, K., &amp; Wada, Y. (2009). Age-related variation in EEG complexity to photic stimulation: a multiscale entropy analysis. </w:t>
      </w:r>
      <w:r w:rsidRPr="00203582">
        <w:rPr>
          <w:rFonts w:ascii="Times New Roman" w:eastAsia="Times New Roman" w:hAnsi="Times New Roman" w:cs="Times New Roman"/>
          <w:i/>
          <w:sz w:val="24"/>
          <w:szCs w:val="24"/>
        </w:rPr>
        <w:t>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120</w:t>
      </w:r>
      <w:r w:rsidRPr="00203582">
        <w:rPr>
          <w:rFonts w:ascii="Times New Roman" w:eastAsia="Times New Roman" w:hAnsi="Times New Roman" w:cs="Times New Roman"/>
          <w:sz w:val="24"/>
          <w:szCs w:val="24"/>
        </w:rPr>
        <w:t>(3), 476–483. https://doi.org/10.1016/j.clinph.2008.12.043</w:t>
      </w:r>
    </w:p>
    <w:p w14:paraId="65DA777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Takahashi, T., Cho, R. Y., Murata, T., Mizuno, T., Kikuchi, M., Mizukami, K., Kosaka, H., Takahashi, K., &amp; Wada, Y. (2009). Age-related variation in EEG complexity to photic stimulation: a multiscale entropy analysis.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120</w:t>
      </w:r>
      <w:r w:rsidRPr="005C650F">
        <w:rPr>
          <w:rFonts w:ascii="Times New Roman" w:eastAsia="Times New Roman" w:hAnsi="Times New Roman" w:cs="Times New Roman"/>
          <w:sz w:val="24"/>
          <w:szCs w:val="24"/>
        </w:rPr>
        <w:t>(3), 476–483. https://doi.org/10.1016/j.clinph.2008.12.043</w:t>
      </w:r>
    </w:p>
    <w:p w14:paraId="09269506"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Takahashi, T., Cho, R. Y., Murata, T., Mizuno, T., Kikuchi, M., Mizukami, K., Kosaka, H., Takahashi, K., &amp; Wada, Y. (2009). Age-related variation in EEG complexity to photic stimulation: a </w:t>
      </w:r>
      <w:r w:rsidRPr="00F97EDC">
        <w:rPr>
          <w:rFonts w:ascii="Times New Roman" w:eastAsia="Times New Roman" w:hAnsi="Times New Roman" w:cs="Times New Roman"/>
          <w:sz w:val="24"/>
          <w:szCs w:val="24"/>
        </w:rPr>
        <w:lastRenderedPageBreak/>
        <w:t>multiscale entropy analysis. Clinical Neurophysiology, 120(3), 476–483. https://doi.org/10.1016/j.clinph.2008.12.043</w:t>
      </w:r>
    </w:p>
    <w:p w14:paraId="282FAF3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Takahashi, T., Yoshimura, Y., </w:t>
      </w:r>
      <w:proofErr w:type="spellStart"/>
      <w:r w:rsidRPr="005C650F">
        <w:rPr>
          <w:rFonts w:ascii="Times New Roman" w:eastAsia="Times New Roman" w:hAnsi="Times New Roman" w:cs="Times New Roman"/>
          <w:sz w:val="24"/>
          <w:szCs w:val="24"/>
        </w:rPr>
        <w:t>Hiraishi</w:t>
      </w:r>
      <w:proofErr w:type="spellEnd"/>
      <w:r w:rsidRPr="005C650F">
        <w:rPr>
          <w:rFonts w:ascii="Times New Roman" w:eastAsia="Times New Roman" w:hAnsi="Times New Roman" w:cs="Times New Roman"/>
          <w:sz w:val="24"/>
          <w:szCs w:val="24"/>
        </w:rPr>
        <w:t xml:space="preserve">, H., Hasegawa, C., </w:t>
      </w:r>
      <w:proofErr w:type="spellStart"/>
      <w:r w:rsidRPr="005C650F">
        <w:rPr>
          <w:rFonts w:ascii="Times New Roman" w:eastAsia="Times New Roman" w:hAnsi="Times New Roman" w:cs="Times New Roman"/>
          <w:sz w:val="24"/>
          <w:szCs w:val="24"/>
        </w:rPr>
        <w:t>Munesue</w:t>
      </w:r>
      <w:proofErr w:type="spellEnd"/>
      <w:r w:rsidRPr="005C650F">
        <w:rPr>
          <w:rFonts w:ascii="Times New Roman" w:eastAsia="Times New Roman" w:hAnsi="Times New Roman" w:cs="Times New Roman"/>
          <w:sz w:val="24"/>
          <w:szCs w:val="24"/>
        </w:rPr>
        <w:t xml:space="preserve">, T., Higashida, H., </w:t>
      </w:r>
      <w:proofErr w:type="spellStart"/>
      <w:r w:rsidRPr="005C650F">
        <w:rPr>
          <w:rFonts w:ascii="Times New Roman" w:eastAsia="Times New Roman" w:hAnsi="Times New Roman" w:cs="Times New Roman"/>
          <w:sz w:val="24"/>
          <w:szCs w:val="24"/>
        </w:rPr>
        <w:t>Minabe</w:t>
      </w:r>
      <w:proofErr w:type="spellEnd"/>
      <w:r w:rsidRPr="005C650F">
        <w:rPr>
          <w:rFonts w:ascii="Times New Roman" w:eastAsia="Times New Roman" w:hAnsi="Times New Roman" w:cs="Times New Roman"/>
          <w:sz w:val="24"/>
          <w:szCs w:val="24"/>
        </w:rPr>
        <w:t xml:space="preserve">, Y., &amp; Kikuchi, M. (2016). Enhanced brain signal variability in children with autism spectrum disorder during early childhood.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37</w:t>
      </w:r>
      <w:r w:rsidRPr="005C650F">
        <w:rPr>
          <w:rFonts w:ascii="Times New Roman" w:eastAsia="Times New Roman" w:hAnsi="Times New Roman" w:cs="Times New Roman"/>
          <w:sz w:val="24"/>
          <w:szCs w:val="24"/>
        </w:rPr>
        <w:t>(3), 1038–1050. https://doi.org/10.1002/hbm.23089</w:t>
      </w:r>
    </w:p>
    <w:p w14:paraId="4860C47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Takarae</w:t>
      </w:r>
      <w:proofErr w:type="spellEnd"/>
      <w:r w:rsidRPr="00203582">
        <w:rPr>
          <w:rFonts w:ascii="Times New Roman" w:eastAsia="Times New Roman" w:hAnsi="Times New Roman" w:cs="Times New Roman"/>
          <w:sz w:val="24"/>
          <w:szCs w:val="24"/>
        </w:rPr>
        <w:t xml:space="preserve">, Y., Zanesco, A., Keehn, B., </w:t>
      </w:r>
      <w:proofErr w:type="spellStart"/>
      <w:r w:rsidRPr="00203582">
        <w:rPr>
          <w:rFonts w:ascii="Times New Roman" w:eastAsia="Times New Roman" w:hAnsi="Times New Roman" w:cs="Times New Roman"/>
          <w:sz w:val="24"/>
          <w:szCs w:val="24"/>
        </w:rPr>
        <w:t>Chukoskie</w:t>
      </w:r>
      <w:proofErr w:type="spellEnd"/>
      <w:r w:rsidRPr="00203582">
        <w:rPr>
          <w:rFonts w:ascii="Times New Roman" w:eastAsia="Times New Roman" w:hAnsi="Times New Roman" w:cs="Times New Roman"/>
          <w:sz w:val="24"/>
          <w:szCs w:val="24"/>
        </w:rPr>
        <w:t xml:space="preserve">, L., Müller, R.-A., &amp; Townsend, J. (2022). EEG microstates suggest atypical resting-state network activity in high-functioning children and adolescents with autism spectrum development. </w:t>
      </w:r>
      <w:r w:rsidRPr="00203582">
        <w:rPr>
          <w:rFonts w:ascii="Times New Roman" w:eastAsia="Times New Roman" w:hAnsi="Times New Roman" w:cs="Times New Roman"/>
          <w:i/>
          <w:sz w:val="24"/>
          <w:szCs w:val="24"/>
        </w:rPr>
        <w:t>Developmental 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25</w:t>
      </w:r>
      <w:r w:rsidRPr="00203582">
        <w:rPr>
          <w:rFonts w:ascii="Times New Roman" w:eastAsia="Times New Roman" w:hAnsi="Times New Roman" w:cs="Times New Roman"/>
          <w:sz w:val="24"/>
          <w:szCs w:val="24"/>
        </w:rPr>
        <w:t>(4), e13231. https://doi.org/10.1111/desc.13231</w:t>
      </w:r>
    </w:p>
    <w:p w14:paraId="435ED98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Tan, O., Aydin, S., Sayar, G., &amp; Gursoy, D. (2016). EEG complexity and frequency in chronic residual schizophrenia. </w:t>
      </w:r>
      <w:r w:rsidRPr="00203582">
        <w:rPr>
          <w:rFonts w:ascii="Times New Roman" w:eastAsia="Times New Roman" w:hAnsi="Times New Roman" w:cs="Times New Roman"/>
          <w:i/>
          <w:sz w:val="24"/>
          <w:szCs w:val="24"/>
        </w:rPr>
        <w:t xml:space="preserve">Anadolu </w:t>
      </w:r>
      <w:proofErr w:type="spellStart"/>
      <w:r w:rsidRPr="00203582">
        <w:rPr>
          <w:rFonts w:ascii="Times New Roman" w:eastAsia="Times New Roman" w:hAnsi="Times New Roman" w:cs="Times New Roman"/>
          <w:i/>
          <w:sz w:val="24"/>
          <w:szCs w:val="24"/>
        </w:rPr>
        <w:t>Psikiyatri</w:t>
      </w:r>
      <w:proofErr w:type="spellEnd"/>
      <w:r w:rsidRPr="00203582">
        <w:rPr>
          <w:rFonts w:ascii="Times New Roman" w:eastAsia="Times New Roman" w:hAnsi="Times New Roman" w:cs="Times New Roman"/>
          <w:i/>
          <w:sz w:val="24"/>
          <w:szCs w:val="24"/>
        </w:rPr>
        <w:t xml:space="preserve"> </w:t>
      </w:r>
      <w:proofErr w:type="spellStart"/>
      <w:r w:rsidRPr="00203582">
        <w:rPr>
          <w:rFonts w:ascii="Times New Roman" w:eastAsia="Times New Roman" w:hAnsi="Times New Roman" w:cs="Times New Roman"/>
          <w:i/>
          <w:sz w:val="24"/>
          <w:szCs w:val="24"/>
        </w:rPr>
        <w:t>Dergisi</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17</w:t>
      </w:r>
      <w:r w:rsidRPr="00203582">
        <w:rPr>
          <w:rFonts w:ascii="Times New Roman" w:eastAsia="Times New Roman" w:hAnsi="Times New Roman" w:cs="Times New Roman"/>
          <w:sz w:val="24"/>
          <w:szCs w:val="24"/>
        </w:rPr>
        <w:t>(5), 385. https://doi.org/10.5455/apd.205512</w:t>
      </w:r>
    </w:p>
    <w:p w14:paraId="28CB31D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Theiler, J., Eubank, S., Longtin, A., </w:t>
      </w:r>
      <w:proofErr w:type="spellStart"/>
      <w:r w:rsidRPr="00203582">
        <w:rPr>
          <w:rFonts w:ascii="Times New Roman" w:eastAsia="Times New Roman" w:hAnsi="Times New Roman" w:cs="Times New Roman"/>
          <w:sz w:val="24"/>
          <w:szCs w:val="24"/>
        </w:rPr>
        <w:t>Galdrikian</w:t>
      </w:r>
      <w:proofErr w:type="spellEnd"/>
      <w:r w:rsidRPr="00203582">
        <w:rPr>
          <w:rFonts w:ascii="Times New Roman" w:eastAsia="Times New Roman" w:hAnsi="Times New Roman" w:cs="Times New Roman"/>
          <w:sz w:val="24"/>
          <w:szCs w:val="24"/>
        </w:rPr>
        <w:t xml:space="preserve">, B., &amp; Doyne Farmer, J. (1992). Testing for nonlinearity in time series: the method of surrogate data. </w:t>
      </w:r>
      <w:proofErr w:type="spellStart"/>
      <w:r w:rsidRPr="00203582">
        <w:rPr>
          <w:rFonts w:ascii="Times New Roman" w:eastAsia="Times New Roman" w:hAnsi="Times New Roman" w:cs="Times New Roman"/>
          <w:i/>
          <w:sz w:val="24"/>
          <w:szCs w:val="24"/>
        </w:rPr>
        <w:t>Physica</w:t>
      </w:r>
      <w:proofErr w:type="spellEnd"/>
      <w:r w:rsidRPr="00203582">
        <w:rPr>
          <w:rFonts w:ascii="Times New Roman" w:eastAsia="Times New Roman" w:hAnsi="Times New Roman" w:cs="Times New Roman"/>
          <w:i/>
          <w:sz w:val="24"/>
          <w:szCs w:val="24"/>
        </w:rPr>
        <w:t xml:space="preserve"> D: Nonlinear Phenomena</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58</w:t>
      </w:r>
      <w:r w:rsidRPr="00203582">
        <w:rPr>
          <w:rFonts w:ascii="Times New Roman" w:eastAsia="Times New Roman" w:hAnsi="Times New Roman" w:cs="Times New Roman"/>
          <w:sz w:val="24"/>
          <w:szCs w:val="24"/>
        </w:rPr>
        <w:t>(1–4), 77–94. https://doi.org/10.1016/0167-2789(92)90102-S</w:t>
      </w:r>
    </w:p>
    <w:p w14:paraId="16449267"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Theiler, J., Eubank, S., Longtin, A., </w:t>
      </w:r>
      <w:proofErr w:type="spellStart"/>
      <w:r w:rsidRPr="00F97EDC">
        <w:rPr>
          <w:rFonts w:ascii="Times New Roman" w:eastAsia="Times New Roman" w:hAnsi="Times New Roman" w:cs="Times New Roman"/>
          <w:sz w:val="24"/>
          <w:szCs w:val="24"/>
        </w:rPr>
        <w:t>Galdrikian</w:t>
      </w:r>
      <w:proofErr w:type="spellEnd"/>
      <w:r w:rsidRPr="00F97EDC">
        <w:rPr>
          <w:rFonts w:ascii="Times New Roman" w:eastAsia="Times New Roman" w:hAnsi="Times New Roman" w:cs="Times New Roman"/>
          <w:sz w:val="24"/>
          <w:szCs w:val="24"/>
        </w:rPr>
        <w:t xml:space="preserve">, B., &amp; Doyne Farmer, J. (1992). Testing for nonlinearity in time series: the method of surrogate data. </w:t>
      </w:r>
      <w:proofErr w:type="spellStart"/>
      <w:r w:rsidRPr="00F97EDC">
        <w:rPr>
          <w:rFonts w:ascii="Times New Roman" w:eastAsia="Times New Roman" w:hAnsi="Times New Roman" w:cs="Times New Roman"/>
          <w:sz w:val="24"/>
          <w:szCs w:val="24"/>
        </w:rPr>
        <w:t>Physica</w:t>
      </w:r>
      <w:proofErr w:type="spellEnd"/>
      <w:r w:rsidRPr="00F97EDC">
        <w:rPr>
          <w:rFonts w:ascii="Times New Roman" w:eastAsia="Times New Roman" w:hAnsi="Times New Roman" w:cs="Times New Roman"/>
          <w:sz w:val="24"/>
          <w:szCs w:val="24"/>
        </w:rPr>
        <w:t xml:space="preserve"> D: Nonlinear Phenomena, 58(1–4), 77–94. https://doi.org/10.1016/0167-2789(92)90102-S</w:t>
      </w:r>
    </w:p>
    <w:p w14:paraId="5FB125D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Tomasi, D., &amp; Volkow, N. D. (2010). Functional connectivity density mapping.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107</w:t>
      </w:r>
      <w:r w:rsidRPr="005C650F">
        <w:rPr>
          <w:rFonts w:ascii="Times New Roman" w:eastAsia="Times New Roman" w:hAnsi="Times New Roman" w:cs="Times New Roman"/>
          <w:sz w:val="24"/>
          <w:szCs w:val="24"/>
        </w:rPr>
        <w:t>(21), 9885–9890. https://doi.org/10.1073/pnas.1001414107</w:t>
      </w:r>
    </w:p>
    <w:p w14:paraId="2A05EB0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Tong, Y., Hocke, L. M., &amp; Frederick, B. B. (2019). Low Frequency Systemic Hemodynamic “Noise” in Resting State BOLD fMRI: Characteristics, Causes, Implications, Mitigation Strategies, and Applications. </w:t>
      </w:r>
      <w:r w:rsidRPr="005C650F">
        <w:rPr>
          <w:rFonts w:ascii="Times New Roman" w:eastAsia="Times New Roman" w:hAnsi="Times New Roman" w:cs="Times New Roman"/>
          <w:i/>
          <w:iCs/>
          <w:sz w:val="24"/>
          <w:szCs w:val="24"/>
        </w:rPr>
        <w:t>Frontiers in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w:t>
      </w:r>
      <w:r w:rsidRPr="005C650F">
        <w:rPr>
          <w:rFonts w:ascii="Times New Roman" w:eastAsia="Times New Roman" w:hAnsi="Times New Roman" w:cs="Times New Roman"/>
          <w:sz w:val="24"/>
          <w:szCs w:val="24"/>
        </w:rPr>
        <w:t>, 787. https://doi.org/10.3389/fnins.2019.00787</w:t>
      </w:r>
    </w:p>
    <w:p w14:paraId="4015FBF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Tozzi, A., Zare, M., &amp; </w:t>
      </w:r>
      <w:proofErr w:type="spellStart"/>
      <w:r w:rsidRPr="005C650F">
        <w:rPr>
          <w:rFonts w:ascii="Times New Roman" w:eastAsia="Times New Roman" w:hAnsi="Times New Roman" w:cs="Times New Roman"/>
          <w:sz w:val="24"/>
          <w:szCs w:val="24"/>
        </w:rPr>
        <w:t>Benasich</w:t>
      </w:r>
      <w:proofErr w:type="spellEnd"/>
      <w:r w:rsidRPr="005C650F">
        <w:rPr>
          <w:rFonts w:ascii="Times New Roman" w:eastAsia="Times New Roman" w:hAnsi="Times New Roman" w:cs="Times New Roman"/>
          <w:sz w:val="24"/>
          <w:szCs w:val="24"/>
        </w:rPr>
        <w:t xml:space="preserve">, A. A. (2016). New perspectives on spontaneous brain activity: dynamic networks and energy matter.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w:t>
      </w:r>
      <w:r w:rsidRPr="005C650F">
        <w:rPr>
          <w:rFonts w:ascii="Times New Roman" w:eastAsia="Times New Roman" w:hAnsi="Times New Roman" w:cs="Times New Roman"/>
          <w:sz w:val="24"/>
          <w:szCs w:val="24"/>
        </w:rPr>
        <w:t>, 247. https://doi.org/10.3389/fnhum.2016.00247</w:t>
      </w:r>
    </w:p>
    <w:p w14:paraId="266F9104"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nl-NL"/>
        </w:rPr>
      </w:pPr>
      <w:r w:rsidRPr="005C650F">
        <w:rPr>
          <w:rFonts w:ascii="Times New Roman" w:eastAsia="Times New Roman" w:hAnsi="Times New Roman" w:cs="Times New Roman"/>
          <w:sz w:val="24"/>
          <w:szCs w:val="24"/>
        </w:rPr>
        <w:t xml:space="preserve">Travis, T. A., Kondo, C. Y., &amp; Knott, J. R. (1974). Parameters of eyes-closed alpha enhancement. </w:t>
      </w:r>
      <w:r w:rsidRPr="005C650F">
        <w:rPr>
          <w:rFonts w:ascii="Times New Roman" w:eastAsia="Times New Roman" w:hAnsi="Times New Roman" w:cs="Times New Roman"/>
          <w:i/>
          <w:iCs/>
          <w:sz w:val="24"/>
          <w:szCs w:val="24"/>
          <w:lang w:val="nl-NL"/>
        </w:rPr>
        <w:t>Psychophysiology</w:t>
      </w:r>
      <w:r w:rsidRPr="005C650F">
        <w:rPr>
          <w:rFonts w:ascii="Times New Roman" w:eastAsia="Times New Roman" w:hAnsi="Times New Roman" w:cs="Times New Roman"/>
          <w:sz w:val="24"/>
          <w:szCs w:val="24"/>
          <w:lang w:val="nl-NL"/>
        </w:rPr>
        <w:t xml:space="preserve">, </w:t>
      </w:r>
      <w:r w:rsidRPr="005C650F">
        <w:rPr>
          <w:rFonts w:ascii="Times New Roman" w:eastAsia="Times New Roman" w:hAnsi="Times New Roman" w:cs="Times New Roman"/>
          <w:i/>
          <w:iCs/>
          <w:sz w:val="24"/>
          <w:szCs w:val="24"/>
          <w:lang w:val="nl-NL"/>
        </w:rPr>
        <w:t>11</w:t>
      </w:r>
      <w:r w:rsidRPr="005C650F">
        <w:rPr>
          <w:rFonts w:ascii="Times New Roman" w:eastAsia="Times New Roman" w:hAnsi="Times New Roman" w:cs="Times New Roman"/>
          <w:sz w:val="24"/>
          <w:szCs w:val="24"/>
          <w:lang w:val="nl-NL"/>
        </w:rPr>
        <w:t>(6), 674–681. https://doi.org/10.1111/j.1469-8986.1974.tb01136.x</w:t>
      </w:r>
    </w:p>
    <w:p w14:paraId="211B03F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lang w:val="fr-FR"/>
        </w:rPr>
        <w:t>Tuchman</w:t>
      </w:r>
      <w:proofErr w:type="spellEnd"/>
      <w:r w:rsidRPr="005C650F">
        <w:rPr>
          <w:rFonts w:ascii="Times New Roman" w:eastAsia="Times New Roman" w:hAnsi="Times New Roman" w:cs="Times New Roman"/>
          <w:sz w:val="24"/>
          <w:szCs w:val="24"/>
          <w:lang w:val="fr-FR"/>
        </w:rPr>
        <w:t xml:space="preserve">, R., &amp; Cuccaro, M. (2011). </w:t>
      </w:r>
      <w:r w:rsidRPr="005C650F">
        <w:rPr>
          <w:rFonts w:ascii="Times New Roman" w:eastAsia="Times New Roman" w:hAnsi="Times New Roman" w:cs="Times New Roman"/>
          <w:sz w:val="24"/>
          <w:szCs w:val="24"/>
        </w:rPr>
        <w:t xml:space="preserve">Epilepsy and autism: neurodevelopmental perspective. </w:t>
      </w:r>
      <w:r w:rsidRPr="005C650F">
        <w:rPr>
          <w:rFonts w:ascii="Times New Roman" w:eastAsia="Times New Roman" w:hAnsi="Times New Roman" w:cs="Times New Roman"/>
          <w:i/>
          <w:iCs/>
          <w:sz w:val="24"/>
          <w:szCs w:val="24"/>
        </w:rPr>
        <w:t>Current Neurology and Neuroscience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w:t>
      </w:r>
      <w:r w:rsidRPr="005C650F">
        <w:rPr>
          <w:rFonts w:ascii="Times New Roman" w:eastAsia="Times New Roman" w:hAnsi="Times New Roman" w:cs="Times New Roman"/>
          <w:sz w:val="24"/>
          <w:szCs w:val="24"/>
        </w:rPr>
        <w:t>(4), 428–434. https://doi.org/10.1007/s11910-011-0195-x</w:t>
      </w:r>
    </w:p>
    <w:p w14:paraId="24741FC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Uddin, L. Q., </w:t>
      </w:r>
      <w:proofErr w:type="spellStart"/>
      <w:r w:rsidRPr="00203582">
        <w:rPr>
          <w:rFonts w:ascii="Times New Roman" w:eastAsia="Times New Roman" w:hAnsi="Times New Roman" w:cs="Times New Roman"/>
          <w:sz w:val="24"/>
          <w:szCs w:val="24"/>
        </w:rPr>
        <w:t>Supekar</w:t>
      </w:r>
      <w:proofErr w:type="spellEnd"/>
      <w:r w:rsidRPr="00203582">
        <w:rPr>
          <w:rFonts w:ascii="Times New Roman" w:eastAsia="Times New Roman" w:hAnsi="Times New Roman" w:cs="Times New Roman"/>
          <w:sz w:val="24"/>
          <w:szCs w:val="24"/>
        </w:rPr>
        <w:t xml:space="preserve">, K., &amp; Menon, V. (2013). Reconceptualizing functional brain connectivity in autism from a developmental perspective.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w:t>
      </w:r>
      <w:r w:rsidRPr="00203582">
        <w:rPr>
          <w:rFonts w:ascii="Times New Roman" w:eastAsia="Times New Roman" w:hAnsi="Times New Roman" w:cs="Times New Roman"/>
          <w:sz w:val="24"/>
          <w:szCs w:val="24"/>
        </w:rPr>
        <w:t>, 458. https://doi.org/10.3389/fnhum.2013.00458</w:t>
      </w:r>
    </w:p>
    <w:p w14:paraId="15F4EC1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pl-PL"/>
        </w:rPr>
        <w:t xml:space="preserve">Uddin, L. Q., Supekar, K., &amp; Menon, V. (2013). </w:t>
      </w:r>
      <w:r w:rsidRPr="005C650F">
        <w:rPr>
          <w:rFonts w:ascii="Times New Roman" w:eastAsia="Times New Roman" w:hAnsi="Times New Roman" w:cs="Times New Roman"/>
          <w:sz w:val="24"/>
          <w:szCs w:val="24"/>
        </w:rPr>
        <w:t xml:space="preserve">Reconceptualizing functional brain connectivity in autism from a developmental perspective.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 458. https://doi.org/10.3389/fnhum.2013.00458</w:t>
      </w:r>
    </w:p>
    <w:p w14:paraId="7012086B"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pl-PL"/>
        </w:rPr>
      </w:pPr>
      <w:r w:rsidRPr="005C650F">
        <w:rPr>
          <w:rFonts w:ascii="Times New Roman" w:eastAsia="Times New Roman" w:hAnsi="Times New Roman" w:cs="Times New Roman"/>
          <w:sz w:val="24"/>
          <w:szCs w:val="24"/>
        </w:rPr>
        <w:t xml:space="preserve">Uddin, L. Q., </w:t>
      </w:r>
      <w:proofErr w:type="spellStart"/>
      <w:r w:rsidRPr="005C650F">
        <w:rPr>
          <w:rFonts w:ascii="Times New Roman" w:eastAsia="Times New Roman" w:hAnsi="Times New Roman" w:cs="Times New Roman"/>
          <w:sz w:val="24"/>
          <w:szCs w:val="24"/>
        </w:rPr>
        <w:t>Supekar</w:t>
      </w:r>
      <w:proofErr w:type="spellEnd"/>
      <w:r w:rsidRPr="005C650F">
        <w:rPr>
          <w:rFonts w:ascii="Times New Roman" w:eastAsia="Times New Roman" w:hAnsi="Times New Roman" w:cs="Times New Roman"/>
          <w:sz w:val="24"/>
          <w:szCs w:val="24"/>
        </w:rPr>
        <w:t xml:space="preserve">, K., Lynch, C. J., </w:t>
      </w:r>
      <w:proofErr w:type="spellStart"/>
      <w:r w:rsidRPr="005C650F">
        <w:rPr>
          <w:rFonts w:ascii="Times New Roman" w:eastAsia="Times New Roman" w:hAnsi="Times New Roman" w:cs="Times New Roman"/>
          <w:sz w:val="24"/>
          <w:szCs w:val="24"/>
        </w:rPr>
        <w:t>Khouzam</w:t>
      </w:r>
      <w:proofErr w:type="spellEnd"/>
      <w:r w:rsidRPr="005C650F">
        <w:rPr>
          <w:rFonts w:ascii="Times New Roman" w:eastAsia="Times New Roman" w:hAnsi="Times New Roman" w:cs="Times New Roman"/>
          <w:sz w:val="24"/>
          <w:szCs w:val="24"/>
        </w:rPr>
        <w:t xml:space="preserve">, A., Phillips, J., Feinstein, C., </w:t>
      </w:r>
      <w:proofErr w:type="spellStart"/>
      <w:r w:rsidRPr="005C650F">
        <w:rPr>
          <w:rFonts w:ascii="Times New Roman" w:eastAsia="Times New Roman" w:hAnsi="Times New Roman" w:cs="Times New Roman"/>
          <w:sz w:val="24"/>
          <w:szCs w:val="24"/>
        </w:rPr>
        <w:t>Ryali</w:t>
      </w:r>
      <w:proofErr w:type="spellEnd"/>
      <w:r w:rsidRPr="005C650F">
        <w:rPr>
          <w:rFonts w:ascii="Times New Roman" w:eastAsia="Times New Roman" w:hAnsi="Times New Roman" w:cs="Times New Roman"/>
          <w:sz w:val="24"/>
          <w:szCs w:val="24"/>
        </w:rPr>
        <w:t xml:space="preserve">, S., &amp; Menon, V. (2013). Salience network-based classification and prediction of symptom severity in children with autism. </w:t>
      </w:r>
      <w:r w:rsidRPr="005C650F">
        <w:rPr>
          <w:rFonts w:ascii="Times New Roman" w:eastAsia="Times New Roman" w:hAnsi="Times New Roman" w:cs="Times New Roman"/>
          <w:i/>
          <w:iCs/>
          <w:sz w:val="24"/>
          <w:szCs w:val="24"/>
          <w:lang w:val="pl-PL"/>
        </w:rPr>
        <w:t>JAMA Psychiatry</w:t>
      </w:r>
      <w:r w:rsidRPr="005C650F">
        <w:rPr>
          <w:rFonts w:ascii="Times New Roman" w:eastAsia="Times New Roman" w:hAnsi="Times New Roman" w:cs="Times New Roman"/>
          <w:sz w:val="24"/>
          <w:szCs w:val="24"/>
          <w:lang w:val="pl-PL"/>
        </w:rPr>
        <w:t xml:space="preserve">, </w:t>
      </w:r>
      <w:r w:rsidRPr="005C650F">
        <w:rPr>
          <w:rFonts w:ascii="Times New Roman" w:eastAsia="Times New Roman" w:hAnsi="Times New Roman" w:cs="Times New Roman"/>
          <w:i/>
          <w:iCs/>
          <w:sz w:val="24"/>
          <w:szCs w:val="24"/>
          <w:lang w:val="pl-PL"/>
        </w:rPr>
        <w:t>70</w:t>
      </w:r>
      <w:r w:rsidRPr="005C650F">
        <w:rPr>
          <w:rFonts w:ascii="Times New Roman" w:eastAsia="Times New Roman" w:hAnsi="Times New Roman" w:cs="Times New Roman"/>
          <w:sz w:val="24"/>
          <w:szCs w:val="24"/>
          <w:lang w:val="pl-PL"/>
        </w:rPr>
        <w:t>(8), 869–879. https://doi.org/10.1001/jamapsychiatry.2013.104</w:t>
      </w:r>
    </w:p>
    <w:p w14:paraId="7ED9D77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Utevsky, A. V., Smith, D. V., &amp; Huettel, S. A. (2014). </w:t>
      </w:r>
      <w:proofErr w:type="spellStart"/>
      <w:r w:rsidRPr="005C650F">
        <w:rPr>
          <w:rFonts w:ascii="Times New Roman" w:eastAsia="Times New Roman" w:hAnsi="Times New Roman" w:cs="Times New Roman"/>
          <w:sz w:val="24"/>
          <w:szCs w:val="24"/>
        </w:rPr>
        <w:t>Precuneus</w:t>
      </w:r>
      <w:proofErr w:type="spellEnd"/>
      <w:r w:rsidRPr="005C650F">
        <w:rPr>
          <w:rFonts w:ascii="Times New Roman" w:eastAsia="Times New Roman" w:hAnsi="Times New Roman" w:cs="Times New Roman"/>
          <w:sz w:val="24"/>
          <w:szCs w:val="24"/>
        </w:rPr>
        <w:t xml:space="preserve"> is a functional core of the default-mode network.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34</w:t>
      </w:r>
      <w:r w:rsidRPr="005C650F">
        <w:rPr>
          <w:rFonts w:ascii="Times New Roman" w:eastAsia="Times New Roman" w:hAnsi="Times New Roman" w:cs="Times New Roman"/>
          <w:sz w:val="24"/>
          <w:szCs w:val="24"/>
        </w:rPr>
        <w:t>(3), 932–940. https://doi.org/10.1523/JNEUROSCI.4227-13.2014</w:t>
      </w:r>
    </w:p>
    <w:p w14:paraId="062B23E2"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Vahia</w:t>
      </w:r>
      <w:proofErr w:type="spellEnd"/>
      <w:r w:rsidRPr="00203582">
        <w:rPr>
          <w:rFonts w:ascii="Times New Roman" w:eastAsia="Times New Roman" w:hAnsi="Times New Roman" w:cs="Times New Roman"/>
          <w:sz w:val="24"/>
          <w:szCs w:val="24"/>
        </w:rPr>
        <w:t xml:space="preserve">, V. N. (2013). Diagnostic and statistical manual of mental disorders 5: A quick glance. </w:t>
      </w:r>
      <w:r w:rsidRPr="00203582">
        <w:rPr>
          <w:rFonts w:ascii="Times New Roman" w:eastAsia="Times New Roman" w:hAnsi="Times New Roman" w:cs="Times New Roman"/>
          <w:i/>
          <w:sz w:val="24"/>
          <w:szCs w:val="24"/>
        </w:rPr>
        <w:t>Indian Journal of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55</w:t>
      </w:r>
      <w:r w:rsidRPr="00203582">
        <w:rPr>
          <w:rFonts w:ascii="Times New Roman" w:eastAsia="Times New Roman" w:hAnsi="Times New Roman" w:cs="Times New Roman"/>
          <w:sz w:val="24"/>
          <w:szCs w:val="24"/>
        </w:rPr>
        <w:t>(3), 220–223. https://doi.org/10.4103/0019-5545.117131</w:t>
      </w:r>
    </w:p>
    <w:p w14:paraId="400C4522"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nl-NL"/>
        </w:rPr>
      </w:pPr>
      <w:r w:rsidRPr="00203582">
        <w:rPr>
          <w:rFonts w:ascii="Times New Roman" w:eastAsia="Times New Roman" w:hAnsi="Times New Roman" w:cs="Times New Roman"/>
          <w:sz w:val="24"/>
          <w:szCs w:val="24"/>
        </w:rPr>
        <w:t xml:space="preserve">Vaillancourt, D. E., &amp; Newell, K. M. (2002). Changing complexity in human </w:t>
      </w:r>
      <w:proofErr w:type="spellStart"/>
      <w:r w:rsidRPr="00203582">
        <w:rPr>
          <w:rFonts w:ascii="Times New Roman" w:eastAsia="Times New Roman" w:hAnsi="Times New Roman" w:cs="Times New Roman"/>
          <w:sz w:val="24"/>
          <w:szCs w:val="24"/>
        </w:rPr>
        <w:t>behavior</w:t>
      </w:r>
      <w:proofErr w:type="spellEnd"/>
      <w:r w:rsidRPr="00203582">
        <w:rPr>
          <w:rFonts w:ascii="Times New Roman" w:eastAsia="Times New Roman" w:hAnsi="Times New Roman" w:cs="Times New Roman"/>
          <w:sz w:val="24"/>
          <w:szCs w:val="24"/>
        </w:rPr>
        <w:t xml:space="preserve"> and physiology through aging and disease. </w:t>
      </w:r>
      <w:r w:rsidRPr="00203582">
        <w:rPr>
          <w:rFonts w:ascii="Times New Roman" w:eastAsia="Times New Roman" w:hAnsi="Times New Roman" w:cs="Times New Roman"/>
          <w:i/>
          <w:sz w:val="24"/>
          <w:szCs w:val="24"/>
          <w:lang w:val="nl-NL"/>
        </w:rPr>
        <w:t>Neurobiology of Aging</w:t>
      </w:r>
      <w:r w:rsidRPr="00203582">
        <w:rPr>
          <w:rFonts w:ascii="Times New Roman" w:eastAsia="Times New Roman" w:hAnsi="Times New Roman" w:cs="Times New Roman"/>
          <w:sz w:val="24"/>
          <w:szCs w:val="24"/>
          <w:lang w:val="nl-NL"/>
        </w:rPr>
        <w:t xml:space="preserve">, </w:t>
      </w:r>
      <w:r w:rsidRPr="00203582">
        <w:rPr>
          <w:rFonts w:ascii="Times New Roman" w:eastAsia="Times New Roman" w:hAnsi="Times New Roman" w:cs="Times New Roman"/>
          <w:i/>
          <w:sz w:val="24"/>
          <w:szCs w:val="24"/>
          <w:lang w:val="nl-NL"/>
        </w:rPr>
        <w:t>23</w:t>
      </w:r>
      <w:r w:rsidRPr="00203582">
        <w:rPr>
          <w:rFonts w:ascii="Times New Roman" w:eastAsia="Times New Roman" w:hAnsi="Times New Roman" w:cs="Times New Roman"/>
          <w:sz w:val="24"/>
          <w:szCs w:val="24"/>
          <w:lang w:val="nl-NL"/>
        </w:rPr>
        <w:t>(1), 1–11. https://doi.org/10.1016/s0197-4580(01)00247-0</w:t>
      </w:r>
    </w:p>
    <w:p w14:paraId="31C4ED6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Vaillancourt, D. E., &amp; Newell, K. M. (2002). Changing complexity in human </w:t>
      </w:r>
      <w:proofErr w:type="spellStart"/>
      <w:r w:rsidRPr="005C650F">
        <w:rPr>
          <w:rFonts w:ascii="Times New Roman" w:eastAsia="Times New Roman" w:hAnsi="Times New Roman" w:cs="Times New Roman"/>
          <w:sz w:val="24"/>
          <w:szCs w:val="24"/>
        </w:rPr>
        <w:t>behavior</w:t>
      </w:r>
      <w:proofErr w:type="spellEnd"/>
      <w:r w:rsidRPr="005C650F">
        <w:rPr>
          <w:rFonts w:ascii="Times New Roman" w:eastAsia="Times New Roman" w:hAnsi="Times New Roman" w:cs="Times New Roman"/>
          <w:sz w:val="24"/>
          <w:szCs w:val="24"/>
        </w:rPr>
        <w:t xml:space="preserve"> and physiology through aging and disease. </w:t>
      </w:r>
      <w:r w:rsidRPr="005C650F">
        <w:rPr>
          <w:rFonts w:ascii="Times New Roman" w:eastAsia="Times New Roman" w:hAnsi="Times New Roman" w:cs="Times New Roman"/>
          <w:i/>
          <w:iCs/>
          <w:sz w:val="24"/>
          <w:szCs w:val="24"/>
        </w:rPr>
        <w:t>Neurobiology of Aging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23</w:t>
      </w:r>
      <w:r w:rsidRPr="005C650F">
        <w:rPr>
          <w:rFonts w:ascii="Times New Roman" w:eastAsia="Times New Roman" w:hAnsi="Times New Roman" w:cs="Times New Roman"/>
          <w:sz w:val="24"/>
          <w:szCs w:val="24"/>
        </w:rPr>
        <w:t>(1), 1–11. https://doi.org/10.1016/s0197-4580(01)00247-0</w:t>
      </w:r>
    </w:p>
    <w:p w14:paraId="6AD3C61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Vakorin</w:t>
      </w:r>
      <w:proofErr w:type="spellEnd"/>
      <w:r w:rsidRPr="005C650F">
        <w:rPr>
          <w:rFonts w:ascii="Times New Roman" w:eastAsia="Times New Roman" w:hAnsi="Times New Roman" w:cs="Times New Roman"/>
          <w:sz w:val="24"/>
          <w:szCs w:val="24"/>
        </w:rPr>
        <w:t xml:space="preserve">, V. A., </w:t>
      </w:r>
      <w:proofErr w:type="spellStart"/>
      <w:r w:rsidRPr="005C650F">
        <w:rPr>
          <w:rFonts w:ascii="Times New Roman" w:eastAsia="Times New Roman" w:hAnsi="Times New Roman" w:cs="Times New Roman"/>
          <w:sz w:val="24"/>
          <w:szCs w:val="24"/>
        </w:rPr>
        <w:t>Lippé</w:t>
      </w:r>
      <w:proofErr w:type="spellEnd"/>
      <w:r w:rsidRPr="005C650F">
        <w:rPr>
          <w:rFonts w:ascii="Times New Roman" w:eastAsia="Times New Roman" w:hAnsi="Times New Roman" w:cs="Times New Roman"/>
          <w:sz w:val="24"/>
          <w:szCs w:val="24"/>
        </w:rPr>
        <w:t xml:space="preserve">, S., &amp; McIntosh, A. R. (2011). Variability of brain signals processed locally transforms into higher connectivity with brain development. </w:t>
      </w:r>
      <w:r w:rsidRPr="005C650F">
        <w:rPr>
          <w:rFonts w:ascii="Times New Roman" w:eastAsia="Times New Roman" w:hAnsi="Times New Roman" w:cs="Times New Roman"/>
          <w:i/>
          <w:iCs/>
          <w:sz w:val="24"/>
          <w:szCs w:val="24"/>
        </w:rPr>
        <w:t>The Journal of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31</w:t>
      </w:r>
      <w:r w:rsidRPr="005C650F">
        <w:rPr>
          <w:rFonts w:ascii="Times New Roman" w:eastAsia="Times New Roman" w:hAnsi="Times New Roman" w:cs="Times New Roman"/>
          <w:sz w:val="24"/>
          <w:szCs w:val="24"/>
        </w:rPr>
        <w:t>(17), 6405–6413. https://doi.org/10.1523/JNEUROSCI.3153-10.2011</w:t>
      </w:r>
    </w:p>
    <w:p w14:paraId="5963DD2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Vakorin</w:t>
      </w:r>
      <w:proofErr w:type="spellEnd"/>
      <w:r w:rsidRPr="005C650F">
        <w:rPr>
          <w:rFonts w:ascii="Times New Roman" w:eastAsia="Times New Roman" w:hAnsi="Times New Roman" w:cs="Times New Roman"/>
          <w:sz w:val="24"/>
          <w:szCs w:val="24"/>
        </w:rPr>
        <w:t xml:space="preserve">, V. A., Mišić, B., </w:t>
      </w:r>
      <w:proofErr w:type="spellStart"/>
      <w:r w:rsidRPr="005C650F">
        <w:rPr>
          <w:rFonts w:ascii="Times New Roman" w:eastAsia="Times New Roman" w:hAnsi="Times New Roman" w:cs="Times New Roman"/>
          <w:sz w:val="24"/>
          <w:szCs w:val="24"/>
        </w:rPr>
        <w:t>Krakovska</w:t>
      </w:r>
      <w:proofErr w:type="spellEnd"/>
      <w:r w:rsidRPr="005C650F">
        <w:rPr>
          <w:rFonts w:ascii="Times New Roman" w:eastAsia="Times New Roman" w:hAnsi="Times New Roman" w:cs="Times New Roman"/>
          <w:sz w:val="24"/>
          <w:szCs w:val="24"/>
        </w:rPr>
        <w:t xml:space="preserve">, O., &amp; McIntosh, A. R. (2011). Empirical and theoretical aspects of generation and transfer of information in a neuromagnetic source network. </w:t>
      </w:r>
      <w:r w:rsidRPr="005C650F">
        <w:rPr>
          <w:rFonts w:ascii="Times New Roman" w:eastAsia="Times New Roman" w:hAnsi="Times New Roman" w:cs="Times New Roman"/>
          <w:i/>
          <w:iCs/>
          <w:sz w:val="24"/>
          <w:szCs w:val="24"/>
        </w:rPr>
        <w:t>Frontiers in Systems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 96. https://doi.org/10.3389/fnsys.2011.00096</w:t>
      </w:r>
    </w:p>
    <w:p w14:paraId="672868B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nl-NL"/>
        </w:rPr>
        <w:t xml:space="preserve">van Diessen, E., Senders, J., Jansen, F. E., Boersma, M., &amp; Bruining, H. (2015). </w:t>
      </w:r>
      <w:r w:rsidRPr="00203582">
        <w:rPr>
          <w:rFonts w:ascii="Times New Roman" w:eastAsia="Times New Roman" w:hAnsi="Times New Roman" w:cs="Times New Roman"/>
          <w:sz w:val="24"/>
          <w:szCs w:val="24"/>
        </w:rPr>
        <w:t xml:space="preserve">Increased power of resting-state gamma oscillations in autism spectrum disorder detected by routine electroencephalography. </w:t>
      </w:r>
      <w:r w:rsidRPr="00203582">
        <w:rPr>
          <w:rFonts w:ascii="Times New Roman" w:eastAsia="Times New Roman" w:hAnsi="Times New Roman" w:cs="Times New Roman"/>
          <w:i/>
          <w:sz w:val="24"/>
          <w:szCs w:val="24"/>
        </w:rPr>
        <w:t>European Archives of Psychiatry and Clinical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265</w:t>
      </w:r>
      <w:r w:rsidRPr="00203582">
        <w:rPr>
          <w:rFonts w:ascii="Times New Roman" w:eastAsia="Times New Roman" w:hAnsi="Times New Roman" w:cs="Times New Roman"/>
          <w:sz w:val="24"/>
          <w:szCs w:val="24"/>
        </w:rPr>
        <w:t>(6), 537–540. https://doi.org/10.1007/s00406-014-0527-3</w:t>
      </w:r>
    </w:p>
    <w:p w14:paraId="1445901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nl-NL"/>
        </w:rPr>
        <w:t xml:space="preserve">van Noordt, S., &amp; Willoughby, T. (2021). </w:t>
      </w:r>
      <w:r w:rsidRPr="00203582">
        <w:rPr>
          <w:rFonts w:ascii="Times New Roman" w:eastAsia="Times New Roman" w:hAnsi="Times New Roman" w:cs="Times New Roman"/>
          <w:sz w:val="24"/>
          <w:szCs w:val="24"/>
        </w:rPr>
        <w:t xml:space="preserve">Cortical maturation from childhood to adolescence is reflected in resting state EEG signal complexity. </w:t>
      </w:r>
      <w:r w:rsidRPr="00203582">
        <w:rPr>
          <w:rFonts w:ascii="Times New Roman" w:eastAsia="Times New Roman" w:hAnsi="Times New Roman" w:cs="Times New Roman"/>
          <w:i/>
          <w:sz w:val="24"/>
          <w:szCs w:val="24"/>
        </w:rPr>
        <w:t>Developmental Cognitive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48</w:t>
      </w:r>
      <w:r w:rsidRPr="00203582">
        <w:rPr>
          <w:rFonts w:ascii="Times New Roman" w:eastAsia="Times New Roman" w:hAnsi="Times New Roman" w:cs="Times New Roman"/>
          <w:sz w:val="24"/>
          <w:szCs w:val="24"/>
        </w:rPr>
        <w:t>, 100945. https://doi.org/10.1016/j.dcn.2021.100945</w:t>
      </w:r>
    </w:p>
    <w:p w14:paraId="4BB4AB6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van </w:t>
      </w:r>
      <w:proofErr w:type="spellStart"/>
      <w:r w:rsidRPr="005C650F">
        <w:rPr>
          <w:rFonts w:ascii="Times New Roman" w:eastAsia="Times New Roman" w:hAnsi="Times New Roman" w:cs="Times New Roman"/>
          <w:sz w:val="24"/>
          <w:szCs w:val="24"/>
        </w:rPr>
        <w:t>Noordt</w:t>
      </w:r>
      <w:proofErr w:type="spellEnd"/>
      <w:r w:rsidRPr="005C650F">
        <w:rPr>
          <w:rFonts w:ascii="Times New Roman" w:eastAsia="Times New Roman" w:hAnsi="Times New Roman" w:cs="Times New Roman"/>
          <w:sz w:val="24"/>
          <w:szCs w:val="24"/>
        </w:rPr>
        <w:t xml:space="preserve">, S., &amp; Willoughby, T. (2021). Cortical maturation from childhood to adolescence is reflected in resting state EEG signal complexity. </w:t>
      </w:r>
      <w:r w:rsidRPr="005C650F">
        <w:rPr>
          <w:rFonts w:ascii="Times New Roman" w:eastAsia="Times New Roman" w:hAnsi="Times New Roman" w:cs="Times New Roman"/>
          <w:i/>
          <w:iCs/>
          <w:sz w:val="24"/>
          <w:szCs w:val="24"/>
        </w:rPr>
        <w:t>Developmental Cognitive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48</w:t>
      </w:r>
      <w:r w:rsidRPr="005C650F">
        <w:rPr>
          <w:rFonts w:ascii="Times New Roman" w:eastAsia="Times New Roman" w:hAnsi="Times New Roman" w:cs="Times New Roman"/>
          <w:sz w:val="24"/>
          <w:szCs w:val="24"/>
        </w:rPr>
        <w:t>, 100945. https://doi.org/10.1016/j.dcn.2021.100945</w:t>
      </w:r>
    </w:p>
    <w:p w14:paraId="6D1F5B7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van </w:t>
      </w:r>
      <w:proofErr w:type="spellStart"/>
      <w:r w:rsidRPr="005C650F">
        <w:rPr>
          <w:rFonts w:ascii="Times New Roman" w:eastAsia="Times New Roman" w:hAnsi="Times New Roman" w:cs="Times New Roman"/>
          <w:sz w:val="24"/>
          <w:szCs w:val="24"/>
        </w:rPr>
        <w:t>Noordt</w:t>
      </w:r>
      <w:proofErr w:type="spellEnd"/>
      <w:r w:rsidRPr="005C650F">
        <w:rPr>
          <w:rFonts w:ascii="Times New Roman" w:eastAsia="Times New Roman" w:hAnsi="Times New Roman" w:cs="Times New Roman"/>
          <w:sz w:val="24"/>
          <w:szCs w:val="24"/>
        </w:rPr>
        <w:t xml:space="preserve">, S., &amp; Willoughby, T. (2021). Cortical maturation from childhood to adolescence is reflected in resting state EEG signal complexity. </w:t>
      </w:r>
      <w:r w:rsidRPr="005C650F">
        <w:rPr>
          <w:rFonts w:ascii="Times New Roman" w:eastAsia="Times New Roman" w:hAnsi="Times New Roman" w:cs="Times New Roman"/>
          <w:i/>
          <w:iCs/>
          <w:sz w:val="24"/>
          <w:szCs w:val="24"/>
        </w:rPr>
        <w:t>Developmental Cognitive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48</w:t>
      </w:r>
      <w:r w:rsidRPr="005C650F">
        <w:rPr>
          <w:rFonts w:ascii="Times New Roman" w:eastAsia="Times New Roman" w:hAnsi="Times New Roman" w:cs="Times New Roman"/>
          <w:sz w:val="24"/>
          <w:szCs w:val="24"/>
        </w:rPr>
        <w:t>, 100945. https://doi.org/10.1016/j.dcn.2021.100945</w:t>
      </w:r>
    </w:p>
    <w:p w14:paraId="6705AD8A" w14:textId="77777777" w:rsidR="00ED57EB" w:rsidRPr="005C650F" w:rsidRDefault="00ED57EB" w:rsidP="00ED57EB">
      <w:pPr>
        <w:spacing w:line="480" w:lineRule="auto"/>
        <w:ind w:left="708" w:hanging="708"/>
        <w:rPr>
          <w:rFonts w:ascii="Times New Roman" w:eastAsia="Times New Roman" w:hAnsi="Times New Roman" w:cs="Times New Roman"/>
          <w:sz w:val="24"/>
          <w:szCs w:val="24"/>
          <w:lang w:val="it-IT"/>
        </w:rPr>
      </w:pPr>
      <w:r w:rsidRPr="005C650F">
        <w:rPr>
          <w:rFonts w:ascii="Times New Roman" w:eastAsia="Times New Roman" w:hAnsi="Times New Roman" w:cs="Times New Roman"/>
          <w:sz w:val="24"/>
          <w:szCs w:val="24"/>
          <w:lang w:val="nl-NL"/>
        </w:rPr>
        <w:t xml:space="preserve">van Pelt, S., Heil, L., Kwisthout, J., Ondobaka, S., van Rooij, I., &amp; Bekkering, H. (2016). </w:t>
      </w:r>
      <w:r w:rsidRPr="005C650F">
        <w:rPr>
          <w:rFonts w:ascii="Times New Roman" w:eastAsia="Times New Roman" w:hAnsi="Times New Roman" w:cs="Times New Roman"/>
          <w:sz w:val="24"/>
          <w:szCs w:val="24"/>
        </w:rPr>
        <w:t xml:space="preserve">Beta- and gamma-band activity reflect predictive coding in the processing of causal events. </w:t>
      </w:r>
      <w:r w:rsidRPr="005C650F">
        <w:rPr>
          <w:rFonts w:ascii="Times New Roman" w:eastAsia="Times New Roman" w:hAnsi="Times New Roman" w:cs="Times New Roman"/>
          <w:i/>
          <w:iCs/>
          <w:sz w:val="24"/>
          <w:szCs w:val="24"/>
          <w:lang w:val="it-IT"/>
        </w:rPr>
        <w:t>Social Cognitive and Affective Neuroscience</w:t>
      </w:r>
      <w:r w:rsidRPr="005C650F">
        <w:rPr>
          <w:rFonts w:ascii="Times New Roman" w:eastAsia="Times New Roman" w:hAnsi="Times New Roman" w:cs="Times New Roman"/>
          <w:sz w:val="24"/>
          <w:szCs w:val="24"/>
          <w:lang w:val="it-IT"/>
        </w:rPr>
        <w:t xml:space="preserve">, </w:t>
      </w:r>
      <w:r w:rsidRPr="005C650F">
        <w:rPr>
          <w:rFonts w:ascii="Times New Roman" w:eastAsia="Times New Roman" w:hAnsi="Times New Roman" w:cs="Times New Roman"/>
          <w:i/>
          <w:iCs/>
          <w:sz w:val="24"/>
          <w:szCs w:val="24"/>
          <w:lang w:val="it-IT"/>
        </w:rPr>
        <w:t>11</w:t>
      </w:r>
      <w:r w:rsidRPr="005C650F">
        <w:rPr>
          <w:rFonts w:ascii="Times New Roman" w:eastAsia="Times New Roman" w:hAnsi="Times New Roman" w:cs="Times New Roman"/>
          <w:sz w:val="24"/>
          <w:szCs w:val="24"/>
          <w:lang w:val="it-IT"/>
        </w:rPr>
        <w:t>(6), 973–980. https://doi.org/10.1093/scan/nsw017</w:t>
      </w:r>
    </w:p>
    <w:p w14:paraId="5FDF6CF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van </w:t>
      </w:r>
      <w:proofErr w:type="spellStart"/>
      <w:r w:rsidRPr="005C650F">
        <w:rPr>
          <w:rFonts w:ascii="Times New Roman" w:eastAsia="Times New Roman" w:hAnsi="Times New Roman" w:cs="Times New Roman"/>
          <w:sz w:val="24"/>
          <w:szCs w:val="24"/>
        </w:rPr>
        <w:t>Rooij</w:t>
      </w:r>
      <w:proofErr w:type="spellEnd"/>
      <w:r w:rsidRPr="005C650F">
        <w:rPr>
          <w:rFonts w:ascii="Times New Roman" w:eastAsia="Times New Roman" w:hAnsi="Times New Roman" w:cs="Times New Roman"/>
          <w:sz w:val="24"/>
          <w:szCs w:val="24"/>
        </w:rPr>
        <w:t xml:space="preserve">, D., Anagnostou, E., Arango, C., </w:t>
      </w:r>
      <w:proofErr w:type="spellStart"/>
      <w:r w:rsidRPr="005C650F">
        <w:rPr>
          <w:rFonts w:ascii="Times New Roman" w:eastAsia="Times New Roman" w:hAnsi="Times New Roman" w:cs="Times New Roman"/>
          <w:sz w:val="24"/>
          <w:szCs w:val="24"/>
        </w:rPr>
        <w:t>Auzias</w:t>
      </w:r>
      <w:proofErr w:type="spellEnd"/>
      <w:r w:rsidRPr="005C650F">
        <w:rPr>
          <w:rFonts w:ascii="Times New Roman" w:eastAsia="Times New Roman" w:hAnsi="Times New Roman" w:cs="Times New Roman"/>
          <w:sz w:val="24"/>
          <w:szCs w:val="24"/>
        </w:rPr>
        <w:t xml:space="preserve">, G., Behrmann, M., </w:t>
      </w:r>
      <w:proofErr w:type="spellStart"/>
      <w:r w:rsidRPr="005C650F">
        <w:rPr>
          <w:rFonts w:ascii="Times New Roman" w:eastAsia="Times New Roman" w:hAnsi="Times New Roman" w:cs="Times New Roman"/>
          <w:sz w:val="24"/>
          <w:szCs w:val="24"/>
        </w:rPr>
        <w:t>Busatto</w:t>
      </w:r>
      <w:proofErr w:type="spellEnd"/>
      <w:r w:rsidRPr="005C650F">
        <w:rPr>
          <w:rFonts w:ascii="Times New Roman" w:eastAsia="Times New Roman" w:hAnsi="Times New Roman" w:cs="Times New Roman"/>
          <w:sz w:val="24"/>
          <w:szCs w:val="24"/>
        </w:rPr>
        <w:t xml:space="preserve">, G. F., Calderoni, S., Daly, E., </w:t>
      </w:r>
      <w:proofErr w:type="spellStart"/>
      <w:r w:rsidRPr="005C650F">
        <w:rPr>
          <w:rFonts w:ascii="Times New Roman" w:eastAsia="Times New Roman" w:hAnsi="Times New Roman" w:cs="Times New Roman"/>
          <w:sz w:val="24"/>
          <w:szCs w:val="24"/>
        </w:rPr>
        <w:t>Deruelle</w:t>
      </w:r>
      <w:proofErr w:type="spellEnd"/>
      <w:r w:rsidRPr="005C650F">
        <w:rPr>
          <w:rFonts w:ascii="Times New Roman" w:eastAsia="Times New Roman" w:hAnsi="Times New Roman" w:cs="Times New Roman"/>
          <w:sz w:val="24"/>
          <w:szCs w:val="24"/>
        </w:rPr>
        <w:t xml:space="preserve">, C., Di Martino, A., </w:t>
      </w:r>
      <w:proofErr w:type="spellStart"/>
      <w:r w:rsidRPr="005C650F">
        <w:rPr>
          <w:rFonts w:ascii="Times New Roman" w:eastAsia="Times New Roman" w:hAnsi="Times New Roman" w:cs="Times New Roman"/>
          <w:sz w:val="24"/>
          <w:szCs w:val="24"/>
        </w:rPr>
        <w:t>Dinstein</w:t>
      </w:r>
      <w:proofErr w:type="spellEnd"/>
      <w:r w:rsidRPr="005C650F">
        <w:rPr>
          <w:rFonts w:ascii="Times New Roman" w:eastAsia="Times New Roman" w:hAnsi="Times New Roman" w:cs="Times New Roman"/>
          <w:sz w:val="24"/>
          <w:szCs w:val="24"/>
        </w:rPr>
        <w:t xml:space="preserve">, I., Duran, F. L. S., Durston, S., Ecker, C., Fair, D., Fedor, J., Fitzgerald, J., Freitag, C. M., Gallagher, L., … </w:t>
      </w:r>
      <w:proofErr w:type="spellStart"/>
      <w:r w:rsidRPr="005C650F">
        <w:rPr>
          <w:rFonts w:ascii="Times New Roman" w:eastAsia="Times New Roman" w:hAnsi="Times New Roman" w:cs="Times New Roman"/>
          <w:sz w:val="24"/>
          <w:szCs w:val="24"/>
        </w:rPr>
        <w:t>Buitelaar</w:t>
      </w:r>
      <w:proofErr w:type="spellEnd"/>
      <w:r w:rsidRPr="005C650F">
        <w:rPr>
          <w:rFonts w:ascii="Times New Roman" w:eastAsia="Times New Roman" w:hAnsi="Times New Roman" w:cs="Times New Roman"/>
          <w:sz w:val="24"/>
          <w:szCs w:val="24"/>
        </w:rPr>
        <w:t xml:space="preserve">, J. K. (2018). Cortical and subcortical brain morphometry differences between patients with autism spectrum disorder and healthy individuals across the lifespan: results from the ENIGMA ASD working group. </w:t>
      </w:r>
      <w:r w:rsidRPr="005C650F">
        <w:rPr>
          <w:rFonts w:ascii="Times New Roman" w:eastAsia="Times New Roman" w:hAnsi="Times New Roman" w:cs="Times New Roman"/>
          <w:i/>
          <w:iCs/>
          <w:sz w:val="24"/>
          <w:szCs w:val="24"/>
        </w:rPr>
        <w:t>The American Journal of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175</w:t>
      </w:r>
      <w:r w:rsidRPr="005C650F">
        <w:rPr>
          <w:rFonts w:ascii="Times New Roman" w:eastAsia="Times New Roman" w:hAnsi="Times New Roman" w:cs="Times New Roman"/>
          <w:sz w:val="24"/>
          <w:szCs w:val="24"/>
        </w:rPr>
        <w:t>(4), 359–369. https://doi.org/10.1176/appi.ajp.2017.17010100</w:t>
      </w:r>
    </w:p>
    <w:p w14:paraId="1963ED70"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Vargason, T., Grivas, G., Hollowood-Jones, K. L., &amp; Hahn, J. (2020). Towards a Multivariate Biomarker-Based Diagnosis of Autism Spectrum Disorder: Review and Discussion of Recent Advancements. </w:t>
      </w:r>
      <w:r w:rsidRPr="00203582">
        <w:rPr>
          <w:rFonts w:ascii="Times New Roman" w:eastAsia="Times New Roman" w:hAnsi="Times New Roman" w:cs="Times New Roman"/>
          <w:i/>
          <w:sz w:val="24"/>
          <w:szCs w:val="24"/>
        </w:rPr>
        <w:t xml:space="preserve">Seminars in </w:t>
      </w:r>
      <w:proofErr w:type="spellStart"/>
      <w:r w:rsidRPr="00203582">
        <w:rPr>
          <w:rFonts w:ascii="Times New Roman" w:eastAsia="Times New Roman" w:hAnsi="Times New Roman" w:cs="Times New Roman"/>
          <w:i/>
          <w:sz w:val="24"/>
          <w:szCs w:val="24"/>
        </w:rPr>
        <w:t>Pediatric</w:t>
      </w:r>
      <w:proofErr w:type="spellEnd"/>
      <w:r w:rsidRPr="00203582">
        <w:rPr>
          <w:rFonts w:ascii="Times New Roman" w:eastAsia="Times New Roman" w:hAnsi="Times New Roman" w:cs="Times New Roman"/>
          <w:i/>
          <w:sz w:val="24"/>
          <w:szCs w:val="24"/>
        </w:rPr>
        <w:t xml:space="preserve"> Neurology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34</w:t>
      </w:r>
      <w:r w:rsidRPr="00203582">
        <w:rPr>
          <w:rFonts w:ascii="Times New Roman" w:eastAsia="Times New Roman" w:hAnsi="Times New Roman" w:cs="Times New Roman"/>
          <w:sz w:val="24"/>
          <w:szCs w:val="24"/>
        </w:rPr>
        <w:t>, 100803. https://doi.org/10.1016/j.spen.2020.100803</w:t>
      </w:r>
    </w:p>
    <w:p w14:paraId="2998B3E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Vargason, T., Grivas, G., Hollowood-Jones, K. L., &amp; Hahn, J. (2020). Towards a Multivariate Biomarker-Based Diagnosis of Autism Spectrum Disorder: Review and Discussion of Recent Advancements. </w:t>
      </w:r>
      <w:r w:rsidRPr="005C650F">
        <w:rPr>
          <w:rFonts w:ascii="Times New Roman" w:eastAsia="Times New Roman" w:hAnsi="Times New Roman" w:cs="Times New Roman"/>
          <w:i/>
          <w:iCs/>
          <w:sz w:val="24"/>
          <w:szCs w:val="24"/>
        </w:rPr>
        <w:t xml:space="preserve">Seminars in </w:t>
      </w:r>
      <w:proofErr w:type="spellStart"/>
      <w:r w:rsidRPr="005C650F">
        <w:rPr>
          <w:rFonts w:ascii="Times New Roman" w:eastAsia="Times New Roman" w:hAnsi="Times New Roman" w:cs="Times New Roman"/>
          <w:i/>
          <w:iCs/>
          <w:sz w:val="24"/>
          <w:szCs w:val="24"/>
        </w:rPr>
        <w:t>Pediatric</w:t>
      </w:r>
      <w:proofErr w:type="spellEnd"/>
      <w:r w:rsidRPr="005C650F">
        <w:rPr>
          <w:rFonts w:ascii="Times New Roman" w:eastAsia="Times New Roman" w:hAnsi="Times New Roman" w:cs="Times New Roman"/>
          <w:i/>
          <w:iCs/>
          <w:sz w:val="24"/>
          <w:szCs w:val="24"/>
        </w:rPr>
        <w:t xml:space="preserve"> Neurology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34</w:t>
      </w:r>
      <w:r w:rsidRPr="005C650F">
        <w:rPr>
          <w:rFonts w:ascii="Times New Roman" w:eastAsia="Times New Roman" w:hAnsi="Times New Roman" w:cs="Times New Roman"/>
          <w:sz w:val="24"/>
          <w:szCs w:val="24"/>
        </w:rPr>
        <w:t>, 100803. https://doi.org/10.1016/j.spen.2020.100803</w:t>
      </w:r>
    </w:p>
    <w:p w14:paraId="6239C8E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it-IT"/>
        </w:rPr>
        <w:t xml:space="preserve">Vecchio, F., Miraglia, F., Pappalettera, C., Orticoni, A., Alù, F., Judica, E., Cotelli, M., &amp; Rossini, P. M. (2021). </w:t>
      </w:r>
      <w:r w:rsidRPr="005C650F">
        <w:rPr>
          <w:rFonts w:ascii="Times New Roman" w:eastAsia="Times New Roman" w:hAnsi="Times New Roman" w:cs="Times New Roman"/>
          <w:sz w:val="24"/>
          <w:szCs w:val="24"/>
        </w:rPr>
        <w:t xml:space="preserve">Entropy as measure of brain networks’ complexity in eyes open and closed conditions. </w:t>
      </w:r>
      <w:r w:rsidRPr="005C650F">
        <w:rPr>
          <w:rFonts w:ascii="Times New Roman" w:eastAsia="Times New Roman" w:hAnsi="Times New Roman" w:cs="Times New Roman"/>
          <w:i/>
          <w:iCs/>
          <w:sz w:val="24"/>
          <w:szCs w:val="24"/>
        </w:rPr>
        <w:t>Symmetry: Culture and 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w:t>
      </w:r>
      <w:r w:rsidRPr="005C650F">
        <w:rPr>
          <w:rFonts w:ascii="Times New Roman" w:eastAsia="Times New Roman" w:hAnsi="Times New Roman" w:cs="Times New Roman"/>
          <w:sz w:val="24"/>
          <w:szCs w:val="24"/>
        </w:rPr>
        <w:t>(11), 2178. https://doi.org/10.3390/sym13112178</w:t>
      </w:r>
    </w:p>
    <w:p w14:paraId="5DDD440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Vettori, S., Jacques, C., </w:t>
      </w:r>
      <w:proofErr w:type="spellStart"/>
      <w:r w:rsidRPr="005C650F">
        <w:rPr>
          <w:rFonts w:ascii="Times New Roman" w:eastAsia="Times New Roman" w:hAnsi="Times New Roman" w:cs="Times New Roman"/>
          <w:sz w:val="24"/>
          <w:szCs w:val="24"/>
        </w:rPr>
        <w:t>Boets</w:t>
      </w:r>
      <w:proofErr w:type="spellEnd"/>
      <w:r w:rsidRPr="005C650F">
        <w:rPr>
          <w:rFonts w:ascii="Times New Roman" w:eastAsia="Times New Roman" w:hAnsi="Times New Roman" w:cs="Times New Roman"/>
          <w:sz w:val="24"/>
          <w:szCs w:val="24"/>
        </w:rPr>
        <w:t xml:space="preserve">, B., &amp; </w:t>
      </w:r>
      <w:proofErr w:type="spellStart"/>
      <w:r w:rsidRPr="005C650F">
        <w:rPr>
          <w:rFonts w:ascii="Times New Roman" w:eastAsia="Times New Roman" w:hAnsi="Times New Roman" w:cs="Times New Roman"/>
          <w:sz w:val="24"/>
          <w:szCs w:val="24"/>
        </w:rPr>
        <w:t>Rossion</w:t>
      </w:r>
      <w:proofErr w:type="spellEnd"/>
      <w:r w:rsidRPr="005C650F">
        <w:rPr>
          <w:rFonts w:ascii="Times New Roman" w:eastAsia="Times New Roman" w:hAnsi="Times New Roman" w:cs="Times New Roman"/>
          <w:sz w:val="24"/>
          <w:szCs w:val="24"/>
        </w:rPr>
        <w:t xml:space="preserve">, B. (2019). Can the N170 be used as an electrophysiological biomarker indexing face processing difficulties in autism spectrum disorder? </w:t>
      </w:r>
      <w:r w:rsidRPr="005C650F">
        <w:rPr>
          <w:rFonts w:ascii="Times New Roman" w:eastAsia="Times New Roman" w:hAnsi="Times New Roman" w:cs="Times New Roman"/>
          <w:i/>
          <w:iCs/>
          <w:sz w:val="24"/>
          <w:szCs w:val="24"/>
        </w:rPr>
        <w:t>Biological Psychiatry: Cognitive Neuroscience and Neuroimaging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w:t>
      </w:r>
      <w:r w:rsidRPr="005C650F">
        <w:rPr>
          <w:rFonts w:ascii="Times New Roman" w:eastAsia="Times New Roman" w:hAnsi="Times New Roman" w:cs="Times New Roman"/>
          <w:sz w:val="24"/>
          <w:szCs w:val="24"/>
        </w:rPr>
        <w:t>(3), 321–323. https://doi.org/10.1016/j.bpsc.2018.07.015</w:t>
      </w:r>
    </w:p>
    <w:p w14:paraId="0C87688F"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Vlahou</w:t>
      </w:r>
      <w:proofErr w:type="spellEnd"/>
      <w:r w:rsidRPr="00203582">
        <w:rPr>
          <w:rFonts w:ascii="Times New Roman" w:eastAsia="Times New Roman" w:hAnsi="Times New Roman" w:cs="Times New Roman"/>
          <w:sz w:val="24"/>
          <w:szCs w:val="24"/>
        </w:rPr>
        <w:t xml:space="preserve">, E. L., Thurm, F., Kolassa, I.-T., &amp; Schlee, W. (2014). Resting-state slow wave power, healthy aging and cognitive performance. </w:t>
      </w:r>
      <w:r w:rsidRPr="00203582">
        <w:rPr>
          <w:rFonts w:ascii="Times New Roman" w:eastAsia="Times New Roman" w:hAnsi="Times New Roman" w:cs="Times New Roman"/>
          <w:i/>
          <w:sz w:val="24"/>
          <w:szCs w:val="24"/>
        </w:rPr>
        <w:t>Scientific Reports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w:t>
      </w:r>
      <w:r w:rsidRPr="00203582">
        <w:rPr>
          <w:rFonts w:ascii="Times New Roman" w:eastAsia="Times New Roman" w:hAnsi="Times New Roman" w:cs="Times New Roman"/>
          <w:sz w:val="24"/>
          <w:szCs w:val="24"/>
        </w:rPr>
        <w:t>, 5101. https://doi.org/10.1038/srep05101</w:t>
      </w:r>
    </w:p>
    <w:p w14:paraId="41C2E94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von Stein, A., &amp; </w:t>
      </w:r>
      <w:proofErr w:type="spellStart"/>
      <w:r w:rsidRPr="005C650F">
        <w:rPr>
          <w:rFonts w:ascii="Times New Roman" w:eastAsia="Times New Roman" w:hAnsi="Times New Roman" w:cs="Times New Roman"/>
          <w:sz w:val="24"/>
          <w:szCs w:val="24"/>
        </w:rPr>
        <w:t>Sarnthein</w:t>
      </w:r>
      <w:proofErr w:type="spellEnd"/>
      <w:r w:rsidRPr="005C650F">
        <w:rPr>
          <w:rFonts w:ascii="Times New Roman" w:eastAsia="Times New Roman" w:hAnsi="Times New Roman" w:cs="Times New Roman"/>
          <w:sz w:val="24"/>
          <w:szCs w:val="24"/>
        </w:rPr>
        <w:t xml:space="preserve">, J. (2000). Different frequencies for different scales of cortical integration: from local gamma to long range alpha/theta synchronization. </w:t>
      </w:r>
      <w:r w:rsidRPr="005C650F">
        <w:rPr>
          <w:rFonts w:ascii="Times New Roman" w:eastAsia="Times New Roman" w:hAnsi="Times New Roman" w:cs="Times New Roman"/>
          <w:i/>
          <w:iCs/>
          <w:sz w:val="24"/>
          <w:szCs w:val="24"/>
        </w:rPr>
        <w:t>International Journal of Psychophysiology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38</w:t>
      </w:r>
      <w:r w:rsidRPr="005C650F">
        <w:rPr>
          <w:rFonts w:ascii="Times New Roman" w:eastAsia="Times New Roman" w:hAnsi="Times New Roman" w:cs="Times New Roman"/>
          <w:sz w:val="24"/>
          <w:szCs w:val="24"/>
        </w:rPr>
        <w:t>(3), 301–313. https://doi.org/10.1016/S0167-8760(00)00172-0</w:t>
      </w:r>
    </w:p>
    <w:p w14:paraId="6D7C0C87"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lastRenderedPageBreak/>
        <w:t>Vysata</w:t>
      </w:r>
      <w:proofErr w:type="spellEnd"/>
      <w:r w:rsidRPr="00203582">
        <w:rPr>
          <w:rFonts w:ascii="Times New Roman" w:eastAsia="Times New Roman" w:hAnsi="Times New Roman" w:cs="Times New Roman"/>
          <w:sz w:val="24"/>
          <w:szCs w:val="24"/>
        </w:rPr>
        <w:t xml:space="preserve">, O., Kukal, J., Prochazka, A., Pazdera, L., &amp; Valis, M. (2012). Age-Related Changes in the Energy and Spectral Composition of EEG. </w:t>
      </w:r>
      <w:r w:rsidRPr="00203582">
        <w:rPr>
          <w:rFonts w:ascii="Times New Roman" w:eastAsia="Times New Roman" w:hAnsi="Times New Roman" w:cs="Times New Roman"/>
          <w:i/>
          <w:sz w:val="24"/>
          <w:szCs w:val="24"/>
        </w:rPr>
        <w:t>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44</w:t>
      </w:r>
      <w:r w:rsidRPr="00203582">
        <w:rPr>
          <w:rFonts w:ascii="Times New Roman" w:eastAsia="Times New Roman" w:hAnsi="Times New Roman" w:cs="Times New Roman"/>
          <w:sz w:val="24"/>
          <w:szCs w:val="24"/>
        </w:rPr>
        <w:t>(1), 63–67. https://doi.org/10.1007/s11062-012-9268-y</w:t>
      </w:r>
    </w:p>
    <w:p w14:paraId="4AF978A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Walker, D. R., Thompson, A., </w:t>
      </w:r>
      <w:proofErr w:type="spellStart"/>
      <w:r w:rsidRPr="00203582">
        <w:rPr>
          <w:rFonts w:ascii="Times New Roman" w:eastAsia="Times New Roman" w:hAnsi="Times New Roman" w:cs="Times New Roman"/>
          <w:sz w:val="24"/>
          <w:szCs w:val="24"/>
        </w:rPr>
        <w:t>Zwaigenbaum</w:t>
      </w:r>
      <w:proofErr w:type="spellEnd"/>
      <w:r w:rsidRPr="00203582">
        <w:rPr>
          <w:rFonts w:ascii="Times New Roman" w:eastAsia="Times New Roman" w:hAnsi="Times New Roman" w:cs="Times New Roman"/>
          <w:sz w:val="24"/>
          <w:szCs w:val="24"/>
        </w:rPr>
        <w:t xml:space="preserve">, L., Goldberg, J., Bryson, S. E., Mahoney, W. J., Strawbridge, C. P., &amp; Szatmari, P. (2004). Specifying PDD-NOS: a comparison of PDD-NOS, Asperger syndrome, and autism. </w:t>
      </w:r>
      <w:r w:rsidRPr="00203582">
        <w:rPr>
          <w:rFonts w:ascii="Times New Roman" w:eastAsia="Times New Roman" w:hAnsi="Times New Roman" w:cs="Times New Roman"/>
          <w:i/>
          <w:sz w:val="24"/>
          <w:szCs w:val="24"/>
        </w:rPr>
        <w:t>Journal of the American Academy of Child and Adolescent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43</w:t>
      </w:r>
      <w:r w:rsidRPr="00203582">
        <w:rPr>
          <w:rFonts w:ascii="Times New Roman" w:eastAsia="Times New Roman" w:hAnsi="Times New Roman" w:cs="Times New Roman"/>
          <w:sz w:val="24"/>
          <w:szCs w:val="24"/>
        </w:rPr>
        <w:t>(2), 172–180. https://doi.org/10.1097/00004583-200402000-00012</w:t>
      </w:r>
    </w:p>
    <w:p w14:paraId="5F97526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 L., Huang, H., Schwab, N., Tanner, J., Rajan, A., Lam, N. B., </w:t>
      </w:r>
      <w:proofErr w:type="spellStart"/>
      <w:r w:rsidRPr="005C650F">
        <w:rPr>
          <w:rFonts w:ascii="Times New Roman" w:eastAsia="Times New Roman" w:hAnsi="Times New Roman" w:cs="Times New Roman"/>
          <w:sz w:val="24"/>
          <w:szCs w:val="24"/>
        </w:rPr>
        <w:t>Zaborszky</w:t>
      </w:r>
      <w:proofErr w:type="spellEnd"/>
      <w:r w:rsidRPr="005C650F">
        <w:rPr>
          <w:rFonts w:ascii="Times New Roman" w:eastAsia="Times New Roman" w:hAnsi="Times New Roman" w:cs="Times New Roman"/>
          <w:sz w:val="24"/>
          <w:szCs w:val="24"/>
        </w:rPr>
        <w:t xml:space="preserve">, L., Li, C.-S. R., Price, C. C., &amp; Ding, M. (2019). From eyes-closed to eyes-open: Role of cholinergic projections in EC-to-EO alpha reactivity revealed by combining EEG and MRI.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40</w:t>
      </w:r>
      <w:r w:rsidRPr="005C650F">
        <w:rPr>
          <w:rFonts w:ascii="Times New Roman" w:eastAsia="Times New Roman" w:hAnsi="Times New Roman" w:cs="Times New Roman"/>
          <w:sz w:val="24"/>
          <w:szCs w:val="24"/>
        </w:rPr>
        <w:t>(2), 566–577. https://doi.org/10.1002/hbm.24395</w:t>
      </w:r>
    </w:p>
    <w:p w14:paraId="4B40ECD2"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nl-NL"/>
        </w:rPr>
        <w:t xml:space="preserve">Wang, A. T., Lee, S. S., Sigman, M., &amp; Dapretto, M. (2007). </w:t>
      </w:r>
      <w:r w:rsidRPr="005C650F">
        <w:rPr>
          <w:rFonts w:ascii="Times New Roman" w:eastAsia="Times New Roman" w:hAnsi="Times New Roman" w:cs="Times New Roman"/>
          <w:sz w:val="24"/>
          <w:szCs w:val="24"/>
        </w:rPr>
        <w:t xml:space="preserve">Reading affect in the face and voice: neural correlates of interpreting communicative intent in children and adolescents with autism spectrum disorders. </w:t>
      </w:r>
      <w:r w:rsidRPr="005C650F">
        <w:rPr>
          <w:rFonts w:ascii="Times New Roman" w:eastAsia="Times New Roman" w:hAnsi="Times New Roman" w:cs="Times New Roman"/>
          <w:i/>
          <w:iCs/>
          <w:sz w:val="24"/>
          <w:szCs w:val="24"/>
        </w:rPr>
        <w:t>Archives of General Psychiatry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64</w:t>
      </w:r>
      <w:r w:rsidRPr="005C650F">
        <w:rPr>
          <w:rFonts w:ascii="Times New Roman" w:eastAsia="Times New Roman" w:hAnsi="Times New Roman" w:cs="Times New Roman"/>
          <w:sz w:val="24"/>
          <w:szCs w:val="24"/>
        </w:rPr>
        <w:t>(6), 698–708. https://doi.org/10.1001/archpsyc.64.6.698</w:t>
      </w:r>
    </w:p>
    <w:p w14:paraId="14C9FEF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B., Niu, Y., Miao, L., Cao, R., Yan, P., Guo, H., Li, D., Guo, Y., Yan, T., Wu, J., Xiang, J., &amp; Zhang, H. (2017). Decreased Complexity in Alzheimer’s Disease: Resting-State fMRI Evidence of Brain Entropy Mapping. </w:t>
      </w:r>
      <w:r w:rsidRPr="005C650F">
        <w:rPr>
          <w:rFonts w:ascii="Times New Roman" w:eastAsia="Times New Roman" w:hAnsi="Times New Roman" w:cs="Times New Roman"/>
          <w:i/>
          <w:iCs/>
          <w:sz w:val="24"/>
          <w:szCs w:val="24"/>
        </w:rPr>
        <w:t>Frontiers in Aging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378. https://doi.org/10.3389/fnagi.2017.00378</w:t>
      </w:r>
    </w:p>
    <w:p w14:paraId="244833C9"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D. J. J., Jann, K., Fan, C., Qiao, Y., Zang, Y.-F., Lu, H., &amp; Yang, Y. (2018). Neurophysiological Basis of Multi-Scale Entropy of Brain Complexity and Its Relationship With Functional Connectivity. </w:t>
      </w:r>
      <w:r w:rsidRPr="005C650F">
        <w:rPr>
          <w:rFonts w:ascii="Times New Roman" w:eastAsia="Times New Roman" w:hAnsi="Times New Roman" w:cs="Times New Roman"/>
          <w:i/>
          <w:iCs/>
          <w:sz w:val="24"/>
          <w:szCs w:val="24"/>
        </w:rPr>
        <w:t>Frontiers in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352. https://doi.org/10.3389/fnins.2018.00352</w:t>
      </w:r>
    </w:p>
    <w:p w14:paraId="00F773E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H., Ghaderi, A., Long, X., Reynolds, J. E., Lebel, C., &amp; </w:t>
      </w:r>
      <w:proofErr w:type="spellStart"/>
      <w:r w:rsidRPr="005C650F">
        <w:rPr>
          <w:rFonts w:ascii="Times New Roman" w:eastAsia="Times New Roman" w:hAnsi="Times New Roman" w:cs="Times New Roman"/>
          <w:sz w:val="24"/>
          <w:szCs w:val="24"/>
        </w:rPr>
        <w:t>Protzner</w:t>
      </w:r>
      <w:proofErr w:type="spellEnd"/>
      <w:r w:rsidRPr="005C650F">
        <w:rPr>
          <w:rFonts w:ascii="Times New Roman" w:eastAsia="Times New Roman" w:hAnsi="Times New Roman" w:cs="Times New Roman"/>
          <w:sz w:val="24"/>
          <w:szCs w:val="24"/>
        </w:rPr>
        <w:t xml:space="preserve">, A. B. (2021). The longitudinal relationship between BOLD signal variability changes and white matter maturation during early childhood.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242</w:t>
      </w:r>
      <w:r w:rsidRPr="005C650F">
        <w:rPr>
          <w:rFonts w:ascii="Times New Roman" w:eastAsia="Times New Roman" w:hAnsi="Times New Roman" w:cs="Times New Roman"/>
          <w:sz w:val="24"/>
          <w:szCs w:val="24"/>
        </w:rPr>
        <w:t>, 118448. https://doi.org/10.1016/j.neuroimage.2021.118448</w:t>
      </w:r>
    </w:p>
    <w:p w14:paraId="3025014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Wang, H., McIntosh, A. R., Kovacevic, N., Karachalios, M., &amp; </w:t>
      </w:r>
      <w:proofErr w:type="spellStart"/>
      <w:r w:rsidRPr="00203582">
        <w:rPr>
          <w:rFonts w:ascii="Times New Roman" w:eastAsia="Times New Roman" w:hAnsi="Times New Roman" w:cs="Times New Roman"/>
          <w:sz w:val="24"/>
          <w:szCs w:val="24"/>
        </w:rPr>
        <w:t>Protzner</w:t>
      </w:r>
      <w:proofErr w:type="spellEnd"/>
      <w:r w:rsidRPr="00203582">
        <w:rPr>
          <w:rFonts w:ascii="Times New Roman" w:eastAsia="Times New Roman" w:hAnsi="Times New Roman" w:cs="Times New Roman"/>
          <w:sz w:val="24"/>
          <w:szCs w:val="24"/>
        </w:rPr>
        <w:t xml:space="preserve">, A. B. (2016). Age-related Multiscale Changes in Brain Signal Variability in Pre-task versus Post-task Resting-state EEG. </w:t>
      </w:r>
      <w:r w:rsidRPr="00203582">
        <w:rPr>
          <w:rFonts w:ascii="Times New Roman" w:eastAsia="Times New Roman" w:hAnsi="Times New Roman" w:cs="Times New Roman"/>
          <w:i/>
          <w:sz w:val="24"/>
          <w:szCs w:val="24"/>
        </w:rPr>
        <w:t>Journal of Cognitive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28</w:t>
      </w:r>
      <w:r w:rsidRPr="00203582">
        <w:rPr>
          <w:rFonts w:ascii="Times New Roman" w:eastAsia="Times New Roman" w:hAnsi="Times New Roman" w:cs="Times New Roman"/>
          <w:sz w:val="24"/>
          <w:szCs w:val="24"/>
        </w:rPr>
        <w:t>(7), 971–984. https://doi.org/10.1162/jocn_a_00947</w:t>
      </w:r>
    </w:p>
    <w:p w14:paraId="16AF2E1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Wang, J., </w:t>
      </w:r>
      <w:proofErr w:type="spellStart"/>
      <w:r w:rsidRPr="00203582">
        <w:rPr>
          <w:rFonts w:ascii="Times New Roman" w:eastAsia="Times New Roman" w:hAnsi="Times New Roman" w:cs="Times New Roman"/>
          <w:sz w:val="24"/>
          <w:szCs w:val="24"/>
        </w:rPr>
        <w:t>Barstein</w:t>
      </w:r>
      <w:proofErr w:type="spellEnd"/>
      <w:r w:rsidRPr="00203582">
        <w:rPr>
          <w:rFonts w:ascii="Times New Roman" w:eastAsia="Times New Roman" w:hAnsi="Times New Roman" w:cs="Times New Roman"/>
          <w:sz w:val="24"/>
          <w:szCs w:val="24"/>
        </w:rPr>
        <w:t xml:space="preserve">, J., Ethridge, L. E., Mosconi, M. W., </w:t>
      </w:r>
      <w:proofErr w:type="spellStart"/>
      <w:r w:rsidRPr="00203582">
        <w:rPr>
          <w:rFonts w:ascii="Times New Roman" w:eastAsia="Times New Roman" w:hAnsi="Times New Roman" w:cs="Times New Roman"/>
          <w:sz w:val="24"/>
          <w:szCs w:val="24"/>
        </w:rPr>
        <w:t>Takarae</w:t>
      </w:r>
      <w:proofErr w:type="spellEnd"/>
      <w:r w:rsidRPr="00203582">
        <w:rPr>
          <w:rFonts w:ascii="Times New Roman" w:eastAsia="Times New Roman" w:hAnsi="Times New Roman" w:cs="Times New Roman"/>
          <w:sz w:val="24"/>
          <w:szCs w:val="24"/>
        </w:rPr>
        <w:t xml:space="preserve">, Y., &amp; Sweeney, J. A. (2013). Resting state EEG abnormalities in autism spectrum disorders. </w:t>
      </w:r>
      <w:r w:rsidRPr="00203582">
        <w:rPr>
          <w:rFonts w:ascii="Times New Roman" w:eastAsia="Times New Roman" w:hAnsi="Times New Roman" w:cs="Times New Roman"/>
          <w:i/>
          <w:sz w:val="24"/>
          <w:szCs w:val="24"/>
        </w:rPr>
        <w:t>Journal of Neurodevelopmental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5</w:t>
      </w:r>
      <w:r w:rsidRPr="00203582">
        <w:rPr>
          <w:rFonts w:ascii="Times New Roman" w:eastAsia="Times New Roman" w:hAnsi="Times New Roman" w:cs="Times New Roman"/>
          <w:sz w:val="24"/>
          <w:szCs w:val="24"/>
        </w:rPr>
        <w:t>(1), 24. https://doi.org/10.1186/1866-1955-5-24</w:t>
      </w:r>
    </w:p>
    <w:p w14:paraId="598885F4"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J., </w:t>
      </w:r>
      <w:proofErr w:type="spellStart"/>
      <w:r w:rsidRPr="005C650F">
        <w:rPr>
          <w:rFonts w:ascii="Times New Roman" w:eastAsia="Times New Roman" w:hAnsi="Times New Roman" w:cs="Times New Roman"/>
          <w:sz w:val="24"/>
          <w:szCs w:val="24"/>
        </w:rPr>
        <w:t>Barstein</w:t>
      </w:r>
      <w:proofErr w:type="spellEnd"/>
      <w:r w:rsidRPr="005C650F">
        <w:rPr>
          <w:rFonts w:ascii="Times New Roman" w:eastAsia="Times New Roman" w:hAnsi="Times New Roman" w:cs="Times New Roman"/>
          <w:sz w:val="24"/>
          <w:szCs w:val="24"/>
        </w:rPr>
        <w:t xml:space="preserve">, J., Ethridge, L. E., Mosconi, M. W., </w:t>
      </w:r>
      <w:proofErr w:type="spellStart"/>
      <w:r w:rsidRPr="005C650F">
        <w:rPr>
          <w:rFonts w:ascii="Times New Roman" w:eastAsia="Times New Roman" w:hAnsi="Times New Roman" w:cs="Times New Roman"/>
          <w:sz w:val="24"/>
          <w:szCs w:val="24"/>
        </w:rPr>
        <w:t>Takarae</w:t>
      </w:r>
      <w:proofErr w:type="spellEnd"/>
      <w:r w:rsidRPr="005C650F">
        <w:rPr>
          <w:rFonts w:ascii="Times New Roman" w:eastAsia="Times New Roman" w:hAnsi="Times New Roman" w:cs="Times New Roman"/>
          <w:sz w:val="24"/>
          <w:szCs w:val="24"/>
        </w:rPr>
        <w:t xml:space="preserve">, Y., &amp; Sweeney, J. A. (2013). Resting state EEG abnormalities in autism spectrum disorders. </w:t>
      </w:r>
      <w:r w:rsidRPr="005C650F">
        <w:rPr>
          <w:rFonts w:ascii="Times New Roman" w:eastAsia="Times New Roman" w:hAnsi="Times New Roman" w:cs="Times New Roman"/>
          <w:i/>
          <w:iCs/>
          <w:sz w:val="24"/>
          <w:szCs w:val="24"/>
        </w:rPr>
        <w:t>Journal of Neurodevelopmental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(1), 24. https://doi.org/10.1186/1866-1955-5-24</w:t>
      </w:r>
    </w:p>
    <w:p w14:paraId="6587D66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Jiang, &amp; Wang, M. (2021). Review of the emotional feature extraction and classification using EEG signals. </w:t>
      </w:r>
      <w:r w:rsidRPr="005C650F">
        <w:rPr>
          <w:rFonts w:ascii="Times New Roman" w:eastAsia="Times New Roman" w:hAnsi="Times New Roman" w:cs="Times New Roman"/>
          <w:i/>
          <w:iCs/>
          <w:sz w:val="24"/>
          <w:szCs w:val="24"/>
        </w:rPr>
        <w:t>Cognitive Robotics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w:t>
      </w:r>
      <w:r w:rsidRPr="005C650F">
        <w:rPr>
          <w:rFonts w:ascii="Times New Roman" w:eastAsia="Times New Roman" w:hAnsi="Times New Roman" w:cs="Times New Roman"/>
          <w:sz w:val="24"/>
          <w:szCs w:val="24"/>
        </w:rPr>
        <w:t>, 29–40. https://doi.org/10.1016/j.cogr.2021.04.001</w:t>
      </w:r>
    </w:p>
    <w:p w14:paraId="273990E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Jun, </w:t>
      </w:r>
      <w:proofErr w:type="spellStart"/>
      <w:r w:rsidRPr="005C650F">
        <w:rPr>
          <w:rFonts w:ascii="Times New Roman" w:eastAsia="Times New Roman" w:hAnsi="Times New Roman" w:cs="Times New Roman"/>
          <w:sz w:val="24"/>
          <w:szCs w:val="24"/>
        </w:rPr>
        <w:t>Barstein</w:t>
      </w:r>
      <w:proofErr w:type="spellEnd"/>
      <w:r w:rsidRPr="005C650F">
        <w:rPr>
          <w:rFonts w:ascii="Times New Roman" w:eastAsia="Times New Roman" w:hAnsi="Times New Roman" w:cs="Times New Roman"/>
          <w:sz w:val="24"/>
          <w:szCs w:val="24"/>
        </w:rPr>
        <w:t xml:space="preserve">, J., Ethridge, L. E., Mosconi, M. W., </w:t>
      </w:r>
      <w:proofErr w:type="spellStart"/>
      <w:r w:rsidRPr="005C650F">
        <w:rPr>
          <w:rFonts w:ascii="Times New Roman" w:eastAsia="Times New Roman" w:hAnsi="Times New Roman" w:cs="Times New Roman"/>
          <w:sz w:val="24"/>
          <w:szCs w:val="24"/>
        </w:rPr>
        <w:t>Takarae</w:t>
      </w:r>
      <w:proofErr w:type="spellEnd"/>
      <w:r w:rsidRPr="005C650F">
        <w:rPr>
          <w:rFonts w:ascii="Times New Roman" w:eastAsia="Times New Roman" w:hAnsi="Times New Roman" w:cs="Times New Roman"/>
          <w:sz w:val="24"/>
          <w:szCs w:val="24"/>
        </w:rPr>
        <w:t xml:space="preserve">, Y., &amp; Sweeney, J. A. (2013). Resting state EEG abnormalities in autism spectrum disorders. </w:t>
      </w:r>
      <w:r w:rsidRPr="005C650F">
        <w:rPr>
          <w:rFonts w:ascii="Times New Roman" w:eastAsia="Times New Roman" w:hAnsi="Times New Roman" w:cs="Times New Roman"/>
          <w:i/>
          <w:iCs/>
          <w:sz w:val="24"/>
          <w:szCs w:val="24"/>
        </w:rPr>
        <w:t>Journal of Neurodevelopmental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w:t>
      </w:r>
      <w:r w:rsidRPr="005C650F">
        <w:rPr>
          <w:rFonts w:ascii="Times New Roman" w:eastAsia="Times New Roman" w:hAnsi="Times New Roman" w:cs="Times New Roman"/>
          <w:sz w:val="24"/>
          <w:szCs w:val="24"/>
        </w:rPr>
        <w:t>(1), 24. https://doi.org/10.1186/1866-1955-5-24</w:t>
      </w:r>
    </w:p>
    <w:p w14:paraId="6678B31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Jun, Ethridge, L. E., Mosconi, M. W., White, S. P., Binder, D. K., </w:t>
      </w:r>
      <w:proofErr w:type="spellStart"/>
      <w:r w:rsidRPr="005C650F">
        <w:rPr>
          <w:rFonts w:ascii="Times New Roman" w:eastAsia="Times New Roman" w:hAnsi="Times New Roman" w:cs="Times New Roman"/>
          <w:sz w:val="24"/>
          <w:szCs w:val="24"/>
        </w:rPr>
        <w:t>Pedapati</w:t>
      </w:r>
      <w:proofErr w:type="spellEnd"/>
      <w:r w:rsidRPr="005C650F">
        <w:rPr>
          <w:rFonts w:ascii="Times New Roman" w:eastAsia="Times New Roman" w:hAnsi="Times New Roman" w:cs="Times New Roman"/>
          <w:sz w:val="24"/>
          <w:szCs w:val="24"/>
        </w:rPr>
        <w:t xml:space="preserve">, E. V., Erickson, C. A., Byerly, M. J., &amp; Sweeney, J. A. (2017). A resting EEG study of neocortical hyperexcitability and altered functional connectivity in fragile X syndrome. </w:t>
      </w:r>
      <w:r w:rsidRPr="005C650F">
        <w:rPr>
          <w:rFonts w:ascii="Times New Roman" w:eastAsia="Times New Roman" w:hAnsi="Times New Roman" w:cs="Times New Roman"/>
          <w:i/>
          <w:iCs/>
          <w:sz w:val="24"/>
          <w:szCs w:val="24"/>
        </w:rPr>
        <w:t>Journal of Neurodevelopmental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11. https://doi.org/10.1186/s11689-017-9191-z</w:t>
      </w:r>
    </w:p>
    <w:p w14:paraId="3F7AD2D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Y., Li, J., Zeng, L., Wang, H., Yang, T., Shao, Y., &amp; Weng, X. (2022). Open Eyes Increase Neural Oscillation and Enhance Effective Brain Connectivity of the Default Mode Network: Resting-State Electroencephalogram Research. </w:t>
      </w:r>
      <w:r w:rsidRPr="005C650F">
        <w:rPr>
          <w:rFonts w:ascii="Times New Roman" w:eastAsia="Times New Roman" w:hAnsi="Times New Roman" w:cs="Times New Roman"/>
          <w:i/>
          <w:iCs/>
          <w:sz w:val="24"/>
          <w:szCs w:val="24"/>
        </w:rPr>
        <w:t>Frontiers in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16</w:t>
      </w:r>
      <w:r w:rsidRPr="005C650F">
        <w:rPr>
          <w:rFonts w:ascii="Times New Roman" w:eastAsia="Times New Roman" w:hAnsi="Times New Roman" w:cs="Times New Roman"/>
          <w:sz w:val="24"/>
          <w:szCs w:val="24"/>
        </w:rPr>
        <w:t>, 861247. https://doi.org/10.3389/fnins.2022.861247</w:t>
      </w:r>
    </w:p>
    <w:p w14:paraId="65F7745E"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Wang, Z. (2021). The neurocognitive correlates of brain entropy estimated by resting state fMRI.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232</w:t>
      </w:r>
      <w:r w:rsidRPr="00203582">
        <w:rPr>
          <w:rFonts w:ascii="Times New Roman" w:eastAsia="Times New Roman" w:hAnsi="Times New Roman" w:cs="Times New Roman"/>
          <w:sz w:val="24"/>
          <w:szCs w:val="24"/>
        </w:rPr>
        <w:t>, 117893. https://doi.org/10.1016/j.neuroimage.2021.117893</w:t>
      </w:r>
    </w:p>
    <w:p w14:paraId="61383A6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Wang, Z., &amp; Alzheimer’s Disease Neuroimaging Initiative. (2020). Brain entropy mapping in healthy aging and </w:t>
      </w:r>
      <w:proofErr w:type="spellStart"/>
      <w:r w:rsidRPr="00203582">
        <w:rPr>
          <w:rFonts w:ascii="Times New Roman" w:eastAsia="Times New Roman" w:hAnsi="Times New Roman" w:cs="Times New Roman"/>
          <w:sz w:val="24"/>
          <w:szCs w:val="24"/>
        </w:rPr>
        <w:t>alzheimer’s</w:t>
      </w:r>
      <w:proofErr w:type="spellEnd"/>
      <w:r w:rsidRPr="00203582">
        <w:rPr>
          <w:rFonts w:ascii="Times New Roman" w:eastAsia="Times New Roman" w:hAnsi="Times New Roman" w:cs="Times New Roman"/>
          <w:sz w:val="24"/>
          <w:szCs w:val="24"/>
        </w:rPr>
        <w:t xml:space="preserve"> disease. </w:t>
      </w:r>
      <w:r w:rsidRPr="00203582">
        <w:rPr>
          <w:rFonts w:ascii="Times New Roman" w:eastAsia="Times New Roman" w:hAnsi="Times New Roman" w:cs="Times New Roman"/>
          <w:i/>
          <w:sz w:val="24"/>
          <w:szCs w:val="24"/>
        </w:rPr>
        <w:t>Frontiers in Aging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 596122. https://doi.org/10.3389/fnagi.2020.596122</w:t>
      </w:r>
    </w:p>
    <w:p w14:paraId="4526403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Z., &amp; Alzheimer’s Disease Neuroimaging Initiative. (2020). Brain entropy mapping in healthy aging and </w:t>
      </w:r>
      <w:proofErr w:type="spellStart"/>
      <w:r w:rsidRPr="005C650F">
        <w:rPr>
          <w:rFonts w:ascii="Times New Roman" w:eastAsia="Times New Roman" w:hAnsi="Times New Roman" w:cs="Times New Roman"/>
          <w:sz w:val="24"/>
          <w:szCs w:val="24"/>
        </w:rPr>
        <w:t>alzheimer’s</w:t>
      </w:r>
      <w:proofErr w:type="spellEnd"/>
      <w:r w:rsidRPr="005C650F">
        <w:rPr>
          <w:rFonts w:ascii="Times New Roman" w:eastAsia="Times New Roman" w:hAnsi="Times New Roman" w:cs="Times New Roman"/>
          <w:sz w:val="24"/>
          <w:szCs w:val="24"/>
        </w:rPr>
        <w:t xml:space="preserve"> disease. </w:t>
      </w:r>
      <w:r w:rsidRPr="005C650F">
        <w:rPr>
          <w:rFonts w:ascii="Times New Roman" w:eastAsia="Times New Roman" w:hAnsi="Times New Roman" w:cs="Times New Roman"/>
          <w:i/>
          <w:iCs/>
          <w:sz w:val="24"/>
          <w:szCs w:val="24"/>
        </w:rPr>
        <w:t>Frontiers in Aging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596122. https://doi.org/10.3389/fnagi.2020.596122</w:t>
      </w:r>
    </w:p>
    <w:p w14:paraId="677B396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Wang, Z., Li, Y., Childress, A. R., &amp; Detre, J. A. (2014). Brain entropy mapping using fMRI. </w:t>
      </w:r>
      <w:proofErr w:type="spellStart"/>
      <w:r w:rsidRPr="00203582">
        <w:rPr>
          <w:rFonts w:ascii="Times New Roman" w:eastAsia="Times New Roman" w:hAnsi="Times New Roman" w:cs="Times New Roman"/>
          <w:i/>
          <w:sz w:val="24"/>
          <w:szCs w:val="24"/>
        </w:rPr>
        <w:t>Plos</w:t>
      </w:r>
      <w:proofErr w:type="spellEnd"/>
      <w:r w:rsidRPr="00203582">
        <w:rPr>
          <w:rFonts w:ascii="Times New Roman" w:eastAsia="Times New Roman" w:hAnsi="Times New Roman" w:cs="Times New Roman"/>
          <w:i/>
          <w:sz w:val="24"/>
          <w:szCs w:val="24"/>
        </w:rPr>
        <w:t xml:space="preserve"> One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w:t>
      </w:r>
      <w:r w:rsidRPr="00203582">
        <w:rPr>
          <w:rFonts w:ascii="Times New Roman" w:eastAsia="Times New Roman" w:hAnsi="Times New Roman" w:cs="Times New Roman"/>
          <w:sz w:val="24"/>
          <w:szCs w:val="24"/>
        </w:rPr>
        <w:t>(3), e89948. https://doi.org/10.1371/journal.pone.0089948</w:t>
      </w:r>
    </w:p>
    <w:p w14:paraId="7D56FF8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Wang, Z., Li, Y., Childress, A. R., &amp; Detre, J. A. (2014). Brain entropy mapping using fMRI.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One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(3), e89948. https://doi.org/10.1371/journal.pone.0089948</w:t>
      </w:r>
    </w:p>
    <w:p w14:paraId="0D96FF8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Washington, S. D., Gordon, E. M., Brar, J., Warburton, S., Sawyer, A. T., Wolfe, A., Mease-Ference, E. R., Girton, L., Hailu, A., Mbwana, J., Gaillard, W. D., Kalbfleisch, M. L., &amp; VanMeter, J. W. (2014). </w:t>
      </w:r>
      <w:proofErr w:type="spellStart"/>
      <w:r w:rsidRPr="00203582">
        <w:rPr>
          <w:rFonts w:ascii="Times New Roman" w:eastAsia="Times New Roman" w:hAnsi="Times New Roman" w:cs="Times New Roman"/>
          <w:sz w:val="24"/>
          <w:szCs w:val="24"/>
        </w:rPr>
        <w:t>Dysmaturation</w:t>
      </w:r>
      <w:proofErr w:type="spellEnd"/>
      <w:r w:rsidRPr="00203582">
        <w:rPr>
          <w:rFonts w:ascii="Times New Roman" w:eastAsia="Times New Roman" w:hAnsi="Times New Roman" w:cs="Times New Roman"/>
          <w:sz w:val="24"/>
          <w:szCs w:val="24"/>
        </w:rPr>
        <w:t xml:space="preserve"> of the default mode network in autism. </w:t>
      </w:r>
      <w:r w:rsidRPr="00203582">
        <w:rPr>
          <w:rFonts w:ascii="Times New Roman" w:eastAsia="Times New Roman" w:hAnsi="Times New Roman" w:cs="Times New Roman"/>
          <w:i/>
          <w:sz w:val="24"/>
          <w:szCs w:val="24"/>
        </w:rPr>
        <w:t>Human Brain Mapping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35</w:t>
      </w:r>
      <w:r w:rsidRPr="00203582">
        <w:rPr>
          <w:rFonts w:ascii="Times New Roman" w:eastAsia="Times New Roman" w:hAnsi="Times New Roman" w:cs="Times New Roman"/>
          <w:sz w:val="24"/>
          <w:szCs w:val="24"/>
        </w:rPr>
        <w:t>(4), 1284–1296. https://doi.org/10.1002/hbm.22252</w:t>
      </w:r>
    </w:p>
    <w:p w14:paraId="74D6553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Washington, S. D., Gordon, E. M., Brar, J., Warburton, S., Sawyer, A. T., Wolfe, A., Mease-Ference, E. R., Girton, L., Hailu, A., Mbwana, J., Gaillard, W. D., Kalbfleisch, M. L., &amp; VanMeter, J. W. (2014). </w:t>
      </w:r>
      <w:proofErr w:type="spellStart"/>
      <w:r w:rsidRPr="005C650F">
        <w:rPr>
          <w:rFonts w:ascii="Times New Roman" w:eastAsia="Times New Roman" w:hAnsi="Times New Roman" w:cs="Times New Roman"/>
          <w:sz w:val="24"/>
          <w:szCs w:val="24"/>
        </w:rPr>
        <w:t>Dysmaturation</w:t>
      </w:r>
      <w:proofErr w:type="spellEnd"/>
      <w:r w:rsidRPr="005C650F">
        <w:rPr>
          <w:rFonts w:ascii="Times New Roman" w:eastAsia="Times New Roman" w:hAnsi="Times New Roman" w:cs="Times New Roman"/>
          <w:sz w:val="24"/>
          <w:szCs w:val="24"/>
        </w:rPr>
        <w:t xml:space="preserve"> of the default mode network in autism.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35</w:t>
      </w:r>
      <w:r w:rsidRPr="005C650F">
        <w:rPr>
          <w:rFonts w:ascii="Times New Roman" w:eastAsia="Times New Roman" w:hAnsi="Times New Roman" w:cs="Times New Roman"/>
          <w:sz w:val="24"/>
          <w:szCs w:val="24"/>
        </w:rPr>
        <w:t>(4), 1284–1296. https://doi.org/10.1002/hbm.22252</w:t>
      </w:r>
    </w:p>
    <w:p w14:paraId="5D909B3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Washington, S. D., Gordon, E. M., Brar, J., Warburton, S., Sawyer, A. T., Wolfe, A., Mease-Ference, E. R., Girton, L., Hailu, A., Mbwana, J., Gaillard, W. D., Kalbfleisch, M. L., &amp; VanMeter, J. W. (2014). </w:t>
      </w:r>
      <w:proofErr w:type="spellStart"/>
      <w:r w:rsidRPr="005C650F">
        <w:rPr>
          <w:rFonts w:ascii="Times New Roman" w:eastAsia="Times New Roman" w:hAnsi="Times New Roman" w:cs="Times New Roman"/>
          <w:sz w:val="24"/>
          <w:szCs w:val="24"/>
        </w:rPr>
        <w:t>Dysmaturation</w:t>
      </w:r>
      <w:proofErr w:type="spellEnd"/>
      <w:r w:rsidRPr="005C650F">
        <w:rPr>
          <w:rFonts w:ascii="Times New Roman" w:eastAsia="Times New Roman" w:hAnsi="Times New Roman" w:cs="Times New Roman"/>
          <w:sz w:val="24"/>
          <w:szCs w:val="24"/>
        </w:rPr>
        <w:t xml:space="preserve"> of the default mode network in autism.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35</w:t>
      </w:r>
      <w:r w:rsidRPr="005C650F">
        <w:rPr>
          <w:rFonts w:ascii="Times New Roman" w:eastAsia="Times New Roman" w:hAnsi="Times New Roman" w:cs="Times New Roman"/>
          <w:sz w:val="24"/>
          <w:szCs w:val="24"/>
        </w:rPr>
        <w:t>(4), 1284–1296. https://doi.org/10.1002/hbm.22252</w:t>
      </w:r>
    </w:p>
    <w:p w14:paraId="0F9E69D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Wass, S. (2011). Distortions and disconnections: disrupted brain connectivity in autism. </w:t>
      </w:r>
      <w:r w:rsidRPr="005C650F">
        <w:rPr>
          <w:rFonts w:ascii="Times New Roman" w:eastAsia="Times New Roman" w:hAnsi="Times New Roman" w:cs="Times New Roman"/>
          <w:i/>
          <w:iCs/>
          <w:sz w:val="24"/>
          <w:szCs w:val="24"/>
        </w:rPr>
        <w:t>Brain and Cognition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75</w:t>
      </w:r>
      <w:r w:rsidRPr="005C650F">
        <w:rPr>
          <w:rFonts w:ascii="Times New Roman" w:eastAsia="Times New Roman" w:hAnsi="Times New Roman" w:cs="Times New Roman"/>
          <w:sz w:val="24"/>
          <w:szCs w:val="24"/>
        </w:rPr>
        <w:t>(1), 18–28. https://doi.org/10.1016/j.bandc.2010.10.005</w:t>
      </w:r>
    </w:p>
    <w:p w14:paraId="4B500C9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Wass, S. (2011). Distortions and disconnections: disrupted brain connectivity in autism. </w:t>
      </w:r>
      <w:r w:rsidRPr="005C650F">
        <w:rPr>
          <w:rFonts w:ascii="Times New Roman" w:eastAsia="Times New Roman" w:hAnsi="Times New Roman" w:cs="Times New Roman"/>
          <w:i/>
          <w:iCs/>
          <w:sz w:val="24"/>
          <w:szCs w:val="24"/>
        </w:rPr>
        <w:t>Brain and Cognition</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75</w:t>
      </w:r>
      <w:r w:rsidRPr="005C650F">
        <w:rPr>
          <w:rFonts w:ascii="Times New Roman" w:eastAsia="Times New Roman" w:hAnsi="Times New Roman" w:cs="Times New Roman"/>
          <w:sz w:val="24"/>
          <w:szCs w:val="24"/>
        </w:rPr>
        <w:t>(1), 18–28. https://doi.org/10.1016/j.bandc.2010.10.005</w:t>
      </w:r>
    </w:p>
    <w:p w14:paraId="58FEE2E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Watanabe, T., Yahata, N., Abe, O., Kuwabara, H., Inoue, H., Takano, Y., </w:t>
      </w:r>
      <w:proofErr w:type="spellStart"/>
      <w:r w:rsidRPr="005C650F">
        <w:rPr>
          <w:rFonts w:ascii="Times New Roman" w:eastAsia="Times New Roman" w:hAnsi="Times New Roman" w:cs="Times New Roman"/>
          <w:sz w:val="24"/>
          <w:szCs w:val="24"/>
        </w:rPr>
        <w:t>Iwashiro</w:t>
      </w:r>
      <w:proofErr w:type="spellEnd"/>
      <w:r w:rsidRPr="005C650F">
        <w:rPr>
          <w:rFonts w:ascii="Times New Roman" w:eastAsia="Times New Roman" w:hAnsi="Times New Roman" w:cs="Times New Roman"/>
          <w:sz w:val="24"/>
          <w:szCs w:val="24"/>
        </w:rPr>
        <w:t xml:space="preserve">, N., </w:t>
      </w:r>
      <w:proofErr w:type="spellStart"/>
      <w:r w:rsidRPr="005C650F">
        <w:rPr>
          <w:rFonts w:ascii="Times New Roman" w:eastAsia="Times New Roman" w:hAnsi="Times New Roman" w:cs="Times New Roman"/>
          <w:sz w:val="24"/>
          <w:szCs w:val="24"/>
        </w:rPr>
        <w:t>Natsubori</w:t>
      </w:r>
      <w:proofErr w:type="spellEnd"/>
      <w:r w:rsidRPr="005C650F">
        <w:rPr>
          <w:rFonts w:ascii="Times New Roman" w:eastAsia="Times New Roman" w:hAnsi="Times New Roman" w:cs="Times New Roman"/>
          <w:sz w:val="24"/>
          <w:szCs w:val="24"/>
        </w:rPr>
        <w:t xml:space="preserve">, T., Aoki, Y., Takao, H., Sasaki, H., </w:t>
      </w:r>
      <w:proofErr w:type="spellStart"/>
      <w:r w:rsidRPr="005C650F">
        <w:rPr>
          <w:rFonts w:ascii="Times New Roman" w:eastAsia="Times New Roman" w:hAnsi="Times New Roman" w:cs="Times New Roman"/>
          <w:sz w:val="24"/>
          <w:szCs w:val="24"/>
        </w:rPr>
        <w:t>Gonoi</w:t>
      </w:r>
      <w:proofErr w:type="spellEnd"/>
      <w:r w:rsidRPr="005C650F">
        <w:rPr>
          <w:rFonts w:ascii="Times New Roman" w:eastAsia="Times New Roman" w:hAnsi="Times New Roman" w:cs="Times New Roman"/>
          <w:sz w:val="24"/>
          <w:szCs w:val="24"/>
        </w:rPr>
        <w:t xml:space="preserve">, W., Murakami, M., Katsura, M., Kunimatsu, A., Kawakubo, Y., Matsuzaki, H., Tsuchiya, K. J., Kato, N., … </w:t>
      </w:r>
      <w:proofErr w:type="spellStart"/>
      <w:r w:rsidRPr="005C650F">
        <w:rPr>
          <w:rFonts w:ascii="Times New Roman" w:eastAsia="Times New Roman" w:hAnsi="Times New Roman" w:cs="Times New Roman"/>
          <w:sz w:val="24"/>
          <w:szCs w:val="24"/>
        </w:rPr>
        <w:t>Yamasue</w:t>
      </w:r>
      <w:proofErr w:type="spellEnd"/>
      <w:r w:rsidRPr="005C650F">
        <w:rPr>
          <w:rFonts w:ascii="Times New Roman" w:eastAsia="Times New Roman" w:hAnsi="Times New Roman" w:cs="Times New Roman"/>
          <w:sz w:val="24"/>
          <w:szCs w:val="24"/>
        </w:rPr>
        <w:t xml:space="preserve">, H. (2012). Diminished medial prefrontal activity behind autistic social judgments of incongruent information.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One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7</w:t>
      </w:r>
      <w:r w:rsidRPr="005C650F">
        <w:rPr>
          <w:rFonts w:ascii="Times New Roman" w:eastAsia="Times New Roman" w:hAnsi="Times New Roman" w:cs="Times New Roman"/>
          <w:sz w:val="24"/>
          <w:szCs w:val="24"/>
        </w:rPr>
        <w:t>(6), e39561. https://doi.org/10.1371/journal.pone.0039561</w:t>
      </w:r>
    </w:p>
    <w:p w14:paraId="4552A12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de-DE"/>
        </w:rPr>
        <w:t xml:space="preserve">Wei, J., Chen, T., Li, C., Liu, G., Qiu, J., &amp; Wei, D. (2018). </w:t>
      </w:r>
      <w:r w:rsidRPr="00203582">
        <w:rPr>
          <w:rFonts w:ascii="Times New Roman" w:eastAsia="Times New Roman" w:hAnsi="Times New Roman" w:cs="Times New Roman"/>
          <w:sz w:val="24"/>
          <w:szCs w:val="24"/>
        </w:rPr>
        <w:t xml:space="preserve">Eyes-Open and Eyes-Closed Resting States With Opposite Brain Activity in Sensorimotor and Occipital Regions: Multidimensional Evidences From Machine Learning Perspective. </w:t>
      </w:r>
      <w:r w:rsidRPr="00203582">
        <w:rPr>
          <w:rFonts w:ascii="Times New Roman" w:eastAsia="Times New Roman" w:hAnsi="Times New Roman" w:cs="Times New Roman"/>
          <w:i/>
          <w:sz w:val="24"/>
          <w:szCs w:val="24"/>
        </w:rPr>
        <w:t>Frontiers in Human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 422. https://doi.org/10.3389/fnhum.2018.00422</w:t>
      </w:r>
    </w:p>
    <w:p w14:paraId="0DFD906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Wei, J., Chen, T., Li, C., Liu, G., Qiu, J., &amp; Wei, D. (2018). Eyes-Open and Eyes-Closed Resting States With Opposite Brain Activity in Sensorimotor and Occipital Regions: Multidimensional Evidences From Machine Learning Perspective.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422. https://doi.org/10.3389/fnhum.2018.00422</w:t>
      </w:r>
    </w:p>
    <w:p w14:paraId="539A094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lang w:val="de-DE"/>
        </w:rPr>
        <w:t xml:space="preserve">Wei, J., Chen, T., Li, C., Liu, G., Qiu, J., &amp; Wei, D. (2018). </w:t>
      </w:r>
      <w:r w:rsidRPr="005C650F">
        <w:rPr>
          <w:rFonts w:ascii="Times New Roman" w:eastAsia="Times New Roman" w:hAnsi="Times New Roman" w:cs="Times New Roman"/>
          <w:sz w:val="24"/>
          <w:szCs w:val="24"/>
        </w:rPr>
        <w:t xml:space="preserve">Eyes-Open and Eyes-Closed Resting States With Opposite Brain Activity in Sensorimotor and Occipital Regions: Multidimensional Evidences From Machine Learning Perspective.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12</w:t>
      </w:r>
      <w:r w:rsidRPr="005C650F">
        <w:rPr>
          <w:rFonts w:ascii="Times New Roman" w:eastAsia="Times New Roman" w:hAnsi="Times New Roman" w:cs="Times New Roman"/>
          <w:sz w:val="24"/>
          <w:szCs w:val="24"/>
        </w:rPr>
        <w:t>, 422. https://doi.org/10.3389/fnhum.2018.00422</w:t>
      </w:r>
    </w:p>
    <w:p w14:paraId="5762A94E"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Wei, J., Chen, T., Li, C., Liu, G., Qiu, J., &amp; Wei, D. (2018). Eyes-Open and Eyes-Closed Resting States With Opposite Brain Activity in Sensorimotor and Occipital Regions: Multidimensional Evidences From Machine Learning Perspective. Frontiers in Human Neuroscience, 12, 422. https://doi.org/10.3389/fnhum.2018.00422</w:t>
      </w:r>
    </w:p>
    <w:p w14:paraId="7F05FE3B"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Weng, Y., Liu, X., Hu, H., Huang, H., Zheng, S., Chen, Q., Song, J., Cao, B., Wang, J., Wang, S., &amp; Huang, R. (2020). Open eyes and closed eyes elicit different temporal properties of brain </w:t>
      </w:r>
      <w:r w:rsidRPr="005C650F">
        <w:rPr>
          <w:rFonts w:ascii="Times New Roman" w:eastAsia="Times New Roman" w:hAnsi="Times New Roman" w:cs="Times New Roman"/>
          <w:sz w:val="24"/>
          <w:szCs w:val="24"/>
        </w:rPr>
        <w:lastRenderedPageBreak/>
        <w:t xml:space="preserve">functional networks.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222</w:t>
      </w:r>
      <w:r w:rsidRPr="005C650F">
        <w:rPr>
          <w:rFonts w:ascii="Times New Roman" w:eastAsia="Times New Roman" w:hAnsi="Times New Roman" w:cs="Times New Roman"/>
          <w:sz w:val="24"/>
          <w:szCs w:val="24"/>
        </w:rPr>
        <w:t>, 117230. https://doi.org/10.1016/j.neuroimage.2020.117230</w:t>
      </w:r>
    </w:p>
    <w:p w14:paraId="23F7290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Wetherby, A. M., Woods, J., Allen, L., Cleary, J., Dickinson, H., &amp; Lord, C. (2004). Early indicators of autism spectrum disorders in the second year of life. </w:t>
      </w:r>
      <w:r w:rsidRPr="005C650F">
        <w:rPr>
          <w:rFonts w:ascii="Times New Roman" w:eastAsia="Times New Roman" w:hAnsi="Times New Roman" w:cs="Times New Roman"/>
          <w:i/>
          <w:iCs/>
          <w:sz w:val="24"/>
          <w:szCs w:val="24"/>
        </w:rPr>
        <w:t>Journal of Autism and 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34</w:t>
      </w:r>
      <w:r w:rsidRPr="005C650F">
        <w:rPr>
          <w:rFonts w:ascii="Times New Roman" w:eastAsia="Times New Roman" w:hAnsi="Times New Roman" w:cs="Times New Roman"/>
          <w:sz w:val="24"/>
          <w:szCs w:val="24"/>
        </w:rPr>
        <w:t>(5), 473–493.</w:t>
      </w:r>
    </w:p>
    <w:p w14:paraId="5BEDB44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Whitfield-Gabrieli, S., &amp; Ford, J. M. (2012). Default mode network activity and connectivity in psychopathology. </w:t>
      </w:r>
      <w:r w:rsidRPr="005C650F">
        <w:rPr>
          <w:rFonts w:ascii="Times New Roman" w:eastAsia="Times New Roman" w:hAnsi="Times New Roman" w:cs="Times New Roman"/>
          <w:i/>
          <w:iCs/>
          <w:sz w:val="24"/>
          <w:szCs w:val="24"/>
        </w:rPr>
        <w:t>Annual Review of Clinical Psychology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8</w:t>
      </w:r>
      <w:r w:rsidRPr="005C650F">
        <w:rPr>
          <w:rFonts w:ascii="Times New Roman" w:eastAsia="Times New Roman" w:hAnsi="Times New Roman" w:cs="Times New Roman"/>
          <w:sz w:val="24"/>
          <w:szCs w:val="24"/>
        </w:rPr>
        <w:t>, 49–76. https://doi.org/10.1146/annurev-clinpsy-032511-143049</w:t>
      </w:r>
    </w:p>
    <w:p w14:paraId="492AE81B"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Wiggins, J. L., Peltier, S. J., </w:t>
      </w:r>
      <w:proofErr w:type="spellStart"/>
      <w:r w:rsidRPr="00203582">
        <w:rPr>
          <w:rFonts w:ascii="Times New Roman" w:eastAsia="Times New Roman" w:hAnsi="Times New Roman" w:cs="Times New Roman"/>
          <w:sz w:val="24"/>
          <w:szCs w:val="24"/>
        </w:rPr>
        <w:t>Ashinoff</w:t>
      </w:r>
      <w:proofErr w:type="spellEnd"/>
      <w:r w:rsidRPr="00203582">
        <w:rPr>
          <w:rFonts w:ascii="Times New Roman" w:eastAsia="Times New Roman" w:hAnsi="Times New Roman" w:cs="Times New Roman"/>
          <w:sz w:val="24"/>
          <w:szCs w:val="24"/>
        </w:rPr>
        <w:t xml:space="preserve">, S., Weng, S.-J., Carrasco, M., Welsh, R. C., Lord, C., &amp; Monk, C. S. (2011). Using a self-organizing map algorithm to detect age-related changes in functional connectivity during rest in autism spectrum disorders. </w:t>
      </w:r>
      <w:r w:rsidRPr="00203582">
        <w:rPr>
          <w:rFonts w:ascii="Times New Roman" w:eastAsia="Times New Roman" w:hAnsi="Times New Roman" w:cs="Times New Roman"/>
          <w:i/>
          <w:sz w:val="24"/>
          <w:szCs w:val="24"/>
        </w:rPr>
        <w:t>Brain Research</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1380</w:t>
      </w:r>
      <w:r w:rsidRPr="00203582">
        <w:rPr>
          <w:rFonts w:ascii="Times New Roman" w:eastAsia="Times New Roman" w:hAnsi="Times New Roman" w:cs="Times New Roman"/>
          <w:sz w:val="24"/>
          <w:szCs w:val="24"/>
        </w:rPr>
        <w:t>, 187–197. https://doi.org/10.1016/j.brainres.2010.10.102</w:t>
      </w:r>
    </w:p>
    <w:p w14:paraId="0E17308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Wiggins, J. L., Peltier, S. J., </w:t>
      </w:r>
      <w:proofErr w:type="spellStart"/>
      <w:r w:rsidRPr="005C650F">
        <w:rPr>
          <w:rFonts w:ascii="Times New Roman" w:eastAsia="Times New Roman" w:hAnsi="Times New Roman" w:cs="Times New Roman"/>
          <w:sz w:val="24"/>
          <w:szCs w:val="24"/>
        </w:rPr>
        <w:t>Ashinoff</w:t>
      </w:r>
      <w:proofErr w:type="spellEnd"/>
      <w:r w:rsidRPr="005C650F">
        <w:rPr>
          <w:rFonts w:ascii="Times New Roman" w:eastAsia="Times New Roman" w:hAnsi="Times New Roman" w:cs="Times New Roman"/>
          <w:sz w:val="24"/>
          <w:szCs w:val="24"/>
        </w:rPr>
        <w:t xml:space="preserve">, S., Weng, S.-J., Carrasco, M., Welsh, R. C., Lord, C., &amp; Monk, C. S. (2011). Using a self-organizing map algorithm to detect age-related changes in functional connectivity during rest in autism spectrum disorders. </w:t>
      </w:r>
      <w:r w:rsidRPr="005C650F">
        <w:rPr>
          <w:rFonts w:ascii="Times New Roman" w:eastAsia="Times New Roman" w:hAnsi="Times New Roman" w:cs="Times New Roman"/>
          <w:i/>
          <w:iCs/>
          <w:sz w:val="24"/>
          <w:szCs w:val="24"/>
        </w:rPr>
        <w:t>Brain Research</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1380</w:t>
      </w:r>
      <w:r w:rsidRPr="005C650F">
        <w:rPr>
          <w:rFonts w:ascii="Times New Roman" w:eastAsia="Times New Roman" w:hAnsi="Times New Roman" w:cs="Times New Roman"/>
          <w:sz w:val="24"/>
          <w:szCs w:val="24"/>
        </w:rPr>
        <w:t>, 187–197. https://doi.org/10.1016/j.brainres.2010.10.102</w:t>
      </w:r>
    </w:p>
    <w:p w14:paraId="2AAC461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Wiggins, J. L., Peltier, S. J., </w:t>
      </w:r>
      <w:proofErr w:type="spellStart"/>
      <w:r w:rsidRPr="005C650F">
        <w:rPr>
          <w:rFonts w:ascii="Times New Roman" w:eastAsia="Times New Roman" w:hAnsi="Times New Roman" w:cs="Times New Roman"/>
          <w:sz w:val="24"/>
          <w:szCs w:val="24"/>
        </w:rPr>
        <w:t>Bedoyan</w:t>
      </w:r>
      <w:proofErr w:type="spellEnd"/>
      <w:r w:rsidRPr="005C650F">
        <w:rPr>
          <w:rFonts w:ascii="Times New Roman" w:eastAsia="Times New Roman" w:hAnsi="Times New Roman" w:cs="Times New Roman"/>
          <w:sz w:val="24"/>
          <w:szCs w:val="24"/>
        </w:rPr>
        <w:t xml:space="preserve">, J. K., Carrasco, M., Welsh, R. C., Martin, D. M., Lord, C., &amp; Monk, C. S. (2012). The impact of serotonin transporter genotype on default network connectivity in children and adolescents with autism spectrum disorders. </w:t>
      </w:r>
      <w:proofErr w:type="spellStart"/>
      <w:r w:rsidRPr="005C650F">
        <w:rPr>
          <w:rFonts w:ascii="Times New Roman" w:eastAsia="Times New Roman" w:hAnsi="Times New Roman" w:cs="Times New Roman"/>
          <w:i/>
          <w:iCs/>
          <w:sz w:val="24"/>
          <w:szCs w:val="24"/>
        </w:rPr>
        <w:t>NeuroImage</w:t>
      </w:r>
      <w:proofErr w:type="spellEnd"/>
      <w:r w:rsidRPr="005C650F">
        <w:rPr>
          <w:rFonts w:ascii="Times New Roman" w:eastAsia="Times New Roman" w:hAnsi="Times New Roman" w:cs="Times New Roman"/>
          <w:i/>
          <w:iCs/>
          <w:sz w:val="24"/>
          <w:szCs w:val="24"/>
        </w:rPr>
        <w:t>. Clinical</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2</w:t>
      </w:r>
      <w:r w:rsidRPr="005C650F">
        <w:rPr>
          <w:rFonts w:ascii="Times New Roman" w:eastAsia="Times New Roman" w:hAnsi="Times New Roman" w:cs="Times New Roman"/>
          <w:sz w:val="24"/>
          <w:szCs w:val="24"/>
        </w:rPr>
        <w:t>, 17–24. https://doi.org/10.1016/j.nicl.2012.10.008</w:t>
      </w:r>
    </w:p>
    <w:p w14:paraId="2E08AA0E" w14:textId="77777777" w:rsidR="00ED57EB"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Wiggins, L. D., Tian, L. H., Levy, S. E., Rice, C., Lee, L.-C., Schieve, L., Pandey, J., Daniels, J., Blaskey, L., Hepburn, S., Landa, R., Edmondson-Pretzel, R., &amp; Thompson, W. (2017). Homogeneous Subgroups of Young Children with Autism Improve Phenotypic Characterization in the Study to Explore Early Development. </w:t>
      </w:r>
      <w:r w:rsidRPr="005C650F">
        <w:rPr>
          <w:rFonts w:ascii="Times New Roman" w:eastAsia="Times New Roman" w:hAnsi="Times New Roman" w:cs="Times New Roman"/>
          <w:i/>
          <w:iCs/>
          <w:sz w:val="24"/>
          <w:szCs w:val="24"/>
        </w:rPr>
        <w:t>Journal of Autism and Developmental Disorders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47</w:t>
      </w:r>
      <w:r w:rsidRPr="005C650F">
        <w:rPr>
          <w:rFonts w:ascii="Times New Roman" w:eastAsia="Times New Roman" w:hAnsi="Times New Roman" w:cs="Times New Roman"/>
          <w:sz w:val="24"/>
          <w:szCs w:val="24"/>
        </w:rPr>
        <w:t xml:space="preserve">(11), 3634–3645. </w:t>
      </w:r>
      <w:hyperlink r:id="rId875" w:history="1">
        <w:r w:rsidRPr="001F68FF">
          <w:rPr>
            <w:rStyle w:val="Hyperlink"/>
            <w:rFonts w:ascii="Times New Roman" w:eastAsia="Times New Roman" w:hAnsi="Times New Roman" w:cs="Times New Roman"/>
            <w:sz w:val="24"/>
            <w:szCs w:val="24"/>
          </w:rPr>
          <w:t>https://doi.org/10.1007/s10803-017-3280-4</w:t>
        </w:r>
      </w:hyperlink>
    </w:p>
    <w:p w14:paraId="1D70B78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Winkler, A. M., Ridgway, G. R., </w:t>
      </w:r>
      <w:proofErr w:type="spellStart"/>
      <w:r w:rsidRPr="005C650F">
        <w:rPr>
          <w:rFonts w:ascii="Times New Roman" w:eastAsia="Times New Roman" w:hAnsi="Times New Roman" w:cs="Times New Roman"/>
          <w:sz w:val="24"/>
          <w:szCs w:val="24"/>
        </w:rPr>
        <w:t>Douaud</w:t>
      </w:r>
      <w:proofErr w:type="spellEnd"/>
      <w:r w:rsidRPr="005C650F">
        <w:rPr>
          <w:rFonts w:ascii="Times New Roman" w:eastAsia="Times New Roman" w:hAnsi="Times New Roman" w:cs="Times New Roman"/>
          <w:sz w:val="24"/>
          <w:szCs w:val="24"/>
        </w:rPr>
        <w:t xml:space="preserve">, G., Nichols, T. E., &amp; Smith, S. M. (2016). Faster permutation inference in brain imaging.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141</w:t>
      </w:r>
      <w:r w:rsidRPr="005C650F">
        <w:rPr>
          <w:rFonts w:ascii="Times New Roman" w:eastAsia="Times New Roman" w:hAnsi="Times New Roman" w:cs="Times New Roman"/>
          <w:sz w:val="24"/>
          <w:szCs w:val="24"/>
        </w:rPr>
        <w:t>, 502–516. https://doi.org/10.1016/j.neuroimage.2016.05.068</w:t>
      </w:r>
    </w:p>
    <w:p w14:paraId="083E553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Winkler, A. M., Ridgway, G. R., </w:t>
      </w:r>
      <w:proofErr w:type="spellStart"/>
      <w:r w:rsidRPr="005C650F">
        <w:rPr>
          <w:rFonts w:ascii="Times New Roman" w:eastAsia="Times New Roman" w:hAnsi="Times New Roman" w:cs="Times New Roman"/>
          <w:sz w:val="24"/>
          <w:szCs w:val="24"/>
        </w:rPr>
        <w:t>Douaud</w:t>
      </w:r>
      <w:proofErr w:type="spellEnd"/>
      <w:r w:rsidRPr="005C650F">
        <w:rPr>
          <w:rFonts w:ascii="Times New Roman" w:eastAsia="Times New Roman" w:hAnsi="Times New Roman" w:cs="Times New Roman"/>
          <w:sz w:val="24"/>
          <w:szCs w:val="24"/>
        </w:rPr>
        <w:t xml:space="preserve">, G., Nichols, T. E., &amp; Smith, S. M. (2016). Faster permutation inference in brain imaging. </w:t>
      </w:r>
      <w:r w:rsidRPr="005C650F">
        <w:rPr>
          <w:rFonts w:ascii="Times New Roman" w:eastAsia="Times New Roman" w:hAnsi="Times New Roman" w:cs="Times New Roman"/>
          <w:i/>
          <w:iCs/>
          <w:sz w:val="24"/>
          <w:szCs w:val="24"/>
        </w:rPr>
        <w:t>Neuroimage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141</w:t>
      </w:r>
      <w:r w:rsidRPr="005C650F">
        <w:rPr>
          <w:rFonts w:ascii="Times New Roman" w:eastAsia="Times New Roman" w:hAnsi="Times New Roman" w:cs="Times New Roman"/>
          <w:sz w:val="24"/>
          <w:szCs w:val="24"/>
        </w:rPr>
        <w:t>, 502–516. https://doi.org/10.1016/j.neuroimage.2016.05.068</w:t>
      </w:r>
    </w:p>
    <w:p w14:paraId="5A590E2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Woodman, G. F. (2010). A brief introduction to the use of event-related potentials in studies of perception and attention. </w:t>
      </w:r>
      <w:r w:rsidRPr="00203582">
        <w:rPr>
          <w:rFonts w:ascii="Times New Roman" w:eastAsia="Times New Roman" w:hAnsi="Times New Roman" w:cs="Times New Roman"/>
          <w:i/>
          <w:sz w:val="24"/>
          <w:szCs w:val="24"/>
        </w:rPr>
        <w:t>Attention, Perception &amp; Psychophysics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72</w:t>
      </w:r>
      <w:r w:rsidRPr="00203582">
        <w:rPr>
          <w:rFonts w:ascii="Times New Roman" w:eastAsia="Times New Roman" w:hAnsi="Times New Roman" w:cs="Times New Roman"/>
          <w:sz w:val="24"/>
          <w:szCs w:val="24"/>
        </w:rPr>
        <w:t>(8), 2031–2046. https://doi.org/10.3758/APP.72.8.2031</w:t>
      </w:r>
    </w:p>
    <w:p w14:paraId="257FE354" w14:textId="77777777" w:rsidR="00ED57EB" w:rsidRPr="00F97EDC"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Wu, S.-D., Wu, C.-W., Lin, S.-G., Lee, K.-Y., &amp; Peng, C.-K. (2014). Analysis of complex time series using refined composite multiscale entropy. Physics Letters A, 378(20), 1369–1374. https://doi.org/10.1016/j.physleta.2014.03.034</w:t>
      </w:r>
    </w:p>
    <w:p w14:paraId="3640D11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Wu, S.-D., Wu, C.-W., Lin, S.-G., Wang, C.-C., &amp; Lee, K.-Y. (2013). Time series analysis using composite multiscale entropy. </w:t>
      </w:r>
      <w:r w:rsidRPr="00203582">
        <w:rPr>
          <w:rFonts w:ascii="Times New Roman" w:eastAsia="Times New Roman" w:hAnsi="Times New Roman" w:cs="Times New Roman"/>
          <w:i/>
          <w:sz w:val="24"/>
          <w:szCs w:val="24"/>
        </w:rPr>
        <w:t>Entropy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15</w:t>
      </w:r>
      <w:r w:rsidRPr="00203582">
        <w:rPr>
          <w:rFonts w:ascii="Times New Roman" w:eastAsia="Times New Roman" w:hAnsi="Times New Roman" w:cs="Times New Roman"/>
          <w:sz w:val="24"/>
          <w:szCs w:val="24"/>
        </w:rPr>
        <w:t>(3), 1069–1084. https://doi.org/10.3390/e15031069</w:t>
      </w:r>
    </w:p>
    <w:p w14:paraId="6FA2A62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Xiao, W., &amp; Dede, A. (2023). Comparing eyes closed and eyes open resting states in Autism. </w:t>
      </w:r>
      <w:r w:rsidRPr="005C650F">
        <w:rPr>
          <w:rFonts w:ascii="Times New Roman" w:eastAsia="Times New Roman" w:hAnsi="Times New Roman" w:cs="Times New Roman"/>
          <w:i/>
          <w:iCs/>
          <w:sz w:val="24"/>
          <w:szCs w:val="24"/>
        </w:rPr>
        <w:t>Open Science Framework</w:t>
      </w:r>
      <w:r w:rsidRPr="005C650F">
        <w:rPr>
          <w:rFonts w:ascii="Times New Roman" w:eastAsia="Times New Roman" w:hAnsi="Times New Roman" w:cs="Times New Roman"/>
          <w:sz w:val="24"/>
          <w:szCs w:val="24"/>
        </w:rPr>
        <w:t>. https://doi.org/10.17605/osf.io/36dy9</w:t>
      </w:r>
    </w:p>
    <w:p w14:paraId="4DCC88C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Xu, L., Hua, Q., Yu, J., &amp; Li, J. (2020). Classification of autism spectrum disorder based on sample entropy of spontaneous functional near infra-red spectroscopy signal. </w:t>
      </w:r>
      <w:r w:rsidRPr="00203582">
        <w:rPr>
          <w:rFonts w:ascii="Times New Roman" w:eastAsia="Times New Roman" w:hAnsi="Times New Roman" w:cs="Times New Roman"/>
          <w:i/>
          <w:sz w:val="24"/>
          <w:szCs w:val="24"/>
        </w:rPr>
        <w:t>Clinical Neurophysiology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131</w:t>
      </w:r>
      <w:r w:rsidRPr="00203582">
        <w:rPr>
          <w:rFonts w:ascii="Times New Roman" w:eastAsia="Times New Roman" w:hAnsi="Times New Roman" w:cs="Times New Roman"/>
          <w:sz w:val="24"/>
          <w:szCs w:val="24"/>
        </w:rPr>
        <w:t>(6), 1365–1374. https://doi.org/10.1016/j.clinph.2019.12.400</w:t>
      </w:r>
    </w:p>
    <w:p w14:paraId="3AA8CC28"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Xu, L., Hua, Q., Yu, J., &amp; Li, J. (2020). Classification of autism spectrum disorder based on sample entropy of spontaneous functional near infra-red spectroscopy signal. </w:t>
      </w:r>
      <w:r w:rsidRPr="005C650F">
        <w:rPr>
          <w:rFonts w:ascii="Times New Roman" w:eastAsia="Times New Roman" w:hAnsi="Times New Roman" w:cs="Times New Roman"/>
          <w:i/>
          <w:iCs/>
          <w:sz w:val="24"/>
          <w:szCs w:val="24"/>
        </w:rPr>
        <w:t>Clinical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131</w:t>
      </w:r>
      <w:r w:rsidRPr="005C650F">
        <w:rPr>
          <w:rFonts w:ascii="Times New Roman" w:eastAsia="Times New Roman" w:hAnsi="Times New Roman" w:cs="Times New Roman"/>
          <w:sz w:val="24"/>
          <w:szCs w:val="24"/>
        </w:rPr>
        <w:t>(6), 1365–1374. https://doi.org/10.1016/j.clinph.2019.12.400</w:t>
      </w:r>
    </w:p>
    <w:p w14:paraId="78ACF065"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Xu, P., Huang, R., Wang, J., Van Dam, N. T., Xie, T., Dong, Z., Chen, C., Gu, R., Zang, Y.-F., He, Y., Fan, J., &amp; Luo, Y. (2014). Different topological organization of human brain functional networks </w:t>
      </w:r>
      <w:r w:rsidRPr="00203582">
        <w:rPr>
          <w:rFonts w:ascii="Times New Roman" w:eastAsia="Times New Roman" w:hAnsi="Times New Roman" w:cs="Times New Roman"/>
          <w:sz w:val="24"/>
          <w:szCs w:val="24"/>
        </w:rPr>
        <w:lastRenderedPageBreak/>
        <w:t xml:space="preserve">with eyes open versus eyes closed.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90</w:t>
      </w:r>
      <w:r w:rsidRPr="00203582">
        <w:rPr>
          <w:rFonts w:ascii="Times New Roman" w:eastAsia="Times New Roman" w:hAnsi="Times New Roman" w:cs="Times New Roman"/>
          <w:sz w:val="24"/>
          <w:szCs w:val="24"/>
        </w:rPr>
        <w:t>, 246–255. https://doi.org/10.1016/j.neuroimage.2013.12.060</w:t>
      </w:r>
    </w:p>
    <w:p w14:paraId="1D8F590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Yakovleva, T. V., Kutepov, I. E., Karas, A. Y., Yakovlev, N. M., </w:t>
      </w:r>
      <w:proofErr w:type="spellStart"/>
      <w:r w:rsidRPr="00203582">
        <w:rPr>
          <w:rFonts w:ascii="Times New Roman" w:eastAsia="Times New Roman" w:hAnsi="Times New Roman" w:cs="Times New Roman"/>
          <w:sz w:val="24"/>
          <w:szCs w:val="24"/>
        </w:rPr>
        <w:t>Dobriyan</w:t>
      </w:r>
      <w:proofErr w:type="spellEnd"/>
      <w:r w:rsidRPr="00203582">
        <w:rPr>
          <w:rFonts w:ascii="Times New Roman" w:eastAsia="Times New Roman" w:hAnsi="Times New Roman" w:cs="Times New Roman"/>
          <w:sz w:val="24"/>
          <w:szCs w:val="24"/>
        </w:rPr>
        <w:t xml:space="preserve">, V. V., </w:t>
      </w:r>
      <w:proofErr w:type="spellStart"/>
      <w:r w:rsidRPr="00203582">
        <w:rPr>
          <w:rFonts w:ascii="Times New Roman" w:eastAsia="Times New Roman" w:hAnsi="Times New Roman" w:cs="Times New Roman"/>
          <w:sz w:val="24"/>
          <w:szCs w:val="24"/>
        </w:rPr>
        <w:t>Papkova</w:t>
      </w:r>
      <w:proofErr w:type="spellEnd"/>
      <w:r w:rsidRPr="00203582">
        <w:rPr>
          <w:rFonts w:ascii="Times New Roman" w:eastAsia="Times New Roman" w:hAnsi="Times New Roman" w:cs="Times New Roman"/>
          <w:sz w:val="24"/>
          <w:szCs w:val="24"/>
        </w:rPr>
        <w:t xml:space="preserve">, I. V., </w:t>
      </w:r>
      <w:proofErr w:type="spellStart"/>
      <w:r w:rsidRPr="00203582">
        <w:rPr>
          <w:rFonts w:ascii="Times New Roman" w:eastAsia="Times New Roman" w:hAnsi="Times New Roman" w:cs="Times New Roman"/>
          <w:sz w:val="24"/>
          <w:szCs w:val="24"/>
        </w:rPr>
        <w:t>Zhigalov</w:t>
      </w:r>
      <w:proofErr w:type="spellEnd"/>
      <w:r w:rsidRPr="00203582">
        <w:rPr>
          <w:rFonts w:ascii="Times New Roman" w:eastAsia="Times New Roman" w:hAnsi="Times New Roman" w:cs="Times New Roman"/>
          <w:sz w:val="24"/>
          <w:szCs w:val="24"/>
        </w:rPr>
        <w:t xml:space="preserve">, M. V., </w:t>
      </w:r>
      <w:proofErr w:type="spellStart"/>
      <w:r w:rsidRPr="00203582">
        <w:rPr>
          <w:rFonts w:ascii="Times New Roman" w:eastAsia="Times New Roman" w:hAnsi="Times New Roman" w:cs="Times New Roman"/>
          <w:sz w:val="24"/>
          <w:szCs w:val="24"/>
        </w:rPr>
        <w:t>Saltykova</w:t>
      </w:r>
      <w:proofErr w:type="spellEnd"/>
      <w:r w:rsidRPr="00203582">
        <w:rPr>
          <w:rFonts w:ascii="Times New Roman" w:eastAsia="Times New Roman" w:hAnsi="Times New Roman" w:cs="Times New Roman"/>
          <w:sz w:val="24"/>
          <w:szCs w:val="24"/>
        </w:rPr>
        <w:t xml:space="preserve">, O. A., Krysko, A. V., </w:t>
      </w:r>
      <w:proofErr w:type="spellStart"/>
      <w:r w:rsidRPr="00203582">
        <w:rPr>
          <w:rFonts w:ascii="Times New Roman" w:eastAsia="Times New Roman" w:hAnsi="Times New Roman" w:cs="Times New Roman"/>
          <w:sz w:val="24"/>
          <w:szCs w:val="24"/>
        </w:rPr>
        <w:t>Yaroshenko</w:t>
      </w:r>
      <w:proofErr w:type="spellEnd"/>
      <w:r w:rsidRPr="00203582">
        <w:rPr>
          <w:rFonts w:ascii="Times New Roman" w:eastAsia="Times New Roman" w:hAnsi="Times New Roman" w:cs="Times New Roman"/>
          <w:sz w:val="24"/>
          <w:szCs w:val="24"/>
        </w:rPr>
        <w:t xml:space="preserve">, T. Y., </w:t>
      </w:r>
      <w:proofErr w:type="spellStart"/>
      <w:r w:rsidRPr="00203582">
        <w:rPr>
          <w:rFonts w:ascii="Times New Roman" w:eastAsia="Times New Roman" w:hAnsi="Times New Roman" w:cs="Times New Roman"/>
          <w:sz w:val="24"/>
          <w:szCs w:val="24"/>
        </w:rPr>
        <w:t>Erofeev</w:t>
      </w:r>
      <w:proofErr w:type="spellEnd"/>
      <w:r w:rsidRPr="00203582">
        <w:rPr>
          <w:rFonts w:ascii="Times New Roman" w:eastAsia="Times New Roman" w:hAnsi="Times New Roman" w:cs="Times New Roman"/>
          <w:sz w:val="24"/>
          <w:szCs w:val="24"/>
        </w:rPr>
        <w:t xml:space="preserve">, N. P., &amp; Krysko, V. A. (2020). EEG Analysis in Structural Focal Epilepsy Using the Methods of Nonlinear Dynamics (Lyapunov Exponents, Lempel-Ziv Complexity, and Multiscale Entropy). </w:t>
      </w:r>
      <w:proofErr w:type="spellStart"/>
      <w:r w:rsidRPr="00203582">
        <w:rPr>
          <w:rFonts w:ascii="Times New Roman" w:eastAsia="Times New Roman" w:hAnsi="Times New Roman" w:cs="Times New Roman"/>
          <w:i/>
          <w:sz w:val="24"/>
          <w:szCs w:val="24"/>
        </w:rPr>
        <w:t>Thescientificworldjournal</w:t>
      </w:r>
      <w:proofErr w:type="spellEnd"/>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2020</w:t>
      </w:r>
      <w:r w:rsidRPr="00203582">
        <w:rPr>
          <w:rFonts w:ascii="Times New Roman" w:eastAsia="Times New Roman" w:hAnsi="Times New Roman" w:cs="Times New Roman"/>
          <w:sz w:val="24"/>
          <w:szCs w:val="24"/>
        </w:rPr>
        <w:t>, 8407872. https://doi.org/10.1155/2020/8407872</w:t>
      </w:r>
    </w:p>
    <w:p w14:paraId="1F57A256"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Yan, C., Liu, D., He, Y., Zou, Q., Zhu, C., Zuo, X., Long, X., &amp; Zang, Y. (2009). Spontaneous brain activity in the default mode network is sensitive to different resting-state conditions with limited cognitive load. </w:t>
      </w:r>
      <w:proofErr w:type="spellStart"/>
      <w:r w:rsidRPr="00203582">
        <w:rPr>
          <w:rFonts w:ascii="Times New Roman" w:eastAsia="Times New Roman" w:hAnsi="Times New Roman" w:cs="Times New Roman"/>
          <w:i/>
          <w:sz w:val="24"/>
          <w:szCs w:val="24"/>
        </w:rPr>
        <w:t>Plos</w:t>
      </w:r>
      <w:proofErr w:type="spellEnd"/>
      <w:r w:rsidRPr="00203582">
        <w:rPr>
          <w:rFonts w:ascii="Times New Roman" w:eastAsia="Times New Roman" w:hAnsi="Times New Roman" w:cs="Times New Roman"/>
          <w:i/>
          <w:sz w:val="24"/>
          <w:szCs w:val="24"/>
        </w:rPr>
        <w:t xml:space="preserve"> One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w:t>
      </w:r>
      <w:r w:rsidRPr="00203582">
        <w:rPr>
          <w:rFonts w:ascii="Times New Roman" w:eastAsia="Times New Roman" w:hAnsi="Times New Roman" w:cs="Times New Roman"/>
          <w:sz w:val="24"/>
          <w:szCs w:val="24"/>
        </w:rPr>
        <w:t>(5), e5743. https://doi.org/10.1371/journal.pone.0005743</w:t>
      </w:r>
    </w:p>
    <w:p w14:paraId="7FFB7E9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Yan, C., Liu, D., He, Y., Zou, Q., Zhu, C., Zuo, X., Long, X., &amp; Zang, Y. (2009). Spontaneous brain activity in the default mode network is sensitive to different resting-state conditions with limited cognitive load. </w:t>
      </w:r>
      <w:proofErr w:type="spellStart"/>
      <w:r w:rsidRPr="005C650F">
        <w:rPr>
          <w:rFonts w:ascii="Times New Roman" w:eastAsia="Times New Roman" w:hAnsi="Times New Roman" w:cs="Times New Roman"/>
          <w:i/>
          <w:iCs/>
          <w:sz w:val="24"/>
          <w:szCs w:val="24"/>
        </w:rPr>
        <w:t>Plos</w:t>
      </w:r>
      <w:proofErr w:type="spellEnd"/>
      <w:r w:rsidRPr="005C650F">
        <w:rPr>
          <w:rFonts w:ascii="Times New Roman" w:eastAsia="Times New Roman" w:hAnsi="Times New Roman" w:cs="Times New Roman"/>
          <w:i/>
          <w:iCs/>
          <w:sz w:val="24"/>
          <w:szCs w:val="24"/>
        </w:rPr>
        <w:t xml:space="preserve"> One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w:t>
      </w:r>
      <w:r w:rsidRPr="005C650F">
        <w:rPr>
          <w:rFonts w:ascii="Times New Roman" w:eastAsia="Times New Roman" w:hAnsi="Times New Roman" w:cs="Times New Roman"/>
          <w:sz w:val="24"/>
          <w:szCs w:val="24"/>
        </w:rPr>
        <w:t>(5), e5743. https://doi.org/10.1371/journal.pone.0005743</w:t>
      </w:r>
    </w:p>
    <w:p w14:paraId="6E33DC96"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Yan, C.-G., Chen, X., Li, L., Castellanos, F. X., Bai, T.-J., Bo, Q.-J., Cao, J., Chen, G.-M., Chen, N.-X., Chen, W., Cheng, C., Cheng, Y.-Q., Cui, X.-L., Duan, J., Fang, Y.-R., Gong, Q.-Y., Guo, W.-B., Hou, Z.-H., Hu, L., … Zang, Y.-F. (2019). Reduced default mode network functional connectivity in patients with recurrent major depressive disorder. </w:t>
      </w:r>
      <w:r w:rsidRPr="005C650F">
        <w:rPr>
          <w:rFonts w:ascii="Times New Roman" w:eastAsia="Times New Roman" w:hAnsi="Times New Roman" w:cs="Times New Roman"/>
          <w:i/>
          <w:iCs/>
          <w:sz w:val="24"/>
          <w:szCs w:val="24"/>
        </w:rPr>
        <w:t>Proceedings of the National Academy of Sciences of the United States of America</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116</w:t>
      </w:r>
      <w:r w:rsidRPr="005C650F">
        <w:rPr>
          <w:rFonts w:ascii="Times New Roman" w:eastAsia="Times New Roman" w:hAnsi="Times New Roman" w:cs="Times New Roman"/>
          <w:sz w:val="24"/>
          <w:szCs w:val="24"/>
        </w:rPr>
        <w:t>(18), 9078–9083. https://doi.org/10.1073/pnas.1900390116</w:t>
      </w:r>
    </w:p>
    <w:p w14:paraId="56A26B30"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F97EDC">
        <w:rPr>
          <w:rFonts w:ascii="Times New Roman" w:eastAsia="Times New Roman" w:hAnsi="Times New Roman" w:cs="Times New Roman"/>
          <w:sz w:val="24"/>
          <w:szCs w:val="24"/>
        </w:rPr>
        <w:t xml:space="preserve">Yan, C.-G., Cheung, B., Kelly, C., </w:t>
      </w:r>
      <w:proofErr w:type="spellStart"/>
      <w:r w:rsidRPr="00F97EDC">
        <w:rPr>
          <w:rFonts w:ascii="Times New Roman" w:eastAsia="Times New Roman" w:hAnsi="Times New Roman" w:cs="Times New Roman"/>
          <w:sz w:val="24"/>
          <w:szCs w:val="24"/>
        </w:rPr>
        <w:t>Colcombe</w:t>
      </w:r>
      <w:proofErr w:type="spellEnd"/>
      <w:r w:rsidRPr="00F97EDC">
        <w:rPr>
          <w:rFonts w:ascii="Times New Roman" w:eastAsia="Times New Roman" w:hAnsi="Times New Roman" w:cs="Times New Roman"/>
          <w:sz w:val="24"/>
          <w:szCs w:val="24"/>
        </w:rPr>
        <w:t xml:space="preserve">, S., Craddock, R. C., Di Martino, A., Li, Q., Zuo, X.-N., Castellanos, F. X., &amp; Milham, M. P. (2013). A comprehensive assessment of regional variation in the impact of head micromovements on functional </w:t>
      </w:r>
      <w:proofErr w:type="spellStart"/>
      <w:r w:rsidRPr="00F97EDC">
        <w:rPr>
          <w:rFonts w:ascii="Times New Roman" w:eastAsia="Times New Roman" w:hAnsi="Times New Roman" w:cs="Times New Roman"/>
          <w:sz w:val="24"/>
          <w:szCs w:val="24"/>
        </w:rPr>
        <w:t>connectomics</w:t>
      </w:r>
      <w:proofErr w:type="spellEnd"/>
      <w:r w:rsidRPr="00F97EDC">
        <w:rPr>
          <w:rFonts w:ascii="Times New Roman" w:eastAsia="Times New Roman" w:hAnsi="Times New Roman" w:cs="Times New Roman"/>
          <w:sz w:val="24"/>
          <w:szCs w:val="24"/>
        </w:rPr>
        <w:t>. Neuroimage, 76, 183–201. https://doi.org/10.1016/j.neuroimage.2013.03.004</w:t>
      </w:r>
    </w:p>
    <w:p w14:paraId="2FF704A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lastRenderedPageBreak/>
        <w:t xml:space="preserve">Yan, C.-G., Wang, X.-D., Zuo, X.-N., &amp; Zang, Y.-F. (2016). DPABI: Data Processing &amp; Analysis for (Resting-State) Brain Imaging. </w:t>
      </w:r>
      <w:proofErr w:type="spellStart"/>
      <w:r w:rsidRPr="005C650F">
        <w:rPr>
          <w:rFonts w:ascii="Times New Roman" w:eastAsia="Times New Roman" w:hAnsi="Times New Roman" w:cs="Times New Roman"/>
          <w:i/>
          <w:iCs/>
          <w:sz w:val="24"/>
          <w:szCs w:val="24"/>
        </w:rPr>
        <w:t>Neuroinformatics</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w:t>
      </w:r>
      <w:r w:rsidRPr="005C650F">
        <w:rPr>
          <w:rFonts w:ascii="Times New Roman" w:eastAsia="Times New Roman" w:hAnsi="Times New Roman" w:cs="Times New Roman"/>
          <w:sz w:val="24"/>
          <w:szCs w:val="24"/>
        </w:rPr>
        <w:t>(3), 339–351. https://doi.org/10.1007/s12021-016-9299-4</w:t>
      </w:r>
    </w:p>
    <w:p w14:paraId="327A49F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Yan, C.-G., Wang, X.-D., Zuo, X.-N., &amp; Zang, Y.-F. (2016). DPABI: Data Processing &amp; Analysis for (Resting-State) Brain Imaging. </w:t>
      </w:r>
      <w:proofErr w:type="spellStart"/>
      <w:r w:rsidRPr="005C650F">
        <w:rPr>
          <w:rFonts w:ascii="Times New Roman" w:eastAsia="Times New Roman" w:hAnsi="Times New Roman" w:cs="Times New Roman"/>
          <w:i/>
          <w:iCs/>
          <w:sz w:val="24"/>
          <w:szCs w:val="24"/>
        </w:rPr>
        <w:t>Neuroinformatics</w:t>
      </w:r>
      <w:proofErr w:type="spellEnd"/>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14</w:t>
      </w:r>
      <w:r w:rsidRPr="005C650F">
        <w:rPr>
          <w:rFonts w:ascii="Times New Roman" w:eastAsia="Times New Roman" w:hAnsi="Times New Roman" w:cs="Times New Roman"/>
          <w:sz w:val="24"/>
          <w:szCs w:val="24"/>
        </w:rPr>
        <w:t>(3), 339–351. https://doi.org/10.1007/s12021-016-9299-4</w:t>
      </w:r>
    </w:p>
    <w:p w14:paraId="1873832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Yang, A. C., &amp; Tsai, S.-J. (2013). Complexity of mental illness: A new research dimension. </w:t>
      </w:r>
      <w:r w:rsidRPr="00203582">
        <w:rPr>
          <w:rFonts w:ascii="Times New Roman" w:eastAsia="Times New Roman" w:hAnsi="Times New Roman" w:cs="Times New Roman"/>
          <w:i/>
          <w:sz w:val="24"/>
          <w:szCs w:val="24"/>
        </w:rPr>
        <w:t>Progress in Neuro-Psychopharmacology and Biological Psychiatry</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45</w:t>
      </w:r>
      <w:r w:rsidRPr="00203582">
        <w:rPr>
          <w:rFonts w:ascii="Times New Roman" w:eastAsia="Times New Roman" w:hAnsi="Times New Roman" w:cs="Times New Roman"/>
          <w:sz w:val="24"/>
          <w:szCs w:val="24"/>
        </w:rPr>
        <w:t>, 251–252. https://doi.org/10.1016/j.pnpbp.2013.01.018</w:t>
      </w:r>
    </w:p>
    <w:p w14:paraId="227A8E5D"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Yang, A. C., Hong, C.-J., Liou, Y.-J., Huang, K.-L., Huang, C.-C., Liu, M.-E., Lo, M.-T., Huang, N. E., Peng, C.-K., Lin, C.-P., &amp; Tsai, S.-J. (2015). Decreased resting-state brain activity complexity in schizophrenia characterized by both increased regularity and randomness. </w:t>
      </w:r>
      <w:r w:rsidRPr="005C650F">
        <w:rPr>
          <w:rFonts w:ascii="Times New Roman" w:eastAsia="Times New Roman" w:hAnsi="Times New Roman" w:cs="Times New Roman"/>
          <w:i/>
          <w:iCs/>
          <w:sz w:val="24"/>
          <w:szCs w:val="24"/>
        </w:rPr>
        <w:t>Human Brain Mapping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36</w:t>
      </w:r>
      <w:r w:rsidRPr="005C650F">
        <w:rPr>
          <w:rFonts w:ascii="Times New Roman" w:eastAsia="Times New Roman" w:hAnsi="Times New Roman" w:cs="Times New Roman"/>
          <w:sz w:val="24"/>
          <w:szCs w:val="24"/>
        </w:rPr>
        <w:t>(6), 2174–2186. https://doi.org/10.1002/hbm.22763</w:t>
      </w:r>
    </w:p>
    <w:p w14:paraId="52B4458C"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Yang, A. C., Huang, C.-C., Yeh, H.-L., Liu, M.-E., Hong, C.-J., Tu, P.-C., Chen, J.-F., Huang, N. E., Peng, C.-K., Lin, C.-P., &amp; Tsai, S.-J. (2013). Complexity of spontaneous BOLD activity in default mode network is correlated with cognitive function in normal male elderly: a multiscale entropy analysis. </w:t>
      </w:r>
      <w:r w:rsidRPr="00203582">
        <w:rPr>
          <w:rFonts w:ascii="Times New Roman" w:eastAsia="Times New Roman" w:hAnsi="Times New Roman" w:cs="Times New Roman"/>
          <w:i/>
          <w:sz w:val="24"/>
          <w:szCs w:val="24"/>
        </w:rPr>
        <w:t>Neurobiology of Aging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34</w:t>
      </w:r>
      <w:r w:rsidRPr="00203582">
        <w:rPr>
          <w:rFonts w:ascii="Times New Roman" w:eastAsia="Times New Roman" w:hAnsi="Times New Roman" w:cs="Times New Roman"/>
          <w:sz w:val="24"/>
          <w:szCs w:val="24"/>
        </w:rPr>
        <w:t>(2), 428–438. https://doi.org/10.1016/j.neurobiolaging.2012.05.004</w:t>
      </w:r>
    </w:p>
    <w:p w14:paraId="68DCFBC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lang w:val="sv-SE"/>
        </w:rPr>
        <w:t xml:space="preserve">Yang, A. C., Tsai, S.-J., Lin, C.-P., &amp; Peng, C.-K. (2018). </w:t>
      </w:r>
      <w:r w:rsidRPr="00203582">
        <w:rPr>
          <w:rFonts w:ascii="Times New Roman" w:eastAsia="Times New Roman" w:hAnsi="Times New Roman" w:cs="Times New Roman"/>
          <w:sz w:val="24"/>
          <w:szCs w:val="24"/>
        </w:rPr>
        <w:t xml:space="preserve">A Strategy to Reduce Bias of Entropy Estimates in Resting-State fMRI Signals. </w:t>
      </w:r>
      <w:r w:rsidRPr="00203582">
        <w:rPr>
          <w:rFonts w:ascii="Times New Roman" w:eastAsia="Times New Roman" w:hAnsi="Times New Roman" w:cs="Times New Roman"/>
          <w:i/>
          <w:sz w:val="24"/>
          <w:szCs w:val="24"/>
        </w:rPr>
        <w:t>Frontiers in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 398. https://doi.org/10.3389/fnins.2018.00398</w:t>
      </w:r>
    </w:p>
    <w:p w14:paraId="00B4CF8D"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Yang, H., Long, X.-Y., Yang, Y., Yan, H., Zhu, C.-Z., Zhou, X.-P., Zang, Y.-F., &amp; Gong, Q.-Y. (2007). Amplitude of low frequency fluctuation within visual areas revealed by resting-state functional MRI.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36</w:t>
      </w:r>
      <w:r w:rsidRPr="00203582">
        <w:rPr>
          <w:rFonts w:ascii="Times New Roman" w:eastAsia="Times New Roman" w:hAnsi="Times New Roman" w:cs="Times New Roman"/>
          <w:sz w:val="24"/>
          <w:szCs w:val="24"/>
        </w:rPr>
        <w:t>(1), 144–152. https://doi.org/10.1016/j.neuroimage.2007.01.054</w:t>
      </w:r>
    </w:p>
    <w:p w14:paraId="338B132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Yang, Y., Zhou, M., Niu, Y., Li, C., Cao, R., Wang, B., Yan, P., Ma, Y., &amp; Xiang, J. (2018). Epileptic seizure prediction based on permutation entropy. </w:t>
      </w:r>
      <w:r w:rsidRPr="00203582">
        <w:rPr>
          <w:rFonts w:ascii="Times New Roman" w:eastAsia="Times New Roman" w:hAnsi="Times New Roman" w:cs="Times New Roman"/>
          <w:i/>
          <w:sz w:val="24"/>
          <w:szCs w:val="24"/>
        </w:rPr>
        <w:t>Frontiers in Computational Neuroscience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12</w:t>
      </w:r>
      <w:r w:rsidRPr="00203582">
        <w:rPr>
          <w:rFonts w:ascii="Times New Roman" w:eastAsia="Times New Roman" w:hAnsi="Times New Roman" w:cs="Times New Roman"/>
          <w:sz w:val="24"/>
          <w:szCs w:val="24"/>
        </w:rPr>
        <w:t>, 55. https://doi.org/10.3389/fncom.2018.00055</w:t>
      </w:r>
    </w:p>
    <w:p w14:paraId="796AFBE9"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Yao, Y., Lu, W. L., Xu, B., Li, C. B., Lin, C. P., Waxman, D., &amp; Feng, J. F. (2013). The increase of the functional entropy of the human brain with age. </w:t>
      </w:r>
      <w:r w:rsidRPr="00203582">
        <w:rPr>
          <w:rFonts w:ascii="Times New Roman" w:eastAsia="Times New Roman" w:hAnsi="Times New Roman" w:cs="Times New Roman"/>
          <w:i/>
          <w:sz w:val="24"/>
          <w:szCs w:val="24"/>
        </w:rPr>
        <w:t>Scientific Reports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3</w:t>
      </w:r>
      <w:r w:rsidRPr="00203582">
        <w:rPr>
          <w:rFonts w:ascii="Times New Roman" w:eastAsia="Times New Roman" w:hAnsi="Times New Roman" w:cs="Times New Roman"/>
          <w:sz w:val="24"/>
          <w:szCs w:val="24"/>
        </w:rPr>
        <w:t>, 2853. https://doi.org/10.1038/srep02853</w:t>
      </w:r>
    </w:p>
    <w:p w14:paraId="184F1431"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Yao, Y., Lu, W. L., Xu, B., Li, C. B., Lin, C. P., Waxman, D., &amp; Feng, J. F. (2013). The increase of the functional entropy of the human brain with age. </w:t>
      </w:r>
      <w:r w:rsidRPr="005C650F">
        <w:rPr>
          <w:rFonts w:ascii="Times New Roman" w:eastAsia="Times New Roman" w:hAnsi="Times New Roman" w:cs="Times New Roman"/>
          <w:i/>
          <w:iCs/>
          <w:sz w:val="24"/>
          <w:szCs w:val="24"/>
        </w:rPr>
        <w:t>Scientific Reports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3</w:t>
      </w:r>
      <w:r w:rsidRPr="005C650F">
        <w:rPr>
          <w:rFonts w:ascii="Times New Roman" w:eastAsia="Times New Roman" w:hAnsi="Times New Roman" w:cs="Times New Roman"/>
          <w:sz w:val="24"/>
          <w:szCs w:val="24"/>
        </w:rPr>
        <w:t>, 2853. https://doi.org/10.1038/srep02853</w:t>
      </w:r>
    </w:p>
    <w:p w14:paraId="2CC6654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Yao, Z., Hu, B., Xie, Y., Zheng, F., Liu, G., Chen, X., &amp; Zheng, W. (2016). Resting-State Time-Varying Analysis Reveals Aberrant Variations of Functional Connectivity in Autism. </w:t>
      </w:r>
      <w:r w:rsidRPr="005C650F">
        <w:rPr>
          <w:rFonts w:ascii="Times New Roman" w:eastAsia="Times New Roman" w:hAnsi="Times New Roman" w:cs="Times New Roman"/>
          <w:i/>
          <w:iCs/>
          <w:sz w:val="24"/>
          <w:szCs w:val="24"/>
        </w:rPr>
        <w:t>Frontiers in Human Neuroscience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w:t>
      </w:r>
      <w:r w:rsidRPr="005C650F">
        <w:rPr>
          <w:rFonts w:ascii="Times New Roman" w:eastAsia="Times New Roman" w:hAnsi="Times New Roman" w:cs="Times New Roman"/>
          <w:sz w:val="24"/>
          <w:szCs w:val="24"/>
        </w:rPr>
        <w:t>, 463. https://doi.org/10.3389/fnhum.2016.00463</w:t>
      </w:r>
    </w:p>
    <w:p w14:paraId="52294271"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rPr>
        <w:t>Yaylaci</w:t>
      </w:r>
      <w:proofErr w:type="spellEnd"/>
      <w:r w:rsidRPr="00203582">
        <w:rPr>
          <w:rFonts w:ascii="Times New Roman" w:eastAsia="Times New Roman" w:hAnsi="Times New Roman" w:cs="Times New Roman"/>
          <w:sz w:val="24"/>
          <w:szCs w:val="24"/>
        </w:rPr>
        <w:t xml:space="preserve">, F., &amp; Miral, S. (2017). A Comparison of DSM-IV-TR and DSM-5 Diagnostic Classifications in the Clinical Diagnosis of Autistic Spectrum Disorder. </w:t>
      </w:r>
      <w:r w:rsidRPr="00203582">
        <w:rPr>
          <w:rFonts w:ascii="Times New Roman" w:eastAsia="Times New Roman" w:hAnsi="Times New Roman" w:cs="Times New Roman"/>
          <w:i/>
          <w:sz w:val="24"/>
          <w:szCs w:val="24"/>
        </w:rPr>
        <w:t>Journal of Autism and Developmental Disorders</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47</w:t>
      </w:r>
      <w:r w:rsidRPr="00203582">
        <w:rPr>
          <w:rFonts w:ascii="Times New Roman" w:eastAsia="Times New Roman" w:hAnsi="Times New Roman" w:cs="Times New Roman"/>
          <w:sz w:val="24"/>
          <w:szCs w:val="24"/>
        </w:rPr>
        <w:t>(1), 101–109. https://doi.org/10.1007/s10803-016-2937-8</w:t>
      </w:r>
    </w:p>
    <w:p w14:paraId="13E6D27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Yentes, J. M., Hunt, N., Schmid, K. K., </w:t>
      </w:r>
      <w:proofErr w:type="spellStart"/>
      <w:r w:rsidRPr="00203582">
        <w:rPr>
          <w:rFonts w:ascii="Times New Roman" w:eastAsia="Times New Roman" w:hAnsi="Times New Roman" w:cs="Times New Roman"/>
          <w:sz w:val="24"/>
          <w:szCs w:val="24"/>
        </w:rPr>
        <w:t>Kaipust</w:t>
      </w:r>
      <w:proofErr w:type="spellEnd"/>
      <w:r w:rsidRPr="00203582">
        <w:rPr>
          <w:rFonts w:ascii="Times New Roman" w:eastAsia="Times New Roman" w:hAnsi="Times New Roman" w:cs="Times New Roman"/>
          <w:sz w:val="24"/>
          <w:szCs w:val="24"/>
        </w:rPr>
        <w:t xml:space="preserve">, J. P., McGrath, D., &amp; Stergiou, N. (2013). The appropriate use of approximate entropy and sample entropy with short data sets. </w:t>
      </w:r>
      <w:r w:rsidRPr="00203582">
        <w:rPr>
          <w:rFonts w:ascii="Times New Roman" w:eastAsia="Times New Roman" w:hAnsi="Times New Roman" w:cs="Times New Roman"/>
          <w:i/>
          <w:sz w:val="24"/>
          <w:szCs w:val="24"/>
        </w:rPr>
        <w:t>Annals of Biomedical Engineering</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41</w:t>
      </w:r>
      <w:r w:rsidRPr="00203582">
        <w:rPr>
          <w:rFonts w:ascii="Times New Roman" w:eastAsia="Times New Roman" w:hAnsi="Times New Roman" w:cs="Times New Roman"/>
          <w:sz w:val="24"/>
          <w:szCs w:val="24"/>
        </w:rPr>
        <w:t>(2), 349–365. https://doi.org/10.1007/s10439-012-0668-3</w:t>
      </w:r>
    </w:p>
    <w:p w14:paraId="19255B9A"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Yeo, B. T. T., </w:t>
      </w:r>
      <w:proofErr w:type="spellStart"/>
      <w:r w:rsidRPr="005C650F">
        <w:rPr>
          <w:rFonts w:ascii="Times New Roman" w:eastAsia="Times New Roman" w:hAnsi="Times New Roman" w:cs="Times New Roman"/>
          <w:sz w:val="24"/>
          <w:szCs w:val="24"/>
        </w:rPr>
        <w:t>Krienen</w:t>
      </w:r>
      <w:proofErr w:type="spellEnd"/>
      <w:r w:rsidRPr="005C650F">
        <w:rPr>
          <w:rFonts w:ascii="Times New Roman" w:eastAsia="Times New Roman" w:hAnsi="Times New Roman" w:cs="Times New Roman"/>
          <w:sz w:val="24"/>
          <w:szCs w:val="24"/>
        </w:rPr>
        <w:t xml:space="preserve">, F. M., </w:t>
      </w:r>
      <w:proofErr w:type="spellStart"/>
      <w:r w:rsidRPr="005C650F">
        <w:rPr>
          <w:rFonts w:ascii="Times New Roman" w:eastAsia="Times New Roman" w:hAnsi="Times New Roman" w:cs="Times New Roman"/>
          <w:sz w:val="24"/>
          <w:szCs w:val="24"/>
        </w:rPr>
        <w:t>Sepulcre</w:t>
      </w:r>
      <w:proofErr w:type="spellEnd"/>
      <w:r w:rsidRPr="005C650F">
        <w:rPr>
          <w:rFonts w:ascii="Times New Roman" w:eastAsia="Times New Roman" w:hAnsi="Times New Roman" w:cs="Times New Roman"/>
          <w:sz w:val="24"/>
          <w:szCs w:val="24"/>
        </w:rPr>
        <w:t xml:space="preserve">, J., </w:t>
      </w:r>
      <w:proofErr w:type="spellStart"/>
      <w:r w:rsidRPr="005C650F">
        <w:rPr>
          <w:rFonts w:ascii="Times New Roman" w:eastAsia="Times New Roman" w:hAnsi="Times New Roman" w:cs="Times New Roman"/>
          <w:sz w:val="24"/>
          <w:szCs w:val="24"/>
        </w:rPr>
        <w:t>Sabuncu</w:t>
      </w:r>
      <w:proofErr w:type="spellEnd"/>
      <w:r w:rsidRPr="005C650F">
        <w:rPr>
          <w:rFonts w:ascii="Times New Roman" w:eastAsia="Times New Roman" w:hAnsi="Times New Roman" w:cs="Times New Roman"/>
          <w:sz w:val="24"/>
          <w:szCs w:val="24"/>
        </w:rPr>
        <w:t xml:space="preserve">, M. R., Lashkari, D., Hollinshead, M., Roffman, J. L., Smoller, J. W., </w:t>
      </w:r>
      <w:proofErr w:type="spellStart"/>
      <w:r w:rsidRPr="005C650F">
        <w:rPr>
          <w:rFonts w:ascii="Times New Roman" w:eastAsia="Times New Roman" w:hAnsi="Times New Roman" w:cs="Times New Roman"/>
          <w:sz w:val="24"/>
          <w:szCs w:val="24"/>
        </w:rPr>
        <w:t>Zöllei</w:t>
      </w:r>
      <w:proofErr w:type="spellEnd"/>
      <w:r w:rsidRPr="005C650F">
        <w:rPr>
          <w:rFonts w:ascii="Times New Roman" w:eastAsia="Times New Roman" w:hAnsi="Times New Roman" w:cs="Times New Roman"/>
          <w:sz w:val="24"/>
          <w:szCs w:val="24"/>
        </w:rPr>
        <w:t xml:space="preserve">, L., Polimeni, J. R., Fischl, B., Liu, H., &amp; Buckner, R. L. (2011). The organization of the human cerebral cortex estimated by intrinsic functional connectivity. </w:t>
      </w:r>
      <w:r w:rsidRPr="005C650F">
        <w:rPr>
          <w:rFonts w:ascii="Times New Roman" w:eastAsia="Times New Roman" w:hAnsi="Times New Roman" w:cs="Times New Roman"/>
          <w:i/>
          <w:iCs/>
          <w:sz w:val="24"/>
          <w:szCs w:val="24"/>
        </w:rPr>
        <w:t>Journal of Neurophysiology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106</w:t>
      </w:r>
      <w:r w:rsidRPr="005C650F">
        <w:rPr>
          <w:rFonts w:ascii="Times New Roman" w:eastAsia="Times New Roman" w:hAnsi="Times New Roman" w:cs="Times New Roman"/>
          <w:sz w:val="24"/>
          <w:szCs w:val="24"/>
        </w:rPr>
        <w:t>(3), 1125–1165. https://doi.org/10.1152/jn.00338.2011</w:t>
      </w:r>
    </w:p>
    <w:p w14:paraId="4937EF26" w14:textId="77777777" w:rsidR="00ED57EB" w:rsidRPr="00203582" w:rsidRDefault="00ED57EB" w:rsidP="00ED57EB">
      <w:pPr>
        <w:spacing w:line="480" w:lineRule="auto"/>
        <w:ind w:left="708" w:hanging="708"/>
        <w:rPr>
          <w:rFonts w:ascii="Times New Roman" w:eastAsia="Times New Roman" w:hAnsi="Times New Roman" w:cs="Times New Roman"/>
          <w:sz w:val="24"/>
          <w:szCs w:val="24"/>
          <w:lang w:val="fr-FR"/>
        </w:rPr>
      </w:pPr>
      <w:proofErr w:type="spellStart"/>
      <w:r w:rsidRPr="00203582">
        <w:rPr>
          <w:rFonts w:ascii="Times New Roman" w:eastAsia="Times New Roman" w:hAnsi="Times New Roman" w:cs="Times New Roman"/>
          <w:sz w:val="24"/>
          <w:szCs w:val="24"/>
        </w:rPr>
        <w:t>Yerys</w:t>
      </w:r>
      <w:proofErr w:type="spellEnd"/>
      <w:r w:rsidRPr="00203582">
        <w:rPr>
          <w:rFonts w:ascii="Times New Roman" w:eastAsia="Times New Roman" w:hAnsi="Times New Roman" w:cs="Times New Roman"/>
          <w:sz w:val="24"/>
          <w:szCs w:val="24"/>
        </w:rPr>
        <w:t xml:space="preserve">, B. E., Gordon, E. M., Abrams, D. N., Satterthwaite, T. D., Weinblatt, R., Jankowski, K. F., Strang, J., Kenworthy, L., Gaillard, W. D., &amp; Vaidya, C. J. (2015). Default mode network segregation and </w:t>
      </w:r>
      <w:r w:rsidRPr="00203582">
        <w:rPr>
          <w:rFonts w:ascii="Times New Roman" w:eastAsia="Times New Roman" w:hAnsi="Times New Roman" w:cs="Times New Roman"/>
          <w:sz w:val="24"/>
          <w:szCs w:val="24"/>
        </w:rPr>
        <w:lastRenderedPageBreak/>
        <w:t xml:space="preserve">social deficits in autism spectrum disorder: Evidence from non-medicated children. </w:t>
      </w:r>
      <w:proofErr w:type="spellStart"/>
      <w:r w:rsidRPr="00203582">
        <w:rPr>
          <w:rFonts w:ascii="Times New Roman" w:eastAsia="Times New Roman" w:hAnsi="Times New Roman" w:cs="Times New Roman"/>
          <w:i/>
          <w:sz w:val="24"/>
          <w:szCs w:val="24"/>
          <w:lang w:val="fr-FR"/>
        </w:rPr>
        <w:t>NeuroImage</w:t>
      </w:r>
      <w:proofErr w:type="spellEnd"/>
      <w:r w:rsidRPr="00203582">
        <w:rPr>
          <w:rFonts w:ascii="Times New Roman" w:eastAsia="Times New Roman" w:hAnsi="Times New Roman" w:cs="Times New Roman"/>
          <w:i/>
          <w:sz w:val="24"/>
          <w:szCs w:val="24"/>
          <w:lang w:val="fr-FR"/>
        </w:rPr>
        <w:t xml:space="preserve">. </w:t>
      </w:r>
      <w:proofErr w:type="spellStart"/>
      <w:r w:rsidRPr="00203582">
        <w:rPr>
          <w:rFonts w:ascii="Times New Roman" w:eastAsia="Times New Roman" w:hAnsi="Times New Roman" w:cs="Times New Roman"/>
          <w:i/>
          <w:sz w:val="24"/>
          <w:szCs w:val="24"/>
          <w:lang w:val="fr-FR"/>
        </w:rPr>
        <w:t>Clinical</w:t>
      </w:r>
      <w:proofErr w:type="spellEnd"/>
      <w:r w:rsidRPr="00203582">
        <w:rPr>
          <w:rFonts w:ascii="Times New Roman" w:eastAsia="Times New Roman" w:hAnsi="Times New Roman" w:cs="Times New Roman"/>
          <w:sz w:val="24"/>
          <w:szCs w:val="24"/>
          <w:lang w:val="fr-FR"/>
        </w:rPr>
        <w:t xml:space="preserve">, </w:t>
      </w:r>
      <w:r w:rsidRPr="00203582">
        <w:rPr>
          <w:rFonts w:ascii="Times New Roman" w:eastAsia="Times New Roman" w:hAnsi="Times New Roman" w:cs="Times New Roman"/>
          <w:i/>
          <w:sz w:val="24"/>
          <w:szCs w:val="24"/>
          <w:lang w:val="fr-FR"/>
        </w:rPr>
        <w:t>9</w:t>
      </w:r>
      <w:r w:rsidRPr="00203582">
        <w:rPr>
          <w:rFonts w:ascii="Times New Roman" w:eastAsia="Times New Roman" w:hAnsi="Times New Roman" w:cs="Times New Roman"/>
          <w:sz w:val="24"/>
          <w:szCs w:val="24"/>
          <w:lang w:val="fr-FR"/>
        </w:rPr>
        <w:t>, 223–232. https://doi.org/10.1016/j.nicl.2015.07.018</w:t>
      </w:r>
    </w:p>
    <w:p w14:paraId="01DE543C"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Yerys</w:t>
      </w:r>
      <w:proofErr w:type="spellEnd"/>
      <w:r w:rsidRPr="005C650F">
        <w:rPr>
          <w:rFonts w:ascii="Times New Roman" w:eastAsia="Times New Roman" w:hAnsi="Times New Roman" w:cs="Times New Roman"/>
          <w:sz w:val="24"/>
          <w:szCs w:val="24"/>
        </w:rPr>
        <w:t xml:space="preserve">, B. E., Gordon, E. M., Abrams, D. N., Satterthwaite, T. D., Weinblatt, R., Jankowski, K. F., Strang, J., Kenworthy, L., Gaillard, W. D., &amp; Vaidya, C. J. (2015). Default mode network segregation and social deficits in autism spectrum disorder: Evidence from non-medicated children. </w:t>
      </w:r>
      <w:proofErr w:type="spellStart"/>
      <w:r w:rsidRPr="005C650F">
        <w:rPr>
          <w:rFonts w:ascii="Times New Roman" w:eastAsia="Times New Roman" w:hAnsi="Times New Roman" w:cs="Times New Roman"/>
          <w:i/>
          <w:iCs/>
          <w:sz w:val="24"/>
          <w:szCs w:val="24"/>
        </w:rPr>
        <w:t>NeuroImage</w:t>
      </w:r>
      <w:proofErr w:type="spellEnd"/>
      <w:r w:rsidRPr="005C650F">
        <w:rPr>
          <w:rFonts w:ascii="Times New Roman" w:eastAsia="Times New Roman" w:hAnsi="Times New Roman" w:cs="Times New Roman"/>
          <w:i/>
          <w:iCs/>
          <w:sz w:val="24"/>
          <w:szCs w:val="24"/>
        </w:rPr>
        <w:t>. Clinical</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223–232. https://doi.org/10.1016/j.nicl.2015.07.018</w:t>
      </w:r>
    </w:p>
    <w:p w14:paraId="49522397"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proofErr w:type="spellStart"/>
      <w:r w:rsidRPr="005C650F">
        <w:rPr>
          <w:rFonts w:ascii="Times New Roman" w:eastAsia="Times New Roman" w:hAnsi="Times New Roman" w:cs="Times New Roman"/>
          <w:sz w:val="24"/>
          <w:szCs w:val="24"/>
        </w:rPr>
        <w:t>Yerys</w:t>
      </w:r>
      <w:proofErr w:type="spellEnd"/>
      <w:r w:rsidRPr="005C650F">
        <w:rPr>
          <w:rFonts w:ascii="Times New Roman" w:eastAsia="Times New Roman" w:hAnsi="Times New Roman" w:cs="Times New Roman"/>
          <w:sz w:val="24"/>
          <w:szCs w:val="24"/>
        </w:rPr>
        <w:t xml:space="preserve">, B. E., Gordon, E. M., Abrams, D. N., Satterthwaite, T. D., Weinblatt, R., Jankowski, K. F., Strang, J., Kenworthy, L., Gaillard, W. D., &amp; Vaidya, C. J. (2015). Default mode network segregation and social deficits in autism spectrum disorder: Evidence from non-medicated children. </w:t>
      </w:r>
      <w:proofErr w:type="spellStart"/>
      <w:r w:rsidRPr="005C650F">
        <w:rPr>
          <w:rFonts w:ascii="Times New Roman" w:eastAsia="Times New Roman" w:hAnsi="Times New Roman" w:cs="Times New Roman"/>
          <w:i/>
          <w:iCs/>
          <w:sz w:val="24"/>
          <w:szCs w:val="24"/>
        </w:rPr>
        <w:t>NeuroImage</w:t>
      </w:r>
      <w:proofErr w:type="spellEnd"/>
      <w:r w:rsidRPr="005C650F">
        <w:rPr>
          <w:rFonts w:ascii="Times New Roman" w:eastAsia="Times New Roman" w:hAnsi="Times New Roman" w:cs="Times New Roman"/>
          <w:i/>
          <w:iCs/>
          <w:sz w:val="24"/>
          <w:szCs w:val="24"/>
        </w:rPr>
        <w:t>. Clinical</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w:t>
      </w:r>
      <w:r w:rsidRPr="005C650F">
        <w:rPr>
          <w:rFonts w:ascii="Times New Roman" w:eastAsia="Times New Roman" w:hAnsi="Times New Roman" w:cs="Times New Roman"/>
          <w:sz w:val="24"/>
          <w:szCs w:val="24"/>
        </w:rPr>
        <w:t>, 223–232. https://doi.org/10.1016/j.nicl.2015.07.018</w:t>
      </w:r>
    </w:p>
    <w:p w14:paraId="6F2C2E9F"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Ying, X. (2019). An overview of overfitting and its solutions. </w:t>
      </w:r>
      <w:r w:rsidRPr="005C650F">
        <w:rPr>
          <w:rFonts w:ascii="Times New Roman" w:eastAsia="Times New Roman" w:hAnsi="Times New Roman" w:cs="Times New Roman"/>
          <w:i/>
          <w:iCs/>
          <w:sz w:val="24"/>
          <w:szCs w:val="24"/>
        </w:rPr>
        <w:t>Journal of Physics: Conference Series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1168</w:t>
      </w:r>
      <w:r w:rsidRPr="005C650F">
        <w:rPr>
          <w:rFonts w:ascii="Times New Roman" w:eastAsia="Times New Roman" w:hAnsi="Times New Roman" w:cs="Times New Roman"/>
          <w:sz w:val="24"/>
          <w:szCs w:val="24"/>
        </w:rPr>
        <w:t>, 022022. https://doi.org/10.1088/1742-6596/1168/2/022022</w:t>
      </w:r>
    </w:p>
    <w:p w14:paraId="0D0587A5" w14:textId="77777777" w:rsidR="00ED57EB"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Zabihi, M., </w:t>
      </w:r>
      <w:proofErr w:type="spellStart"/>
      <w:r w:rsidRPr="005C650F">
        <w:rPr>
          <w:rFonts w:ascii="Times New Roman" w:eastAsia="Times New Roman" w:hAnsi="Times New Roman" w:cs="Times New Roman"/>
          <w:sz w:val="24"/>
          <w:szCs w:val="24"/>
        </w:rPr>
        <w:t>Oldehinkel</w:t>
      </w:r>
      <w:proofErr w:type="spellEnd"/>
      <w:r w:rsidRPr="005C650F">
        <w:rPr>
          <w:rFonts w:ascii="Times New Roman" w:eastAsia="Times New Roman" w:hAnsi="Times New Roman" w:cs="Times New Roman"/>
          <w:sz w:val="24"/>
          <w:szCs w:val="24"/>
        </w:rPr>
        <w:t xml:space="preserve">, M., Wolfers, T., </w:t>
      </w:r>
      <w:proofErr w:type="spellStart"/>
      <w:r w:rsidRPr="005C650F">
        <w:rPr>
          <w:rFonts w:ascii="Times New Roman" w:eastAsia="Times New Roman" w:hAnsi="Times New Roman" w:cs="Times New Roman"/>
          <w:sz w:val="24"/>
          <w:szCs w:val="24"/>
        </w:rPr>
        <w:t>Frouin</w:t>
      </w:r>
      <w:proofErr w:type="spellEnd"/>
      <w:r w:rsidRPr="005C650F">
        <w:rPr>
          <w:rFonts w:ascii="Times New Roman" w:eastAsia="Times New Roman" w:hAnsi="Times New Roman" w:cs="Times New Roman"/>
          <w:sz w:val="24"/>
          <w:szCs w:val="24"/>
        </w:rPr>
        <w:t xml:space="preserve">, V., </w:t>
      </w:r>
      <w:proofErr w:type="spellStart"/>
      <w:r w:rsidRPr="005C650F">
        <w:rPr>
          <w:rFonts w:ascii="Times New Roman" w:eastAsia="Times New Roman" w:hAnsi="Times New Roman" w:cs="Times New Roman"/>
          <w:sz w:val="24"/>
          <w:szCs w:val="24"/>
        </w:rPr>
        <w:t>Goyard</w:t>
      </w:r>
      <w:proofErr w:type="spellEnd"/>
      <w:r w:rsidRPr="005C650F">
        <w:rPr>
          <w:rFonts w:ascii="Times New Roman" w:eastAsia="Times New Roman" w:hAnsi="Times New Roman" w:cs="Times New Roman"/>
          <w:sz w:val="24"/>
          <w:szCs w:val="24"/>
        </w:rPr>
        <w:t xml:space="preserve">, D., Loth, E., Charman, T., Tillmann, J., </w:t>
      </w:r>
      <w:proofErr w:type="spellStart"/>
      <w:r w:rsidRPr="005C650F">
        <w:rPr>
          <w:rFonts w:ascii="Times New Roman" w:eastAsia="Times New Roman" w:hAnsi="Times New Roman" w:cs="Times New Roman"/>
          <w:sz w:val="24"/>
          <w:szCs w:val="24"/>
        </w:rPr>
        <w:t>Banaschewski</w:t>
      </w:r>
      <w:proofErr w:type="spellEnd"/>
      <w:r w:rsidRPr="005C650F">
        <w:rPr>
          <w:rFonts w:ascii="Times New Roman" w:eastAsia="Times New Roman" w:hAnsi="Times New Roman" w:cs="Times New Roman"/>
          <w:sz w:val="24"/>
          <w:szCs w:val="24"/>
        </w:rPr>
        <w:t xml:space="preserve">, T., Dumas, G., Holt, R., Baron-Cohen, S., Durston, S., </w:t>
      </w:r>
      <w:proofErr w:type="spellStart"/>
      <w:r w:rsidRPr="005C650F">
        <w:rPr>
          <w:rFonts w:ascii="Times New Roman" w:eastAsia="Times New Roman" w:hAnsi="Times New Roman" w:cs="Times New Roman"/>
          <w:sz w:val="24"/>
          <w:szCs w:val="24"/>
        </w:rPr>
        <w:t>Bölte</w:t>
      </w:r>
      <w:proofErr w:type="spellEnd"/>
      <w:r w:rsidRPr="005C650F">
        <w:rPr>
          <w:rFonts w:ascii="Times New Roman" w:eastAsia="Times New Roman" w:hAnsi="Times New Roman" w:cs="Times New Roman"/>
          <w:sz w:val="24"/>
          <w:szCs w:val="24"/>
        </w:rPr>
        <w:t xml:space="preserve">, S., Murphy, D., Ecker, C., </w:t>
      </w:r>
      <w:proofErr w:type="spellStart"/>
      <w:r w:rsidRPr="005C650F">
        <w:rPr>
          <w:rFonts w:ascii="Times New Roman" w:eastAsia="Times New Roman" w:hAnsi="Times New Roman" w:cs="Times New Roman"/>
          <w:sz w:val="24"/>
          <w:szCs w:val="24"/>
        </w:rPr>
        <w:t>Buitelaar</w:t>
      </w:r>
      <w:proofErr w:type="spellEnd"/>
      <w:r w:rsidRPr="005C650F">
        <w:rPr>
          <w:rFonts w:ascii="Times New Roman" w:eastAsia="Times New Roman" w:hAnsi="Times New Roman" w:cs="Times New Roman"/>
          <w:sz w:val="24"/>
          <w:szCs w:val="24"/>
        </w:rPr>
        <w:t xml:space="preserve">, J. K., Beckmann, C. F., &amp; Marquand, A. F. (2019). Dissecting the heterogeneous cortical anatomy of autism spectrum disorder using normative models. </w:t>
      </w:r>
      <w:r w:rsidRPr="005C650F">
        <w:rPr>
          <w:rFonts w:ascii="Times New Roman" w:eastAsia="Times New Roman" w:hAnsi="Times New Roman" w:cs="Times New Roman"/>
          <w:i/>
          <w:iCs/>
          <w:sz w:val="24"/>
          <w:szCs w:val="24"/>
        </w:rPr>
        <w:t>Biological Psychiatry: Cognitive Neuroscience and Neuroimaging</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4</w:t>
      </w:r>
      <w:r w:rsidRPr="005C650F">
        <w:rPr>
          <w:rFonts w:ascii="Times New Roman" w:eastAsia="Times New Roman" w:hAnsi="Times New Roman" w:cs="Times New Roman"/>
          <w:sz w:val="24"/>
          <w:szCs w:val="24"/>
        </w:rPr>
        <w:t xml:space="preserve">(6), 567–578. </w:t>
      </w:r>
      <w:hyperlink r:id="rId876" w:history="1">
        <w:r w:rsidRPr="001F68FF">
          <w:rPr>
            <w:rStyle w:val="Hyperlink"/>
            <w:rFonts w:ascii="Times New Roman" w:eastAsia="Times New Roman" w:hAnsi="Times New Roman" w:cs="Times New Roman"/>
            <w:sz w:val="24"/>
            <w:szCs w:val="24"/>
          </w:rPr>
          <w:t>https://doi.org/10.1016/j.bpsc.2018.11.013</w:t>
        </w:r>
      </w:hyperlink>
    </w:p>
    <w:p w14:paraId="28317E6A"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proofErr w:type="spellStart"/>
      <w:r w:rsidRPr="00203582">
        <w:rPr>
          <w:rFonts w:ascii="Times New Roman" w:eastAsia="Times New Roman" w:hAnsi="Times New Roman" w:cs="Times New Roman"/>
          <w:sz w:val="24"/>
          <w:szCs w:val="24"/>
          <w:lang w:val="fr-FR"/>
        </w:rPr>
        <w:t>Zhan</w:t>
      </w:r>
      <w:proofErr w:type="spellEnd"/>
      <w:r w:rsidRPr="00203582">
        <w:rPr>
          <w:rFonts w:ascii="Times New Roman" w:eastAsia="Times New Roman" w:hAnsi="Times New Roman" w:cs="Times New Roman"/>
          <w:sz w:val="24"/>
          <w:szCs w:val="24"/>
          <w:lang w:val="fr-FR"/>
        </w:rPr>
        <w:t xml:space="preserve">, X., &amp; Yu, R. (2015). </w:t>
      </w:r>
      <w:r w:rsidRPr="00203582">
        <w:rPr>
          <w:rFonts w:ascii="Times New Roman" w:eastAsia="Times New Roman" w:hAnsi="Times New Roman" w:cs="Times New Roman"/>
          <w:sz w:val="24"/>
          <w:szCs w:val="24"/>
        </w:rPr>
        <w:t xml:space="preserve">A Window into the Brain: Advances in Psychiatric fMRI. </w:t>
      </w:r>
      <w:r w:rsidRPr="00203582">
        <w:rPr>
          <w:rFonts w:ascii="Times New Roman" w:eastAsia="Times New Roman" w:hAnsi="Times New Roman" w:cs="Times New Roman"/>
          <w:i/>
          <w:sz w:val="24"/>
          <w:szCs w:val="24"/>
        </w:rPr>
        <w:t>BioMed Research International</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2015</w:t>
      </w:r>
      <w:r w:rsidRPr="00203582">
        <w:rPr>
          <w:rFonts w:ascii="Times New Roman" w:eastAsia="Times New Roman" w:hAnsi="Times New Roman" w:cs="Times New Roman"/>
          <w:sz w:val="24"/>
          <w:szCs w:val="24"/>
        </w:rPr>
        <w:t>, 542467. https://doi.org/10.1155/2015/542467</w:t>
      </w:r>
    </w:p>
    <w:p w14:paraId="0DCB6833"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Zhang, D., Yao, L., Chen, K., Wang, S., Chang, X., &amp; Liu, Y. (2020). Making Sense of </w:t>
      </w:r>
      <w:proofErr w:type="spellStart"/>
      <w:r w:rsidRPr="005C650F">
        <w:rPr>
          <w:rFonts w:ascii="Times New Roman" w:eastAsia="Times New Roman" w:hAnsi="Times New Roman" w:cs="Times New Roman"/>
          <w:sz w:val="24"/>
          <w:szCs w:val="24"/>
        </w:rPr>
        <w:t>Spatio</w:t>
      </w:r>
      <w:proofErr w:type="spellEnd"/>
      <w:r w:rsidRPr="005C650F">
        <w:rPr>
          <w:rFonts w:ascii="Times New Roman" w:eastAsia="Times New Roman" w:hAnsi="Times New Roman" w:cs="Times New Roman"/>
          <w:sz w:val="24"/>
          <w:szCs w:val="24"/>
        </w:rPr>
        <w:t xml:space="preserve">-Temporal Preserving Representations for EEG-Based Human Intention Recognition. </w:t>
      </w:r>
      <w:r w:rsidRPr="005C650F">
        <w:rPr>
          <w:rFonts w:ascii="Times New Roman" w:eastAsia="Times New Roman" w:hAnsi="Times New Roman" w:cs="Times New Roman"/>
          <w:i/>
          <w:iCs/>
          <w:sz w:val="24"/>
          <w:szCs w:val="24"/>
        </w:rPr>
        <w:t>IEEE Transactions on Cybernetics</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50</w:t>
      </w:r>
      <w:r w:rsidRPr="005C650F">
        <w:rPr>
          <w:rFonts w:ascii="Times New Roman" w:eastAsia="Times New Roman" w:hAnsi="Times New Roman" w:cs="Times New Roman"/>
          <w:sz w:val="24"/>
          <w:szCs w:val="24"/>
        </w:rPr>
        <w:t>(7), 3033–3044. https://doi.org/10.1109/TCYB.2019.2905157</w:t>
      </w:r>
    </w:p>
    <w:p w14:paraId="4F692F2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lastRenderedPageBreak/>
        <w:t xml:space="preserve">Zhang, L., Wang, X.-H., &amp; Li, L. (2020). Diagnosing autism spectrum disorder using brain entropy: A fast entropy method. </w:t>
      </w:r>
      <w:r w:rsidRPr="00203582">
        <w:rPr>
          <w:rFonts w:ascii="Times New Roman" w:eastAsia="Times New Roman" w:hAnsi="Times New Roman" w:cs="Times New Roman"/>
          <w:i/>
          <w:sz w:val="24"/>
          <w:szCs w:val="24"/>
        </w:rPr>
        <w:t>Computer Methods and Programs in Biomedicine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190</w:t>
      </w:r>
      <w:r w:rsidRPr="00203582">
        <w:rPr>
          <w:rFonts w:ascii="Times New Roman" w:eastAsia="Times New Roman" w:hAnsi="Times New Roman" w:cs="Times New Roman"/>
          <w:sz w:val="24"/>
          <w:szCs w:val="24"/>
        </w:rPr>
        <w:t>, 105240. https://doi.org/10.1016/j.cmpb.2019.105240</w:t>
      </w:r>
    </w:p>
    <w:p w14:paraId="11423DEA" w14:textId="77777777" w:rsidR="00ED57EB"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Zhang, L., Wang, X.-H., &amp; Li, L. (2020). Diagnosing autism spectrum disorder using brain entropy: A fast entropy method. </w:t>
      </w:r>
      <w:r w:rsidRPr="005C650F">
        <w:rPr>
          <w:rFonts w:ascii="Times New Roman" w:eastAsia="Times New Roman" w:hAnsi="Times New Roman" w:cs="Times New Roman"/>
          <w:i/>
          <w:iCs/>
          <w:sz w:val="24"/>
          <w:szCs w:val="24"/>
        </w:rPr>
        <w:t>Computer Methods and Programs in Biomedicine</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190</w:t>
      </w:r>
      <w:r w:rsidRPr="005C650F">
        <w:rPr>
          <w:rFonts w:ascii="Times New Roman" w:eastAsia="Times New Roman" w:hAnsi="Times New Roman" w:cs="Times New Roman"/>
          <w:sz w:val="24"/>
          <w:szCs w:val="24"/>
        </w:rPr>
        <w:t xml:space="preserve">, 105240. </w:t>
      </w:r>
      <w:hyperlink r:id="rId877" w:history="1">
        <w:r w:rsidRPr="001F68FF">
          <w:rPr>
            <w:rStyle w:val="Hyperlink"/>
            <w:rFonts w:ascii="Times New Roman" w:eastAsia="Times New Roman" w:hAnsi="Times New Roman" w:cs="Times New Roman"/>
            <w:sz w:val="24"/>
            <w:szCs w:val="24"/>
          </w:rPr>
          <w:t>https://doi.org/10.1016/j.cmpb.2019.105240</w:t>
        </w:r>
      </w:hyperlink>
    </w:p>
    <w:p w14:paraId="354DF893" w14:textId="77777777" w:rsidR="00ED57EB" w:rsidRPr="00203582" w:rsidRDefault="00ED57EB" w:rsidP="00ED57EB">
      <w:pPr>
        <w:spacing w:line="480" w:lineRule="auto"/>
        <w:ind w:left="708" w:hanging="708"/>
        <w:rPr>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Zhang, T., Huang, W., Wu, X., Sun, W., Lin, F., Sun, H., &amp; Li, J. (2021). Altered complexity in resting-state </w:t>
      </w:r>
      <w:proofErr w:type="spellStart"/>
      <w:r w:rsidRPr="00203582">
        <w:rPr>
          <w:rFonts w:ascii="Times New Roman" w:eastAsia="Times New Roman" w:hAnsi="Times New Roman" w:cs="Times New Roman"/>
          <w:sz w:val="24"/>
          <w:szCs w:val="24"/>
        </w:rPr>
        <w:t>fNIRS</w:t>
      </w:r>
      <w:proofErr w:type="spellEnd"/>
      <w:r w:rsidRPr="00203582">
        <w:rPr>
          <w:rFonts w:ascii="Times New Roman" w:eastAsia="Times New Roman" w:hAnsi="Times New Roman" w:cs="Times New Roman"/>
          <w:sz w:val="24"/>
          <w:szCs w:val="24"/>
        </w:rPr>
        <w:t xml:space="preserve"> signal in autism: a multiscale entropy approach. </w:t>
      </w:r>
      <w:r w:rsidRPr="00203582">
        <w:rPr>
          <w:rFonts w:ascii="Times New Roman" w:eastAsia="Times New Roman" w:hAnsi="Times New Roman" w:cs="Times New Roman"/>
          <w:i/>
          <w:sz w:val="24"/>
          <w:szCs w:val="24"/>
        </w:rPr>
        <w:t>Physiological Measurement</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42</w:t>
      </w:r>
      <w:r w:rsidRPr="00203582">
        <w:rPr>
          <w:rFonts w:ascii="Times New Roman" w:eastAsia="Times New Roman" w:hAnsi="Times New Roman" w:cs="Times New Roman"/>
          <w:sz w:val="24"/>
          <w:szCs w:val="24"/>
        </w:rPr>
        <w:t>(8). https://doi.org/10.1088/1361-6579/ac184d</w:t>
      </w:r>
    </w:p>
    <w:p w14:paraId="0B45EC95" w14:textId="77777777" w:rsidR="00ED57EB" w:rsidRPr="005C650F" w:rsidRDefault="00ED57EB" w:rsidP="00ED57EB">
      <w:pPr>
        <w:spacing w:line="480" w:lineRule="auto"/>
        <w:ind w:left="708" w:hanging="708"/>
        <w:rPr>
          <w:rFonts w:ascii="Times New Roman" w:eastAsia="Times New Roman" w:hAnsi="Times New Roman" w:cs="Times New Roman"/>
          <w:sz w:val="24"/>
          <w:szCs w:val="24"/>
        </w:rPr>
      </w:pPr>
      <w:r w:rsidRPr="005C650F">
        <w:rPr>
          <w:rFonts w:ascii="Times New Roman" w:eastAsia="Times New Roman" w:hAnsi="Times New Roman" w:cs="Times New Roman"/>
          <w:sz w:val="24"/>
          <w:szCs w:val="24"/>
        </w:rPr>
        <w:t xml:space="preserve">Zhang, W., Lu, J., Liu, X., Fang, H., Li, H., Wang, D., &amp; Shen, J. (2013). Event-related synchronization of delta and beta oscillations reflects developmental changes in the processing of affective pictures during adolescence. </w:t>
      </w:r>
      <w:r w:rsidRPr="005C650F">
        <w:rPr>
          <w:rFonts w:ascii="Times New Roman" w:eastAsia="Times New Roman" w:hAnsi="Times New Roman" w:cs="Times New Roman"/>
          <w:i/>
          <w:iCs/>
          <w:sz w:val="24"/>
          <w:szCs w:val="24"/>
        </w:rPr>
        <w:t>International Journal of Psychophysiology</w:t>
      </w:r>
      <w:r w:rsidRPr="005C650F">
        <w:rPr>
          <w:rFonts w:ascii="Times New Roman" w:eastAsia="Times New Roman" w:hAnsi="Times New Roman" w:cs="Times New Roman"/>
          <w:sz w:val="24"/>
          <w:szCs w:val="24"/>
        </w:rPr>
        <w:t xml:space="preserve">, </w:t>
      </w:r>
      <w:r w:rsidRPr="005C650F">
        <w:rPr>
          <w:rFonts w:ascii="Times New Roman" w:eastAsia="Times New Roman" w:hAnsi="Times New Roman" w:cs="Times New Roman"/>
          <w:i/>
          <w:iCs/>
          <w:sz w:val="24"/>
          <w:szCs w:val="24"/>
        </w:rPr>
        <w:t>90</w:t>
      </w:r>
      <w:r w:rsidRPr="005C650F">
        <w:rPr>
          <w:rFonts w:ascii="Times New Roman" w:eastAsia="Times New Roman" w:hAnsi="Times New Roman" w:cs="Times New Roman"/>
          <w:sz w:val="24"/>
          <w:szCs w:val="24"/>
        </w:rPr>
        <w:t xml:space="preserve">(3), 334–340. </w:t>
      </w:r>
      <w:hyperlink r:id="rId878" w:history="1">
        <w:r w:rsidRPr="005C650F">
          <w:rPr>
            <w:rStyle w:val="Hyperlink"/>
            <w:rFonts w:ascii="Times New Roman" w:eastAsia="Times New Roman" w:hAnsi="Times New Roman" w:cs="Times New Roman"/>
            <w:sz w:val="24"/>
            <w:szCs w:val="24"/>
          </w:rPr>
          <w:t>https://doi.org/10.1016/j.ijpsycho.2013.10.005</w:t>
        </w:r>
      </w:hyperlink>
    </w:p>
    <w:p w14:paraId="1491C70E" w14:textId="77777777" w:rsidR="00ED57EB" w:rsidRDefault="00ED57EB" w:rsidP="00ED57EB">
      <w:pPr>
        <w:spacing w:line="480" w:lineRule="auto"/>
        <w:ind w:left="708" w:hanging="708"/>
        <w:rPr>
          <w:rStyle w:val="Hyperlink"/>
          <w:rFonts w:ascii="Times New Roman" w:eastAsia="Times New Roman" w:hAnsi="Times New Roman" w:cs="Times New Roman"/>
          <w:sz w:val="24"/>
          <w:szCs w:val="24"/>
        </w:rPr>
      </w:pPr>
      <w:r w:rsidRPr="00203582">
        <w:rPr>
          <w:rFonts w:ascii="Times New Roman" w:eastAsia="Times New Roman" w:hAnsi="Times New Roman" w:cs="Times New Roman"/>
          <w:sz w:val="24"/>
          <w:szCs w:val="24"/>
        </w:rPr>
        <w:t xml:space="preserve">Zuo, X.-N., Di Martino, A., Kelly, C., Shehzad, Z. E., Gee, D. G., Klein, D. F., Castellanos, F. X., Biswal, B. B., &amp; Milham, M. P. (2010). The oscillating brain: complex and reliable. </w:t>
      </w:r>
      <w:r w:rsidRPr="00203582">
        <w:rPr>
          <w:rFonts w:ascii="Times New Roman" w:eastAsia="Times New Roman" w:hAnsi="Times New Roman" w:cs="Times New Roman"/>
          <w:i/>
          <w:sz w:val="24"/>
          <w:szCs w:val="24"/>
        </w:rPr>
        <w:t>Neuroimage</w:t>
      </w:r>
      <w:r w:rsidRPr="00203582">
        <w:rPr>
          <w:rFonts w:ascii="Times New Roman" w:eastAsia="Times New Roman" w:hAnsi="Times New Roman" w:cs="Times New Roman"/>
          <w:sz w:val="24"/>
          <w:szCs w:val="24"/>
        </w:rPr>
        <w:t xml:space="preserve">, </w:t>
      </w:r>
      <w:r w:rsidRPr="00203582">
        <w:rPr>
          <w:rFonts w:ascii="Times New Roman" w:eastAsia="Times New Roman" w:hAnsi="Times New Roman" w:cs="Times New Roman"/>
          <w:i/>
          <w:sz w:val="24"/>
          <w:szCs w:val="24"/>
        </w:rPr>
        <w:t>49</w:t>
      </w:r>
      <w:r w:rsidRPr="00203582">
        <w:rPr>
          <w:rFonts w:ascii="Times New Roman" w:eastAsia="Times New Roman" w:hAnsi="Times New Roman" w:cs="Times New Roman"/>
          <w:sz w:val="24"/>
          <w:szCs w:val="24"/>
        </w:rPr>
        <w:t xml:space="preserve">(2), 1432–1445. </w:t>
      </w:r>
      <w:hyperlink r:id="rId879" w:history="1">
        <w:r w:rsidRPr="00203582">
          <w:rPr>
            <w:rStyle w:val="Hyperlink"/>
            <w:rFonts w:ascii="Times New Roman" w:eastAsia="Times New Roman" w:hAnsi="Times New Roman" w:cs="Times New Roman"/>
            <w:sz w:val="24"/>
            <w:szCs w:val="24"/>
          </w:rPr>
          <w:t>https://doi.org/10.1016/j.neuroimage.2009.09.037</w:t>
        </w:r>
      </w:hyperlink>
    </w:p>
    <w:p w14:paraId="61F3AE39" w14:textId="77777777" w:rsidR="0081065D" w:rsidRPr="008F4E90" w:rsidRDefault="0081065D" w:rsidP="0081065D">
      <w:pPr>
        <w:pStyle w:val="NormalWeb"/>
        <w:spacing w:before="0" w:beforeAutospacing="0" w:after="0" w:afterAutospacing="0" w:line="480" w:lineRule="auto"/>
        <w:ind w:firstLine="720"/>
        <w:rPr>
          <w:rFonts w:asciiTheme="majorBidi" w:hAnsiTheme="majorBidi" w:cstheme="majorBidi"/>
        </w:rPr>
      </w:pPr>
    </w:p>
    <w:p w14:paraId="5C6FB3F2" w14:textId="77777777" w:rsidR="0081065D" w:rsidRPr="008F4E90" w:rsidRDefault="0081065D" w:rsidP="0081065D">
      <w:pPr>
        <w:rPr>
          <w:rFonts w:asciiTheme="majorBidi" w:hAnsiTheme="majorBidi" w:cstheme="majorBidi"/>
        </w:rPr>
      </w:pPr>
    </w:p>
    <w:p w14:paraId="445732B1" w14:textId="77777777" w:rsidR="00E9557F" w:rsidRPr="008F4E90" w:rsidRDefault="0081065D" w:rsidP="0081065D">
      <w:pPr>
        <w:pStyle w:val="NormalWeb"/>
        <w:spacing w:before="0" w:beforeAutospacing="0" w:after="0" w:afterAutospacing="0" w:line="480" w:lineRule="auto"/>
        <w:jc w:val="center"/>
        <w:rPr>
          <w:rFonts w:asciiTheme="majorBidi" w:hAnsiTheme="majorBidi" w:cstheme="majorBidi"/>
          <w:b/>
          <w:bCs/>
        </w:rPr>
      </w:pPr>
      <w:r w:rsidRPr="008F4E90">
        <w:rPr>
          <w:rFonts w:asciiTheme="majorBidi" w:hAnsiTheme="majorBidi" w:cstheme="majorBidi"/>
        </w:rPr>
        <w:br/>
      </w:r>
      <w:r w:rsidRPr="008F4E90">
        <w:rPr>
          <w:rFonts w:asciiTheme="majorBidi" w:hAnsiTheme="majorBidi" w:cstheme="majorBidi"/>
        </w:rPr>
        <w:br/>
      </w:r>
      <w:r w:rsidRPr="008F4E90">
        <w:rPr>
          <w:rFonts w:asciiTheme="majorBidi" w:hAnsiTheme="majorBidi" w:cstheme="majorBidi"/>
        </w:rPr>
        <w:br/>
      </w:r>
    </w:p>
    <w:p w14:paraId="604079BB" w14:textId="77777777" w:rsidR="00676D2F" w:rsidRPr="008F4E90" w:rsidRDefault="00676D2F" w:rsidP="00676D2F">
      <w:pPr>
        <w:pStyle w:val="NormalWeb"/>
        <w:spacing w:before="0" w:beforeAutospacing="0" w:after="0" w:afterAutospacing="0" w:line="480" w:lineRule="auto"/>
        <w:rPr>
          <w:rFonts w:asciiTheme="majorBidi" w:hAnsiTheme="majorBidi" w:cstheme="majorBidi"/>
        </w:rPr>
      </w:pPr>
    </w:p>
    <w:sectPr w:rsidR="00676D2F" w:rsidRPr="008F4E90" w:rsidSect="00D77538">
      <w:footerReference w:type="default" r:id="rId880"/>
      <w:pgSz w:w="11909" w:h="16834"/>
      <w:pgMar w:top="1134" w:right="851" w:bottom="1134" w:left="85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5BF73" w14:textId="77777777" w:rsidR="00D77538" w:rsidRDefault="00D77538" w:rsidP="003C5DE1">
      <w:pPr>
        <w:spacing w:line="240" w:lineRule="auto"/>
      </w:pPr>
      <w:r>
        <w:separator/>
      </w:r>
    </w:p>
  </w:endnote>
  <w:endnote w:type="continuationSeparator" w:id="0">
    <w:p w14:paraId="357F5E92" w14:textId="77777777" w:rsidR="00D77538" w:rsidRDefault="00D77538" w:rsidP="003C5D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835210"/>
      <w:docPartObj>
        <w:docPartGallery w:val="Page Numbers (Bottom of Page)"/>
        <w:docPartUnique/>
      </w:docPartObj>
    </w:sdtPr>
    <w:sdtEndPr>
      <w:rPr>
        <w:noProof/>
      </w:rPr>
    </w:sdtEndPr>
    <w:sdtContent>
      <w:p w14:paraId="094CC421" w14:textId="77777777" w:rsidR="003C5DE1" w:rsidRDefault="003C5D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0CD2DE" w14:textId="77777777" w:rsidR="003C5DE1" w:rsidRDefault="003C5DE1">
    <w:pPr>
      <w:pStyle w:val="Footer"/>
    </w:pPr>
  </w:p>
  <w:p w14:paraId="44028748" w14:textId="77777777" w:rsidR="00B86145" w:rsidRDefault="00B86145"/>
  <w:p w14:paraId="300CBFEE" w14:textId="77777777" w:rsidR="00B86145" w:rsidRDefault="00B861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3A764" w14:textId="77777777" w:rsidR="00D77538" w:rsidRDefault="00D77538" w:rsidP="003C5DE1">
      <w:pPr>
        <w:spacing w:line="240" w:lineRule="auto"/>
      </w:pPr>
      <w:r>
        <w:separator/>
      </w:r>
    </w:p>
  </w:footnote>
  <w:footnote w:type="continuationSeparator" w:id="0">
    <w:p w14:paraId="1CF70548" w14:textId="77777777" w:rsidR="00D77538" w:rsidRDefault="00D77538" w:rsidP="003C5D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817F2"/>
    <w:multiLevelType w:val="multilevel"/>
    <w:tmpl w:val="88CA0D44"/>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BE67BE0"/>
    <w:multiLevelType w:val="multilevel"/>
    <w:tmpl w:val="13223E48"/>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42175369">
    <w:abstractNumId w:val="1"/>
  </w:num>
  <w:num w:numId="2" w16cid:durableId="243689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17"/>
    <w:rsid w:val="0000098D"/>
    <w:rsid w:val="00020949"/>
    <w:rsid w:val="00071243"/>
    <w:rsid w:val="000947F8"/>
    <w:rsid w:val="000A31BA"/>
    <w:rsid w:val="0010427A"/>
    <w:rsid w:val="001256EE"/>
    <w:rsid w:val="001820E3"/>
    <w:rsid w:val="00197ACC"/>
    <w:rsid w:val="001A5CBB"/>
    <w:rsid w:val="001A7349"/>
    <w:rsid w:val="001E0314"/>
    <w:rsid w:val="0023297B"/>
    <w:rsid w:val="0028543C"/>
    <w:rsid w:val="00287A24"/>
    <w:rsid w:val="002941F7"/>
    <w:rsid w:val="002A3D3D"/>
    <w:rsid w:val="002B2766"/>
    <w:rsid w:val="00305114"/>
    <w:rsid w:val="00337CCA"/>
    <w:rsid w:val="0034404A"/>
    <w:rsid w:val="00371955"/>
    <w:rsid w:val="00381EF0"/>
    <w:rsid w:val="003C001C"/>
    <w:rsid w:val="003C5DE1"/>
    <w:rsid w:val="00403B1C"/>
    <w:rsid w:val="0040425B"/>
    <w:rsid w:val="00407511"/>
    <w:rsid w:val="00415BCD"/>
    <w:rsid w:val="00450B25"/>
    <w:rsid w:val="00484F62"/>
    <w:rsid w:val="004A1E04"/>
    <w:rsid w:val="004B7486"/>
    <w:rsid w:val="004D3F34"/>
    <w:rsid w:val="004D7598"/>
    <w:rsid w:val="004E4CDD"/>
    <w:rsid w:val="005102A7"/>
    <w:rsid w:val="00557A4A"/>
    <w:rsid w:val="006102A4"/>
    <w:rsid w:val="00644ADD"/>
    <w:rsid w:val="00676D2F"/>
    <w:rsid w:val="00730AFD"/>
    <w:rsid w:val="007C61BC"/>
    <w:rsid w:val="007D1376"/>
    <w:rsid w:val="0081065D"/>
    <w:rsid w:val="008153F4"/>
    <w:rsid w:val="00894065"/>
    <w:rsid w:val="008B3F72"/>
    <w:rsid w:val="008F330E"/>
    <w:rsid w:val="008F4E90"/>
    <w:rsid w:val="00903556"/>
    <w:rsid w:val="009347E5"/>
    <w:rsid w:val="0095335D"/>
    <w:rsid w:val="0097647D"/>
    <w:rsid w:val="00986DA8"/>
    <w:rsid w:val="00A13F8C"/>
    <w:rsid w:val="00A159A8"/>
    <w:rsid w:val="00A30A1E"/>
    <w:rsid w:val="00A3423D"/>
    <w:rsid w:val="00A367A4"/>
    <w:rsid w:val="00A47522"/>
    <w:rsid w:val="00A647BE"/>
    <w:rsid w:val="00A7168B"/>
    <w:rsid w:val="00AB1E6F"/>
    <w:rsid w:val="00AB462D"/>
    <w:rsid w:val="00AD5393"/>
    <w:rsid w:val="00B1514C"/>
    <w:rsid w:val="00B22B9C"/>
    <w:rsid w:val="00B37FF3"/>
    <w:rsid w:val="00B50A42"/>
    <w:rsid w:val="00B71272"/>
    <w:rsid w:val="00B86145"/>
    <w:rsid w:val="00BA3C6A"/>
    <w:rsid w:val="00BA74C4"/>
    <w:rsid w:val="00CA1E73"/>
    <w:rsid w:val="00CD77F2"/>
    <w:rsid w:val="00CE3E5A"/>
    <w:rsid w:val="00D23D0A"/>
    <w:rsid w:val="00D429BB"/>
    <w:rsid w:val="00D4775A"/>
    <w:rsid w:val="00D76351"/>
    <w:rsid w:val="00D77538"/>
    <w:rsid w:val="00DB3676"/>
    <w:rsid w:val="00DF0797"/>
    <w:rsid w:val="00E135A4"/>
    <w:rsid w:val="00E40517"/>
    <w:rsid w:val="00E42FB8"/>
    <w:rsid w:val="00E71A50"/>
    <w:rsid w:val="00E9557F"/>
    <w:rsid w:val="00EB25CA"/>
    <w:rsid w:val="00EB4216"/>
    <w:rsid w:val="00EC7D53"/>
    <w:rsid w:val="00ED57EB"/>
    <w:rsid w:val="00EE2DE9"/>
    <w:rsid w:val="00F14238"/>
    <w:rsid w:val="00F23034"/>
    <w:rsid w:val="00F578A8"/>
    <w:rsid w:val="00FC5791"/>
    <w:rsid w:val="00FE07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E52A7"/>
  <w15:docId w15:val="{26C878DF-09F8-4073-B5C9-CC75FCDCF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F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3C5DE1"/>
    <w:pPr>
      <w:tabs>
        <w:tab w:val="center" w:pos="4513"/>
        <w:tab w:val="right" w:pos="9026"/>
      </w:tabs>
      <w:spacing w:line="240" w:lineRule="auto"/>
    </w:pPr>
  </w:style>
  <w:style w:type="character" w:customStyle="1" w:styleId="HeaderChar">
    <w:name w:val="Header Char"/>
    <w:basedOn w:val="DefaultParagraphFont"/>
    <w:link w:val="Header"/>
    <w:uiPriority w:val="99"/>
    <w:rsid w:val="003C5DE1"/>
  </w:style>
  <w:style w:type="paragraph" w:styleId="Footer">
    <w:name w:val="footer"/>
    <w:basedOn w:val="Normal"/>
    <w:link w:val="FooterChar"/>
    <w:uiPriority w:val="99"/>
    <w:unhideWhenUsed/>
    <w:rsid w:val="003C5DE1"/>
    <w:pPr>
      <w:tabs>
        <w:tab w:val="center" w:pos="4513"/>
        <w:tab w:val="right" w:pos="9026"/>
      </w:tabs>
      <w:spacing w:line="240" w:lineRule="auto"/>
    </w:pPr>
  </w:style>
  <w:style w:type="character" w:customStyle="1" w:styleId="FooterChar">
    <w:name w:val="Footer Char"/>
    <w:basedOn w:val="DefaultParagraphFont"/>
    <w:link w:val="Footer"/>
    <w:uiPriority w:val="99"/>
    <w:rsid w:val="003C5DE1"/>
  </w:style>
  <w:style w:type="character" w:styleId="Hyperlink">
    <w:name w:val="Hyperlink"/>
    <w:basedOn w:val="DefaultParagraphFont"/>
    <w:uiPriority w:val="99"/>
    <w:unhideWhenUsed/>
    <w:rsid w:val="00337CCA"/>
    <w:rPr>
      <w:color w:val="0000FF" w:themeColor="hyperlink"/>
      <w:u w:val="single"/>
    </w:rPr>
  </w:style>
  <w:style w:type="character" w:styleId="UnresolvedMention">
    <w:name w:val="Unresolved Mention"/>
    <w:basedOn w:val="DefaultParagraphFont"/>
    <w:uiPriority w:val="99"/>
    <w:semiHidden/>
    <w:unhideWhenUsed/>
    <w:rsid w:val="00337CCA"/>
    <w:rPr>
      <w:color w:val="605E5C"/>
      <w:shd w:val="clear" w:color="auto" w:fill="E1DFDD"/>
    </w:rPr>
  </w:style>
  <w:style w:type="paragraph" w:customStyle="1" w:styleId="msonormal0">
    <w:name w:val="msonormal"/>
    <w:basedOn w:val="Normal"/>
    <w:rsid w:val="00676D2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76D2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6D2F"/>
    <w:rPr>
      <w:color w:val="800080"/>
      <w:u w:val="single"/>
    </w:rPr>
  </w:style>
  <w:style w:type="numbering" w:customStyle="1" w:styleId="NoList1">
    <w:name w:val="No List1"/>
    <w:next w:val="NoList"/>
    <w:uiPriority w:val="99"/>
    <w:semiHidden/>
    <w:unhideWhenUsed/>
    <w:rsid w:val="00305114"/>
  </w:style>
  <w:style w:type="paragraph" w:styleId="TOCHeading">
    <w:name w:val="TOC Heading"/>
    <w:basedOn w:val="Heading1"/>
    <w:next w:val="Normal"/>
    <w:uiPriority w:val="39"/>
    <w:unhideWhenUsed/>
    <w:qFormat/>
    <w:rsid w:val="00CD77F2"/>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644ADD"/>
    <w:pPr>
      <w:spacing w:after="100"/>
    </w:pPr>
    <w:rPr>
      <w:rFonts w:asciiTheme="majorBidi" w:hAnsiTheme="majorBidi" w:cstheme="majorBidi"/>
      <w:b/>
      <w:bCs/>
    </w:rPr>
  </w:style>
  <w:style w:type="paragraph" w:styleId="TOC2">
    <w:name w:val="toc 2"/>
    <w:basedOn w:val="Normal"/>
    <w:next w:val="Normal"/>
    <w:autoRedefine/>
    <w:uiPriority w:val="39"/>
    <w:unhideWhenUsed/>
    <w:rsid w:val="00CD77F2"/>
    <w:pPr>
      <w:spacing w:after="100" w:line="259" w:lineRule="auto"/>
      <w:ind w:left="220"/>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CD77F2"/>
    <w:pPr>
      <w:spacing w:after="100" w:line="259" w:lineRule="auto"/>
      <w:ind w:left="440"/>
    </w:pPr>
    <w:rPr>
      <w:rFonts w:asciiTheme="minorHAnsi" w:eastAsiaTheme="minorEastAsia" w:hAnsiTheme="minorHAns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680">
      <w:bodyDiv w:val="1"/>
      <w:marLeft w:val="0"/>
      <w:marRight w:val="0"/>
      <w:marTop w:val="0"/>
      <w:marBottom w:val="0"/>
      <w:divBdr>
        <w:top w:val="none" w:sz="0" w:space="0" w:color="auto"/>
        <w:left w:val="none" w:sz="0" w:space="0" w:color="auto"/>
        <w:bottom w:val="none" w:sz="0" w:space="0" w:color="auto"/>
        <w:right w:val="none" w:sz="0" w:space="0" w:color="auto"/>
      </w:divBdr>
      <w:divsChild>
        <w:div w:id="177820217">
          <w:marLeft w:val="-780"/>
          <w:marRight w:val="0"/>
          <w:marTop w:val="0"/>
          <w:marBottom w:val="0"/>
          <w:divBdr>
            <w:top w:val="none" w:sz="0" w:space="0" w:color="auto"/>
            <w:left w:val="none" w:sz="0" w:space="0" w:color="auto"/>
            <w:bottom w:val="none" w:sz="0" w:space="0" w:color="auto"/>
            <w:right w:val="none" w:sz="0" w:space="0" w:color="auto"/>
          </w:divBdr>
        </w:div>
      </w:divsChild>
    </w:div>
    <w:div w:id="23527470">
      <w:bodyDiv w:val="1"/>
      <w:marLeft w:val="0"/>
      <w:marRight w:val="0"/>
      <w:marTop w:val="0"/>
      <w:marBottom w:val="0"/>
      <w:divBdr>
        <w:top w:val="none" w:sz="0" w:space="0" w:color="auto"/>
        <w:left w:val="none" w:sz="0" w:space="0" w:color="auto"/>
        <w:bottom w:val="none" w:sz="0" w:space="0" w:color="auto"/>
        <w:right w:val="none" w:sz="0" w:space="0" w:color="auto"/>
      </w:divBdr>
    </w:div>
    <w:div w:id="36125921">
      <w:bodyDiv w:val="1"/>
      <w:marLeft w:val="0"/>
      <w:marRight w:val="0"/>
      <w:marTop w:val="0"/>
      <w:marBottom w:val="0"/>
      <w:divBdr>
        <w:top w:val="none" w:sz="0" w:space="0" w:color="auto"/>
        <w:left w:val="none" w:sz="0" w:space="0" w:color="auto"/>
        <w:bottom w:val="none" w:sz="0" w:space="0" w:color="auto"/>
        <w:right w:val="none" w:sz="0" w:space="0" w:color="auto"/>
      </w:divBdr>
    </w:div>
    <w:div w:id="62797337">
      <w:bodyDiv w:val="1"/>
      <w:marLeft w:val="0"/>
      <w:marRight w:val="0"/>
      <w:marTop w:val="0"/>
      <w:marBottom w:val="0"/>
      <w:divBdr>
        <w:top w:val="none" w:sz="0" w:space="0" w:color="auto"/>
        <w:left w:val="none" w:sz="0" w:space="0" w:color="auto"/>
        <w:bottom w:val="none" w:sz="0" w:space="0" w:color="auto"/>
        <w:right w:val="none" w:sz="0" w:space="0" w:color="auto"/>
      </w:divBdr>
    </w:div>
    <w:div w:id="80877944">
      <w:bodyDiv w:val="1"/>
      <w:marLeft w:val="0"/>
      <w:marRight w:val="0"/>
      <w:marTop w:val="0"/>
      <w:marBottom w:val="0"/>
      <w:divBdr>
        <w:top w:val="none" w:sz="0" w:space="0" w:color="auto"/>
        <w:left w:val="none" w:sz="0" w:space="0" w:color="auto"/>
        <w:bottom w:val="none" w:sz="0" w:space="0" w:color="auto"/>
        <w:right w:val="none" w:sz="0" w:space="0" w:color="auto"/>
      </w:divBdr>
    </w:div>
    <w:div w:id="86850076">
      <w:bodyDiv w:val="1"/>
      <w:marLeft w:val="0"/>
      <w:marRight w:val="0"/>
      <w:marTop w:val="0"/>
      <w:marBottom w:val="0"/>
      <w:divBdr>
        <w:top w:val="none" w:sz="0" w:space="0" w:color="auto"/>
        <w:left w:val="none" w:sz="0" w:space="0" w:color="auto"/>
        <w:bottom w:val="none" w:sz="0" w:space="0" w:color="auto"/>
        <w:right w:val="none" w:sz="0" w:space="0" w:color="auto"/>
      </w:divBdr>
    </w:div>
    <w:div w:id="144472019">
      <w:bodyDiv w:val="1"/>
      <w:marLeft w:val="0"/>
      <w:marRight w:val="0"/>
      <w:marTop w:val="0"/>
      <w:marBottom w:val="0"/>
      <w:divBdr>
        <w:top w:val="none" w:sz="0" w:space="0" w:color="auto"/>
        <w:left w:val="none" w:sz="0" w:space="0" w:color="auto"/>
        <w:bottom w:val="none" w:sz="0" w:space="0" w:color="auto"/>
        <w:right w:val="none" w:sz="0" w:space="0" w:color="auto"/>
      </w:divBdr>
    </w:div>
    <w:div w:id="335228704">
      <w:bodyDiv w:val="1"/>
      <w:marLeft w:val="0"/>
      <w:marRight w:val="0"/>
      <w:marTop w:val="0"/>
      <w:marBottom w:val="0"/>
      <w:divBdr>
        <w:top w:val="none" w:sz="0" w:space="0" w:color="auto"/>
        <w:left w:val="none" w:sz="0" w:space="0" w:color="auto"/>
        <w:bottom w:val="none" w:sz="0" w:space="0" w:color="auto"/>
        <w:right w:val="none" w:sz="0" w:space="0" w:color="auto"/>
      </w:divBdr>
    </w:div>
    <w:div w:id="414740997">
      <w:bodyDiv w:val="1"/>
      <w:marLeft w:val="0"/>
      <w:marRight w:val="0"/>
      <w:marTop w:val="0"/>
      <w:marBottom w:val="0"/>
      <w:divBdr>
        <w:top w:val="none" w:sz="0" w:space="0" w:color="auto"/>
        <w:left w:val="none" w:sz="0" w:space="0" w:color="auto"/>
        <w:bottom w:val="none" w:sz="0" w:space="0" w:color="auto"/>
        <w:right w:val="none" w:sz="0" w:space="0" w:color="auto"/>
      </w:divBdr>
      <w:divsChild>
        <w:div w:id="1411542320">
          <w:marLeft w:val="-1315"/>
          <w:marRight w:val="0"/>
          <w:marTop w:val="0"/>
          <w:marBottom w:val="0"/>
          <w:divBdr>
            <w:top w:val="none" w:sz="0" w:space="0" w:color="auto"/>
            <w:left w:val="none" w:sz="0" w:space="0" w:color="auto"/>
            <w:bottom w:val="none" w:sz="0" w:space="0" w:color="auto"/>
            <w:right w:val="none" w:sz="0" w:space="0" w:color="auto"/>
          </w:divBdr>
        </w:div>
        <w:div w:id="750732697">
          <w:marLeft w:val="-1315"/>
          <w:marRight w:val="0"/>
          <w:marTop w:val="0"/>
          <w:marBottom w:val="0"/>
          <w:divBdr>
            <w:top w:val="none" w:sz="0" w:space="0" w:color="auto"/>
            <w:left w:val="none" w:sz="0" w:space="0" w:color="auto"/>
            <w:bottom w:val="none" w:sz="0" w:space="0" w:color="auto"/>
            <w:right w:val="none" w:sz="0" w:space="0" w:color="auto"/>
          </w:divBdr>
        </w:div>
      </w:divsChild>
    </w:div>
    <w:div w:id="468941044">
      <w:bodyDiv w:val="1"/>
      <w:marLeft w:val="0"/>
      <w:marRight w:val="0"/>
      <w:marTop w:val="0"/>
      <w:marBottom w:val="0"/>
      <w:divBdr>
        <w:top w:val="none" w:sz="0" w:space="0" w:color="auto"/>
        <w:left w:val="none" w:sz="0" w:space="0" w:color="auto"/>
        <w:bottom w:val="none" w:sz="0" w:space="0" w:color="auto"/>
        <w:right w:val="none" w:sz="0" w:space="0" w:color="auto"/>
      </w:divBdr>
    </w:div>
    <w:div w:id="472602480">
      <w:bodyDiv w:val="1"/>
      <w:marLeft w:val="0"/>
      <w:marRight w:val="0"/>
      <w:marTop w:val="0"/>
      <w:marBottom w:val="0"/>
      <w:divBdr>
        <w:top w:val="none" w:sz="0" w:space="0" w:color="auto"/>
        <w:left w:val="none" w:sz="0" w:space="0" w:color="auto"/>
        <w:bottom w:val="none" w:sz="0" w:space="0" w:color="auto"/>
        <w:right w:val="none" w:sz="0" w:space="0" w:color="auto"/>
      </w:divBdr>
    </w:div>
    <w:div w:id="508298036">
      <w:bodyDiv w:val="1"/>
      <w:marLeft w:val="0"/>
      <w:marRight w:val="0"/>
      <w:marTop w:val="0"/>
      <w:marBottom w:val="0"/>
      <w:divBdr>
        <w:top w:val="none" w:sz="0" w:space="0" w:color="auto"/>
        <w:left w:val="none" w:sz="0" w:space="0" w:color="auto"/>
        <w:bottom w:val="none" w:sz="0" w:space="0" w:color="auto"/>
        <w:right w:val="none" w:sz="0" w:space="0" w:color="auto"/>
      </w:divBdr>
      <w:divsChild>
        <w:div w:id="229847483">
          <w:marLeft w:val="0"/>
          <w:marRight w:val="0"/>
          <w:marTop w:val="0"/>
          <w:marBottom w:val="0"/>
          <w:divBdr>
            <w:top w:val="none" w:sz="0" w:space="0" w:color="auto"/>
            <w:left w:val="none" w:sz="0" w:space="0" w:color="auto"/>
            <w:bottom w:val="none" w:sz="0" w:space="0" w:color="auto"/>
            <w:right w:val="none" w:sz="0" w:space="0" w:color="auto"/>
          </w:divBdr>
        </w:div>
        <w:div w:id="1840348163">
          <w:marLeft w:val="0"/>
          <w:marRight w:val="0"/>
          <w:marTop w:val="0"/>
          <w:marBottom w:val="0"/>
          <w:divBdr>
            <w:top w:val="none" w:sz="0" w:space="0" w:color="auto"/>
            <w:left w:val="none" w:sz="0" w:space="0" w:color="auto"/>
            <w:bottom w:val="none" w:sz="0" w:space="0" w:color="auto"/>
            <w:right w:val="none" w:sz="0" w:space="0" w:color="auto"/>
          </w:divBdr>
        </w:div>
      </w:divsChild>
    </w:div>
    <w:div w:id="572858348">
      <w:bodyDiv w:val="1"/>
      <w:marLeft w:val="0"/>
      <w:marRight w:val="0"/>
      <w:marTop w:val="0"/>
      <w:marBottom w:val="0"/>
      <w:divBdr>
        <w:top w:val="none" w:sz="0" w:space="0" w:color="auto"/>
        <w:left w:val="none" w:sz="0" w:space="0" w:color="auto"/>
        <w:bottom w:val="none" w:sz="0" w:space="0" w:color="auto"/>
        <w:right w:val="none" w:sz="0" w:space="0" w:color="auto"/>
      </w:divBdr>
    </w:div>
    <w:div w:id="658769375">
      <w:bodyDiv w:val="1"/>
      <w:marLeft w:val="0"/>
      <w:marRight w:val="0"/>
      <w:marTop w:val="0"/>
      <w:marBottom w:val="0"/>
      <w:divBdr>
        <w:top w:val="none" w:sz="0" w:space="0" w:color="auto"/>
        <w:left w:val="none" w:sz="0" w:space="0" w:color="auto"/>
        <w:bottom w:val="none" w:sz="0" w:space="0" w:color="auto"/>
        <w:right w:val="none" w:sz="0" w:space="0" w:color="auto"/>
      </w:divBdr>
    </w:div>
    <w:div w:id="658777204">
      <w:bodyDiv w:val="1"/>
      <w:marLeft w:val="0"/>
      <w:marRight w:val="0"/>
      <w:marTop w:val="0"/>
      <w:marBottom w:val="0"/>
      <w:divBdr>
        <w:top w:val="none" w:sz="0" w:space="0" w:color="auto"/>
        <w:left w:val="none" w:sz="0" w:space="0" w:color="auto"/>
        <w:bottom w:val="none" w:sz="0" w:space="0" w:color="auto"/>
        <w:right w:val="none" w:sz="0" w:space="0" w:color="auto"/>
      </w:divBdr>
    </w:div>
    <w:div w:id="672998910">
      <w:bodyDiv w:val="1"/>
      <w:marLeft w:val="0"/>
      <w:marRight w:val="0"/>
      <w:marTop w:val="0"/>
      <w:marBottom w:val="0"/>
      <w:divBdr>
        <w:top w:val="none" w:sz="0" w:space="0" w:color="auto"/>
        <w:left w:val="none" w:sz="0" w:space="0" w:color="auto"/>
        <w:bottom w:val="none" w:sz="0" w:space="0" w:color="auto"/>
        <w:right w:val="none" w:sz="0" w:space="0" w:color="auto"/>
      </w:divBdr>
    </w:div>
    <w:div w:id="826943460">
      <w:bodyDiv w:val="1"/>
      <w:marLeft w:val="0"/>
      <w:marRight w:val="0"/>
      <w:marTop w:val="0"/>
      <w:marBottom w:val="0"/>
      <w:divBdr>
        <w:top w:val="none" w:sz="0" w:space="0" w:color="auto"/>
        <w:left w:val="none" w:sz="0" w:space="0" w:color="auto"/>
        <w:bottom w:val="none" w:sz="0" w:space="0" w:color="auto"/>
        <w:right w:val="none" w:sz="0" w:space="0" w:color="auto"/>
      </w:divBdr>
    </w:div>
    <w:div w:id="876502445">
      <w:bodyDiv w:val="1"/>
      <w:marLeft w:val="0"/>
      <w:marRight w:val="0"/>
      <w:marTop w:val="0"/>
      <w:marBottom w:val="0"/>
      <w:divBdr>
        <w:top w:val="none" w:sz="0" w:space="0" w:color="auto"/>
        <w:left w:val="none" w:sz="0" w:space="0" w:color="auto"/>
        <w:bottom w:val="none" w:sz="0" w:space="0" w:color="auto"/>
        <w:right w:val="none" w:sz="0" w:space="0" w:color="auto"/>
      </w:divBdr>
      <w:divsChild>
        <w:div w:id="158471477">
          <w:marLeft w:val="0"/>
          <w:marRight w:val="0"/>
          <w:marTop w:val="0"/>
          <w:marBottom w:val="0"/>
          <w:divBdr>
            <w:top w:val="none" w:sz="0" w:space="0" w:color="auto"/>
            <w:left w:val="none" w:sz="0" w:space="0" w:color="auto"/>
            <w:bottom w:val="none" w:sz="0" w:space="0" w:color="auto"/>
            <w:right w:val="none" w:sz="0" w:space="0" w:color="auto"/>
          </w:divBdr>
        </w:div>
        <w:div w:id="632978077">
          <w:marLeft w:val="0"/>
          <w:marRight w:val="0"/>
          <w:marTop w:val="0"/>
          <w:marBottom w:val="0"/>
          <w:divBdr>
            <w:top w:val="none" w:sz="0" w:space="0" w:color="auto"/>
            <w:left w:val="none" w:sz="0" w:space="0" w:color="auto"/>
            <w:bottom w:val="none" w:sz="0" w:space="0" w:color="auto"/>
            <w:right w:val="none" w:sz="0" w:space="0" w:color="auto"/>
          </w:divBdr>
        </w:div>
        <w:div w:id="37778725">
          <w:marLeft w:val="0"/>
          <w:marRight w:val="0"/>
          <w:marTop w:val="0"/>
          <w:marBottom w:val="0"/>
          <w:divBdr>
            <w:top w:val="none" w:sz="0" w:space="0" w:color="auto"/>
            <w:left w:val="none" w:sz="0" w:space="0" w:color="auto"/>
            <w:bottom w:val="none" w:sz="0" w:space="0" w:color="auto"/>
            <w:right w:val="none" w:sz="0" w:space="0" w:color="auto"/>
          </w:divBdr>
        </w:div>
        <w:div w:id="988292244">
          <w:marLeft w:val="0"/>
          <w:marRight w:val="0"/>
          <w:marTop w:val="0"/>
          <w:marBottom w:val="0"/>
          <w:divBdr>
            <w:top w:val="none" w:sz="0" w:space="0" w:color="auto"/>
            <w:left w:val="none" w:sz="0" w:space="0" w:color="auto"/>
            <w:bottom w:val="none" w:sz="0" w:space="0" w:color="auto"/>
            <w:right w:val="none" w:sz="0" w:space="0" w:color="auto"/>
          </w:divBdr>
        </w:div>
        <w:div w:id="1605847505">
          <w:marLeft w:val="0"/>
          <w:marRight w:val="0"/>
          <w:marTop w:val="0"/>
          <w:marBottom w:val="0"/>
          <w:divBdr>
            <w:top w:val="none" w:sz="0" w:space="0" w:color="auto"/>
            <w:left w:val="none" w:sz="0" w:space="0" w:color="auto"/>
            <w:bottom w:val="none" w:sz="0" w:space="0" w:color="auto"/>
            <w:right w:val="none" w:sz="0" w:space="0" w:color="auto"/>
          </w:divBdr>
        </w:div>
        <w:div w:id="2042169624">
          <w:marLeft w:val="0"/>
          <w:marRight w:val="0"/>
          <w:marTop w:val="0"/>
          <w:marBottom w:val="0"/>
          <w:divBdr>
            <w:top w:val="none" w:sz="0" w:space="0" w:color="auto"/>
            <w:left w:val="none" w:sz="0" w:space="0" w:color="auto"/>
            <w:bottom w:val="none" w:sz="0" w:space="0" w:color="auto"/>
            <w:right w:val="none" w:sz="0" w:space="0" w:color="auto"/>
          </w:divBdr>
        </w:div>
        <w:div w:id="2004968118">
          <w:marLeft w:val="0"/>
          <w:marRight w:val="0"/>
          <w:marTop w:val="0"/>
          <w:marBottom w:val="0"/>
          <w:divBdr>
            <w:top w:val="none" w:sz="0" w:space="0" w:color="auto"/>
            <w:left w:val="none" w:sz="0" w:space="0" w:color="auto"/>
            <w:bottom w:val="none" w:sz="0" w:space="0" w:color="auto"/>
            <w:right w:val="none" w:sz="0" w:space="0" w:color="auto"/>
          </w:divBdr>
        </w:div>
        <w:div w:id="1953776797">
          <w:marLeft w:val="0"/>
          <w:marRight w:val="0"/>
          <w:marTop w:val="0"/>
          <w:marBottom w:val="0"/>
          <w:divBdr>
            <w:top w:val="none" w:sz="0" w:space="0" w:color="auto"/>
            <w:left w:val="none" w:sz="0" w:space="0" w:color="auto"/>
            <w:bottom w:val="none" w:sz="0" w:space="0" w:color="auto"/>
            <w:right w:val="none" w:sz="0" w:space="0" w:color="auto"/>
          </w:divBdr>
        </w:div>
        <w:div w:id="1447577059">
          <w:marLeft w:val="0"/>
          <w:marRight w:val="0"/>
          <w:marTop w:val="0"/>
          <w:marBottom w:val="0"/>
          <w:divBdr>
            <w:top w:val="none" w:sz="0" w:space="0" w:color="auto"/>
            <w:left w:val="none" w:sz="0" w:space="0" w:color="auto"/>
            <w:bottom w:val="none" w:sz="0" w:space="0" w:color="auto"/>
            <w:right w:val="none" w:sz="0" w:space="0" w:color="auto"/>
          </w:divBdr>
        </w:div>
        <w:div w:id="976644038">
          <w:marLeft w:val="0"/>
          <w:marRight w:val="0"/>
          <w:marTop w:val="0"/>
          <w:marBottom w:val="0"/>
          <w:divBdr>
            <w:top w:val="none" w:sz="0" w:space="0" w:color="auto"/>
            <w:left w:val="none" w:sz="0" w:space="0" w:color="auto"/>
            <w:bottom w:val="none" w:sz="0" w:space="0" w:color="auto"/>
            <w:right w:val="none" w:sz="0" w:space="0" w:color="auto"/>
          </w:divBdr>
        </w:div>
        <w:div w:id="1072123758">
          <w:marLeft w:val="0"/>
          <w:marRight w:val="0"/>
          <w:marTop w:val="0"/>
          <w:marBottom w:val="0"/>
          <w:divBdr>
            <w:top w:val="none" w:sz="0" w:space="0" w:color="auto"/>
            <w:left w:val="none" w:sz="0" w:space="0" w:color="auto"/>
            <w:bottom w:val="none" w:sz="0" w:space="0" w:color="auto"/>
            <w:right w:val="none" w:sz="0" w:space="0" w:color="auto"/>
          </w:divBdr>
        </w:div>
        <w:div w:id="1145319191">
          <w:marLeft w:val="0"/>
          <w:marRight w:val="0"/>
          <w:marTop w:val="0"/>
          <w:marBottom w:val="0"/>
          <w:divBdr>
            <w:top w:val="none" w:sz="0" w:space="0" w:color="auto"/>
            <w:left w:val="none" w:sz="0" w:space="0" w:color="auto"/>
            <w:bottom w:val="none" w:sz="0" w:space="0" w:color="auto"/>
            <w:right w:val="none" w:sz="0" w:space="0" w:color="auto"/>
          </w:divBdr>
        </w:div>
        <w:div w:id="654533259">
          <w:marLeft w:val="0"/>
          <w:marRight w:val="0"/>
          <w:marTop w:val="0"/>
          <w:marBottom w:val="0"/>
          <w:divBdr>
            <w:top w:val="none" w:sz="0" w:space="0" w:color="auto"/>
            <w:left w:val="none" w:sz="0" w:space="0" w:color="auto"/>
            <w:bottom w:val="none" w:sz="0" w:space="0" w:color="auto"/>
            <w:right w:val="none" w:sz="0" w:space="0" w:color="auto"/>
          </w:divBdr>
        </w:div>
        <w:div w:id="541137632">
          <w:marLeft w:val="0"/>
          <w:marRight w:val="0"/>
          <w:marTop w:val="0"/>
          <w:marBottom w:val="0"/>
          <w:divBdr>
            <w:top w:val="none" w:sz="0" w:space="0" w:color="auto"/>
            <w:left w:val="none" w:sz="0" w:space="0" w:color="auto"/>
            <w:bottom w:val="none" w:sz="0" w:space="0" w:color="auto"/>
            <w:right w:val="none" w:sz="0" w:space="0" w:color="auto"/>
          </w:divBdr>
        </w:div>
        <w:div w:id="583075975">
          <w:marLeft w:val="0"/>
          <w:marRight w:val="0"/>
          <w:marTop w:val="0"/>
          <w:marBottom w:val="0"/>
          <w:divBdr>
            <w:top w:val="none" w:sz="0" w:space="0" w:color="auto"/>
            <w:left w:val="none" w:sz="0" w:space="0" w:color="auto"/>
            <w:bottom w:val="none" w:sz="0" w:space="0" w:color="auto"/>
            <w:right w:val="none" w:sz="0" w:space="0" w:color="auto"/>
          </w:divBdr>
        </w:div>
        <w:div w:id="680812104">
          <w:marLeft w:val="0"/>
          <w:marRight w:val="0"/>
          <w:marTop w:val="0"/>
          <w:marBottom w:val="0"/>
          <w:divBdr>
            <w:top w:val="none" w:sz="0" w:space="0" w:color="auto"/>
            <w:left w:val="none" w:sz="0" w:space="0" w:color="auto"/>
            <w:bottom w:val="none" w:sz="0" w:space="0" w:color="auto"/>
            <w:right w:val="none" w:sz="0" w:space="0" w:color="auto"/>
          </w:divBdr>
        </w:div>
        <w:div w:id="535043592">
          <w:marLeft w:val="0"/>
          <w:marRight w:val="0"/>
          <w:marTop w:val="0"/>
          <w:marBottom w:val="0"/>
          <w:divBdr>
            <w:top w:val="none" w:sz="0" w:space="0" w:color="auto"/>
            <w:left w:val="none" w:sz="0" w:space="0" w:color="auto"/>
            <w:bottom w:val="none" w:sz="0" w:space="0" w:color="auto"/>
            <w:right w:val="none" w:sz="0" w:space="0" w:color="auto"/>
          </w:divBdr>
        </w:div>
        <w:div w:id="882012463">
          <w:marLeft w:val="0"/>
          <w:marRight w:val="0"/>
          <w:marTop w:val="0"/>
          <w:marBottom w:val="0"/>
          <w:divBdr>
            <w:top w:val="none" w:sz="0" w:space="0" w:color="auto"/>
            <w:left w:val="none" w:sz="0" w:space="0" w:color="auto"/>
            <w:bottom w:val="none" w:sz="0" w:space="0" w:color="auto"/>
            <w:right w:val="none" w:sz="0" w:space="0" w:color="auto"/>
          </w:divBdr>
        </w:div>
        <w:div w:id="930091539">
          <w:marLeft w:val="0"/>
          <w:marRight w:val="0"/>
          <w:marTop w:val="0"/>
          <w:marBottom w:val="0"/>
          <w:divBdr>
            <w:top w:val="none" w:sz="0" w:space="0" w:color="auto"/>
            <w:left w:val="none" w:sz="0" w:space="0" w:color="auto"/>
            <w:bottom w:val="none" w:sz="0" w:space="0" w:color="auto"/>
            <w:right w:val="none" w:sz="0" w:space="0" w:color="auto"/>
          </w:divBdr>
        </w:div>
        <w:div w:id="1987393539">
          <w:marLeft w:val="0"/>
          <w:marRight w:val="0"/>
          <w:marTop w:val="0"/>
          <w:marBottom w:val="0"/>
          <w:divBdr>
            <w:top w:val="none" w:sz="0" w:space="0" w:color="auto"/>
            <w:left w:val="none" w:sz="0" w:space="0" w:color="auto"/>
            <w:bottom w:val="none" w:sz="0" w:space="0" w:color="auto"/>
            <w:right w:val="none" w:sz="0" w:space="0" w:color="auto"/>
          </w:divBdr>
        </w:div>
        <w:div w:id="1374378293">
          <w:marLeft w:val="0"/>
          <w:marRight w:val="0"/>
          <w:marTop w:val="0"/>
          <w:marBottom w:val="0"/>
          <w:divBdr>
            <w:top w:val="none" w:sz="0" w:space="0" w:color="auto"/>
            <w:left w:val="none" w:sz="0" w:space="0" w:color="auto"/>
            <w:bottom w:val="none" w:sz="0" w:space="0" w:color="auto"/>
            <w:right w:val="none" w:sz="0" w:space="0" w:color="auto"/>
          </w:divBdr>
        </w:div>
        <w:div w:id="2070377400">
          <w:marLeft w:val="0"/>
          <w:marRight w:val="0"/>
          <w:marTop w:val="0"/>
          <w:marBottom w:val="0"/>
          <w:divBdr>
            <w:top w:val="none" w:sz="0" w:space="0" w:color="auto"/>
            <w:left w:val="none" w:sz="0" w:space="0" w:color="auto"/>
            <w:bottom w:val="none" w:sz="0" w:space="0" w:color="auto"/>
            <w:right w:val="none" w:sz="0" w:space="0" w:color="auto"/>
          </w:divBdr>
        </w:div>
        <w:div w:id="2036689930">
          <w:marLeft w:val="0"/>
          <w:marRight w:val="0"/>
          <w:marTop w:val="0"/>
          <w:marBottom w:val="0"/>
          <w:divBdr>
            <w:top w:val="none" w:sz="0" w:space="0" w:color="auto"/>
            <w:left w:val="none" w:sz="0" w:space="0" w:color="auto"/>
            <w:bottom w:val="none" w:sz="0" w:space="0" w:color="auto"/>
            <w:right w:val="none" w:sz="0" w:space="0" w:color="auto"/>
          </w:divBdr>
        </w:div>
        <w:div w:id="1897467512">
          <w:marLeft w:val="0"/>
          <w:marRight w:val="0"/>
          <w:marTop w:val="0"/>
          <w:marBottom w:val="0"/>
          <w:divBdr>
            <w:top w:val="none" w:sz="0" w:space="0" w:color="auto"/>
            <w:left w:val="none" w:sz="0" w:space="0" w:color="auto"/>
            <w:bottom w:val="none" w:sz="0" w:space="0" w:color="auto"/>
            <w:right w:val="none" w:sz="0" w:space="0" w:color="auto"/>
          </w:divBdr>
        </w:div>
        <w:div w:id="532157506">
          <w:marLeft w:val="0"/>
          <w:marRight w:val="0"/>
          <w:marTop w:val="0"/>
          <w:marBottom w:val="0"/>
          <w:divBdr>
            <w:top w:val="none" w:sz="0" w:space="0" w:color="auto"/>
            <w:left w:val="none" w:sz="0" w:space="0" w:color="auto"/>
            <w:bottom w:val="none" w:sz="0" w:space="0" w:color="auto"/>
            <w:right w:val="none" w:sz="0" w:space="0" w:color="auto"/>
          </w:divBdr>
        </w:div>
        <w:div w:id="700013912">
          <w:marLeft w:val="0"/>
          <w:marRight w:val="0"/>
          <w:marTop w:val="0"/>
          <w:marBottom w:val="0"/>
          <w:divBdr>
            <w:top w:val="none" w:sz="0" w:space="0" w:color="auto"/>
            <w:left w:val="none" w:sz="0" w:space="0" w:color="auto"/>
            <w:bottom w:val="none" w:sz="0" w:space="0" w:color="auto"/>
            <w:right w:val="none" w:sz="0" w:space="0" w:color="auto"/>
          </w:divBdr>
        </w:div>
        <w:div w:id="166602048">
          <w:marLeft w:val="0"/>
          <w:marRight w:val="0"/>
          <w:marTop w:val="0"/>
          <w:marBottom w:val="0"/>
          <w:divBdr>
            <w:top w:val="none" w:sz="0" w:space="0" w:color="auto"/>
            <w:left w:val="none" w:sz="0" w:space="0" w:color="auto"/>
            <w:bottom w:val="none" w:sz="0" w:space="0" w:color="auto"/>
            <w:right w:val="none" w:sz="0" w:space="0" w:color="auto"/>
          </w:divBdr>
        </w:div>
        <w:div w:id="692462857">
          <w:marLeft w:val="0"/>
          <w:marRight w:val="0"/>
          <w:marTop w:val="0"/>
          <w:marBottom w:val="0"/>
          <w:divBdr>
            <w:top w:val="none" w:sz="0" w:space="0" w:color="auto"/>
            <w:left w:val="none" w:sz="0" w:space="0" w:color="auto"/>
            <w:bottom w:val="none" w:sz="0" w:space="0" w:color="auto"/>
            <w:right w:val="none" w:sz="0" w:space="0" w:color="auto"/>
          </w:divBdr>
        </w:div>
        <w:div w:id="1723284418">
          <w:marLeft w:val="0"/>
          <w:marRight w:val="0"/>
          <w:marTop w:val="0"/>
          <w:marBottom w:val="0"/>
          <w:divBdr>
            <w:top w:val="none" w:sz="0" w:space="0" w:color="auto"/>
            <w:left w:val="none" w:sz="0" w:space="0" w:color="auto"/>
            <w:bottom w:val="none" w:sz="0" w:space="0" w:color="auto"/>
            <w:right w:val="none" w:sz="0" w:space="0" w:color="auto"/>
          </w:divBdr>
        </w:div>
        <w:div w:id="293750984">
          <w:marLeft w:val="0"/>
          <w:marRight w:val="0"/>
          <w:marTop w:val="0"/>
          <w:marBottom w:val="0"/>
          <w:divBdr>
            <w:top w:val="none" w:sz="0" w:space="0" w:color="auto"/>
            <w:left w:val="none" w:sz="0" w:space="0" w:color="auto"/>
            <w:bottom w:val="none" w:sz="0" w:space="0" w:color="auto"/>
            <w:right w:val="none" w:sz="0" w:space="0" w:color="auto"/>
          </w:divBdr>
        </w:div>
        <w:div w:id="1096943241">
          <w:marLeft w:val="0"/>
          <w:marRight w:val="0"/>
          <w:marTop w:val="0"/>
          <w:marBottom w:val="0"/>
          <w:divBdr>
            <w:top w:val="none" w:sz="0" w:space="0" w:color="auto"/>
            <w:left w:val="none" w:sz="0" w:space="0" w:color="auto"/>
            <w:bottom w:val="none" w:sz="0" w:space="0" w:color="auto"/>
            <w:right w:val="none" w:sz="0" w:space="0" w:color="auto"/>
          </w:divBdr>
        </w:div>
        <w:div w:id="1260797114">
          <w:marLeft w:val="0"/>
          <w:marRight w:val="0"/>
          <w:marTop w:val="0"/>
          <w:marBottom w:val="0"/>
          <w:divBdr>
            <w:top w:val="none" w:sz="0" w:space="0" w:color="auto"/>
            <w:left w:val="none" w:sz="0" w:space="0" w:color="auto"/>
            <w:bottom w:val="none" w:sz="0" w:space="0" w:color="auto"/>
            <w:right w:val="none" w:sz="0" w:space="0" w:color="auto"/>
          </w:divBdr>
        </w:div>
        <w:div w:id="1062097027">
          <w:marLeft w:val="0"/>
          <w:marRight w:val="0"/>
          <w:marTop w:val="0"/>
          <w:marBottom w:val="0"/>
          <w:divBdr>
            <w:top w:val="none" w:sz="0" w:space="0" w:color="auto"/>
            <w:left w:val="none" w:sz="0" w:space="0" w:color="auto"/>
            <w:bottom w:val="none" w:sz="0" w:space="0" w:color="auto"/>
            <w:right w:val="none" w:sz="0" w:space="0" w:color="auto"/>
          </w:divBdr>
        </w:div>
        <w:div w:id="1200049685">
          <w:marLeft w:val="0"/>
          <w:marRight w:val="0"/>
          <w:marTop w:val="0"/>
          <w:marBottom w:val="0"/>
          <w:divBdr>
            <w:top w:val="none" w:sz="0" w:space="0" w:color="auto"/>
            <w:left w:val="none" w:sz="0" w:space="0" w:color="auto"/>
            <w:bottom w:val="none" w:sz="0" w:space="0" w:color="auto"/>
            <w:right w:val="none" w:sz="0" w:space="0" w:color="auto"/>
          </w:divBdr>
        </w:div>
        <w:div w:id="166017995">
          <w:marLeft w:val="0"/>
          <w:marRight w:val="0"/>
          <w:marTop w:val="0"/>
          <w:marBottom w:val="0"/>
          <w:divBdr>
            <w:top w:val="none" w:sz="0" w:space="0" w:color="auto"/>
            <w:left w:val="none" w:sz="0" w:space="0" w:color="auto"/>
            <w:bottom w:val="none" w:sz="0" w:space="0" w:color="auto"/>
            <w:right w:val="none" w:sz="0" w:space="0" w:color="auto"/>
          </w:divBdr>
        </w:div>
        <w:div w:id="1860966983">
          <w:marLeft w:val="0"/>
          <w:marRight w:val="0"/>
          <w:marTop w:val="0"/>
          <w:marBottom w:val="0"/>
          <w:divBdr>
            <w:top w:val="none" w:sz="0" w:space="0" w:color="auto"/>
            <w:left w:val="none" w:sz="0" w:space="0" w:color="auto"/>
            <w:bottom w:val="none" w:sz="0" w:space="0" w:color="auto"/>
            <w:right w:val="none" w:sz="0" w:space="0" w:color="auto"/>
          </w:divBdr>
        </w:div>
        <w:div w:id="599262558">
          <w:marLeft w:val="0"/>
          <w:marRight w:val="0"/>
          <w:marTop w:val="0"/>
          <w:marBottom w:val="0"/>
          <w:divBdr>
            <w:top w:val="none" w:sz="0" w:space="0" w:color="auto"/>
            <w:left w:val="none" w:sz="0" w:space="0" w:color="auto"/>
            <w:bottom w:val="none" w:sz="0" w:space="0" w:color="auto"/>
            <w:right w:val="none" w:sz="0" w:space="0" w:color="auto"/>
          </w:divBdr>
        </w:div>
        <w:div w:id="1860116200">
          <w:marLeft w:val="0"/>
          <w:marRight w:val="0"/>
          <w:marTop w:val="0"/>
          <w:marBottom w:val="0"/>
          <w:divBdr>
            <w:top w:val="none" w:sz="0" w:space="0" w:color="auto"/>
            <w:left w:val="none" w:sz="0" w:space="0" w:color="auto"/>
            <w:bottom w:val="none" w:sz="0" w:space="0" w:color="auto"/>
            <w:right w:val="none" w:sz="0" w:space="0" w:color="auto"/>
          </w:divBdr>
        </w:div>
        <w:div w:id="1176072544">
          <w:marLeft w:val="0"/>
          <w:marRight w:val="0"/>
          <w:marTop w:val="0"/>
          <w:marBottom w:val="0"/>
          <w:divBdr>
            <w:top w:val="none" w:sz="0" w:space="0" w:color="auto"/>
            <w:left w:val="none" w:sz="0" w:space="0" w:color="auto"/>
            <w:bottom w:val="none" w:sz="0" w:space="0" w:color="auto"/>
            <w:right w:val="none" w:sz="0" w:space="0" w:color="auto"/>
          </w:divBdr>
        </w:div>
        <w:div w:id="159007982">
          <w:marLeft w:val="0"/>
          <w:marRight w:val="0"/>
          <w:marTop w:val="0"/>
          <w:marBottom w:val="0"/>
          <w:divBdr>
            <w:top w:val="none" w:sz="0" w:space="0" w:color="auto"/>
            <w:left w:val="none" w:sz="0" w:space="0" w:color="auto"/>
            <w:bottom w:val="none" w:sz="0" w:space="0" w:color="auto"/>
            <w:right w:val="none" w:sz="0" w:space="0" w:color="auto"/>
          </w:divBdr>
        </w:div>
        <w:div w:id="1988707265">
          <w:marLeft w:val="0"/>
          <w:marRight w:val="0"/>
          <w:marTop w:val="0"/>
          <w:marBottom w:val="0"/>
          <w:divBdr>
            <w:top w:val="none" w:sz="0" w:space="0" w:color="auto"/>
            <w:left w:val="none" w:sz="0" w:space="0" w:color="auto"/>
            <w:bottom w:val="none" w:sz="0" w:space="0" w:color="auto"/>
            <w:right w:val="none" w:sz="0" w:space="0" w:color="auto"/>
          </w:divBdr>
        </w:div>
        <w:div w:id="1698769619">
          <w:marLeft w:val="0"/>
          <w:marRight w:val="0"/>
          <w:marTop w:val="0"/>
          <w:marBottom w:val="0"/>
          <w:divBdr>
            <w:top w:val="none" w:sz="0" w:space="0" w:color="auto"/>
            <w:left w:val="none" w:sz="0" w:space="0" w:color="auto"/>
            <w:bottom w:val="none" w:sz="0" w:space="0" w:color="auto"/>
            <w:right w:val="none" w:sz="0" w:space="0" w:color="auto"/>
          </w:divBdr>
        </w:div>
        <w:div w:id="1714650316">
          <w:marLeft w:val="0"/>
          <w:marRight w:val="0"/>
          <w:marTop w:val="0"/>
          <w:marBottom w:val="0"/>
          <w:divBdr>
            <w:top w:val="none" w:sz="0" w:space="0" w:color="auto"/>
            <w:left w:val="none" w:sz="0" w:space="0" w:color="auto"/>
            <w:bottom w:val="none" w:sz="0" w:space="0" w:color="auto"/>
            <w:right w:val="none" w:sz="0" w:space="0" w:color="auto"/>
          </w:divBdr>
        </w:div>
        <w:div w:id="1501264301">
          <w:marLeft w:val="0"/>
          <w:marRight w:val="0"/>
          <w:marTop w:val="0"/>
          <w:marBottom w:val="0"/>
          <w:divBdr>
            <w:top w:val="none" w:sz="0" w:space="0" w:color="auto"/>
            <w:left w:val="none" w:sz="0" w:space="0" w:color="auto"/>
            <w:bottom w:val="none" w:sz="0" w:space="0" w:color="auto"/>
            <w:right w:val="none" w:sz="0" w:space="0" w:color="auto"/>
          </w:divBdr>
        </w:div>
        <w:div w:id="2105567258">
          <w:marLeft w:val="0"/>
          <w:marRight w:val="0"/>
          <w:marTop w:val="0"/>
          <w:marBottom w:val="0"/>
          <w:divBdr>
            <w:top w:val="none" w:sz="0" w:space="0" w:color="auto"/>
            <w:left w:val="none" w:sz="0" w:space="0" w:color="auto"/>
            <w:bottom w:val="none" w:sz="0" w:space="0" w:color="auto"/>
            <w:right w:val="none" w:sz="0" w:space="0" w:color="auto"/>
          </w:divBdr>
        </w:div>
        <w:div w:id="1232890561">
          <w:marLeft w:val="0"/>
          <w:marRight w:val="0"/>
          <w:marTop w:val="0"/>
          <w:marBottom w:val="0"/>
          <w:divBdr>
            <w:top w:val="none" w:sz="0" w:space="0" w:color="auto"/>
            <w:left w:val="none" w:sz="0" w:space="0" w:color="auto"/>
            <w:bottom w:val="none" w:sz="0" w:space="0" w:color="auto"/>
            <w:right w:val="none" w:sz="0" w:space="0" w:color="auto"/>
          </w:divBdr>
        </w:div>
        <w:div w:id="489641983">
          <w:marLeft w:val="0"/>
          <w:marRight w:val="0"/>
          <w:marTop w:val="0"/>
          <w:marBottom w:val="0"/>
          <w:divBdr>
            <w:top w:val="none" w:sz="0" w:space="0" w:color="auto"/>
            <w:left w:val="none" w:sz="0" w:space="0" w:color="auto"/>
            <w:bottom w:val="none" w:sz="0" w:space="0" w:color="auto"/>
            <w:right w:val="none" w:sz="0" w:space="0" w:color="auto"/>
          </w:divBdr>
        </w:div>
        <w:div w:id="1693455896">
          <w:marLeft w:val="0"/>
          <w:marRight w:val="0"/>
          <w:marTop w:val="0"/>
          <w:marBottom w:val="0"/>
          <w:divBdr>
            <w:top w:val="none" w:sz="0" w:space="0" w:color="auto"/>
            <w:left w:val="none" w:sz="0" w:space="0" w:color="auto"/>
            <w:bottom w:val="none" w:sz="0" w:space="0" w:color="auto"/>
            <w:right w:val="none" w:sz="0" w:space="0" w:color="auto"/>
          </w:divBdr>
        </w:div>
        <w:div w:id="406731035">
          <w:marLeft w:val="0"/>
          <w:marRight w:val="0"/>
          <w:marTop w:val="0"/>
          <w:marBottom w:val="0"/>
          <w:divBdr>
            <w:top w:val="none" w:sz="0" w:space="0" w:color="auto"/>
            <w:left w:val="none" w:sz="0" w:space="0" w:color="auto"/>
            <w:bottom w:val="none" w:sz="0" w:space="0" w:color="auto"/>
            <w:right w:val="none" w:sz="0" w:space="0" w:color="auto"/>
          </w:divBdr>
        </w:div>
        <w:div w:id="1543404099">
          <w:marLeft w:val="0"/>
          <w:marRight w:val="0"/>
          <w:marTop w:val="0"/>
          <w:marBottom w:val="0"/>
          <w:divBdr>
            <w:top w:val="none" w:sz="0" w:space="0" w:color="auto"/>
            <w:left w:val="none" w:sz="0" w:space="0" w:color="auto"/>
            <w:bottom w:val="none" w:sz="0" w:space="0" w:color="auto"/>
            <w:right w:val="none" w:sz="0" w:space="0" w:color="auto"/>
          </w:divBdr>
        </w:div>
        <w:div w:id="2036728223">
          <w:marLeft w:val="0"/>
          <w:marRight w:val="0"/>
          <w:marTop w:val="0"/>
          <w:marBottom w:val="0"/>
          <w:divBdr>
            <w:top w:val="none" w:sz="0" w:space="0" w:color="auto"/>
            <w:left w:val="none" w:sz="0" w:space="0" w:color="auto"/>
            <w:bottom w:val="none" w:sz="0" w:space="0" w:color="auto"/>
            <w:right w:val="none" w:sz="0" w:space="0" w:color="auto"/>
          </w:divBdr>
        </w:div>
        <w:div w:id="872112695">
          <w:marLeft w:val="0"/>
          <w:marRight w:val="0"/>
          <w:marTop w:val="0"/>
          <w:marBottom w:val="0"/>
          <w:divBdr>
            <w:top w:val="none" w:sz="0" w:space="0" w:color="auto"/>
            <w:left w:val="none" w:sz="0" w:space="0" w:color="auto"/>
            <w:bottom w:val="none" w:sz="0" w:space="0" w:color="auto"/>
            <w:right w:val="none" w:sz="0" w:space="0" w:color="auto"/>
          </w:divBdr>
        </w:div>
        <w:div w:id="1985504826">
          <w:marLeft w:val="0"/>
          <w:marRight w:val="0"/>
          <w:marTop w:val="0"/>
          <w:marBottom w:val="0"/>
          <w:divBdr>
            <w:top w:val="none" w:sz="0" w:space="0" w:color="auto"/>
            <w:left w:val="none" w:sz="0" w:space="0" w:color="auto"/>
            <w:bottom w:val="none" w:sz="0" w:space="0" w:color="auto"/>
            <w:right w:val="none" w:sz="0" w:space="0" w:color="auto"/>
          </w:divBdr>
        </w:div>
        <w:div w:id="1529760510">
          <w:marLeft w:val="0"/>
          <w:marRight w:val="0"/>
          <w:marTop w:val="0"/>
          <w:marBottom w:val="0"/>
          <w:divBdr>
            <w:top w:val="none" w:sz="0" w:space="0" w:color="auto"/>
            <w:left w:val="none" w:sz="0" w:space="0" w:color="auto"/>
            <w:bottom w:val="none" w:sz="0" w:space="0" w:color="auto"/>
            <w:right w:val="none" w:sz="0" w:space="0" w:color="auto"/>
          </w:divBdr>
        </w:div>
        <w:div w:id="3671882">
          <w:marLeft w:val="0"/>
          <w:marRight w:val="0"/>
          <w:marTop w:val="0"/>
          <w:marBottom w:val="0"/>
          <w:divBdr>
            <w:top w:val="none" w:sz="0" w:space="0" w:color="auto"/>
            <w:left w:val="none" w:sz="0" w:space="0" w:color="auto"/>
            <w:bottom w:val="none" w:sz="0" w:space="0" w:color="auto"/>
            <w:right w:val="none" w:sz="0" w:space="0" w:color="auto"/>
          </w:divBdr>
        </w:div>
        <w:div w:id="521627441">
          <w:marLeft w:val="0"/>
          <w:marRight w:val="0"/>
          <w:marTop w:val="0"/>
          <w:marBottom w:val="0"/>
          <w:divBdr>
            <w:top w:val="none" w:sz="0" w:space="0" w:color="auto"/>
            <w:left w:val="none" w:sz="0" w:space="0" w:color="auto"/>
            <w:bottom w:val="none" w:sz="0" w:space="0" w:color="auto"/>
            <w:right w:val="none" w:sz="0" w:space="0" w:color="auto"/>
          </w:divBdr>
        </w:div>
        <w:div w:id="1734162383">
          <w:marLeft w:val="0"/>
          <w:marRight w:val="0"/>
          <w:marTop w:val="0"/>
          <w:marBottom w:val="0"/>
          <w:divBdr>
            <w:top w:val="none" w:sz="0" w:space="0" w:color="auto"/>
            <w:left w:val="none" w:sz="0" w:space="0" w:color="auto"/>
            <w:bottom w:val="none" w:sz="0" w:space="0" w:color="auto"/>
            <w:right w:val="none" w:sz="0" w:space="0" w:color="auto"/>
          </w:divBdr>
        </w:div>
        <w:div w:id="156961560">
          <w:marLeft w:val="0"/>
          <w:marRight w:val="0"/>
          <w:marTop w:val="0"/>
          <w:marBottom w:val="0"/>
          <w:divBdr>
            <w:top w:val="none" w:sz="0" w:space="0" w:color="auto"/>
            <w:left w:val="none" w:sz="0" w:space="0" w:color="auto"/>
            <w:bottom w:val="none" w:sz="0" w:space="0" w:color="auto"/>
            <w:right w:val="none" w:sz="0" w:space="0" w:color="auto"/>
          </w:divBdr>
        </w:div>
        <w:div w:id="393701702">
          <w:marLeft w:val="0"/>
          <w:marRight w:val="0"/>
          <w:marTop w:val="0"/>
          <w:marBottom w:val="0"/>
          <w:divBdr>
            <w:top w:val="none" w:sz="0" w:space="0" w:color="auto"/>
            <w:left w:val="none" w:sz="0" w:space="0" w:color="auto"/>
            <w:bottom w:val="none" w:sz="0" w:space="0" w:color="auto"/>
            <w:right w:val="none" w:sz="0" w:space="0" w:color="auto"/>
          </w:divBdr>
        </w:div>
        <w:div w:id="1012610091">
          <w:marLeft w:val="0"/>
          <w:marRight w:val="0"/>
          <w:marTop w:val="0"/>
          <w:marBottom w:val="0"/>
          <w:divBdr>
            <w:top w:val="none" w:sz="0" w:space="0" w:color="auto"/>
            <w:left w:val="none" w:sz="0" w:space="0" w:color="auto"/>
            <w:bottom w:val="none" w:sz="0" w:space="0" w:color="auto"/>
            <w:right w:val="none" w:sz="0" w:space="0" w:color="auto"/>
          </w:divBdr>
        </w:div>
        <w:div w:id="1605378772">
          <w:marLeft w:val="0"/>
          <w:marRight w:val="0"/>
          <w:marTop w:val="0"/>
          <w:marBottom w:val="0"/>
          <w:divBdr>
            <w:top w:val="none" w:sz="0" w:space="0" w:color="auto"/>
            <w:left w:val="none" w:sz="0" w:space="0" w:color="auto"/>
            <w:bottom w:val="none" w:sz="0" w:space="0" w:color="auto"/>
            <w:right w:val="none" w:sz="0" w:space="0" w:color="auto"/>
          </w:divBdr>
        </w:div>
        <w:div w:id="1027635048">
          <w:marLeft w:val="0"/>
          <w:marRight w:val="0"/>
          <w:marTop w:val="0"/>
          <w:marBottom w:val="0"/>
          <w:divBdr>
            <w:top w:val="none" w:sz="0" w:space="0" w:color="auto"/>
            <w:left w:val="none" w:sz="0" w:space="0" w:color="auto"/>
            <w:bottom w:val="none" w:sz="0" w:space="0" w:color="auto"/>
            <w:right w:val="none" w:sz="0" w:space="0" w:color="auto"/>
          </w:divBdr>
        </w:div>
        <w:div w:id="248657873">
          <w:marLeft w:val="0"/>
          <w:marRight w:val="0"/>
          <w:marTop w:val="0"/>
          <w:marBottom w:val="0"/>
          <w:divBdr>
            <w:top w:val="none" w:sz="0" w:space="0" w:color="auto"/>
            <w:left w:val="none" w:sz="0" w:space="0" w:color="auto"/>
            <w:bottom w:val="none" w:sz="0" w:space="0" w:color="auto"/>
            <w:right w:val="none" w:sz="0" w:space="0" w:color="auto"/>
          </w:divBdr>
        </w:div>
        <w:div w:id="1887135601">
          <w:marLeft w:val="0"/>
          <w:marRight w:val="0"/>
          <w:marTop w:val="0"/>
          <w:marBottom w:val="0"/>
          <w:divBdr>
            <w:top w:val="none" w:sz="0" w:space="0" w:color="auto"/>
            <w:left w:val="none" w:sz="0" w:space="0" w:color="auto"/>
            <w:bottom w:val="none" w:sz="0" w:space="0" w:color="auto"/>
            <w:right w:val="none" w:sz="0" w:space="0" w:color="auto"/>
          </w:divBdr>
        </w:div>
        <w:div w:id="2086609773">
          <w:marLeft w:val="0"/>
          <w:marRight w:val="0"/>
          <w:marTop w:val="0"/>
          <w:marBottom w:val="0"/>
          <w:divBdr>
            <w:top w:val="none" w:sz="0" w:space="0" w:color="auto"/>
            <w:left w:val="none" w:sz="0" w:space="0" w:color="auto"/>
            <w:bottom w:val="none" w:sz="0" w:space="0" w:color="auto"/>
            <w:right w:val="none" w:sz="0" w:space="0" w:color="auto"/>
          </w:divBdr>
        </w:div>
        <w:div w:id="287010531">
          <w:marLeft w:val="0"/>
          <w:marRight w:val="0"/>
          <w:marTop w:val="0"/>
          <w:marBottom w:val="0"/>
          <w:divBdr>
            <w:top w:val="none" w:sz="0" w:space="0" w:color="auto"/>
            <w:left w:val="none" w:sz="0" w:space="0" w:color="auto"/>
            <w:bottom w:val="none" w:sz="0" w:space="0" w:color="auto"/>
            <w:right w:val="none" w:sz="0" w:space="0" w:color="auto"/>
          </w:divBdr>
        </w:div>
        <w:div w:id="757286519">
          <w:marLeft w:val="0"/>
          <w:marRight w:val="0"/>
          <w:marTop w:val="0"/>
          <w:marBottom w:val="0"/>
          <w:divBdr>
            <w:top w:val="none" w:sz="0" w:space="0" w:color="auto"/>
            <w:left w:val="none" w:sz="0" w:space="0" w:color="auto"/>
            <w:bottom w:val="none" w:sz="0" w:space="0" w:color="auto"/>
            <w:right w:val="none" w:sz="0" w:space="0" w:color="auto"/>
          </w:divBdr>
        </w:div>
        <w:div w:id="1506555576">
          <w:marLeft w:val="0"/>
          <w:marRight w:val="0"/>
          <w:marTop w:val="0"/>
          <w:marBottom w:val="0"/>
          <w:divBdr>
            <w:top w:val="none" w:sz="0" w:space="0" w:color="auto"/>
            <w:left w:val="none" w:sz="0" w:space="0" w:color="auto"/>
            <w:bottom w:val="none" w:sz="0" w:space="0" w:color="auto"/>
            <w:right w:val="none" w:sz="0" w:space="0" w:color="auto"/>
          </w:divBdr>
        </w:div>
        <w:div w:id="1315640836">
          <w:marLeft w:val="0"/>
          <w:marRight w:val="0"/>
          <w:marTop w:val="0"/>
          <w:marBottom w:val="0"/>
          <w:divBdr>
            <w:top w:val="none" w:sz="0" w:space="0" w:color="auto"/>
            <w:left w:val="none" w:sz="0" w:space="0" w:color="auto"/>
            <w:bottom w:val="none" w:sz="0" w:space="0" w:color="auto"/>
            <w:right w:val="none" w:sz="0" w:space="0" w:color="auto"/>
          </w:divBdr>
        </w:div>
        <w:div w:id="513300384">
          <w:marLeft w:val="0"/>
          <w:marRight w:val="0"/>
          <w:marTop w:val="0"/>
          <w:marBottom w:val="0"/>
          <w:divBdr>
            <w:top w:val="none" w:sz="0" w:space="0" w:color="auto"/>
            <w:left w:val="none" w:sz="0" w:space="0" w:color="auto"/>
            <w:bottom w:val="none" w:sz="0" w:space="0" w:color="auto"/>
            <w:right w:val="none" w:sz="0" w:space="0" w:color="auto"/>
          </w:divBdr>
        </w:div>
        <w:div w:id="933787737">
          <w:marLeft w:val="0"/>
          <w:marRight w:val="0"/>
          <w:marTop w:val="0"/>
          <w:marBottom w:val="0"/>
          <w:divBdr>
            <w:top w:val="none" w:sz="0" w:space="0" w:color="auto"/>
            <w:left w:val="none" w:sz="0" w:space="0" w:color="auto"/>
            <w:bottom w:val="none" w:sz="0" w:space="0" w:color="auto"/>
            <w:right w:val="none" w:sz="0" w:space="0" w:color="auto"/>
          </w:divBdr>
        </w:div>
        <w:div w:id="518008368">
          <w:marLeft w:val="0"/>
          <w:marRight w:val="0"/>
          <w:marTop w:val="0"/>
          <w:marBottom w:val="0"/>
          <w:divBdr>
            <w:top w:val="none" w:sz="0" w:space="0" w:color="auto"/>
            <w:left w:val="none" w:sz="0" w:space="0" w:color="auto"/>
            <w:bottom w:val="none" w:sz="0" w:space="0" w:color="auto"/>
            <w:right w:val="none" w:sz="0" w:space="0" w:color="auto"/>
          </w:divBdr>
        </w:div>
        <w:div w:id="242883800">
          <w:marLeft w:val="0"/>
          <w:marRight w:val="0"/>
          <w:marTop w:val="0"/>
          <w:marBottom w:val="0"/>
          <w:divBdr>
            <w:top w:val="none" w:sz="0" w:space="0" w:color="auto"/>
            <w:left w:val="none" w:sz="0" w:space="0" w:color="auto"/>
            <w:bottom w:val="none" w:sz="0" w:space="0" w:color="auto"/>
            <w:right w:val="none" w:sz="0" w:space="0" w:color="auto"/>
          </w:divBdr>
        </w:div>
        <w:div w:id="669528162">
          <w:marLeft w:val="0"/>
          <w:marRight w:val="0"/>
          <w:marTop w:val="0"/>
          <w:marBottom w:val="0"/>
          <w:divBdr>
            <w:top w:val="none" w:sz="0" w:space="0" w:color="auto"/>
            <w:left w:val="none" w:sz="0" w:space="0" w:color="auto"/>
            <w:bottom w:val="none" w:sz="0" w:space="0" w:color="auto"/>
            <w:right w:val="none" w:sz="0" w:space="0" w:color="auto"/>
          </w:divBdr>
        </w:div>
        <w:div w:id="1108045622">
          <w:marLeft w:val="0"/>
          <w:marRight w:val="0"/>
          <w:marTop w:val="0"/>
          <w:marBottom w:val="0"/>
          <w:divBdr>
            <w:top w:val="none" w:sz="0" w:space="0" w:color="auto"/>
            <w:left w:val="none" w:sz="0" w:space="0" w:color="auto"/>
            <w:bottom w:val="none" w:sz="0" w:space="0" w:color="auto"/>
            <w:right w:val="none" w:sz="0" w:space="0" w:color="auto"/>
          </w:divBdr>
        </w:div>
        <w:div w:id="293145641">
          <w:marLeft w:val="0"/>
          <w:marRight w:val="0"/>
          <w:marTop w:val="0"/>
          <w:marBottom w:val="0"/>
          <w:divBdr>
            <w:top w:val="none" w:sz="0" w:space="0" w:color="auto"/>
            <w:left w:val="none" w:sz="0" w:space="0" w:color="auto"/>
            <w:bottom w:val="none" w:sz="0" w:space="0" w:color="auto"/>
            <w:right w:val="none" w:sz="0" w:space="0" w:color="auto"/>
          </w:divBdr>
        </w:div>
        <w:div w:id="142893671">
          <w:marLeft w:val="0"/>
          <w:marRight w:val="0"/>
          <w:marTop w:val="0"/>
          <w:marBottom w:val="0"/>
          <w:divBdr>
            <w:top w:val="none" w:sz="0" w:space="0" w:color="auto"/>
            <w:left w:val="none" w:sz="0" w:space="0" w:color="auto"/>
            <w:bottom w:val="none" w:sz="0" w:space="0" w:color="auto"/>
            <w:right w:val="none" w:sz="0" w:space="0" w:color="auto"/>
          </w:divBdr>
        </w:div>
        <w:div w:id="474028194">
          <w:marLeft w:val="0"/>
          <w:marRight w:val="0"/>
          <w:marTop w:val="0"/>
          <w:marBottom w:val="0"/>
          <w:divBdr>
            <w:top w:val="none" w:sz="0" w:space="0" w:color="auto"/>
            <w:left w:val="none" w:sz="0" w:space="0" w:color="auto"/>
            <w:bottom w:val="none" w:sz="0" w:space="0" w:color="auto"/>
            <w:right w:val="none" w:sz="0" w:space="0" w:color="auto"/>
          </w:divBdr>
        </w:div>
        <w:div w:id="21172996">
          <w:marLeft w:val="0"/>
          <w:marRight w:val="0"/>
          <w:marTop w:val="0"/>
          <w:marBottom w:val="0"/>
          <w:divBdr>
            <w:top w:val="none" w:sz="0" w:space="0" w:color="auto"/>
            <w:left w:val="none" w:sz="0" w:space="0" w:color="auto"/>
            <w:bottom w:val="none" w:sz="0" w:space="0" w:color="auto"/>
            <w:right w:val="none" w:sz="0" w:space="0" w:color="auto"/>
          </w:divBdr>
        </w:div>
        <w:div w:id="505437276">
          <w:marLeft w:val="0"/>
          <w:marRight w:val="0"/>
          <w:marTop w:val="0"/>
          <w:marBottom w:val="0"/>
          <w:divBdr>
            <w:top w:val="none" w:sz="0" w:space="0" w:color="auto"/>
            <w:left w:val="none" w:sz="0" w:space="0" w:color="auto"/>
            <w:bottom w:val="none" w:sz="0" w:space="0" w:color="auto"/>
            <w:right w:val="none" w:sz="0" w:space="0" w:color="auto"/>
          </w:divBdr>
        </w:div>
        <w:div w:id="1468666779">
          <w:marLeft w:val="0"/>
          <w:marRight w:val="0"/>
          <w:marTop w:val="0"/>
          <w:marBottom w:val="0"/>
          <w:divBdr>
            <w:top w:val="none" w:sz="0" w:space="0" w:color="auto"/>
            <w:left w:val="none" w:sz="0" w:space="0" w:color="auto"/>
            <w:bottom w:val="none" w:sz="0" w:space="0" w:color="auto"/>
            <w:right w:val="none" w:sz="0" w:space="0" w:color="auto"/>
          </w:divBdr>
        </w:div>
        <w:div w:id="588659818">
          <w:marLeft w:val="0"/>
          <w:marRight w:val="0"/>
          <w:marTop w:val="0"/>
          <w:marBottom w:val="0"/>
          <w:divBdr>
            <w:top w:val="none" w:sz="0" w:space="0" w:color="auto"/>
            <w:left w:val="none" w:sz="0" w:space="0" w:color="auto"/>
            <w:bottom w:val="none" w:sz="0" w:space="0" w:color="auto"/>
            <w:right w:val="none" w:sz="0" w:space="0" w:color="auto"/>
          </w:divBdr>
        </w:div>
        <w:div w:id="1353842717">
          <w:marLeft w:val="0"/>
          <w:marRight w:val="0"/>
          <w:marTop w:val="0"/>
          <w:marBottom w:val="0"/>
          <w:divBdr>
            <w:top w:val="none" w:sz="0" w:space="0" w:color="auto"/>
            <w:left w:val="none" w:sz="0" w:space="0" w:color="auto"/>
            <w:bottom w:val="none" w:sz="0" w:space="0" w:color="auto"/>
            <w:right w:val="none" w:sz="0" w:space="0" w:color="auto"/>
          </w:divBdr>
        </w:div>
        <w:div w:id="1876000716">
          <w:marLeft w:val="0"/>
          <w:marRight w:val="0"/>
          <w:marTop w:val="0"/>
          <w:marBottom w:val="0"/>
          <w:divBdr>
            <w:top w:val="none" w:sz="0" w:space="0" w:color="auto"/>
            <w:left w:val="none" w:sz="0" w:space="0" w:color="auto"/>
            <w:bottom w:val="none" w:sz="0" w:space="0" w:color="auto"/>
            <w:right w:val="none" w:sz="0" w:space="0" w:color="auto"/>
          </w:divBdr>
        </w:div>
        <w:div w:id="1716154209">
          <w:marLeft w:val="0"/>
          <w:marRight w:val="0"/>
          <w:marTop w:val="0"/>
          <w:marBottom w:val="0"/>
          <w:divBdr>
            <w:top w:val="none" w:sz="0" w:space="0" w:color="auto"/>
            <w:left w:val="none" w:sz="0" w:space="0" w:color="auto"/>
            <w:bottom w:val="none" w:sz="0" w:space="0" w:color="auto"/>
            <w:right w:val="none" w:sz="0" w:space="0" w:color="auto"/>
          </w:divBdr>
        </w:div>
        <w:div w:id="313996693">
          <w:marLeft w:val="0"/>
          <w:marRight w:val="0"/>
          <w:marTop w:val="0"/>
          <w:marBottom w:val="0"/>
          <w:divBdr>
            <w:top w:val="none" w:sz="0" w:space="0" w:color="auto"/>
            <w:left w:val="none" w:sz="0" w:space="0" w:color="auto"/>
            <w:bottom w:val="none" w:sz="0" w:space="0" w:color="auto"/>
            <w:right w:val="none" w:sz="0" w:space="0" w:color="auto"/>
          </w:divBdr>
        </w:div>
        <w:div w:id="746147540">
          <w:marLeft w:val="0"/>
          <w:marRight w:val="0"/>
          <w:marTop w:val="0"/>
          <w:marBottom w:val="0"/>
          <w:divBdr>
            <w:top w:val="none" w:sz="0" w:space="0" w:color="auto"/>
            <w:left w:val="none" w:sz="0" w:space="0" w:color="auto"/>
            <w:bottom w:val="none" w:sz="0" w:space="0" w:color="auto"/>
            <w:right w:val="none" w:sz="0" w:space="0" w:color="auto"/>
          </w:divBdr>
        </w:div>
        <w:div w:id="1052340192">
          <w:marLeft w:val="0"/>
          <w:marRight w:val="0"/>
          <w:marTop w:val="0"/>
          <w:marBottom w:val="0"/>
          <w:divBdr>
            <w:top w:val="none" w:sz="0" w:space="0" w:color="auto"/>
            <w:left w:val="none" w:sz="0" w:space="0" w:color="auto"/>
            <w:bottom w:val="none" w:sz="0" w:space="0" w:color="auto"/>
            <w:right w:val="none" w:sz="0" w:space="0" w:color="auto"/>
          </w:divBdr>
        </w:div>
        <w:div w:id="125314358">
          <w:marLeft w:val="0"/>
          <w:marRight w:val="0"/>
          <w:marTop w:val="0"/>
          <w:marBottom w:val="0"/>
          <w:divBdr>
            <w:top w:val="none" w:sz="0" w:space="0" w:color="auto"/>
            <w:left w:val="none" w:sz="0" w:space="0" w:color="auto"/>
            <w:bottom w:val="none" w:sz="0" w:space="0" w:color="auto"/>
            <w:right w:val="none" w:sz="0" w:space="0" w:color="auto"/>
          </w:divBdr>
        </w:div>
        <w:div w:id="439843131">
          <w:marLeft w:val="0"/>
          <w:marRight w:val="0"/>
          <w:marTop w:val="0"/>
          <w:marBottom w:val="0"/>
          <w:divBdr>
            <w:top w:val="none" w:sz="0" w:space="0" w:color="auto"/>
            <w:left w:val="none" w:sz="0" w:space="0" w:color="auto"/>
            <w:bottom w:val="none" w:sz="0" w:space="0" w:color="auto"/>
            <w:right w:val="none" w:sz="0" w:space="0" w:color="auto"/>
          </w:divBdr>
        </w:div>
        <w:div w:id="1779904996">
          <w:marLeft w:val="0"/>
          <w:marRight w:val="0"/>
          <w:marTop w:val="0"/>
          <w:marBottom w:val="0"/>
          <w:divBdr>
            <w:top w:val="none" w:sz="0" w:space="0" w:color="auto"/>
            <w:left w:val="none" w:sz="0" w:space="0" w:color="auto"/>
            <w:bottom w:val="none" w:sz="0" w:space="0" w:color="auto"/>
            <w:right w:val="none" w:sz="0" w:space="0" w:color="auto"/>
          </w:divBdr>
        </w:div>
        <w:div w:id="443812220">
          <w:marLeft w:val="0"/>
          <w:marRight w:val="0"/>
          <w:marTop w:val="0"/>
          <w:marBottom w:val="0"/>
          <w:divBdr>
            <w:top w:val="none" w:sz="0" w:space="0" w:color="auto"/>
            <w:left w:val="none" w:sz="0" w:space="0" w:color="auto"/>
            <w:bottom w:val="none" w:sz="0" w:space="0" w:color="auto"/>
            <w:right w:val="none" w:sz="0" w:space="0" w:color="auto"/>
          </w:divBdr>
        </w:div>
        <w:div w:id="1867984685">
          <w:marLeft w:val="0"/>
          <w:marRight w:val="0"/>
          <w:marTop w:val="0"/>
          <w:marBottom w:val="0"/>
          <w:divBdr>
            <w:top w:val="none" w:sz="0" w:space="0" w:color="auto"/>
            <w:left w:val="none" w:sz="0" w:space="0" w:color="auto"/>
            <w:bottom w:val="none" w:sz="0" w:space="0" w:color="auto"/>
            <w:right w:val="none" w:sz="0" w:space="0" w:color="auto"/>
          </w:divBdr>
        </w:div>
        <w:div w:id="1887453386">
          <w:marLeft w:val="0"/>
          <w:marRight w:val="0"/>
          <w:marTop w:val="0"/>
          <w:marBottom w:val="0"/>
          <w:divBdr>
            <w:top w:val="none" w:sz="0" w:space="0" w:color="auto"/>
            <w:left w:val="none" w:sz="0" w:space="0" w:color="auto"/>
            <w:bottom w:val="none" w:sz="0" w:space="0" w:color="auto"/>
            <w:right w:val="none" w:sz="0" w:space="0" w:color="auto"/>
          </w:divBdr>
        </w:div>
        <w:div w:id="294913618">
          <w:marLeft w:val="0"/>
          <w:marRight w:val="0"/>
          <w:marTop w:val="0"/>
          <w:marBottom w:val="0"/>
          <w:divBdr>
            <w:top w:val="none" w:sz="0" w:space="0" w:color="auto"/>
            <w:left w:val="none" w:sz="0" w:space="0" w:color="auto"/>
            <w:bottom w:val="none" w:sz="0" w:space="0" w:color="auto"/>
            <w:right w:val="none" w:sz="0" w:space="0" w:color="auto"/>
          </w:divBdr>
        </w:div>
        <w:div w:id="207030358">
          <w:marLeft w:val="0"/>
          <w:marRight w:val="0"/>
          <w:marTop w:val="0"/>
          <w:marBottom w:val="0"/>
          <w:divBdr>
            <w:top w:val="none" w:sz="0" w:space="0" w:color="auto"/>
            <w:left w:val="none" w:sz="0" w:space="0" w:color="auto"/>
            <w:bottom w:val="none" w:sz="0" w:space="0" w:color="auto"/>
            <w:right w:val="none" w:sz="0" w:space="0" w:color="auto"/>
          </w:divBdr>
        </w:div>
        <w:div w:id="1119957571">
          <w:marLeft w:val="0"/>
          <w:marRight w:val="0"/>
          <w:marTop w:val="0"/>
          <w:marBottom w:val="0"/>
          <w:divBdr>
            <w:top w:val="none" w:sz="0" w:space="0" w:color="auto"/>
            <w:left w:val="none" w:sz="0" w:space="0" w:color="auto"/>
            <w:bottom w:val="none" w:sz="0" w:space="0" w:color="auto"/>
            <w:right w:val="none" w:sz="0" w:space="0" w:color="auto"/>
          </w:divBdr>
        </w:div>
        <w:div w:id="1337919432">
          <w:marLeft w:val="0"/>
          <w:marRight w:val="0"/>
          <w:marTop w:val="0"/>
          <w:marBottom w:val="0"/>
          <w:divBdr>
            <w:top w:val="none" w:sz="0" w:space="0" w:color="auto"/>
            <w:left w:val="none" w:sz="0" w:space="0" w:color="auto"/>
            <w:bottom w:val="none" w:sz="0" w:space="0" w:color="auto"/>
            <w:right w:val="none" w:sz="0" w:space="0" w:color="auto"/>
          </w:divBdr>
        </w:div>
        <w:div w:id="265508042">
          <w:marLeft w:val="0"/>
          <w:marRight w:val="0"/>
          <w:marTop w:val="0"/>
          <w:marBottom w:val="0"/>
          <w:divBdr>
            <w:top w:val="none" w:sz="0" w:space="0" w:color="auto"/>
            <w:left w:val="none" w:sz="0" w:space="0" w:color="auto"/>
            <w:bottom w:val="none" w:sz="0" w:space="0" w:color="auto"/>
            <w:right w:val="none" w:sz="0" w:space="0" w:color="auto"/>
          </w:divBdr>
        </w:div>
        <w:div w:id="1589387361">
          <w:marLeft w:val="0"/>
          <w:marRight w:val="0"/>
          <w:marTop w:val="0"/>
          <w:marBottom w:val="0"/>
          <w:divBdr>
            <w:top w:val="none" w:sz="0" w:space="0" w:color="auto"/>
            <w:left w:val="none" w:sz="0" w:space="0" w:color="auto"/>
            <w:bottom w:val="none" w:sz="0" w:space="0" w:color="auto"/>
            <w:right w:val="none" w:sz="0" w:space="0" w:color="auto"/>
          </w:divBdr>
        </w:div>
        <w:div w:id="691418747">
          <w:marLeft w:val="0"/>
          <w:marRight w:val="0"/>
          <w:marTop w:val="0"/>
          <w:marBottom w:val="0"/>
          <w:divBdr>
            <w:top w:val="none" w:sz="0" w:space="0" w:color="auto"/>
            <w:left w:val="none" w:sz="0" w:space="0" w:color="auto"/>
            <w:bottom w:val="none" w:sz="0" w:space="0" w:color="auto"/>
            <w:right w:val="none" w:sz="0" w:space="0" w:color="auto"/>
          </w:divBdr>
        </w:div>
      </w:divsChild>
    </w:div>
    <w:div w:id="887184438">
      <w:bodyDiv w:val="1"/>
      <w:marLeft w:val="0"/>
      <w:marRight w:val="0"/>
      <w:marTop w:val="0"/>
      <w:marBottom w:val="0"/>
      <w:divBdr>
        <w:top w:val="none" w:sz="0" w:space="0" w:color="auto"/>
        <w:left w:val="none" w:sz="0" w:space="0" w:color="auto"/>
        <w:bottom w:val="none" w:sz="0" w:space="0" w:color="auto"/>
        <w:right w:val="none" w:sz="0" w:space="0" w:color="auto"/>
      </w:divBdr>
    </w:div>
    <w:div w:id="945887886">
      <w:bodyDiv w:val="1"/>
      <w:marLeft w:val="0"/>
      <w:marRight w:val="0"/>
      <w:marTop w:val="0"/>
      <w:marBottom w:val="0"/>
      <w:divBdr>
        <w:top w:val="none" w:sz="0" w:space="0" w:color="auto"/>
        <w:left w:val="none" w:sz="0" w:space="0" w:color="auto"/>
        <w:bottom w:val="none" w:sz="0" w:space="0" w:color="auto"/>
        <w:right w:val="none" w:sz="0" w:space="0" w:color="auto"/>
      </w:divBdr>
    </w:div>
    <w:div w:id="1056784119">
      <w:bodyDiv w:val="1"/>
      <w:marLeft w:val="0"/>
      <w:marRight w:val="0"/>
      <w:marTop w:val="0"/>
      <w:marBottom w:val="0"/>
      <w:divBdr>
        <w:top w:val="none" w:sz="0" w:space="0" w:color="auto"/>
        <w:left w:val="none" w:sz="0" w:space="0" w:color="auto"/>
        <w:bottom w:val="none" w:sz="0" w:space="0" w:color="auto"/>
        <w:right w:val="none" w:sz="0" w:space="0" w:color="auto"/>
      </w:divBdr>
      <w:divsChild>
        <w:div w:id="2019653785">
          <w:marLeft w:val="-420"/>
          <w:marRight w:val="0"/>
          <w:marTop w:val="0"/>
          <w:marBottom w:val="0"/>
          <w:divBdr>
            <w:top w:val="none" w:sz="0" w:space="0" w:color="auto"/>
            <w:left w:val="none" w:sz="0" w:space="0" w:color="auto"/>
            <w:bottom w:val="none" w:sz="0" w:space="0" w:color="auto"/>
            <w:right w:val="none" w:sz="0" w:space="0" w:color="auto"/>
          </w:divBdr>
        </w:div>
      </w:divsChild>
    </w:div>
    <w:div w:id="1225484521">
      <w:bodyDiv w:val="1"/>
      <w:marLeft w:val="0"/>
      <w:marRight w:val="0"/>
      <w:marTop w:val="0"/>
      <w:marBottom w:val="0"/>
      <w:divBdr>
        <w:top w:val="none" w:sz="0" w:space="0" w:color="auto"/>
        <w:left w:val="none" w:sz="0" w:space="0" w:color="auto"/>
        <w:bottom w:val="none" w:sz="0" w:space="0" w:color="auto"/>
        <w:right w:val="none" w:sz="0" w:space="0" w:color="auto"/>
      </w:divBdr>
      <w:divsChild>
        <w:div w:id="368726577">
          <w:marLeft w:val="-780"/>
          <w:marRight w:val="0"/>
          <w:marTop w:val="0"/>
          <w:marBottom w:val="0"/>
          <w:divBdr>
            <w:top w:val="none" w:sz="0" w:space="0" w:color="auto"/>
            <w:left w:val="none" w:sz="0" w:space="0" w:color="auto"/>
            <w:bottom w:val="none" w:sz="0" w:space="0" w:color="auto"/>
            <w:right w:val="none" w:sz="0" w:space="0" w:color="auto"/>
          </w:divBdr>
        </w:div>
      </w:divsChild>
    </w:div>
    <w:div w:id="1255868713">
      <w:bodyDiv w:val="1"/>
      <w:marLeft w:val="0"/>
      <w:marRight w:val="0"/>
      <w:marTop w:val="0"/>
      <w:marBottom w:val="0"/>
      <w:divBdr>
        <w:top w:val="none" w:sz="0" w:space="0" w:color="auto"/>
        <w:left w:val="none" w:sz="0" w:space="0" w:color="auto"/>
        <w:bottom w:val="none" w:sz="0" w:space="0" w:color="auto"/>
        <w:right w:val="none" w:sz="0" w:space="0" w:color="auto"/>
      </w:divBdr>
    </w:div>
    <w:div w:id="1315601519">
      <w:bodyDiv w:val="1"/>
      <w:marLeft w:val="0"/>
      <w:marRight w:val="0"/>
      <w:marTop w:val="0"/>
      <w:marBottom w:val="0"/>
      <w:divBdr>
        <w:top w:val="none" w:sz="0" w:space="0" w:color="auto"/>
        <w:left w:val="none" w:sz="0" w:space="0" w:color="auto"/>
        <w:bottom w:val="none" w:sz="0" w:space="0" w:color="auto"/>
        <w:right w:val="none" w:sz="0" w:space="0" w:color="auto"/>
      </w:divBdr>
      <w:divsChild>
        <w:div w:id="1816414715">
          <w:marLeft w:val="-390"/>
          <w:marRight w:val="0"/>
          <w:marTop w:val="0"/>
          <w:marBottom w:val="0"/>
          <w:divBdr>
            <w:top w:val="none" w:sz="0" w:space="0" w:color="auto"/>
            <w:left w:val="none" w:sz="0" w:space="0" w:color="auto"/>
            <w:bottom w:val="none" w:sz="0" w:space="0" w:color="auto"/>
            <w:right w:val="none" w:sz="0" w:space="0" w:color="auto"/>
          </w:divBdr>
        </w:div>
      </w:divsChild>
    </w:div>
    <w:div w:id="1344285342">
      <w:bodyDiv w:val="1"/>
      <w:marLeft w:val="0"/>
      <w:marRight w:val="0"/>
      <w:marTop w:val="0"/>
      <w:marBottom w:val="0"/>
      <w:divBdr>
        <w:top w:val="none" w:sz="0" w:space="0" w:color="auto"/>
        <w:left w:val="none" w:sz="0" w:space="0" w:color="auto"/>
        <w:bottom w:val="none" w:sz="0" w:space="0" w:color="auto"/>
        <w:right w:val="none" w:sz="0" w:space="0" w:color="auto"/>
      </w:divBdr>
      <w:divsChild>
        <w:div w:id="1783845742">
          <w:marLeft w:val="-510"/>
          <w:marRight w:val="0"/>
          <w:marTop w:val="0"/>
          <w:marBottom w:val="0"/>
          <w:divBdr>
            <w:top w:val="none" w:sz="0" w:space="0" w:color="auto"/>
            <w:left w:val="none" w:sz="0" w:space="0" w:color="auto"/>
            <w:bottom w:val="none" w:sz="0" w:space="0" w:color="auto"/>
            <w:right w:val="none" w:sz="0" w:space="0" w:color="auto"/>
          </w:divBdr>
        </w:div>
      </w:divsChild>
    </w:div>
    <w:div w:id="1513955265">
      <w:bodyDiv w:val="1"/>
      <w:marLeft w:val="0"/>
      <w:marRight w:val="0"/>
      <w:marTop w:val="0"/>
      <w:marBottom w:val="0"/>
      <w:divBdr>
        <w:top w:val="none" w:sz="0" w:space="0" w:color="auto"/>
        <w:left w:val="none" w:sz="0" w:space="0" w:color="auto"/>
        <w:bottom w:val="none" w:sz="0" w:space="0" w:color="auto"/>
        <w:right w:val="none" w:sz="0" w:space="0" w:color="auto"/>
      </w:divBdr>
    </w:div>
    <w:div w:id="1514802239">
      <w:bodyDiv w:val="1"/>
      <w:marLeft w:val="0"/>
      <w:marRight w:val="0"/>
      <w:marTop w:val="0"/>
      <w:marBottom w:val="0"/>
      <w:divBdr>
        <w:top w:val="none" w:sz="0" w:space="0" w:color="auto"/>
        <w:left w:val="none" w:sz="0" w:space="0" w:color="auto"/>
        <w:bottom w:val="none" w:sz="0" w:space="0" w:color="auto"/>
        <w:right w:val="none" w:sz="0" w:space="0" w:color="auto"/>
      </w:divBdr>
      <w:divsChild>
        <w:div w:id="1638142452">
          <w:marLeft w:val="-630"/>
          <w:marRight w:val="0"/>
          <w:marTop w:val="0"/>
          <w:marBottom w:val="0"/>
          <w:divBdr>
            <w:top w:val="none" w:sz="0" w:space="0" w:color="auto"/>
            <w:left w:val="none" w:sz="0" w:space="0" w:color="auto"/>
            <w:bottom w:val="none" w:sz="0" w:space="0" w:color="auto"/>
            <w:right w:val="none" w:sz="0" w:space="0" w:color="auto"/>
          </w:divBdr>
        </w:div>
      </w:divsChild>
    </w:div>
    <w:div w:id="1525554159">
      <w:bodyDiv w:val="1"/>
      <w:marLeft w:val="0"/>
      <w:marRight w:val="0"/>
      <w:marTop w:val="0"/>
      <w:marBottom w:val="0"/>
      <w:divBdr>
        <w:top w:val="none" w:sz="0" w:space="0" w:color="auto"/>
        <w:left w:val="none" w:sz="0" w:space="0" w:color="auto"/>
        <w:bottom w:val="none" w:sz="0" w:space="0" w:color="auto"/>
        <w:right w:val="none" w:sz="0" w:space="0" w:color="auto"/>
      </w:divBdr>
    </w:div>
    <w:div w:id="1576864864">
      <w:bodyDiv w:val="1"/>
      <w:marLeft w:val="0"/>
      <w:marRight w:val="0"/>
      <w:marTop w:val="0"/>
      <w:marBottom w:val="0"/>
      <w:divBdr>
        <w:top w:val="none" w:sz="0" w:space="0" w:color="auto"/>
        <w:left w:val="none" w:sz="0" w:space="0" w:color="auto"/>
        <w:bottom w:val="none" w:sz="0" w:space="0" w:color="auto"/>
        <w:right w:val="none" w:sz="0" w:space="0" w:color="auto"/>
      </w:divBdr>
    </w:div>
    <w:div w:id="1636836343">
      <w:bodyDiv w:val="1"/>
      <w:marLeft w:val="0"/>
      <w:marRight w:val="0"/>
      <w:marTop w:val="0"/>
      <w:marBottom w:val="0"/>
      <w:divBdr>
        <w:top w:val="none" w:sz="0" w:space="0" w:color="auto"/>
        <w:left w:val="none" w:sz="0" w:space="0" w:color="auto"/>
        <w:bottom w:val="none" w:sz="0" w:space="0" w:color="auto"/>
        <w:right w:val="none" w:sz="0" w:space="0" w:color="auto"/>
      </w:divBdr>
    </w:div>
    <w:div w:id="1696467299">
      <w:bodyDiv w:val="1"/>
      <w:marLeft w:val="0"/>
      <w:marRight w:val="0"/>
      <w:marTop w:val="0"/>
      <w:marBottom w:val="0"/>
      <w:divBdr>
        <w:top w:val="none" w:sz="0" w:space="0" w:color="auto"/>
        <w:left w:val="none" w:sz="0" w:space="0" w:color="auto"/>
        <w:bottom w:val="none" w:sz="0" w:space="0" w:color="auto"/>
        <w:right w:val="none" w:sz="0" w:space="0" w:color="auto"/>
      </w:divBdr>
    </w:div>
    <w:div w:id="1714033838">
      <w:bodyDiv w:val="1"/>
      <w:marLeft w:val="0"/>
      <w:marRight w:val="0"/>
      <w:marTop w:val="0"/>
      <w:marBottom w:val="0"/>
      <w:divBdr>
        <w:top w:val="none" w:sz="0" w:space="0" w:color="auto"/>
        <w:left w:val="none" w:sz="0" w:space="0" w:color="auto"/>
        <w:bottom w:val="none" w:sz="0" w:space="0" w:color="auto"/>
        <w:right w:val="none" w:sz="0" w:space="0" w:color="auto"/>
      </w:divBdr>
      <w:divsChild>
        <w:div w:id="677276503">
          <w:marLeft w:val="-825"/>
          <w:marRight w:val="0"/>
          <w:marTop w:val="0"/>
          <w:marBottom w:val="0"/>
          <w:divBdr>
            <w:top w:val="none" w:sz="0" w:space="0" w:color="auto"/>
            <w:left w:val="none" w:sz="0" w:space="0" w:color="auto"/>
            <w:bottom w:val="none" w:sz="0" w:space="0" w:color="auto"/>
            <w:right w:val="none" w:sz="0" w:space="0" w:color="auto"/>
          </w:divBdr>
        </w:div>
        <w:div w:id="1913612892">
          <w:marLeft w:val="-690"/>
          <w:marRight w:val="0"/>
          <w:marTop w:val="0"/>
          <w:marBottom w:val="0"/>
          <w:divBdr>
            <w:top w:val="none" w:sz="0" w:space="0" w:color="auto"/>
            <w:left w:val="none" w:sz="0" w:space="0" w:color="auto"/>
            <w:bottom w:val="none" w:sz="0" w:space="0" w:color="auto"/>
            <w:right w:val="none" w:sz="0" w:space="0" w:color="auto"/>
          </w:divBdr>
        </w:div>
        <w:div w:id="1253469426">
          <w:marLeft w:val="-1125"/>
          <w:marRight w:val="0"/>
          <w:marTop w:val="0"/>
          <w:marBottom w:val="0"/>
          <w:divBdr>
            <w:top w:val="none" w:sz="0" w:space="0" w:color="auto"/>
            <w:left w:val="none" w:sz="0" w:space="0" w:color="auto"/>
            <w:bottom w:val="none" w:sz="0" w:space="0" w:color="auto"/>
            <w:right w:val="none" w:sz="0" w:space="0" w:color="auto"/>
          </w:divBdr>
        </w:div>
        <w:div w:id="1521161457">
          <w:marLeft w:val="-285"/>
          <w:marRight w:val="0"/>
          <w:marTop w:val="0"/>
          <w:marBottom w:val="0"/>
          <w:divBdr>
            <w:top w:val="none" w:sz="0" w:space="0" w:color="auto"/>
            <w:left w:val="none" w:sz="0" w:space="0" w:color="auto"/>
            <w:bottom w:val="none" w:sz="0" w:space="0" w:color="auto"/>
            <w:right w:val="none" w:sz="0" w:space="0" w:color="auto"/>
          </w:divBdr>
        </w:div>
        <w:div w:id="165942067">
          <w:marLeft w:val="-915"/>
          <w:marRight w:val="0"/>
          <w:marTop w:val="0"/>
          <w:marBottom w:val="0"/>
          <w:divBdr>
            <w:top w:val="none" w:sz="0" w:space="0" w:color="auto"/>
            <w:left w:val="none" w:sz="0" w:space="0" w:color="auto"/>
            <w:bottom w:val="none" w:sz="0" w:space="0" w:color="auto"/>
            <w:right w:val="none" w:sz="0" w:space="0" w:color="auto"/>
          </w:divBdr>
        </w:div>
        <w:div w:id="483621161">
          <w:marLeft w:val="-1005"/>
          <w:marRight w:val="0"/>
          <w:marTop w:val="0"/>
          <w:marBottom w:val="0"/>
          <w:divBdr>
            <w:top w:val="none" w:sz="0" w:space="0" w:color="auto"/>
            <w:left w:val="none" w:sz="0" w:space="0" w:color="auto"/>
            <w:bottom w:val="none" w:sz="0" w:space="0" w:color="auto"/>
            <w:right w:val="none" w:sz="0" w:space="0" w:color="auto"/>
          </w:divBdr>
        </w:div>
      </w:divsChild>
    </w:div>
    <w:div w:id="1726641207">
      <w:bodyDiv w:val="1"/>
      <w:marLeft w:val="0"/>
      <w:marRight w:val="0"/>
      <w:marTop w:val="0"/>
      <w:marBottom w:val="0"/>
      <w:divBdr>
        <w:top w:val="none" w:sz="0" w:space="0" w:color="auto"/>
        <w:left w:val="none" w:sz="0" w:space="0" w:color="auto"/>
        <w:bottom w:val="none" w:sz="0" w:space="0" w:color="auto"/>
        <w:right w:val="none" w:sz="0" w:space="0" w:color="auto"/>
      </w:divBdr>
    </w:div>
    <w:div w:id="1759016850">
      <w:bodyDiv w:val="1"/>
      <w:marLeft w:val="0"/>
      <w:marRight w:val="0"/>
      <w:marTop w:val="0"/>
      <w:marBottom w:val="0"/>
      <w:divBdr>
        <w:top w:val="none" w:sz="0" w:space="0" w:color="auto"/>
        <w:left w:val="none" w:sz="0" w:space="0" w:color="auto"/>
        <w:bottom w:val="none" w:sz="0" w:space="0" w:color="auto"/>
        <w:right w:val="none" w:sz="0" w:space="0" w:color="auto"/>
      </w:divBdr>
    </w:div>
    <w:div w:id="1764455758">
      <w:bodyDiv w:val="1"/>
      <w:marLeft w:val="0"/>
      <w:marRight w:val="0"/>
      <w:marTop w:val="0"/>
      <w:marBottom w:val="0"/>
      <w:divBdr>
        <w:top w:val="none" w:sz="0" w:space="0" w:color="auto"/>
        <w:left w:val="none" w:sz="0" w:space="0" w:color="auto"/>
        <w:bottom w:val="none" w:sz="0" w:space="0" w:color="auto"/>
        <w:right w:val="none" w:sz="0" w:space="0" w:color="auto"/>
      </w:divBdr>
    </w:div>
    <w:div w:id="1847792502">
      <w:bodyDiv w:val="1"/>
      <w:marLeft w:val="0"/>
      <w:marRight w:val="0"/>
      <w:marTop w:val="0"/>
      <w:marBottom w:val="0"/>
      <w:divBdr>
        <w:top w:val="none" w:sz="0" w:space="0" w:color="auto"/>
        <w:left w:val="none" w:sz="0" w:space="0" w:color="auto"/>
        <w:bottom w:val="none" w:sz="0" w:space="0" w:color="auto"/>
        <w:right w:val="none" w:sz="0" w:space="0" w:color="auto"/>
      </w:divBdr>
    </w:div>
    <w:div w:id="1862087276">
      <w:bodyDiv w:val="1"/>
      <w:marLeft w:val="0"/>
      <w:marRight w:val="0"/>
      <w:marTop w:val="0"/>
      <w:marBottom w:val="0"/>
      <w:divBdr>
        <w:top w:val="none" w:sz="0" w:space="0" w:color="auto"/>
        <w:left w:val="none" w:sz="0" w:space="0" w:color="auto"/>
        <w:bottom w:val="none" w:sz="0" w:space="0" w:color="auto"/>
        <w:right w:val="none" w:sz="0" w:space="0" w:color="auto"/>
      </w:divBdr>
      <w:divsChild>
        <w:div w:id="1302609650">
          <w:marLeft w:val="-780"/>
          <w:marRight w:val="0"/>
          <w:marTop w:val="0"/>
          <w:marBottom w:val="0"/>
          <w:divBdr>
            <w:top w:val="none" w:sz="0" w:space="0" w:color="auto"/>
            <w:left w:val="none" w:sz="0" w:space="0" w:color="auto"/>
            <w:bottom w:val="none" w:sz="0" w:space="0" w:color="auto"/>
            <w:right w:val="none" w:sz="0" w:space="0" w:color="auto"/>
          </w:divBdr>
        </w:div>
      </w:divsChild>
    </w:div>
    <w:div w:id="1924488753">
      <w:bodyDiv w:val="1"/>
      <w:marLeft w:val="0"/>
      <w:marRight w:val="0"/>
      <w:marTop w:val="0"/>
      <w:marBottom w:val="0"/>
      <w:divBdr>
        <w:top w:val="none" w:sz="0" w:space="0" w:color="auto"/>
        <w:left w:val="none" w:sz="0" w:space="0" w:color="auto"/>
        <w:bottom w:val="none" w:sz="0" w:space="0" w:color="auto"/>
        <w:right w:val="none" w:sz="0" w:space="0" w:color="auto"/>
      </w:divBdr>
    </w:div>
    <w:div w:id="1940792633">
      <w:bodyDiv w:val="1"/>
      <w:marLeft w:val="0"/>
      <w:marRight w:val="0"/>
      <w:marTop w:val="0"/>
      <w:marBottom w:val="0"/>
      <w:divBdr>
        <w:top w:val="none" w:sz="0" w:space="0" w:color="auto"/>
        <w:left w:val="none" w:sz="0" w:space="0" w:color="auto"/>
        <w:bottom w:val="none" w:sz="0" w:space="0" w:color="auto"/>
        <w:right w:val="none" w:sz="0" w:space="0" w:color="auto"/>
      </w:divBdr>
      <w:divsChild>
        <w:div w:id="2118595927">
          <w:marLeft w:val="-39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iwheel.com/work/citation?ids=9050860,338810&amp;pre=&amp;pre=&amp;suf=&amp;suf=&amp;sa=0,0" TargetMode="External"/><Relationship Id="rId671" Type="http://schemas.openxmlformats.org/officeDocument/2006/relationships/image" Target="media/image32.jpg"/><Relationship Id="rId769" Type="http://schemas.openxmlformats.org/officeDocument/2006/relationships/hyperlink" Target="https://sciwheel.com/work/citation?ids=2600730&amp;pre=&amp;suf=&amp;sa=0" TargetMode="External"/><Relationship Id="rId21" Type="http://schemas.openxmlformats.org/officeDocument/2006/relationships/hyperlink" Target="https://sciwheel.com/work/citation?ids=3447684&amp;pre=&amp;suf=&amp;sa=0" TargetMode="External"/><Relationship Id="rId324" Type="http://schemas.openxmlformats.org/officeDocument/2006/relationships/hyperlink" Target="https://sciwheel.com/work/citation?ids=15153300&amp;pre=&amp;suf=&amp;sa=0" TargetMode="External"/><Relationship Id="rId531" Type="http://schemas.openxmlformats.org/officeDocument/2006/relationships/hyperlink" Target="https://sciwheel.com/work/citation?ids=8498213,5551763&amp;pre=&amp;pre=&amp;suf=&amp;suf=&amp;sa=0,0" TargetMode="External"/><Relationship Id="rId629" Type="http://schemas.openxmlformats.org/officeDocument/2006/relationships/hyperlink" Target="https://sciwheel.com/work/citation?ids=2539791&amp;pre=&amp;suf=&amp;sa=0" TargetMode="External"/><Relationship Id="rId170" Type="http://schemas.openxmlformats.org/officeDocument/2006/relationships/hyperlink" Target="https://sciwheel.com/work/citation?ids=5157968,1169646&amp;pre=&amp;pre=&amp;suf=&amp;suf=&amp;sa=0,0" TargetMode="External"/><Relationship Id="rId836" Type="http://schemas.openxmlformats.org/officeDocument/2006/relationships/hyperlink" Target="https://sciwheel.com/work/citation?ids=1281773,2091881&amp;pre=&amp;pre=&amp;suf=&amp;suf=&amp;sa=0,0" TargetMode="External"/><Relationship Id="rId268" Type="http://schemas.openxmlformats.org/officeDocument/2006/relationships/hyperlink" Target="https://sciwheel.com/work/citation?ids=10549590,795996,446758&amp;pre=&amp;pre=&amp;pre=&amp;suf=&amp;suf=&amp;suf=&amp;sa=0,0,0" TargetMode="External"/><Relationship Id="rId475" Type="http://schemas.openxmlformats.org/officeDocument/2006/relationships/hyperlink" Target="https://sciwheel.com/work/citation?ids=12876276&amp;pre=&amp;suf=&amp;sa=0" TargetMode="External"/><Relationship Id="rId682" Type="http://schemas.openxmlformats.org/officeDocument/2006/relationships/hyperlink" Target="https://sciwheel.com/work/citation?ids=6915699&amp;pre=&amp;suf=&amp;sa=0" TargetMode="External"/><Relationship Id="rId32" Type="http://schemas.openxmlformats.org/officeDocument/2006/relationships/hyperlink" Target="https://sciwheel.com/work/citation?ids=9428305&amp;pre=&amp;suf=&amp;sa=0" TargetMode="External"/><Relationship Id="rId128" Type="http://schemas.openxmlformats.org/officeDocument/2006/relationships/hyperlink" Target="https://sciwheel.com/work/citation?ids=6351305&amp;pre=&amp;suf=&amp;sa=0" TargetMode="External"/><Relationship Id="rId335" Type="http://schemas.openxmlformats.org/officeDocument/2006/relationships/hyperlink" Target="https://sciwheel.com/work/citation?ids=8498213,3152148,1534020,161567&amp;pre=&amp;pre=&amp;pre=&amp;pre=&amp;suf=&amp;suf=&amp;suf=&amp;suf=&amp;sa=0,0,0,0" TargetMode="External"/><Relationship Id="rId542" Type="http://schemas.openxmlformats.org/officeDocument/2006/relationships/hyperlink" Target="https://sciwheel.com/work/citation?ids=4727053&amp;pre=&amp;suf=&amp;sa=0" TargetMode="External"/><Relationship Id="rId181" Type="http://schemas.openxmlformats.org/officeDocument/2006/relationships/hyperlink" Target="https://sciwheel.com/work/citation?ids=6632811,15039540&amp;pre=&amp;pre=&amp;suf=&amp;suf=&amp;sa=0,0" TargetMode="External"/><Relationship Id="rId402" Type="http://schemas.openxmlformats.org/officeDocument/2006/relationships/hyperlink" Target="https://sciwheel.com/work/citation?ids=279613,284991&amp;pre=&amp;pre=&amp;suf=&amp;suf=&amp;sa=0,0" TargetMode="External"/><Relationship Id="rId847" Type="http://schemas.openxmlformats.org/officeDocument/2006/relationships/hyperlink" Target="https://sciwheel.com/work/citation?ids=446758&amp;pre=&amp;suf=&amp;sa=0" TargetMode="External"/><Relationship Id="rId279" Type="http://schemas.openxmlformats.org/officeDocument/2006/relationships/hyperlink" Target="https://sciwheel.com/work/citation?ids=1524497,10549590&amp;pre=&amp;pre=&amp;suf=&amp;suf=&amp;sa=0,0" TargetMode="External"/><Relationship Id="rId486" Type="http://schemas.openxmlformats.org/officeDocument/2006/relationships/hyperlink" Target="https://sciwheel.com/work/citation?ids=15039540&amp;pre=&amp;suf=&amp;sa=0" TargetMode="External"/><Relationship Id="rId693" Type="http://schemas.openxmlformats.org/officeDocument/2006/relationships/hyperlink" Target="https://sciwheel.com/work/citation?ids=15020408&amp;pre=&amp;suf=&amp;sa=0" TargetMode="External"/><Relationship Id="rId707" Type="http://schemas.openxmlformats.org/officeDocument/2006/relationships/hyperlink" Target="https://sciwheel.com/work/citation?ids=15028720&amp;pre=&amp;suf=&amp;sa=0" TargetMode="External"/><Relationship Id="rId43" Type="http://schemas.openxmlformats.org/officeDocument/2006/relationships/hyperlink" Target="https://sciwheel.com/work/citation?ids=5748523&amp;pre=&amp;suf=&amp;sa=0" TargetMode="External"/><Relationship Id="rId139" Type="http://schemas.openxmlformats.org/officeDocument/2006/relationships/hyperlink" Target="https://sciwheel.com/work/citation?ids=15016957&amp;pre=&amp;suf=&amp;sa=0" TargetMode="External"/><Relationship Id="rId346" Type="http://schemas.openxmlformats.org/officeDocument/2006/relationships/hyperlink" Target="https://sciwheel.com/work/citation?ids=148751&amp;pre=&amp;suf=&amp;sa=0" TargetMode="External"/><Relationship Id="rId553" Type="http://schemas.openxmlformats.org/officeDocument/2006/relationships/image" Target="media/image17.jpeg"/><Relationship Id="rId760" Type="http://schemas.openxmlformats.org/officeDocument/2006/relationships/hyperlink" Target="https://sciwheel.com/work/citation?ids=15181673,339143&amp;pre=&amp;pre=&amp;suf=&amp;suf=&amp;sa=0,0" TargetMode="External"/><Relationship Id="rId192" Type="http://schemas.openxmlformats.org/officeDocument/2006/relationships/hyperlink" Target="https://sciwheel.com/work/citation?ids=15039542,15039503,15039763&amp;pre=&amp;pre=&amp;pre=&amp;suf=&amp;suf=&amp;suf=&amp;sa=0,0,0" TargetMode="External"/><Relationship Id="rId206" Type="http://schemas.openxmlformats.org/officeDocument/2006/relationships/hyperlink" Target="https://sciwheel.com/work/citation?ids=1102778&amp;pre=&amp;suf=&amp;sa=0" TargetMode="External"/><Relationship Id="rId413" Type="http://schemas.openxmlformats.org/officeDocument/2006/relationships/image" Target="media/image7.png"/><Relationship Id="rId858" Type="http://schemas.openxmlformats.org/officeDocument/2006/relationships/hyperlink" Target="https://sciwheel.com/work/citation?ids=3374844&amp;pre=&amp;suf=&amp;sa=0" TargetMode="External"/><Relationship Id="rId497" Type="http://schemas.openxmlformats.org/officeDocument/2006/relationships/hyperlink" Target="https://sciwheel.com/work/citation?ids=15305907&amp;pre=&amp;suf=&amp;sa=0" TargetMode="External"/><Relationship Id="rId620" Type="http://schemas.openxmlformats.org/officeDocument/2006/relationships/hyperlink" Target="https://sciwheel.com/work/citation?ids=15039542&amp;pre=&amp;suf=&amp;sa=0" TargetMode="External"/><Relationship Id="rId718" Type="http://schemas.openxmlformats.org/officeDocument/2006/relationships/hyperlink" Target="https://sciwheel.com/work/citation?ids=4686445&amp;pre=&amp;suf=&amp;sa=0" TargetMode="External"/><Relationship Id="rId357" Type="http://schemas.openxmlformats.org/officeDocument/2006/relationships/hyperlink" Target="https://sciwheel.com/work/citation?ids=4631598&amp;pre=&amp;suf=&amp;sa=0" TargetMode="External"/><Relationship Id="rId54" Type="http://schemas.openxmlformats.org/officeDocument/2006/relationships/hyperlink" Target="https://sciwheel.com/work/citation?ids=4110166&amp;pre=&amp;suf=&amp;sa=0" TargetMode="External"/><Relationship Id="rId217" Type="http://schemas.openxmlformats.org/officeDocument/2006/relationships/hyperlink" Target="https://sciwheel.com/work/citation?ids=5551763,14546548,15039874&amp;pre=&amp;pre=&amp;pre=&amp;suf=&amp;suf=&amp;suf=&amp;sa=0,0,0" TargetMode="External"/><Relationship Id="rId564" Type="http://schemas.openxmlformats.org/officeDocument/2006/relationships/hyperlink" Target="https://sciwheel.com/work/citation?ids=3264131&amp;pre=&amp;suf=&amp;sa=0" TargetMode="External"/><Relationship Id="rId771" Type="http://schemas.openxmlformats.org/officeDocument/2006/relationships/hyperlink" Target="https://sciwheel.com/work/citation?ids=5551763,2842447&amp;pre=&amp;pre=&amp;suf=&amp;suf=&amp;sa=0,0" TargetMode="External"/><Relationship Id="rId869" Type="http://schemas.openxmlformats.org/officeDocument/2006/relationships/hyperlink" Target="https://sciwheel.com/work/citation?ids=23277,3002109,1149035&amp;pre=&amp;pre=&amp;pre=&amp;suf=&amp;suf=&amp;suf=&amp;sa=0,0,0" TargetMode="External"/><Relationship Id="rId424" Type="http://schemas.openxmlformats.org/officeDocument/2006/relationships/image" Target="media/image12.jpeg"/><Relationship Id="rId631" Type="http://schemas.openxmlformats.org/officeDocument/2006/relationships/hyperlink" Target="https://sciwheel.com/work/citation?ids=10626305,15116356&amp;pre=&amp;pre=&amp;suf=&amp;suf=&amp;sa=0,0" TargetMode="External"/><Relationship Id="rId729" Type="http://schemas.openxmlformats.org/officeDocument/2006/relationships/hyperlink" Target="https://sciwheel.com/work/citation?ids=4472797,3273105,15270449,3374500&amp;pre=&amp;pre=&amp;pre=&amp;pre=&amp;suf=&amp;suf=&amp;suf=&amp;suf=&amp;sa=0,0,0,0" TargetMode="External"/><Relationship Id="rId270" Type="http://schemas.openxmlformats.org/officeDocument/2006/relationships/hyperlink" Target="https://sciwheel.com/work/citation?ids=10549590&amp;pre=&amp;suf=&amp;sa=0" TargetMode="External"/><Relationship Id="rId65" Type="http://schemas.openxmlformats.org/officeDocument/2006/relationships/hyperlink" Target="https://sciwheel.com/work/citation?ids=15210894&amp;pre=&amp;suf=&amp;sa=0" TargetMode="External"/><Relationship Id="rId130" Type="http://schemas.openxmlformats.org/officeDocument/2006/relationships/hyperlink" Target="https://sciwheel.com/work/citation?ids=891054&amp;pre=&amp;suf=&amp;sa=0" TargetMode="External"/><Relationship Id="rId368" Type="http://schemas.openxmlformats.org/officeDocument/2006/relationships/hyperlink" Target="https://sciwheel.com/work/citation?ids=7088042,15097045&amp;pre=&amp;pre=&amp;suf=&amp;suf=&amp;sa=0,0" TargetMode="External"/><Relationship Id="rId575" Type="http://schemas.openxmlformats.org/officeDocument/2006/relationships/hyperlink" Target="https://fcon_1000.projects.nitrc.org/indi/abide/" TargetMode="External"/><Relationship Id="rId782" Type="http://schemas.openxmlformats.org/officeDocument/2006/relationships/hyperlink" Target="https://sciwheel.com/work/citation?ids=968830,3497540&amp;pre=&amp;pre=&amp;suf=&amp;suf=&amp;sa=0,0" TargetMode="External"/><Relationship Id="rId228" Type="http://schemas.openxmlformats.org/officeDocument/2006/relationships/hyperlink" Target="https://sciwheel.com/work/citation?ids=15242551,15242553&amp;pre=&amp;pre=&amp;suf=&amp;suf=&amp;sa=0,0" TargetMode="External"/><Relationship Id="rId435" Type="http://schemas.openxmlformats.org/officeDocument/2006/relationships/hyperlink" Target="https://sciwheel.com/work/citation?ids=15041816&amp;pre=&amp;suf=&amp;sa=0" TargetMode="External"/><Relationship Id="rId642" Type="http://schemas.openxmlformats.org/officeDocument/2006/relationships/hyperlink" Target="https://sciwheel.com/work/citation?ids=3372185&amp;pre=&amp;suf=&amp;sa=0" TargetMode="External"/><Relationship Id="rId281" Type="http://schemas.openxmlformats.org/officeDocument/2006/relationships/hyperlink" Target="https://sciwheel.com/work/citation?ids=1524497,10549590&amp;pre=&amp;pre=&amp;suf=&amp;suf=&amp;sa=0,0" TargetMode="External"/><Relationship Id="rId502" Type="http://schemas.openxmlformats.org/officeDocument/2006/relationships/hyperlink" Target="https://sciwheel.com/work/citation?ids=15014578&amp;pre=&amp;suf=&amp;sa=0" TargetMode="External"/><Relationship Id="rId76" Type="http://schemas.openxmlformats.org/officeDocument/2006/relationships/hyperlink" Target="https://sciwheel.com/work/citation?ids=15010729&amp;pre=&amp;suf=&amp;sa=0" TargetMode="External"/><Relationship Id="rId141" Type="http://schemas.openxmlformats.org/officeDocument/2006/relationships/hyperlink" Target="https://sciwheel.com/work/citation?ids=7261488&amp;pre=&amp;suf=&amp;sa=0" TargetMode="External"/><Relationship Id="rId379" Type="http://schemas.openxmlformats.org/officeDocument/2006/relationships/hyperlink" Target="https://sciwheel.com/work/citation?ids=10692354,6435087&amp;pre=&amp;pre=&amp;suf=&amp;suf=&amp;sa=0,0" TargetMode="External"/><Relationship Id="rId586" Type="http://schemas.openxmlformats.org/officeDocument/2006/relationships/hyperlink" Target="https://sciwheel.com/work/citation?ids=2370222&amp;pre=&amp;suf=&amp;sa=0" TargetMode="External"/><Relationship Id="rId793" Type="http://schemas.openxmlformats.org/officeDocument/2006/relationships/hyperlink" Target="https://sciwheel.com/work/citation?ids=15190497&amp;pre=&amp;suf=&amp;sa=0" TargetMode="External"/><Relationship Id="rId807" Type="http://schemas.openxmlformats.org/officeDocument/2006/relationships/hyperlink" Target="https://sciwheel.com/work/citation?ids=1524154&amp;pre=&amp;suf=&amp;sa=0" TargetMode="External"/><Relationship Id="rId7" Type="http://schemas.openxmlformats.org/officeDocument/2006/relationships/endnotes" Target="endnotes.xml"/><Relationship Id="rId239" Type="http://schemas.openxmlformats.org/officeDocument/2006/relationships/hyperlink" Target="https://sciwheel.com/work/citation?ids=5157968,1169646&amp;pre=&amp;pre=&amp;suf=&amp;suf=&amp;sa=0,0" TargetMode="External"/><Relationship Id="rId446" Type="http://schemas.openxmlformats.org/officeDocument/2006/relationships/hyperlink" Target="https://sciwheel.com/work/citation?ids=10295054,14546286,8596649&amp;pre=&amp;pre=&amp;pre=&amp;suf=&amp;suf=&amp;suf=&amp;sa=0,0,0" TargetMode="External"/><Relationship Id="rId653" Type="http://schemas.openxmlformats.org/officeDocument/2006/relationships/hyperlink" Target="https://sciwheel.com/work/citation?ids=4616871,355969&amp;pre=&amp;pre=&amp;suf=&amp;suf=&amp;sa=0,0" TargetMode="External"/><Relationship Id="rId292" Type="http://schemas.openxmlformats.org/officeDocument/2006/relationships/hyperlink" Target="https://sciwheel.com/work/citation?ids=7022537&amp;pre=&amp;suf=&amp;sa=0" TargetMode="External"/><Relationship Id="rId306" Type="http://schemas.openxmlformats.org/officeDocument/2006/relationships/hyperlink" Target="https://sciwheel.com/work/citation?ids=8498213,5551763&amp;pre=&amp;pre=&amp;suf=&amp;suf=&amp;sa=0,0" TargetMode="External"/><Relationship Id="rId860" Type="http://schemas.openxmlformats.org/officeDocument/2006/relationships/hyperlink" Target="https://sciwheel.com/work/citation?ids=13685071,8944249&amp;pre=&amp;pre=&amp;suf=&amp;suf=&amp;sa=0,0" TargetMode="External"/><Relationship Id="rId87" Type="http://schemas.openxmlformats.org/officeDocument/2006/relationships/hyperlink" Target="https://sciwheel.com/work/citation?ids=15017593,15017595&amp;pre=&amp;pre=&amp;suf=&amp;suf=&amp;sa=0,0" TargetMode="External"/><Relationship Id="rId513" Type="http://schemas.openxmlformats.org/officeDocument/2006/relationships/hyperlink" Target="https://sciwheel.com/work/citation?ids=10626305&amp;pre=&amp;suf=&amp;sa=0" TargetMode="External"/><Relationship Id="rId597" Type="http://schemas.openxmlformats.org/officeDocument/2006/relationships/hyperlink" Target="https://sciwheel.com/work/citation?ids=302279&amp;pre=&amp;suf=&amp;sa=0" TargetMode="External"/><Relationship Id="rId720" Type="http://schemas.openxmlformats.org/officeDocument/2006/relationships/hyperlink" Target="https://sciwheel.com/work/citation?ids=2370222&amp;pre=&amp;suf=&amp;sa=0" TargetMode="External"/><Relationship Id="rId818" Type="http://schemas.openxmlformats.org/officeDocument/2006/relationships/hyperlink" Target="https://sciwheel.com/work/citation?ids=2634314&amp;pre=&amp;suf=&amp;sa=0" TargetMode="External"/><Relationship Id="rId152" Type="http://schemas.openxmlformats.org/officeDocument/2006/relationships/hyperlink" Target="https://sciwheel.com/work/citation?ids=7261488&amp;pre=&amp;suf=&amp;sa=0" TargetMode="External"/><Relationship Id="rId457" Type="http://schemas.openxmlformats.org/officeDocument/2006/relationships/hyperlink" Target="https://sciwheel.com/work/citation?ids=15043010,83427,7259734,84030,7260340,7258381&amp;pre=&amp;pre=&amp;pre=&amp;pre=&amp;pre=&amp;pre=&amp;suf=&amp;suf=&amp;suf=&amp;suf=&amp;suf=&amp;suf=&amp;sa=0,0,0,0,0,0" TargetMode="External"/><Relationship Id="rId664" Type="http://schemas.openxmlformats.org/officeDocument/2006/relationships/hyperlink" Target="https://sciwheel.com/work/citation?ids=582260&amp;pre=&amp;suf=&amp;sa=0" TargetMode="External"/><Relationship Id="rId871" Type="http://schemas.openxmlformats.org/officeDocument/2006/relationships/hyperlink" Target="https://sciwheel.com/work/citation?ids=23277,3002109,1149035&amp;pre=&amp;pre=&amp;pre=&amp;suf=&amp;suf=&amp;suf=&amp;sa=0,0,0" TargetMode="External"/><Relationship Id="rId14" Type="http://schemas.openxmlformats.org/officeDocument/2006/relationships/hyperlink" Target="https://sciwheel.com/work/citation?ids=2708085&amp;pre=&amp;suf=&amp;sa=0" TargetMode="External"/><Relationship Id="rId317" Type="http://schemas.openxmlformats.org/officeDocument/2006/relationships/hyperlink" Target="https://sciwheel.com/work/citation?ids=4262101,1071194&amp;pre=&amp;pre=&amp;suf=&amp;suf=&amp;sa=0,0" TargetMode="External"/><Relationship Id="rId524" Type="http://schemas.openxmlformats.org/officeDocument/2006/relationships/hyperlink" Target="https://sciwheel.com/work/citation?ids=15039540&amp;pre=&amp;suf=&amp;sa=0" TargetMode="External"/><Relationship Id="rId731" Type="http://schemas.openxmlformats.org/officeDocument/2006/relationships/hyperlink" Target="https://sciwheel.com/work/citation?ids=148661&amp;pre=&amp;suf=&amp;sa=0" TargetMode="External"/><Relationship Id="rId98" Type="http://schemas.openxmlformats.org/officeDocument/2006/relationships/hyperlink" Target="https://sciwheel.com/work/citation?ids=5157968,1169646&amp;pre=&amp;pre=&amp;suf=&amp;suf=&amp;sa=0,0" TargetMode="External"/><Relationship Id="rId163" Type="http://schemas.openxmlformats.org/officeDocument/2006/relationships/hyperlink" Target="https://sciwheel.com/work/citation?ids=84030&amp;pre=&amp;suf=&amp;sa=0" TargetMode="External"/><Relationship Id="rId370" Type="http://schemas.openxmlformats.org/officeDocument/2006/relationships/hyperlink" Target="https://sciwheel.com/work/citation?ids=5157968,1169646&amp;pre=&amp;pre=&amp;suf=&amp;suf=&amp;sa=0,0" TargetMode="External"/><Relationship Id="rId829" Type="http://schemas.openxmlformats.org/officeDocument/2006/relationships/hyperlink" Target="https://sciwheel.com/work/citation?ids=6351305&amp;pre=&amp;suf=&amp;sa=0" TargetMode="External"/><Relationship Id="rId230" Type="http://schemas.openxmlformats.org/officeDocument/2006/relationships/image" Target="media/image4.jpeg"/><Relationship Id="rId468" Type="http://schemas.openxmlformats.org/officeDocument/2006/relationships/hyperlink" Target="https://sciwheel.com/work/citation?ids=4594518,5874463,15048636,3333004&amp;pre=&amp;pre=&amp;pre=&amp;pre=&amp;suf=&amp;suf=&amp;suf=&amp;suf=&amp;sa=0,0,0,0" TargetMode="External"/><Relationship Id="rId675" Type="http://schemas.openxmlformats.org/officeDocument/2006/relationships/hyperlink" Target="https://sciwheel.com/work/citation?ids=7550479&amp;pre=&amp;suf=&amp;sa=0" TargetMode="External"/><Relationship Id="rId882" Type="http://schemas.openxmlformats.org/officeDocument/2006/relationships/theme" Target="theme/theme1.xml"/><Relationship Id="rId25" Type="http://schemas.openxmlformats.org/officeDocument/2006/relationships/hyperlink" Target="https://sciwheel.com/work/citation?ids=3018184&amp;pre=&amp;suf=&amp;sa=0" TargetMode="External"/><Relationship Id="rId328" Type="http://schemas.openxmlformats.org/officeDocument/2006/relationships/hyperlink" Target="https://sciwheel.com/work/citation?ids=6525873&amp;pre=&amp;suf=&amp;sa=0" TargetMode="External"/><Relationship Id="rId535" Type="http://schemas.openxmlformats.org/officeDocument/2006/relationships/hyperlink" Target="https://sciwheel.com/work/citation?ids=15094276&amp;pre=&amp;suf=&amp;sa=0" TargetMode="External"/><Relationship Id="rId742" Type="http://schemas.openxmlformats.org/officeDocument/2006/relationships/hyperlink" Target="https://sciwheel.com/work/citation?ids=9242398&amp;pre=&amp;suf=&amp;sa=0" TargetMode="External"/><Relationship Id="rId174" Type="http://schemas.openxmlformats.org/officeDocument/2006/relationships/hyperlink" Target="https://sciwheel.com/work/citation?ids=852065&amp;pre=&amp;suf=&amp;sa=0" TargetMode="External"/><Relationship Id="rId381" Type="http://schemas.openxmlformats.org/officeDocument/2006/relationships/hyperlink" Target="https://sciwheel.com/work/citation?ids=10692354,6435087&amp;pre=&amp;pre=&amp;suf=&amp;suf=&amp;sa=0,0" TargetMode="External"/><Relationship Id="rId602" Type="http://schemas.openxmlformats.org/officeDocument/2006/relationships/image" Target="media/image23.jpg"/><Relationship Id="rId241" Type="http://schemas.openxmlformats.org/officeDocument/2006/relationships/hyperlink" Target="https://sciwheel.com/work/citation?ids=3344342&amp;pre=&amp;suf=&amp;sa=0" TargetMode="External"/><Relationship Id="rId479" Type="http://schemas.openxmlformats.org/officeDocument/2006/relationships/hyperlink" Target="https://sciwheel.com/work/citation?ids=15050223&amp;pre=&amp;suf=&amp;sa=0" TargetMode="External"/><Relationship Id="rId686" Type="http://schemas.openxmlformats.org/officeDocument/2006/relationships/hyperlink" Target="https://sciwheel.com/work/citation?ids=3152148,8498213,9813704&amp;pre=&amp;pre=&amp;pre=&amp;suf=&amp;suf=&amp;suf=&amp;sa=0,0,0" TargetMode="External"/><Relationship Id="rId36" Type="http://schemas.openxmlformats.org/officeDocument/2006/relationships/hyperlink" Target="https://sciwheel.com/work/citation?ids=5157968,1169646&amp;pre=&amp;pre=&amp;suf=&amp;suf=&amp;sa=0,0" TargetMode="External"/><Relationship Id="rId339" Type="http://schemas.openxmlformats.org/officeDocument/2006/relationships/hyperlink" Target="https://sciwheel.com/work/citation?ids=161567&amp;pre=&amp;suf=&amp;sa=0" TargetMode="External"/><Relationship Id="rId546" Type="http://schemas.openxmlformats.org/officeDocument/2006/relationships/hyperlink" Target="https://sciwheel.com/work/citation?ids=7031182&amp;pre=&amp;suf=&amp;sa=0" TargetMode="External"/><Relationship Id="rId753" Type="http://schemas.openxmlformats.org/officeDocument/2006/relationships/hyperlink" Target="https://sciwheel.com/work/citation?ids=648401&amp;pre=&amp;suf=&amp;sa=0" TargetMode="External"/><Relationship Id="rId101" Type="http://schemas.openxmlformats.org/officeDocument/2006/relationships/hyperlink" Target="https://sciwheel.com/work/citation?ids=823772,15020093&amp;pre=&amp;pre=&amp;suf=&amp;suf=&amp;sa=0,0" TargetMode="External"/><Relationship Id="rId185" Type="http://schemas.openxmlformats.org/officeDocument/2006/relationships/image" Target="media/image2.png"/><Relationship Id="rId406" Type="http://schemas.openxmlformats.org/officeDocument/2006/relationships/hyperlink" Target="https://sciwheel.com/work/citation?ids=1040686&amp;pre=&amp;suf=&amp;sa=0" TargetMode="External"/><Relationship Id="rId392" Type="http://schemas.openxmlformats.org/officeDocument/2006/relationships/hyperlink" Target="https://sciwheel.com/work/citation?ids=279613,284991&amp;pre=&amp;pre=&amp;suf=&amp;suf=&amp;sa=0,0" TargetMode="External"/><Relationship Id="rId613" Type="http://schemas.openxmlformats.org/officeDocument/2006/relationships/hyperlink" Target="https://sciwheel.com/work/citation?ids=15116380,798505,1785345,10549590&amp;pre=&amp;pre=&amp;pre=&amp;pre=&amp;suf=&amp;suf=&amp;suf=&amp;suf=&amp;sa=0,0,0,0" TargetMode="External"/><Relationship Id="rId697" Type="http://schemas.openxmlformats.org/officeDocument/2006/relationships/hyperlink" Target="https://sciwheel.com/work/citation?ids=15028697&amp;pre=&amp;suf=&amp;sa=0" TargetMode="External"/><Relationship Id="rId820" Type="http://schemas.openxmlformats.org/officeDocument/2006/relationships/hyperlink" Target="https://sciwheel.com/work/citation?ids=12105087&amp;pre=&amp;suf=&amp;sa=0" TargetMode="External"/><Relationship Id="rId252" Type="http://schemas.openxmlformats.org/officeDocument/2006/relationships/hyperlink" Target="https://sciwheel.com/work/citation?ids=3545801&amp;pre=&amp;suf=&amp;sa=0" TargetMode="External"/><Relationship Id="rId47" Type="http://schemas.openxmlformats.org/officeDocument/2006/relationships/hyperlink" Target="https://sciwheel.com/work/citation?ids=1524103,3784247,12945099&amp;pre=&amp;pre=&amp;pre=&amp;suf=&amp;suf=&amp;suf=&amp;sa=0,0,0" TargetMode="External"/><Relationship Id="rId112" Type="http://schemas.openxmlformats.org/officeDocument/2006/relationships/hyperlink" Target="https://sciwheel.com/work/citation?ids=5157968,1169646&amp;pre=&amp;pre=&amp;suf=&amp;suf=&amp;sa=0,0" TargetMode="External"/><Relationship Id="rId557" Type="http://schemas.openxmlformats.org/officeDocument/2006/relationships/hyperlink" Target="https://sciwheel.com/work/citation?ids=452086&amp;pre=&amp;suf=&amp;sa=0" TargetMode="External"/><Relationship Id="rId764" Type="http://schemas.openxmlformats.org/officeDocument/2006/relationships/hyperlink" Target="https://sciwheel.com/work/citation?ids=334639,138554,1352317,2989575,6132352,3904568&amp;pre=&amp;pre=&amp;pre=&amp;pre=&amp;pre=&amp;pre=&amp;suf=&amp;suf=&amp;suf=&amp;suf=&amp;suf=&amp;suf=&amp;sa=0,0,0,0,0,0" TargetMode="External"/><Relationship Id="rId196" Type="http://schemas.openxmlformats.org/officeDocument/2006/relationships/hyperlink" Target="https://sciwheel.com/work/citation?ids=563168&amp;pre=&amp;suf=&amp;sa=0" TargetMode="External"/><Relationship Id="rId417" Type="http://schemas.openxmlformats.org/officeDocument/2006/relationships/hyperlink" Target="https://sciwheel.com/work/citation?ids=279613,284991&amp;pre=&amp;pre=&amp;suf=&amp;suf=&amp;sa=0,0" TargetMode="External"/><Relationship Id="rId624" Type="http://schemas.openxmlformats.org/officeDocument/2006/relationships/hyperlink" Target="https://sciwheel.com/work/citation?ids=382861&amp;pre=&amp;suf=&amp;sa=0" TargetMode="External"/><Relationship Id="rId831" Type="http://schemas.openxmlformats.org/officeDocument/2006/relationships/hyperlink" Target="https://sciwheel.com/work/citation?ids=6351305&amp;pre=&amp;suf=&amp;sa=0" TargetMode="External"/><Relationship Id="rId263" Type="http://schemas.openxmlformats.org/officeDocument/2006/relationships/hyperlink" Target="https://sciwheel.com/work/citation?ids=1785345,798505,10549590&amp;pre=&amp;pre=&amp;pre=&amp;suf=&amp;suf=&amp;suf=&amp;sa=0,0,0" TargetMode="External"/><Relationship Id="rId470" Type="http://schemas.openxmlformats.org/officeDocument/2006/relationships/hyperlink" Target="https://sciwheel.com/work/citation?ids=8952682&amp;pre=&amp;suf=&amp;sa=0" TargetMode="External"/><Relationship Id="rId58" Type="http://schemas.openxmlformats.org/officeDocument/2006/relationships/hyperlink" Target="https://sciwheel.com/work/citation?ids=2289537,3500223&amp;pre=&amp;pre=&amp;suf=&amp;suf=&amp;sa=0,0" TargetMode="External"/><Relationship Id="rId123" Type="http://schemas.openxmlformats.org/officeDocument/2006/relationships/hyperlink" Target="https://sciwheel.com/work/citation?ids=9050860,338810&amp;pre=&amp;pre=&amp;suf=&amp;suf=&amp;sa=0,0" TargetMode="External"/><Relationship Id="rId330" Type="http://schemas.openxmlformats.org/officeDocument/2006/relationships/hyperlink" Target="https://sciwheel.com/work/citation?ids=5157968,1169646&amp;pre=&amp;pre=&amp;suf=&amp;suf=&amp;sa=0,0" TargetMode="External"/><Relationship Id="rId568" Type="http://schemas.openxmlformats.org/officeDocument/2006/relationships/hyperlink" Target="https://sciwheel.com/work/citation?ids=846347&amp;pre=&amp;suf=&amp;sa=0" TargetMode="External"/><Relationship Id="rId775" Type="http://schemas.openxmlformats.org/officeDocument/2006/relationships/hyperlink" Target="https://sciwheel.com/work/citation?ids=337250&amp;pre=&amp;suf=&amp;sa=0" TargetMode="External"/><Relationship Id="rId428" Type="http://schemas.openxmlformats.org/officeDocument/2006/relationships/image" Target="media/image16.jpeg"/><Relationship Id="rId635" Type="http://schemas.openxmlformats.org/officeDocument/2006/relationships/hyperlink" Target="https://sciwheel.com/work/citation?ids=15116624&amp;pre=&amp;suf=&amp;sa=0" TargetMode="External"/><Relationship Id="rId842" Type="http://schemas.openxmlformats.org/officeDocument/2006/relationships/hyperlink" Target="https://sciwheel.com/work/citation?ids=14546548&amp;pre=&amp;suf=&amp;sa=0" TargetMode="External"/><Relationship Id="rId274" Type="http://schemas.openxmlformats.org/officeDocument/2006/relationships/hyperlink" Target="https://sciwheel.com/work/citation?ids=5157968,1169646&amp;pre=&amp;pre=&amp;suf=&amp;suf=&amp;sa=0,0" TargetMode="External"/><Relationship Id="rId481" Type="http://schemas.openxmlformats.org/officeDocument/2006/relationships/hyperlink" Target="https://sciwheel.com/work/citation?ids=15020369&amp;pre=&amp;suf=&amp;sa=0" TargetMode="External"/><Relationship Id="rId702" Type="http://schemas.openxmlformats.org/officeDocument/2006/relationships/hyperlink" Target="https://sciwheel.com/work/citation?ids=15028711&amp;pre=&amp;suf=&amp;sa=0" TargetMode="External"/><Relationship Id="rId69" Type="http://schemas.openxmlformats.org/officeDocument/2006/relationships/hyperlink" Target="https://sciwheel.com/work/citation?ids=15013723,1439767&amp;pre=&amp;pre=&amp;suf=&amp;suf=&amp;sa=0,0" TargetMode="External"/><Relationship Id="rId134" Type="http://schemas.openxmlformats.org/officeDocument/2006/relationships/hyperlink" Target="https://sciwheel.com/work/citation?ids=8952682&amp;pre=&amp;suf=&amp;sa=0" TargetMode="External"/><Relationship Id="rId579" Type="http://schemas.openxmlformats.org/officeDocument/2006/relationships/hyperlink" Target="https://sciwheel.com/work/citation?ids=6432855&amp;pre=&amp;suf=&amp;sa=0" TargetMode="External"/><Relationship Id="rId786" Type="http://schemas.openxmlformats.org/officeDocument/2006/relationships/hyperlink" Target="https://sciwheel.com/work/citation?ids=4472797,3273105,15270449,3374500&amp;pre=&amp;pre=&amp;pre=&amp;pre=&amp;suf=&amp;suf=&amp;suf=&amp;suf=&amp;sa=0,0,0,0" TargetMode="External"/><Relationship Id="rId341" Type="http://schemas.openxmlformats.org/officeDocument/2006/relationships/hyperlink" Target="https://sciwheel.com/work/citation?ids=15153300&amp;pre=&amp;suf=&amp;sa=0" TargetMode="External"/><Relationship Id="rId439" Type="http://schemas.openxmlformats.org/officeDocument/2006/relationships/hyperlink" Target="https://sciwheel.com/work/citation?ids=3197971&amp;pre=&amp;suf=&amp;sa=0" TargetMode="External"/><Relationship Id="rId646" Type="http://schemas.openxmlformats.org/officeDocument/2006/relationships/hyperlink" Target="https://sciwheel.com/work/citation?ids=3457105,11125912&amp;pre=&amp;pre=&amp;suf=&amp;suf=&amp;sa=0,0" TargetMode="External"/><Relationship Id="rId201" Type="http://schemas.openxmlformats.org/officeDocument/2006/relationships/hyperlink" Target="https://sciwheel.com/work/citation?ids=1102778,435317&amp;pre=&amp;pre=&amp;suf=&amp;suf=&amp;sa=0,0" TargetMode="External"/><Relationship Id="rId285" Type="http://schemas.openxmlformats.org/officeDocument/2006/relationships/hyperlink" Target="https://sciwheel.com/work/citation?ids=6006897,377937&amp;pre=&amp;pre=&amp;suf=&amp;suf=&amp;sa=0,0" TargetMode="External"/><Relationship Id="rId506" Type="http://schemas.openxmlformats.org/officeDocument/2006/relationships/hyperlink" Target="https://sciwheel.com/work/citation?ids=4745239&amp;pre=&amp;suf=&amp;sa=0" TargetMode="External"/><Relationship Id="rId853" Type="http://schemas.openxmlformats.org/officeDocument/2006/relationships/hyperlink" Target="https://sciwheel.com/work/citation?ids=1523984,986552,481057,3499209&amp;pre=&amp;pre=&amp;pre=&amp;pre=&amp;suf=&amp;suf=&amp;suf=&amp;suf=&amp;sa=0,0,0,0" TargetMode="External"/><Relationship Id="rId492" Type="http://schemas.openxmlformats.org/officeDocument/2006/relationships/hyperlink" Target="https://sciwheel.com/work/citation?ids=10295025&amp;pre=&amp;suf=&amp;sa=0" TargetMode="External"/><Relationship Id="rId713" Type="http://schemas.openxmlformats.org/officeDocument/2006/relationships/hyperlink" Target="https://sciwheel.com/work/citation?ids=4686445&amp;pre=&amp;suf=&amp;sa=0" TargetMode="External"/><Relationship Id="rId797" Type="http://schemas.openxmlformats.org/officeDocument/2006/relationships/hyperlink" Target="https://sciwheel.com/work/citation?ids=1305395&amp;pre=&amp;suf=&amp;sa=0" TargetMode="External"/><Relationship Id="rId145" Type="http://schemas.openxmlformats.org/officeDocument/2006/relationships/hyperlink" Target="https://sciwheel.com/work/citation?ids=7260340&amp;pre=&amp;suf=&amp;sa=0" TargetMode="External"/><Relationship Id="rId352" Type="http://schemas.openxmlformats.org/officeDocument/2006/relationships/hyperlink" Target="https://sciwheel.com/work/citation?ids=355759,382910&amp;pre=&amp;pre=&amp;suf=&amp;suf=&amp;sa=0,0" TargetMode="External"/><Relationship Id="rId212" Type="http://schemas.openxmlformats.org/officeDocument/2006/relationships/hyperlink" Target="https://sciwheel.com/work/citation?ids=5551763&amp;pre=&amp;suf=&amp;sa=0" TargetMode="External"/><Relationship Id="rId657" Type="http://schemas.openxmlformats.org/officeDocument/2006/relationships/hyperlink" Target="https://sciwheel.com/work/citation?ids=15116748&amp;pre=&amp;suf=&amp;sa=0" TargetMode="External"/><Relationship Id="rId864" Type="http://schemas.openxmlformats.org/officeDocument/2006/relationships/hyperlink" Target="https://sciwheel.com/work/citation?ids=15039763&amp;pre=&amp;suf=&amp;sa=0" TargetMode="External"/><Relationship Id="rId296" Type="http://schemas.openxmlformats.org/officeDocument/2006/relationships/hyperlink" Target="https://sciwheel.com/work/citation?ids=12089907&amp;pre=&amp;suf=&amp;sa=0" TargetMode="External"/><Relationship Id="rId517" Type="http://schemas.openxmlformats.org/officeDocument/2006/relationships/hyperlink" Target="https://sciwheel.com/work/citation?ids=11444632&amp;pre=&amp;suf=&amp;sa=0" TargetMode="External"/><Relationship Id="rId724" Type="http://schemas.openxmlformats.org/officeDocument/2006/relationships/hyperlink" Target="https://sciwheel.com/work/citation?ids=6132352&amp;pre=&amp;suf=&amp;sa=0" TargetMode="External"/><Relationship Id="rId60" Type="http://schemas.openxmlformats.org/officeDocument/2006/relationships/hyperlink" Target="https://sciwheel.com/work/citation?ids=5157968,1169646&amp;pre=&amp;pre=&amp;suf=&amp;suf=&amp;sa=0,0" TargetMode="External"/><Relationship Id="rId156" Type="http://schemas.openxmlformats.org/officeDocument/2006/relationships/hyperlink" Target="https://sciwheel.com/work/citation?ids=5741192&amp;pre=&amp;suf=&amp;sa=0" TargetMode="External"/><Relationship Id="rId363" Type="http://schemas.openxmlformats.org/officeDocument/2006/relationships/hyperlink" Target="https://sciwheel.com/work/citation?ids=797135,7088042&amp;pre=&amp;pre=&amp;suf=&amp;suf=&amp;sa=0,0" TargetMode="External"/><Relationship Id="rId570" Type="http://schemas.openxmlformats.org/officeDocument/2006/relationships/hyperlink" Target="https://sciwheel.com/work/citation?ids=3494984&amp;pre=&amp;suf=&amp;sa=0" TargetMode="External"/><Relationship Id="rId223" Type="http://schemas.openxmlformats.org/officeDocument/2006/relationships/hyperlink" Target="https://sciwheel.com/work/citation?ids=14078333&amp;pre=&amp;suf=&amp;sa=0" TargetMode="External"/><Relationship Id="rId430" Type="http://schemas.openxmlformats.org/officeDocument/2006/relationships/hyperlink" Target="https://sciwheel.com/work/citation?ids=988945,3045024&amp;pre=&amp;pre=&amp;suf=&amp;suf=&amp;sa=0,0" TargetMode="External"/><Relationship Id="rId668" Type="http://schemas.openxmlformats.org/officeDocument/2006/relationships/image" Target="media/image30.jpg"/><Relationship Id="rId875" Type="http://schemas.openxmlformats.org/officeDocument/2006/relationships/hyperlink" Target="https://doi.org/10.1007/s10803-017-3280-4" TargetMode="External"/><Relationship Id="rId18" Type="http://schemas.openxmlformats.org/officeDocument/2006/relationships/hyperlink" Target="https://www.sciencedirect.com/topics/pharmacology-toxicology-and-pharmaceutical-science/diagnostic-and-statistical-manual-of-mental-disorders" TargetMode="External"/><Relationship Id="rId528" Type="http://schemas.openxmlformats.org/officeDocument/2006/relationships/hyperlink" Target="https://sciwheel.com/work/citation?ids=3372185&amp;pre=&amp;suf=&amp;sa=0" TargetMode="External"/><Relationship Id="rId735" Type="http://schemas.openxmlformats.org/officeDocument/2006/relationships/hyperlink" Target="https://sciwheel.com/work/citation?ids=282462,161618&amp;pre=&amp;pre=&amp;suf=&amp;suf=&amp;sa=0,0" TargetMode="External"/><Relationship Id="rId167" Type="http://schemas.openxmlformats.org/officeDocument/2006/relationships/hyperlink" Target="https://sciwheel.com/work/citation?ids=3500658&amp;pre=&amp;suf=&amp;sa=0" TargetMode="External"/><Relationship Id="rId374" Type="http://schemas.openxmlformats.org/officeDocument/2006/relationships/hyperlink" Target="https://sciwheel.com/work/citation?ids=161662&amp;pre=&amp;suf=&amp;sa=0" TargetMode="External"/><Relationship Id="rId581" Type="http://schemas.openxmlformats.org/officeDocument/2006/relationships/hyperlink" Target="https://sciwheel.com/work/citation?ids=71161&amp;pre=&amp;suf=&amp;sa=0" TargetMode="External"/><Relationship Id="rId71" Type="http://schemas.openxmlformats.org/officeDocument/2006/relationships/hyperlink" Target="https://sciwheel.com/work/citation?ids=436210&amp;pre=&amp;suf=&amp;sa=0" TargetMode="External"/><Relationship Id="rId234" Type="http://schemas.openxmlformats.org/officeDocument/2006/relationships/hyperlink" Target="https://sciwheel.com/work/citation?ids=6632811&amp;pre=&amp;suf=&amp;sa=0" TargetMode="External"/><Relationship Id="rId679" Type="http://schemas.openxmlformats.org/officeDocument/2006/relationships/hyperlink" Target="https://sciwheel.com/work/citation?ids=14078333,5551763&amp;pre=&amp;pre=&amp;suf=&amp;suf=&amp;sa=0,0" TargetMode="External"/><Relationship Id="rId802" Type="http://schemas.openxmlformats.org/officeDocument/2006/relationships/hyperlink" Target="https://sciwheel.com/work/citation?ids=3492213,15194642&amp;pre=&amp;pre=&amp;suf=&amp;suf=&amp;sa=0,0" TargetMode="External"/><Relationship Id="rId2" Type="http://schemas.openxmlformats.org/officeDocument/2006/relationships/numbering" Target="numbering.xml"/><Relationship Id="rId29" Type="http://schemas.openxmlformats.org/officeDocument/2006/relationships/hyperlink" Target="https://sciwheel.com/work/citation?ids=3374158&amp;pre=&amp;suf=&amp;sa=0" TargetMode="External"/><Relationship Id="rId441" Type="http://schemas.openxmlformats.org/officeDocument/2006/relationships/hyperlink" Target="https://sciwheel.com/work/citation?ids=14130454,15041926&amp;pre=&amp;pre=&amp;suf=&amp;suf=&amp;sa=0,0" TargetMode="External"/><Relationship Id="rId539" Type="http://schemas.openxmlformats.org/officeDocument/2006/relationships/hyperlink" Target="https://sciwheel.com/work/citation?ids=15095101&amp;pre=&amp;suf=&amp;sa=0" TargetMode="External"/><Relationship Id="rId746" Type="http://schemas.openxmlformats.org/officeDocument/2006/relationships/hyperlink" Target="https://sciwheel.com/work/citation?ids=4472797,3273105,15270449,3374500&amp;pre=&amp;pre=&amp;pre=&amp;pre=&amp;suf=&amp;suf=&amp;suf=&amp;suf=&amp;sa=0,0,0,0" TargetMode="External"/><Relationship Id="rId178" Type="http://schemas.openxmlformats.org/officeDocument/2006/relationships/hyperlink" Target="https://sciwheel.com/work/citation?ids=5616554,13822070&amp;pre=&amp;pre=&amp;suf=&amp;suf=&amp;sa=0,0" TargetMode="External"/><Relationship Id="rId301" Type="http://schemas.openxmlformats.org/officeDocument/2006/relationships/hyperlink" Target="https://sciwheel.com/work/citation?ids=15039542&amp;pre=&amp;suf=&amp;sa=0" TargetMode="External"/><Relationship Id="rId82" Type="http://schemas.openxmlformats.org/officeDocument/2006/relationships/hyperlink" Target="https://sciwheel.com/work/citation?ids=2906633&amp;pre=&amp;suf=&amp;sa=0" TargetMode="External"/><Relationship Id="rId385" Type="http://schemas.openxmlformats.org/officeDocument/2006/relationships/hyperlink" Target="https://sciwheel.com/work/citation?ids=3499717&amp;pre=&amp;suf=&amp;sa=0" TargetMode="External"/><Relationship Id="rId592" Type="http://schemas.openxmlformats.org/officeDocument/2006/relationships/hyperlink" Target="https://github.com/Chaogan-Yan/DPABI" TargetMode="External"/><Relationship Id="rId606" Type="http://schemas.openxmlformats.org/officeDocument/2006/relationships/image" Target="media/image24.jpg"/><Relationship Id="rId813" Type="http://schemas.openxmlformats.org/officeDocument/2006/relationships/hyperlink" Target="https://sciwheel.com/work/citation?ids=12908422,7262642&amp;pre=&amp;pre=&amp;suf=&amp;suf=&amp;sa=0,0" TargetMode="External"/><Relationship Id="rId245" Type="http://schemas.openxmlformats.org/officeDocument/2006/relationships/hyperlink" Target="https://sciwheel.com/work/citation?ids=556198&amp;pre=&amp;suf=&amp;sa=0" TargetMode="External"/><Relationship Id="rId452" Type="http://schemas.openxmlformats.org/officeDocument/2006/relationships/hyperlink" Target="https://sciwheel.com/work/citation?ids=4738849&amp;pre=&amp;suf=&amp;sa=0" TargetMode="External"/><Relationship Id="rId105" Type="http://schemas.openxmlformats.org/officeDocument/2006/relationships/hyperlink" Target="https://sciwheel.com/work/citation?ids=15020076,14546548&amp;pre=&amp;pre=&amp;suf=&amp;suf=&amp;sa=0,0" TargetMode="External"/><Relationship Id="rId312" Type="http://schemas.openxmlformats.org/officeDocument/2006/relationships/hyperlink" Target="https://sciwheel.com/work/citation?ids=7022537,10626305&amp;pre=&amp;pre=&amp;suf=&amp;suf=&amp;sa=0,0" TargetMode="External"/><Relationship Id="rId757" Type="http://schemas.openxmlformats.org/officeDocument/2006/relationships/hyperlink" Target="https://sciwheel.com/work/citation?ids=13535465&amp;pre=&amp;suf=&amp;sa=0" TargetMode="External"/><Relationship Id="rId93" Type="http://schemas.openxmlformats.org/officeDocument/2006/relationships/hyperlink" Target="https://sciwheel.com/work/citation?ids=798307&amp;pre=&amp;suf=&amp;sa=0" TargetMode="External"/><Relationship Id="rId189" Type="http://schemas.openxmlformats.org/officeDocument/2006/relationships/hyperlink" Target="https://sciwheel.com/work/citation?ids=14512580,5185756&amp;pre=&amp;pre=&amp;suf=&amp;suf=&amp;sa=0,0" TargetMode="External"/><Relationship Id="rId396" Type="http://schemas.openxmlformats.org/officeDocument/2006/relationships/hyperlink" Target="https://sciwheel.com/work/citation?ids=14546488&amp;pre=&amp;suf=&amp;sa=0" TargetMode="External"/><Relationship Id="rId617" Type="http://schemas.openxmlformats.org/officeDocument/2006/relationships/hyperlink" Target="https://sciwheel.com/work/citation?ids=795996,3371187&amp;pre=&amp;pre=&amp;suf=&amp;suf=&amp;sa=0,0" TargetMode="External"/><Relationship Id="rId824" Type="http://schemas.openxmlformats.org/officeDocument/2006/relationships/hyperlink" Target="https://sciwheel.com/work/citation?ids=14643376&amp;pre=&amp;suf=&amp;sa=0" TargetMode="External"/><Relationship Id="rId256" Type="http://schemas.openxmlformats.org/officeDocument/2006/relationships/hyperlink" Target="https://sciwheel.com/work/citation?ids=1785345,15088817,9944274&amp;pre=&amp;pre=&amp;pre=&amp;suf=&amp;suf=&amp;suf=&amp;sa=0,0,0" TargetMode="External"/><Relationship Id="rId463" Type="http://schemas.openxmlformats.org/officeDocument/2006/relationships/hyperlink" Target="https://sciwheel.com/work/citation?ids=3045024,15047896&amp;pre=&amp;pre=&amp;suf=&amp;suf=&amp;sa=0,0" TargetMode="External"/><Relationship Id="rId670" Type="http://schemas.openxmlformats.org/officeDocument/2006/relationships/hyperlink" Target="https://sciwheel.com/work/citation?ids=15116196,1070803&amp;pre=&amp;pre=&amp;suf=&amp;suf=&amp;sa=0,0" TargetMode="External"/><Relationship Id="rId116" Type="http://schemas.openxmlformats.org/officeDocument/2006/relationships/hyperlink" Target="https://sciwheel.com/work/citation?ids=14546548&amp;pre=&amp;suf=&amp;sa=0" TargetMode="External"/><Relationship Id="rId323" Type="http://schemas.openxmlformats.org/officeDocument/2006/relationships/hyperlink" Target="https://sciwheel.com/work/citation?ids=161868&amp;pre=&amp;suf=&amp;sa=0" TargetMode="External"/><Relationship Id="rId530" Type="http://schemas.openxmlformats.org/officeDocument/2006/relationships/hyperlink" Target="https://sciwheel.com/work/citation?ids=1102778&amp;pre=&amp;suf=&amp;sa=0" TargetMode="External"/><Relationship Id="rId768" Type="http://schemas.openxmlformats.org/officeDocument/2006/relationships/hyperlink" Target="https://sciwheel.com/work/citation?ids=139933&amp;pre=&amp;suf=&amp;sa=0" TargetMode="External"/><Relationship Id="rId20" Type="http://schemas.openxmlformats.org/officeDocument/2006/relationships/hyperlink" Target="https://sciwheel.com/work/citation?ids=4692347&amp;pre=&amp;suf=&amp;sa=0" TargetMode="External"/><Relationship Id="rId628" Type="http://schemas.openxmlformats.org/officeDocument/2006/relationships/hyperlink" Target="https://sciwheel.com/work/citation?ids=139933&amp;pre=&amp;suf=&amp;sa=0" TargetMode="External"/><Relationship Id="rId835" Type="http://schemas.openxmlformats.org/officeDocument/2006/relationships/hyperlink" Target="https://sciwheel.com/work/citation?ids=15220719&amp;pre=&amp;suf=&amp;sa=0" TargetMode="External"/><Relationship Id="rId267" Type="http://schemas.openxmlformats.org/officeDocument/2006/relationships/hyperlink" Target="https://sciwheel.com/work/citation?ids=5157968,1169646&amp;pre=&amp;pre=&amp;suf=&amp;suf=&amp;sa=0,0" TargetMode="External"/><Relationship Id="rId474" Type="http://schemas.openxmlformats.org/officeDocument/2006/relationships/hyperlink" Target="https://sciwheel.com/work/citation?ids=3386482&amp;pre=&amp;suf=&amp;sa=0" TargetMode="External"/><Relationship Id="rId127" Type="http://schemas.openxmlformats.org/officeDocument/2006/relationships/hyperlink" Target="https://sciwheel.com/work/citation?ids=15013876&amp;pre=&amp;suf=&amp;sa=0" TargetMode="External"/><Relationship Id="rId681" Type="http://schemas.openxmlformats.org/officeDocument/2006/relationships/hyperlink" Target="https://sciwheel.com/work/citation?ids=23177&amp;pre=&amp;suf=&amp;sa=0" TargetMode="External"/><Relationship Id="rId779" Type="http://schemas.openxmlformats.org/officeDocument/2006/relationships/hyperlink" Target="https://sciwheel.com/work/citation?ids=6132352,651941&amp;pre=&amp;pre=&amp;suf=&amp;suf=&amp;sa=0,0" TargetMode="External"/><Relationship Id="rId31" Type="http://schemas.openxmlformats.org/officeDocument/2006/relationships/hyperlink" Target="https://sciwheel.com/work/citation?ids=8463325&amp;pre=&amp;suf=&amp;sa=0" TargetMode="External"/><Relationship Id="rId334" Type="http://schemas.openxmlformats.org/officeDocument/2006/relationships/hyperlink" Target="https://sciwheel.com/work/citation?ids=5157968,1169646&amp;pre=&amp;pre=&amp;suf=&amp;suf=&amp;sa=0,0" TargetMode="External"/><Relationship Id="rId541" Type="http://schemas.openxmlformats.org/officeDocument/2006/relationships/hyperlink" Target="https://sciwheel.com/work/citation?ids=8052124&amp;pre=&amp;suf=&amp;sa=0" TargetMode="External"/><Relationship Id="rId639" Type="http://schemas.openxmlformats.org/officeDocument/2006/relationships/hyperlink" Target="https://sciwheel.com/work/citation?ids=14546548&amp;pre=&amp;suf=&amp;sa=0" TargetMode="External"/><Relationship Id="rId180" Type="http://schemas.openxmlformats.org/officeDocument/2006/relationships/hyperlink" Target="https://sciwheel.com/work/citation?ids=15039501&amp;pre=&amp;suf=&amp;sa=0" TargetMode="External"/><Relationship Id="rId278" Type="http://schemas.openxmlformats.org/officeDocument/2006/relationships/hyperlink" Target="https://sciwheel.com/work/citation?ids=10072623&amp;pre=&amp;suf=&amp;sa=0" TargetMode="External"/><Relationship Id="rId401" Type="http://schemas.openxmlformats.org/officeDocument/2006/relationships/hyperlink" Target="https://sciwheel.com/work/citation?ids=4743306&amp;pre=&amp;suf=&amp;sa=0" TargetMode="External"/><Relationship Id="rId846" Type="http://schemas.openxmlformats.org/officeDocument/2006/relationships/hyperlink" Target="https://sciwheel.com/work/citation?ids=795996&amp;pre=&amp;suf=&amp;sa=0" TargetMode="External"/><Relationship Id="rId485" Type="http://schemas.openxmlformats.org/officeDocument/2006/relationships/hyperlink" Target="https://sciwheel.com/work/citation?ids=1149035&amp;pre=&amp;suf=&amp;sa=0" TargetMode="External"/><Relationship Id="rId692" Type="http://schemas.openxmlformats.org/officeDocument/2006/relationships/hyperlink" Target="https://sciwheel.com/work/citation?ids=3152148,15020390&amp;pre=&amp;pre=&amp;suf=&amp;suf=&amp;sa=0,0" TargetMode="External"/><Relationship Id="rId706" Type="http://schemas.openxmlformats.org/officeDocument/2006/relationships/hyperlink" Target="https://sciwheel.com/work/citation?ids=12089907&amp;pre=&amp;suf=&amp;sa=0" TargetMode="External"/><Relationship Id="rId42" Type="http://schemas.openxmlformats.org/officeDocument/2006/relationships/hyperlink" Target="https://sciwheel.com/work/citation?ids=14454602&amp;pre=&amp;suf=&amp;sa=0" TargetMode="External"/><Relationship Id="rId138" Type="http://schemas.openxmlformats.org/officeDocument/2006/relationships/hyperlink" Target="https://sciwheel.com/work/citation?ids=7260340&amp;pre=&amp;suf=&amp;sa=0" TargetMode="External"/><Relationship Id="rId345" Type="http://schemas.openxmlformats.org/officeDocument/2006/relationships/hyperlink" Target="https://sciwheel.com/work/citation?ids=1746958&amp;pre=&amp;suf=&amp;sa=0" TargetMode="External"/><Relationship Id="rId552" Type="http://schemas.openxmlformats.org/officeDocument/2006/relationships/hyperlink" Target="https://sciwheel.com/work/citation?ids=845194&amp;pre=&amp;suf=&amp;sa=0" TargetMode="External"/><Relationship Id="rId191" Type="http://schemas.openxmlformats.org/officeDocument/2006/relationships/hyperlink" Target="https://sciwheel.com/work/citation?ids=14512580,5185756&amp;pre=&amp;pre=&amp;suf=&amp;suf=&amp;sa=0,0" TargetMode="External"/><Relationship Id="rId205" Type="http://schemas.openxmlformats.org/officeDocument/2006/relationships/hyperlink" Target="https://sciwheel.com/work/citation?ids=1102778,435317&amp;pre=&amp;pre=&amp;suf=&amp;suf=&amp;sa=0,0" TargetMode="External"/><Relationship Id="rId412" Type="http://schemas.openxmlformats.org/officeDocument/2006/relationships/hyperlink" Target="https://sciwheel.com/work/citation?ids=15073067&amp;pre=&amp;suf=&amp;sa=0" TargetMode="External"/><Relationship Id="rId857" Type="http://schemas.openxmlformats.org/officeDocument/2006/relationships/hyperlink" Target="https://sciwheel.com/work/citation?ids=3499209&amp;pre=&amp;suf=&amp;sa=0" TargetMode="External"/><Relationship Id="rId289" Type="http://schemas.openxmlformats.org/officeDocument/2006/relationships/hyperlink" Target="https://sciwheel.com/work/citation?ids=15093056,852070&amp;pre=&amp;pre=&amp;suf=&amp;suf=&amp;sa=0,0" TargetMode="External"/><Relationship Id="rId496" Type="http://schemas.openxmlformats.org/officeDocument/2006/relationships/hyperlink" Target="https://sciwheel.com/work/citation?ids=10295025&amp;pre=&amp;suf=&amp;sa=0" TargetMode="External"/><Relationship Id="rId717" Type="http://schemas.openxmlformats.org/officeDocument/2006/relationships/image" Target="media/image37.jpg"/><Relationship Id="rId53" Type="http://schemas.openxmlformats.org/officeDocument/2006/relationships/hyperlink" Target="https://sciwheel.com/work/citation?ids=1524103,3784247,12945099&amp;pre=&amp;pre=&amp;pre=&amp;suf=&amp;suf=&amp;suf=&amp;sa=0,0,0" TargetMode="External"/><Relationship Id="rId149" Type="http://schemas.openxmlformats.org/officeDocument/2006/relationships/hyperlink" Target="https://sciwheel.com/work/citation?ids=84030&amp;pre=&amp;suf=&amp;sa=0" TargetMode="External"/><Relationship Id="rId356" Type="http://schemas.openxmlformats.org/officeDocument/2006/relationships/hyperlink" Target="https://sciwheel.com/work/citation?ids=610543&amp;pre=&amp;suf=&amp;sa=0" TargetMode="External"/><Relationship Id="rId563" Type="http://schemas.openxmlformats.org/officeDocument/2006/relationships/hyperlink" Target="https://sciwheel.com/work/citation?ids=845194&amp;pre=&amp;suf=&amp;sa=0" TargetMode="External"/><Relationship Id="rId770" Type="http://schemas.openxmlformats.org/officeDocument/2006/relationships/hyperlink" Target="https://sciwheel.com/work/citation?ids=10692464&amp;pre=&amp;suf=&amp;sa=0" TargetMode="External"/><Relationship Id="rId216" Type="http://schemas.openxmlformats.org/officeDocument/2006/relationships/hyperlink" Target="https://sciwheel.com/work/citation?ids=141614&amp;pre=&amp;suf=&amp;sa=0" TargetMode="External"/><Relationship Id="rId423" Type="http://schemas.openxmlformats.org/officeDocument/2006/relationships/image" Target="media/image11.jpeg"/><Relationship Id="rId868" Type="http://schemas.openxmlformats.org/officeDocument/2006/relationships/hyperlink" Target="https://sciwheel.com/work/citation?ids=15211446&amp;pre=&amp;suf=&amp;sa=0" TargetMode="External"/><Relationship Id="rId630" Type="http://schemas.openxmlformats.org/officeDocument/2006/relationships/hyperlink" Target="https://sciwheel.com/work/citation?ids=23028,2986105&amp;pre=&amp;pre=&amp;suf=&amp;suf=&amp;sa=0,0" TargetMode="External"/><Relationship Id="rId728" Type="http://schemas.openxmlformats.org/officeDocument/2006/relationships/hyperlink" Target="https://sciwheel.com/work/citation?ids=14874219,148661,15181673&amp;pre=&amp;pre=&amp;pre=&amp;suf=&amp;suf=&amp;suf=&amp;sa=0,0,0" TargetMode="External"/><Relationship Id="rId64" Type="http://schemas.openxmlformats.org/officeDocument/2006/relationships/hyperlink" Target="https://www.ema.europa.eu/en/documents/other/letter-support-n170-erp-prognostic-biomarker-adaptive-social-functioning-its-potential-stratify_en.pdf" TargetMode="External"/><Relationship Id="rId367" Type="http://schemas.openxmlformats.org/officeDocument/2006/relationships/hyperlink" Target="https://sciwheel.com/work/citation?ids=5157968,1169646&amp;pre=&amp;pre=&amp;suf=&amp;suf=&amp;sa=0,0" TargetMode="External"/><Relationship Id="rId574" Type="http://schemas.openxmlformats.org/officeDocument/2006/relationships/hyperlink" Target="https://sciwheel.com/work/citation?ids=8371782&amp;pre=&amp;suf=&amp;sa=0" TargetMode="External"/><Relationship Id="rId227" Type="http://schemas.openxmlformats.org/officeDocument/2006/relationships/hyperlink" Target="https://sciwheel.com/work/citation?ids=11444632&amp;pre=&amp;suf=&amp;sa=0" TargetMode="External"/><Relationship Id="rId781" Type="http://schemas.openxmlformats.org/officeDocument/2006/relationships/hyperlink" Target="https://sciwheel.com/work/citation?ids=4472797,3273105,15270449,3374500&amp;pre=&amp;pre=&amp;pre=&amp;pre=&amp;suf=&amp;suf=&amp;suf=&amp;suf=&amp;sa=0,0,0,0" TargetMode="External"/><Relationship Id="rId879" Type="http://schemas.openxmlformats.org/officeDocument/2006/relationships/hyperlink" Target="https://doi.org/10.1016/j.neuroimage.2009.09.037" TargetMode="External"/><Relationship Id="rId434" Type="http://schemas.openxmlformats.org/officeDocument/2006/relationships/hyperlink" Target="https://sciwheel.com/work/citation?ids=15041815&amp;pre=&amp;suf=&amp;sa=0" TargetMode="External"/><Relationship Id="rId641" Type="http://schemas.openxmlformats.org/officeDocument/2006/relationships/hyperlink" Target="https://sciwheel.com/work/citation?ids=8659976&amp;pre=&amp;suf=&amp;sa=0" TargetMode="External"/><Relationship Id="rId739" Type="http://schemas.openxmlformats.org/officeDocument/2006/relationships/hyperlink" Target="https://sciwheel.com/work/citation?ids=15153254,564371,15153300&amp;pre=&amp;pre=&amp;pre=&amp;suf=&amp;suf=&amp;suf=&amp;sa=0,0,0" TargetMode="External"/><Relationship Id="rId280" Type="http://schemas.openxmlformats.org/officeDocument/2006/relationships/hyperlink" Target="https://sciwheel.com/work/citation?ids=5157968,1169646&amp;pre=&amp;pre=&amp;suf=&amp;suf=&amp;sa=0,0" TargetMode="External"/><Relationship Id="rId501" Type="http://schemas.openxmlformats.org/officeDocument/2006/relationships/hyperlink" Target="https://sciwheel.com/work/citation?ids=15054224&amp;pre=&amp;suf=&amp;sa=0" TargetMode="External"/><Relationship Id="rId75" Type="http://schemas.openxmlformats.org/officeDocument/2006/relationships/hyperlink" Target="https://sciwheel.com/work/citation?ids=3494984&amp;pre=&amp;suf=&amp;sa=0" TargetMode="External"/><Relationship Id="rId140" Type="http://schemas.openxmlformats.org/officeDocument/2006/relationships/hyperlink" Target="https://sciwheel.com/work/citation?ids=9050860,338810&amp;pre=&amp;pre=&amp;suf=&amp;suf=&amp;sa=0,0" TargetMode="External"/><Relationship Id="rId378" Type="http://schemas.openxmlformats.org/officeDocument/2006/relationships/hyperlink" Target="https://sciwheel.com/work/citation?ids=1008273,15097299,6435087,10692354&amp;pre=&amp;pre=&amp;pre=&amp;pre=&amp;suf=&amp;suf=&amp;suf=&amp;suf=&amp;sa=0,0,0,0" TargetMode="External"/><Relationship Id="rId585" Type="http://schemas.openxmlformats.org/officeDocument/2006/relationships/hyperlink" Target="https://sciwheel.com/work/citation?ids=15039874&amp;pre=&amp;suf=&amp;sa=0" TargetMode="External"/><Relationship Id="rId792" Type="http://schemas.openxmlformats.org/officeDocument/2006/relationships/hyperlink" Target="https://sciwheel.com/work/citation?ids=23177&amp;pre=&amp;suf=&amp;sa=0" TargetMode="External"/><Relationship Id="rId806" Type="http://schemas.openxmlformats.org/officeDocument/2006/relationships/hyperlink" Target="https://sciwheel.com/work/citation?ids=3018204,6954330&amp;pre=&amp;pre=&amp;suf=&amp;suf=&amp;sa=0,0" TargetMode="External"/><Relationship Id="rId6" Type="http://schemas.openxmlformats.org/officeDocument/2006/relationships/footnotes" Target="footnotes.xml"/><Relationship Id="rId238" Type="http://schemas.openxmlformats.org/officeDocument/2006/relationships/hyperlink" Target="https://sciwheel.com/work/citation?ids=14546548,5551763&amp;pre=&amp;pre=&amp;suf=&amp;suf=&amp;sa=0,0" TargetMode="External"/><Relationship Id="rId445" Type="http://schemas.openxmlformats.org/officeDocument/2006/relationships/hyperlink" Target="https://sciwheel.com/work/citation?ids=14130454,15041926&amp;pre=&amp;pre=&amp;suf=&amp;suf=&amp;sa=0,0" TargetMode="External"/><Relationship Id="rId652" Type="http://schemas.openxmlformats.org/officeDocument/2006/relationships/hyperlink" Target="https://sciwheel.com/work/citation?ids=4472797,3273105,15270449,3374500&amp;pre=&amp;pre=&amp;pre=&amp;pre=&amp;suf=&amp;suf=&amp;suf=&amp;suf=&amp;sa=0,0,0,0" TargetMode="External"/><Relationship Id="rId291" Type="http://schemas.openxmlformats.org/officeDocument/2006/relationships/hyperlink" Target="https://sciwheel.com/work/citation?ids=556198&amp;pre=&amp;suf=&amp;sa=0" TargetMode="External"/><Relationship Id="rId305" Type="http://schemas.openxmlformats.org/officeDocument/2006/relationships/hyperlink" Target="https://sciwheel.com/work/citation?ids=8371782&amp;pre=&amp;suf=&amp;sa=0" TargetMode="External"/><Relationship Id="rId512" Type="http://schemas.openxmlformats.org/officeDocument/2006/relationships/hyperlink" Target="https://sciwheel.com/work/citation?ids=7022537&amp;pre=&amp;suf=&amp;sa=0" TargetMode="External"/><Relationship Id="rId86" Type="http://schemas.openxmlformats.org/officeDocument/2006/relationships/hyperlink" Target="https://sciwheel.com/work/citation?ids=2968289&amp;pre=&amp;suf=&amp;sa=0" TargetMode="External"/><Relationship Id="rId151" Type="http://schemas.openxmlformats.org/officeDocument/2006/relationships/hyperlink" Target="https://sciwheel.com/work/citation?ids=12199717&amp;pre=&amp;suf=&amp;sa=0" TargetMode="External"/><Relationship Id="rId389" Type="http://schemas.openxmlformats.org/officeDocument/2006/relationships/hyperlink" Target="https://sciwheel.com/work/citation?ids=15198717,1439767&amp;pre=&amp;pre=&amp;suf=&amp;suf=&amp;sa=0,0" TargetMode="External"/><Relationship Id="rId596" Type="http://schemas.openxmlformats.org/officeDocument/2006/relationships/image" Target="media/image20.jpg"/><Relationship Id="rId817" Type="http://schemas.openxmlformats.org/officeDocument/2006/relationships/hyperlink" Target="https://sciwheel.com/work/citation?ids=2842447&amp;pre=&amp;suf=&amp;sa=0" TargetMode="External"/><Relationship Id="rId249" Type="http://schemas.openxmlformats.org/officeDocument/2006/relationships/hyperlink" Target="https://sciwheel.com/work/citation?ids=15081367,279618&amp;pre=&amp;pre=&amp;suf=&amp;suf=&amp;sa=0,0" TargetMode="External"/><Relationship Id="rId456" Type="http://schemas.openxmlformats.org/officeDocument/2006/relationships/hyperlink" Target="https://sciwheel.com/work/citation?ids=796578,795609&amp;pre=&amp;pre=&amp;suf=&amp;suf=&amp;sa=0,0" TargetMode="External"/><Relationship Id="rId663" Type="http://schemas.openxmlformats.org/officeDocument/2006/relationships/image" Target="media/image26.png"/><Relationship Id="rId870" Type="http://schemas.openxmlformats.org/officeDocument/2006/relationships/hyperlink" Target="https://sciwheel.com/work/citation?ids=1070790,2616094&amp;pre=&amp;pre=&amp;suf=&amp;suf=&amp;sa=0,0" TargetMode="External"/><Relationship Id="rId13" Type="http://schemas.openxmlformats.org/officeDocument/2006/relationships/hyperlink" Target="https://sciwheel.com/work/citation?ids=11485652&amp;pre=&amp;suf=&amp;sa=0" TargetMode="External"/><Relationship Id="rId109" Type="http://schemas.openxmlformats.org/officeDocument/2006/relationships/hyperlink" Target="https://sciwheel.com/work/citation?ids=15020093,14546439&amp;pre=&amp;pre=&amp;suf=&amp;suf=&amp;sa=0,0" TargetMode="External"/><Relationship Id="rId316" Type="http://schemas.openxmlformats.org/officeDocument/2006/relationships/hyperlink" Target="https://sciwheel.com/work/citation?ids=5157968,1169646&amp;pre=&amp;pre=&amp;suf=&amp;suf=&amp;sa=0,0" TargetMode="External"/><Relationship Id="rId523" Type="http://schemas.openxmlformats.org/officeDocument/2006/relationships/hyperlink" Target="https://sciwheel.com/work/citation?ids=15039542&amp;pre=&amp;suf=&amp;sa=0" TargetMode="External"/><Relationship Id="rId97" Type="http://schemas.openxmlformats.org/officeDocument/2006/relationships/hyperlink" Target="https://sciwheel.com/work/citation?ids=6115245,7619500,15020076,14546548&amp;pre=&amp;pre=&amp;pre=&amp;pre=&amp;suf=&amp;suf=&amp;suf=&amp;suf=&amp;sa=0,0,0,0" TargetMode="External"/><Relationship Id="rId730" Type="http://schemas.openxmlformats.org/officeDocument/2006/relationships/hyperlink" Target="https://sciwheel.com/work/citation?ids=14874219,148661,15181673&amp;pre=&amp;pre=&amp;pre=&amp;suf=&amp;suf=&amp;suf=&amp;sa=0,0,0" TargetMode="External"/><Relationship Id="rId828" Type="http://schemas.openxmlformats.org/officeDocument/2006/relationships/hyperlink" Target="https://sciwheel.com/work/citation?ids=885440&amp;pre=&amp;suf=&amp;sa=0" TargetMode="External"/><Relationship Id="rId162" Type="http://schemas.openxmlformats.org/officeDocument/2006/relationships/hyperlink" Target="https://sciwheel.com/work/citation?ids=15016957&amp;pre=&amp;suf=&amp;sa=0" TargetMode="External"/><Relationship Id="rId467" Type="http://schemas.openxmlformats.org/officeDocument/2006/relationships/hyperlink" Target="https://sciwheel.com/work/citation?ids=3166673,13542184&amp;pre=&amp;pre=&amp;suf=&amp;suf=&amp;sa=0,0" TargetMode="External"/><Relationship Id="rId674" Type="http://schemas.openxmlformats.org/officeDocument/2006/relationships/hyperlink" Target="https://sciwheel.com/work/citation?ids=15039508&amp;pre=&amp;suf=&amp;sa=0" TargetMode="External"/><Relationship Id="rId881" Type="http://schemas.openxmlformats.org/officeDocument/2006/relationships/fontTable" Target="fontTable.xml"/><Relationship Id="rId24" Type="http://schemas.openxmlformats.org/officeDocument/2006/relationships/hyperlink" Target="https://sciwheel.com/work/citation?ids=15316627,1524119&amp;pre=&amp;pre=&amp;suf=&amp;suf=&amp;sa=0,0" TargetMode="External"/><Relationship Id="rId327" Type="http://schemas.openxmlformats.org/officeDocument/2006/relationships/hyperlink" Target="https://sciwheel.com/work/citation?ids=15095204&amp;pre=&amp;suf=&amp;sa=0" TargetMode="External"/><Relationship Id="rId534" Type="http://schemas.openxmlformats.org/officeDocument/2006/relationships/hyperlink" Target="https://sciwheel.com/work/citation?ids=4181379,15257006&amp;pre=&amp;pre=&amp;suf=&amp;suf=&amp;sa=0,0" TargetMode="External"/><Relationship Id="rId741" Type="http://schemas.openxmlformats.org/officeDocument/2006/relationships/hyperlink" Target="https://sciwheel.com/work/citation?ids=1352962&amp;pre=&amp;suf=&amp;sa=0" TargetMode="External"/><Relationship Id="rId839" Type="http://schemas.openxmlformats.org/officeDocument/2006/relationships/hyperlink" Target="https://sciwheel.com/work/citation?ids=15181673,339143&amp;pre=&amp;pre=&amp;suf=&amp;suf=&amp;sa=0,0" TargetMode="External"/><Relationship Id="rId173" Type="http://schemas.openxmlformats.org/officeDocument/2006/relationships/hyperlink" Target="https://sciwheel.com/work/citation?ids=2409699&amp;pre=&amp;suf=&amp;sa=0" TargetMode="External"/><Relationship Id="rId380" Type="http://schemas.openxmlformats.org/officeDocument/2006/relationships/hyperlink" Target="https://sciwheel.com/work/citation?ids=5157968,1169646&amp;pre=&amp;pre=&amp;suf=&amp;suf=&amp;sa=0,0" TargetMode="External"/><Relationship Id="rId601" Type="http://schemas.openxmlformats.org/officeDocument/2006/relationships/hyperlink" Target="http://www.alivelearn.net/xjview/" TargetMode="External"/><Relationship Id="rId240" Type="http://schemas.openxmlformats.org/officeDocument/2006/relationships/hyperlink" Target="https://sciwheel.com/work/citation?ids=14546548,5551763&amp;pre=&amp;pre=&amp;suf=&amp;suf=&amp;sa=0,0" TargetMode="External"/><Relationship Id="rId478" Type="http://schemas.openxmlformats.org/officeDocument/2006/relationships/hyperlink" Target="https://sciwheel.com/work/citation?ids=125575,3882597&amp;pre=&amp;pre=&amp;suf=&amp;suf=&amp;sa=0,0" TargetMode="External"/><Relationship Id="rId685" Type="http://schemas.openxmlformats.org/officeDocument/2006/relationships/hyperlink" Target="https://sciwheel.com/work/citation?ids=12530249&amp;pre=&amp;suf=&amp;sa=0" TargetMode="External"/><Relationship Id="rId35" Type="http://schemas.openxmlformats.org/officeDocument/2006/relationships/hyperlink" Target="https://sciwheel.com/work/citation?ids=7469382&amp;pre=&amp;suf=&amp;sa=0" TargetMode="External"/><Relationship Id="rId100" Type="http://schemas.openxmlformats.org/officeDocument/2006/relationships/hyperlink" Target="https://sciwheel.com/work/citation?ids=7264920,14620965&amp;pre=&amp;pre=&amp;suf=&amp;suf=&amp;sa=0,0" TargetMode="External"/><Relationship Id="rId338" Type="http://schemas.openxmlformats.org/officeDocument/2006/relationships/hyperlink" Target="https://sciwheel.com/work/citation?ids=10552675&amp;pre=&amp;suf=&amp;sa=0" TargetMode="External"/><Relationship Id="rId545" Type="http://schemas.openxmlformats.org/officeDocument/2006/relationships/hyperlink" Target="https://sciwheel.com/work/citation?ids=2985913,15266899&amp;pre=&amp;pre=&amp;suf=&amp;suf=&amp;sa=0,0" TargetMode="External"/><Relationship Id="rId752" Type="http://schemas.openxmlformats.org/officeDocument/2006/relationships/hyperlink" Target="https://sciwheel.com/work/citation?ids=7088308&amp;pre=&amp;suf=&amp;sa=0" TargetMode="External"/><Relationship Id="rId184" Type="http://schemas.openxmlformats.org/officeDocument/2006/relationships/hyperlink" Target="https://sciwheel.com/work/citation?ids=12031712&amp;pre=&amp;suf=&amp;sa=0" TargetMode="External"/><Relationship Id="rId391" Type="http://schemas.openxmlformats.org/officeDocument/2006/relationships/hyperlink" Target="https://sciwheel.com/work/citation?ids=6632811,15039540,1149035&amp;pre=&amp;pre=&amp;pre=&amp;suf=&amp;suf=&amp;suf=&amp;sa=0,0,0" TargetMode="External"/><Relationship Id="rId405" Type="http://schemas.openxmlformats.org/officeDocument/2006/relationships/hyperlink" Target="https://sciwheel.com/work/citation?ids=12052299&amp;pre=&amp;suf=&amp;sa=0" TargetMode="External"/><Relationship Id="rId612" Type="http://schemas.openxmlformats.org/officeDocument/2006/relationships/hyperlink" Target="https://sciwheel.com/work/citation?ids=15116380,798505,1785345,10549590&amp;pre=&amp;pre=&amp;pre=&amp;pre=&amp;suf=&amp;suf=&amp;suf=&amp;suf=&amp;sa=0,0,0,0" TargetMode="External"/><Relationship Id="rId251" Type="http://schemas.openxmlformats.org/officeDocument/2006/relationships/hyperlink" Target="https://sciwheel.com/work/citation?ids=3845342&amp;pre=&amp;suf=&amp;sa=0" TargetMode="External"/><Relationship Id="rId489" Type="http://schemas.openxmlformats.org/officeDocument/2006/relationships/hyperlink" Target="https://sciwheel.com/work/citation?ids=3499001&amp;pre=&amp;suf=&amp;sa=0" TargetMode="External"/><Relationship Id="rId696" Type="http://schemas.openxmlformats.org/officeDocument/2006/relationships/hyperlink" Target="https://sciwheel.com/work/citation?ids=9050860,338810&amp;pre=&amp;pre=&amp;suf=&amp;suf=&amp;sa=0,0" TargetMode="External"/><Relationship Id="rId46" Type="http://schemas.openxmlformats.org/officeDocument/2006/relationships/hyperlink" Target="https://sciwheel.com/work/citation?ids=5648701&amp;pre=&amp;suf=&amp;sa=0" TargetMode="External"/><Relationship Id="rId349" Type="http://schemas.openxmlformats.org/officeDocument/2006/relationships/hyperlink" Target="https://sciwheel.com/work/citation?ids=355759,382910&amp;pre=&amp;pre=&amp;suf=&amp;suf=&amp;sa=0,0" TargetMode="External"/><Relationship Id="rId556" Type="http://schemas.openxmlformats.org/officeDocument/2006/relationships/hyperlink" Target="https://sciwheel.com/work/citation?ids=12022076&amp;pre=&amp;suf=&amp;sa=0" TargetMode="External"/><Relationship Id="rId763" Type="http://schemas.openxmlformats.org/officeDocument/2006/relationships/hyperlink" Target="https://sciwheel.com/work/citation?ids=14645260&amp;pre=&amp;suf=&amp;sa=0" TargetMode="External"/><Relationship Id="rId111" Type="http://schemas.openxmlformats.org/officeDocument/2006/relationships/hyperlink" Target="https://sciwheel.com/work/citation?ids=3152148,15020390&amp;pre=&amp;pre=&amp;suf=&amp;suf=&amp;sa=0,0" TargetMode="External"/><Relationship Id="rId195" Type="http://schemas.openxmlformats.org/officeDocument/2006/relationships/hyperlink" Target="https://sciwheel.com/work/citation?ids=5185756,15039763&amp;pre=&amp;pre=&amp;suf=&amp;suf=&amp;sa=0,0" TargetMode="External"/><Relationship Id="rId209" Type="http://schemas.openxmlformats.org/officeDocument/2006/relationships/hyperlink" Target="https://sciwheel.com/work/citation?ids=15313221&amp;pre=&amp;suf=&amp;sa=0" TargetMode="External"/><Relationship Id="rId416" Type="http://schemas.openxmlformats.org/officeDocument/2006/relationships/hyperlink" Target="https://sciwheel.com/work/citation?ids=7109141,450607&amp;pre=&amp;pre=&amp;suf=&amp;suf=&amp;sa=0,0" TargetMode="External"/><Relationship Id="rId623" Type="http://schemas.openxmlformats.org/officeDocument/2006/relationships/hyperlink" Target="https://sciwheel.com/work/citation?ids=139933&amp;pre=&amp;suf=&amp;sa=0" TargetMode="External"/><Relationship Id="rId830" Type="http://schemas.openxmlformats.org/officeDocument/2006/relationships/hyperlink" Target="https://sciwheel.com/work/citation?ids=8952682&amp;pre=&amp;suf=&amp;sa=0" TargetMode="External"/><Relationship Id="rId15" Type="http://schemas.openxmlformats.org/officeDocument/2006/relationships/hyperlink" Target="https://sciwheel.com/work/citation?ids=5157968,1169646&amp;pre=&amp;pre=&amp;suf=&amp;suf=&amp;sa=0,0" TargetMode="External"/><Relationship Id="rId57" Type="http://schemas.openxmlformats.org/officeDocument/2006/relationships/hyperlink" Target="https://sciwheel.com/work/citation?ids=5157968,1169646&amp;pre=&amp;pre=&amp;suf=&amp;suf=&amp;sa=0,0" TargetMode="External"/><Relationship Id="rId262" Type="http://schemas.openxmlformats.org/officeDocument/2006/relationships/hyperlink" Target="https://sciwheel.com/work/citation?ids=15081837&amp;pre=&amp;suf=&amp;sa=0" TargetMode="External"/><Relationship Id="rId318" Type="http://schemas.openxmlformats.org/officeDocument/2006/relationships/hyperlink" Target="https://sciwheel.com/work/citation?ids=23372,3921395&amp;pre=&amp;pre=&amp;suf=&amp;suf=&amp;sa=0,0" TargetMode="External"/><Relationship Id="rId525" Type="http://schemas.openxmlformats.org/officeDocument/2006/relationships/hyperlink" Target="https://sciwheel.com/work/citation?ids=12031712&amp;pre=&amp;suf=&amp;sa=0" TargetMode="External"/><Relationship Id="rId567" Type="http://schemas.openxmlformats.org/officeDocument/2006/relationships/hyperlink" Target="https://sciwheel.com/work/citation?ids=6006943,1829638&amp;pre=&amp;pre=&amp;suf=&amp;suf=&amp;sa=0,0" TargetMode="External"/><Relationship Id="rId732" Type="http://schemas.openxmlformats.org/officeDocument/2006/relationships/hyperlink" Target="https://sciwheel.com/work/citation?ids=2525513&amp;pre=&amp;suf=&amp;sa=0" TargetMode="External"/><Relationship Id="rId99" Type="http://schemas.openxmlformats.org/officeDocument/2006/relationships/hyperlink" Target="https://sciwheel.com/work/citation?ids=6115245,7619500,15020076,14546548&amp;pre=&amp;pre=&amp;pre=&amp;pre=&amp;suf=&amp;suf=&amp;suf=&amp;suf=&amp;sa=0,0,0,0" TargetMode="External"/><Relationship Id="rId122" Type="http://schemas.openxmlformats.org/officeDocument/2006/relationships/hyperlink" Target="https://sciwheel.com/work/citation?ids=4743306&amp;pre=&amp;suf=&amp;sa=0" TargetMode="External"/><Relationship Id="rId164" Type="http://schemas.openxmlformats.org/officeDocument/2006/relationships/hyperlink" Target="https://sciwheel.com/work/citation?ids=3273372&amp;pre=&amp;suf=&amp;sa=0" TargetMode="External"/><Relationship Id="rId371" Type="http://schemas.openxmlformats.org/officeDocument/2006/relationships/hyperlink" Target="https://sciwheel.com/work/citation?ids=15097045,1008311&amp;pre=&amp;pre=&amp;suf=&amp;suf=&amp;sa=0,0" TargetMode="External"/><Relationship Id="rId774" Type="http://schemas.openxmlformats.org/officeDocument/2006/relationships/hyperlink" Target="https://sciwheel.com/work/citation?ids=3497540&amp;pre=&amp;suf=&amp;sa=0" TargetMode="External"/><Relationship Id="rId427" Type="http://schemas.openxmlformats.org/officeDocument/2006/relationships/image" Target="media/image15.jpeg"/><Relationship Id="rId469" Type="http://schemas.openxmlformats.org/officeDocument/2006/relationships/hyperlink" Target="https://sciwheel.com/work/citation?ids=4153908,4153920,5282111&amp;pre=&amp;pre=&amp;pre=&amp;suf=&amp;suf=&amp;suf=&amp;sa=0,0,0" TargetMode="External"/><Relationship Id="rId634" Type="http://schemas.openxmlformats.org/officeDocument/2006/relationships/hyperlink" Target="https://sciwheel.com/work/citation?ids=8659976&amp;pre=&amp;suf=&amp;sa=0" TargetMode="External"/><Relationship Id="rId676" Type="http://schemas.openxmlformats.org/officeDocument/2006/relationships/hyperlink" Target="https://sciwheel.com/work/citation?ids=376307&amp;pre=&amp;suf=&amp;sa=0" TargetMode="External"/><Relationship Id="rId841" Type="http://schemas.openxmlformats.org/officeDocument/2006/relationships/hyperlink" Target="https://sciwheel.com/work/citation?ids=15181673,339143&amp;pre=&amp;pre=&amp;suf=&amp;suf=&amp;sa=0,0" TargetMode="External"/><Relationship Id="rId26" Type="http://schemas.openxmlformats.org/officeDocument/2006/relationships/hyperlink" Target="https://sciwheel.com/work/citation?ids=3018175&amp;pre=&amp;suf=&amp;sa=0" TargetMode="External"/><Relationship Id="rId231" Type="http://schemas.openxmlformats.org/officeDocument/2006/relationships/hyperlink" Target="https://sciwheel.com/work/citation?ids=4895677,1271708&amp;pre=&amp;pre=&amp;suf=&amp;suf=&amp;sa=0,0" TargetMode="External"/><Relationship Id="rId273" Type="http://schemas.openxmlformats.org/officeDocument/2006/relationships/hyperlink" Target="https://sciwheel.com/work/citation?ids=15088817,446758&amp;pre=&amp;pre=&amp;suf=&amp;suf=&amp;sa=0,0" TargetMode="External"/><Relationship Id="rId329" Type="http://schemas.openxmlformats.org/officeDocument/2006/relationships/hyperlink" Target="https://sciwheel.com/work/citation?ids=8498213,3152148,1534020,161567&amp;pre=&amp;pre=&amp;pre=&amp;pre=&amp;suf=&amp;suf=&amp;suf=&amp;suf=&amp;sa=0,0,0,0" TargetMode="External"/><Relationship Id="rId480" Type="http://schemas.openxmlformats.org/officeDocument/2006/relationships/hyperlink" Target="https://sciwheel.com/work/citation?ids=13507560&amp;pre=&amp;suf=&amp;sa=0" TargetMode="External"/><Relationship Id="rId536" Type="http://schemas.openxmlformats.org/officeDocument/2006/relationships/hyperlink" Target="https://sciwheel.com/work/citation?ids=7022537,10626305&amp;pre=&amp;pre=&amp;suf=&amp;suf=&amp;sa=0,0" TargetMode="External"/><Relationship Id="rId701" Type="http://schemas.openxmlformats.org/officeDocument/2006/relationships/hyperlink" Target="https://sciwheel.com/work/citation?ids=3152148&amp;pre=&amp;suf=&amp;sa=0" TargetMode="External"/><Relationship Id="rId68" Type="http://schemas.openxmlformats.org/officeDocument/2006/relationships/hyperlink" Target="https://sciwheel.com/work/citation?ids=892964&amp;pre=&amp;suf=&amp;sa=0" TargetMode="External"/><Relationship Id="rId133" Type="http://schemas.openxmlformats.org/officeDocument/2006/relationships/hyperlink" Target="https://sciwheel.com/work/citation?ids=6351305&amp;pre=&amp;suf=&amp;sa=0" TargetMode="External"/><Relationship Id="rId175" Type="http://schemas.openxmlformats.org/officeDocument/2006/relationships/hyperlink" Target="https://sciwheel.com/work/citation?ids=377937&amp;pre=&amp;suf=&amp;sa=0" TargetMode="External"/><Relationship Id="rId340" Type="http://schemas.openxmlformats.org/officeDocument/2006/relationships/hyperlink" Target="https://sciwheel.com/work/citation?ids=15153254&amp;pre=&amp;suf=&amp;sa=0" TargetMode="External"/><Relationship Id="rId578" Type="http://schemas.openxmlformats.org/officeDocument/2006/relationships/hyperlink" Target="https://sciwheel.com/work/citation?ids=2370172&amp;pre=&amp;suf=&amp;sa=0" TargetMode="External"/><Relationship Id="rId743" Type="http://schemas.openxmlformats.org/officeDocument/2006/relationships/hyperlink" Target="https://sciwheel.com/work/citation?ids=11569160&amp;pre=&amp;suf=&amp;sa=0" TargetMode="External"/><Relationship Id="rId785" Type="http://schemas.openxmlformats.org/officeDocument/2006/relationships/hyperlink" Target="https://sciwheel.com/work/citation?ids=3505330,2397881&amp;pre=&amp;pre=&amp;suf=&amp;suf=&amp;sa=0,0" TargetMode="External"/><Relationship Id="rId200" Type="http://schemas.openxmlformats.org/officeDocument/2006/relationships/hyperlink" Target="https://sciwheel.com/work/citation?ids=15313210&amp;pre=&amp;suf=&amp;sa=0" TargetMode="External"/><Relationship Id="rId382" Type="http://schemas.openxmlformats.org/officeDocument/2006/relationships/hyperlink" Target="https://github.com/adede1988/SheffieldAutismBiomarkers" TargetMode="External"/><Relationship Id="rId438" Type="http://schemas.openxmlformats.org/officeDocument/2006/relationships/hyperlink" Target="https://sciwheel.com/work/citation?ids=276327,15041830&amp;pre=&amp;pre=&amp;suf=&amp;suf=&amp;sa=0,0" TargetMode="External"/><Relationship Id="rId603" Type="http://schemas.openxmlformats.org/officeDocument/2006/relationships/hyperlink" Target="https://sciwheel.com/work/citation?ids=15116196,1070803&amp;pre=&amp;pre=&amp;suf=&amp;suf=&amp;sa=0,0" TargetMode="External"/><Relationship Id="rId645" Type="http://schemas.openxmlformats.org/officeDocument/2006/relationships/hyperlink" Target="https://sciwheel.com/work/citation?ids=1102778&amp;pre=&amp;suf=&amp;sa=0" TargetMode="External"/><Relationship Id="rId687" Type="http://schemas.openxmlformats.org/officeDocument/2006/relationships/hyperlink" Target="https://sciwheel.com/work/citation?ids=4472797,3273105,15270449,3374500&amp;pre=&amp;pre=&amp;pre=&amp;pre=&amp;suf=&amp;suf=&amp;suf=&amp;suf=&amp;sa=0,0,0,0" TargetMode="External"/><Relationship Id="rId810" Type="http://schemas.openxmlformats.org/officeDocument/2006/relationships/hyperlink" Target="https://sciwheel.com/work/citation?ids=15014578&amp;pre=&amp;suf=&amp;sa=0" TargetMode="External"/><Relationship Id="rId852" Type="http://schemas.openxmlformats.org/officeDocument/2006/relationships/hyperlink" Target="https://sciwheel.com/work/citation?ids=1070790,2616094&amp;pre=&amp;pre=&amp;suf=&amp;suf=&amp;sa=0,0" TargetMode="External"/><Relationship Id="rId242" Type="http://schemas.openxmlformats.org/officeDocument/2006/relationships/hyperlink" Target="https://sciwheel.com/work/citation?ids=1467240&amp;pre=&amp;suf=&amp;sa=0" TargetMode="External"/><Relationship Id="rId284" Type="http://schemas.openxmlformats.org/officeDocument/2006/relationships/hyperlink" Target="https://sciwheel.com/work/citation?ids=7441132&amp;pre=&amp;suf=&amp;sa=0" TargetMode="External"/><Relationship Id="rId491" Type="http://schemas.openxmlformats.org/officeDocument/2006/relationships/hyperlink" Target="https://sciwheel.com/work/citation?ids=10615229&amp;pre=&amp;suf=&amp;sa=0" TargetMode="External"/><Relationship Id="rId505" Type="http://schemas.openxmlformats.org/officeDocument/2006/relationships/hyperlink" Target="https://sciwheel.com/work/citation?ids=15113442&amp;pre=&amp;suf=&amp;sa=0" TargetMode="External"/><Relationship Id="rId712" Type="http://schemas.openxmlformats.org/officeDocument/2006/relationships/image" Target="media/image36.jpeg"/><Relationship Id="rId37" Type="http://schemas.openxmlformats.org/officeDocument/2006/relationships/hyperlink" Target="https://sciwheel.com/work/citation?ids=8266524&amp;pre=&amp;suf=&amp;sa=0" TargetMode="External"/><Relationship Id="rId79" Type="http://schemas.openxmlformats.org/officeDocument/2006/relationships/hyperlink" Target="https://sciwheel.com/work/citation?ids=15017254&amp;pre=&amp;suf=&amp;sa=0" TargetMode="External"/><Relationship Id="rId102" Type="http://schemas.openxmlformats.org/officeDocument/2006/relationships/hyperlink" Target="https://sciwheel.com/work/citation?ids=15020093,14546439&amp;pre=&amp;pre=&amp;suf=&amp;suf=&amp;sa=0,0" TargetMode="External"/><Relationship Id="rId144" Type="http://schemas.openxmlformats.org/officeDocument/2006/relationships/hyperlink" Target="https://sciwheel.com/work/citation?ids=9050860,338810&amp;pre=&amp;pre=&amp;suf=&amp;suf=&amp;sa=0,0" TargetMode="External"/><Relationship Id="rId547" Type="http://schemas.openxmlformats.org/officeDocument/2006/relationships/hyperlink" Target="https://sciwheel.com/work/citation?ids=10237230&amp;pre=&amp;suf=&amp;sa=0" TargetMode="External"/><Relationship Id="rId589" Type="http://schemas.openxmlformats.org/officeDocument/2006/relationships/hyperlink" Target="https://github.com/Chaogan-Yan/DPABI" TargetMode="External"/><Relationship Id="rId754" Type="http://schemas.openxmlformats.org/officeDocument/2006/relationships/hyperlink" Target="https://sciwheel.com/work/citation?ids=3496238,15153917,15153924&amp;pre=&amp;pre=&amp;pre=&amp;suf=&amp;suf=&amp;suf=&amp;sa=0,0,0" TargetMode="External"/><Relationship Id="rId796" Type="http://schemas.openxmlformats.org/officeDocument/2006/relationships/hyperlink" Target="https://sciwheel.com/work/citation?ids=4472797,3273105,15270449,3374500&amp;pre=&amp;pre=&amp;pre=&amp;pre=&amp;suf=&amp;suf=&amp;suf=&amp;suf=&amp;sa=0,0,0,0" TargetMode="External"/><Relationship Id="rId90" Type="http://schemas.openxmlformats.org/officeDocument/2006/relationships/hyperlink" Target="https://sciwheel.com/work/citation?ids=1149035,15018772,798797&amp;pre=&amp;pre=&amp;pre=&amp;suf=&amp;suf=&amp;suf=&amp;sa=0,0,0" TargetMode="External"/><Relationship Id="rId186" Type="http://schemas.openxmlformats.org/officeDocument/2006/relationships/hyperlink" Target="https://sciwheel.com/work/citation?ids=12031712,15039503,15039763&amp;pre=&amp;pre=&amp;pre=&amp;suf=&amp;suf=&amp;suf=&amp;sa=0,0,0" TargetMode="External"/><Relationship Id="rId351" Type="http://schemas.openxmlformats.org/officeDocument/2006/relationships/hyperlink" Target="https://sciwheel.com/work/citation?ids=5157968,1169646&amp;pre=&amp;pre=&amp;suf=&amp;suf=&amp;sa=0,0" TargetMode="External"/><Relationship Id="rId393" Type="http://schemas.openxmlformats.org/officeDocument/2006/relationships/hyperlink" Target="https://sciwheel.com/work/citation?ids=6632811,15039540,1149035&amp;pre=&amp;pre=&amp;pre=&amp;suf=&amp;suf=&amp;suf=&amp;sa=0,0,0" TargetMode="External"/><Relationship Id="rId407" Type="http://schemas.openxmlformats.org/officeDocument/2006/relationships/hyperlink" Target="https://sciwheel.com/work/citation?ids=15013876&amp;pre=&amp;suf=&amp;sa=0" TargetMode="External"/><Relationship Id="rId449" Type="http://schemas.openxmlformats.org/officeDocument/2006/relationships/hyperlink" Target="https://sciwheel.com/work/citation?ids=14130454,15041926&amp;pre=&amp;pre=&amp;suf=&amp;suf=&amp;sa=0,0" TargetMode="External"/><Relationship Id="rId614" Type="http://schemas.openxmlformats.org/officeDocument/2006/relationships/hyperlink" Target="https://sciwheel.com/work/citation?ids=795996&amp;pre=&amp;suf=&amp;sa=0" TargetMode="External"/><Relationship Id="rId656" Type="http://schemas.openxmlformats.org/officeDocument/2006/relationships/hyperlink" Target="https://sciwheel.com/work/citation?ids=4616871,355969&amp;pre=&amp;pre=&amp;suf=&amp;suf=&amp;sa=0,0" TargetMode="External"/><Relationship Id="rId821" Type="http://schemas.openxmlformats.org/officeDocument/2006/relationships/hyperlink" Target="https://sciwheel.com/work/citation?ids=1524100&amp;pre=&amp;suf=&amp;sa=0" TargetMode="External"/><Relationship Id="rId863" Type="http://schemas.openxmlformats.org/officeDocument/2006/relationships/hyperlink" Target="https://sciwheel.com/work/citation?ids=1524103,533653&amp;pre=&amp;pre=&amp;suf=&amp;suf=&amp;sa=0,0" TargetMode="External"/><Relationship Id="rId211" Type="http://schemas.openxmlformats.org/officeDocument/2006/relationships/hyperlink" Target="https://sciwheel.com/work/citation?ids=74935&amp;pre=&amp;suf=&amp;sa=0" TargetMode="External"/><Relationship Id="rId253" Type="http://schemas.openxmlformats.org/officeDocument/2006/relationships/hyperlink" Target="https://sciwheel.com/work/citation?ids=2616074,15088794,4616871,355969,7441132&amp;pre=&amp;pre=&amp;pre=&amp;pre=&amp;pre=&amp;suf=&amp;suf=&amp;suf=&amp;suf=&amp;suf=&amp;sa=0,0,0,0,0" TargetMode="External"/><Relationship Id="rId295" Type="http://schemas.openxmlformats.org/officeDocument/2006/relationships/hyperlink" Target="https://sciwheel.com/work/citation?ids=10237231&amp;pre=&amp;suf=&amp;sa=0" TargetMode="External"/><Relationship Id="rId309" Type="http://schemas.openxmlformats.org/officeDocument/2006/relationships/hyperlink" Target="https://sciwheel.com/work/citation?ids=15094276&amp;pre=&amp;suf=&amp;sa=0" TargetMode="External"/><Relationship Id="rId460" Type="http://schemas.openxmlformats.org/officeDocument/2006/relationships/hyperlink" Target="https://sciwheel.com/work/citation?ids=84030,7260340&amp;pre=&amp;pre=&amp;suf=&amp;suf=&amp;sa=0,0" TargetMode="External"/><Relationship Id="rId516" Type="http://schemas.openxmlformats.org/officeDocument/2006/relationships/hyperlink" Target="https://sciwheel.com/work/citation?ids=8498213&amp;pre=&amp;suf=&amp;sa=0" TargetMode="External"/><Relationship Id="rId698" Type="http://schemas.openxmlformats.org/officeDocument/2006/relationships/hyperlink" Target="https://sciwheel.com/work/citation?ids=15020369&amp;pre=&amp;suf=&amp;sa=0" TargetMode="External"/><Relationship Id="rId48" Type="http://schemas.openxmlformats.org/officeDocument/2006/relationships/hyperlink" Target="https://sciwheel.com/work/citation?ids=8950811&amp;pre=&amp;suf=&amp;sa=0" TargetMode="External"/><Relationship Id="rId113" Type="http://schemas.openxmlformats.org/officeDocument/2006/relationships/hyperlink" Target="https://sciwheel.com/work/citation?ids=3152148,15020390&amp;pre=&amp;pre=&amp;suf=&amp;suf=&amp;sa=0,0" TargetMode="External"/><Relationship Id="rId320" Type="http://schemas.openxmlformats.org/officeDocument/2006/relationships/hyperlink" Target="https://sciwheel.com/work/citation?ids=23372,3921395&amp;pre=&amp;pre=&amp;suf=&amp;suf=&amp;sa=0,0" TargetMode="External"/><Relationship Id="rId558" Type="http://schemas.openxmlformats.org/officeDocument/2006/relationships/hyperlink" Target="https://sciwheel.com/work/citation?ids=15838166&amp;pre=&amp;suf=&amp;sa=0" TargetMode="External"/><Relationship Id="rId723" Type="http://schemas.openxmlformats.org/officeDocument/2006/relationships/image" Target="media/image39.jpg"/><Relationship Id="rId765" Type="http://schemas.openxmlformats.org/officeDocument/2006/relationships/hyperlink" Target="https://sciwheel.com/work/citation?ids=382623,141966,2989575,139933&amp;pre=&amp;pre=&amp;pre=&amp;pre=&amp;suf=&amp;suf=&amp;suf=&amp;suf=&amp;sa=0,0,0,0" TargetMode="External"/><Relationship Id="rId155" Type="http://schemas.openxmlformats.org/officeDocument/2006/relationships/hyperlink" Target="https://sciwheel.com/work/citation?ids=7260340&amp;pre=&amp;suf=&amp;sa=0" TargetMode="External"/><Relationship Id="rId197" Type="http://schemas.openxmlformats.org/officeDocument/2006/relationships/hyperlink" Target="https://sciwheel.com/work/citation?ids=137804&amp;pre=&amp;suf=&amp;sa=0" TargetMode="External"/><Relationship Id="rId362" Type="http://schemas.openxmlformats.org/officeDocument/2006/relationships/hyperlink" Target="https://sciwheel.com/work/citation?ids=14623130,5407283&amp;pre=&amp;pre=&amp;suf=&amp;suf=&amp;sa=0,0" TargetMode="External"/><Relationship Id="rId418" Type="http://schemas.openxmlformats.org/officeDocument/2006/relationships/hyperlink" Target="https://sciwheel.com/work/citation?ids=7109141&amp;pre=&amp;suf=&amp;sa=0" TargetMode="External"/><Relationship Id="rId625" Type="http://schemas.openxmlformats.org/officeDocument/2006/relationships/hyperlink" Target="https://sciwheel.com/work/citation?ids=139933&amp;pre=&amp;suf=&amp;sa=0" TargetMode="External"/><Relationship Id="rId832" Type="http://schemas.openxmlformats.org/officeDocument/2006/relationships/hyperlink" Target="https://sciwheel.com/work/citation?ids=8952682&amp;pre=&amp;suf=&amp;sa=0" TargetMode="External"/><Relationship Id="rId222" Type="http://schemas.openxmlformats.org/officeDocument/2006/relationships/hyperlink" Target="https://sciwheel.com/work/citation?ids=376889&amp;pre=&amp;suf=&amp;sa=0" TargetMode="External"/><Relationship Id="rId264" Type="http://schemas.openxmlformats.org/officeDocument/2006/relationships/hyperlink" Target="https://sciwheel.com/work/citation?ids=5157968,1169646&amp;pre=&amp;pre=&amp;suf=&amp;suf=&amp;sa=0,0" TargetMode="External"/><Relationship Id="rId471" Type="http://schemas.openxmlformats.org/officeDocument/2006/relationships/hyperlink" Target="https://sciwheel.com/work/citation?ids=3273372,5282111,6713658&amp;pre=&amp;pre=&amp;pre=&amp;suf=&amp;suf=&amp;suf=&amp;sa=0,0,0" TargetMode="External"/><Relationship Id="rId667" Type="http://schemas.openxmlformats.org/officeDocument/2006/relationships/image" Target="media/image29.jpg"/><Relationship Id="rId874" Type="http://schemas.openxmlformats.org/officeDocument/2006/relationships/hyperlink" Target="https://sciwheel.com/work/citation?ids=14643054&amp;pre=&amp;suf=&amp;sa=0" TargetMode="External"/><Relationship Id="rId17" Type="http://schemas.openxmlformats.org/officeDocument/2006/relationships/hyperlink" Target="https://sciwheel.com/work/citation?ids=2708085&amp;pre=&amp;suf=&amp;sa=0" TargetMode="External"/><Relationship Id="rId59" Type="http://schemas.openxmlformats.org/officeDocument/2006/relationships/hyperlink" Target="https://sciwheel.com/work/citation?ids=1524103&amp;pre=&amp;suf=&amp;sa=0" TargetMode="External"/><Relationship Id="rId124" Type="http://schemas.openxmlformats.org/officeDocument/2006/relationships/hyperlink" Target="https://sciwheel.com/work/citation?ids=8596649&amp;pre=&amp;suf=&amp;sa=0" TargetMode="External"/><Relationship Id="rId527" Type="http://schemas.openxmlformats.org/officeDocument/2006/relationships/hyperlink" Target="https://sciwheel.com/work/citation?ids=8371782&amp;pre=&amp;suf=&amp;sa=0" TargetMode="External"/><Relationship Id="rId569" Type="http://schemas.openxmlformats.org/officeDocument/2006/relationships/hyperlink" Target="https://www.rfmri.org/DownloadedReorientMats" TargetMode="External"/><Relationship Id="rId734" Type="http://schemas.openxmlformats.org/officeDocument/2006/relationships/hyperlink" Target="https://sciwheel.com/work/citation?ids=4472797,3273105,15270449,3374500&amp;pre=&amp;pre=&amp;pre=&amp;pre=&amp;suf=&amp;suf=&amp;suf=&amp;suf=&amp;sa=0,0,0,0" TargetMode="External"/><Relationship Id="rId776" Type="http://schemas.openxmlformats.org/officeDocument/2006/relationships/hyperlink" Target="https://sciwheel.com/work/citation?ids=14317737&amp;pre=&amp;suf=&amp;sa=0" TargetMode="External"/><Relationship Id="rId70" Type="http://schemas.openxmlformats.org/officeDocument/2006/relationships/hyperlink" Target="https://sciwheel.com/work/citation?ids=460146&amp;pre=&amp;suf=&amp;sa=0" TargetMode="External"/><Relationship Id="rId166" Type="http://schemas.openxmlformats.org/officeDocument/2006/relationships/hyperlink" Target="https://sciwheel.com/work/citation?ids=84030&amp;pre=&amp;suf=&amp;sa=0" TargetMode="External"/><Relationship Id="rId331" Type="http://schemas.openxmlformats.org/officeDocument/2006/relationships/hyperlink" Target="https://sciwheel.com/work/citation?ids=8498213,3152148,1534020,161567&amp;pre=&amp;pre=&amp;pre=&amp;pre=&amp;suf=&amp;suf=&amp;suf=&amp;suf=&amp;sa=0,0,0,0" TargetMode="External"/><Relationship Id="rId373" Type="http://schemas.openxmlformats.org/officeDocument/2006/relationships/hyperlink" Target="https://sciwheel.com/work/citation?ids=5407283&amp;pre=&amp;suf=&amp;sa=0" TargetMode="External"/><Relationship Id="rId429" Type="http://schemas.openxmlformats.org/officeDocument/2006/relationships/hyperlink" Target="https://sciwheel.com/work/citation?ids=7109253,376307&amp;pre=&amp;pre=&amp;suf=&amp;suf=&amp;sa=0,0" TargetMode="External"/><Relationship Id="rId580" Type="http://schemas.openxmlformats.org/officeDocument/2006/relationships/hyperlink" Target="https://sciwheel.com/work/citation?ids=8403145&amp;pre=&amp;suf=&amp;sa=0" TargetMode="External"/><Relationship Id="rId636" Type="http://schemas.openxmlformats.org/officeDocument/2006/relationships/hyperlink" Target="https://sciwheel.com/work/citation?ids=15116624&amp;pre=&amp;suf=&amp;sa=0" TargetMode="External"/><Relationship Id="rId801" Type="http://schemas.openxmlformats.org/officeDocument/2006/relationships/hyperlink" Target="https://sciwheel.com/work/citation?ids=4472797,3273105,15270449,3374500&amp;pre=&amp;pre=&amp;pre=&amp;pre=&amp;suf=&amp;suf=&amp;suf=&amp;suf=&amp;sa=0,0,0,0" TargetMode="External"/><Relationship Id="rId1" Type="http://schemas.openxmlformats.org/officeDocument/2006/relationships/customXml" Target="../customXml/item1.xml"/><Relationship Id="rId233" Type="http://schemas.openxmlformats.org/officeDocument/2006/relationships/image" Target="media/image6.jpg"/><Relationship Id="rId440" Type="http://schemas.openxmlformats.org/officeDocument/2006/relationships/hyperlink" Target="https://sciwheel.com/work/citation?ids=447345&amp;pre=&amp;suf=&amp;sa=0" TargetMode="External"/><Relationship Id="rId678" Type="http://schemas.openxmlformats.org/officeDocument/2006/relationships/hyperlink" Target="https://sciwheel.com/work/citation?ids=15116196,1070803&amp;pre=&amp;pre=&amp;suf=&amp;suf=&amp;sa=0,0" TargetMode="External"/><Relationship Id="rId843" Type="http://schemas.openxmlformats.org/officeDocument/2006/relationships/hyperlink" Target="https://sciwheel.com/work/citation?ids=7639752&amp;pre=&amp;suf=&amp;sa=0" TargetMode="External"/><Relationship Id="rId28" Type="http://schemas.openxmlformats.org/officeDocument/2006/relationships/hyperlink" Target="https://sciwheel.com/work/citation?ids=3491321&amp;pre=&amp;suf=&amp;sa=0" TargetMode="External"/><Relationship Id="rId275" Type="http://schemas.openxmlformats.org/officeDocument/2006/relationships/hyperlink" Target="https://sciwheel.com/work/citation?ids=15088817,446758&amp;pre=&amp;pre=&amp;suf=&amp;suf=&amp;sa=0,0" TargetMode="External"/><Relationship Id="rId300" Type="http://schemas.openxmlformats.org/officeDocument/2006/relationships/hyperlink" Target="https://sciwheel.com/work/citation?ids=12031712&amp;pre=&amp;suf=&amp;sa=0" TargetMode="External"/><Relationship Id="rId482" Type="http://schemas.openxmlformats.org/officeDocument/2006/relationships/hyperlink" Target="https://sciwheel.com/work/citation?ids=5551763&amp;pre=&amp;suf=&amp;sa=0" TargetMode="External"/><Relationship Id="rId538" Type="http://schemas.openxmlformats.org/officeDocument/2006/relationships/hyperlink" Target="https://sciwheel.com/work/citation?ids=7022537,10626305&amp;pre=&amp;pre=&amp;suf=&amp;suf=&amp;sa=0,0" TargetMode="External"/><Relationship Id="rId703" Type="http://schemas.openxmlformats.org/officeDocument/2006/relationships/hyperlink" Target="https://sciwheel.com/work/citation?ids=4940855,706190&amp;pre=&amp;pre=&amp;suf=&amp;suf=&amp;sa=0,0" TargetMode="External"/><Relationship Id="rId745" Type="http://schemas.openxmlformats.org/officeDocument/2006/relationships/hyperlink" Target="https://sciwheel.com/work/citation?ids=890155,8371782&amp;pre=&amp;pre=&amp;suf=&amp;suf=&amp;sa=0,0" TargetMode="External"/><Relationship Id="rId81" Type="http://schemas.openxmlformats.org/officeDocument/2006/relationships/hyperlink" Target="https://sciwheel.com/work/citation?ids=5586210&amp;pre=&amp;suf=&amp;sa=0" TargetMode="External"/><Relationship Id="rId135" Type="http://schemas.openxmlformats.org/officeDocument/2006/relationships/hyperlink" Target="https://sciwheel.com/work/citation?ids=885440&amp;pre=&amp;suf=&amp;sa=0" TargetMode="External"/><Relationship Id="rId177" Type="http://schemas.openxmlformats.org/officeDocument/2006/relationships/hyperlink" Target="https://sciwheel.com/work/citation?ids=11444632&amp;pre=&amp;suf=&amp;sa=0" TargetMode="External"/><Relationship Id="rId342" Type="http://schemas.openxmlformats.org/officeDocument/2006/relationships/hyperlink" Target="https://sciwheel.com/work/citation?ids=148751&amp;pre=&amp;suf=&amp;sa=0" TargetMode="External"/><Relationship Id="rId384" Type="http://schemas.openxmlformats.org/officeDocument/2006/relationships/hyperlink" Target="https://sciwheel.com/work/citation?ids=1190737&amp;pre=&amp;suf=&amp;sa=0" TargetMode="External"/><Relationship Id="rId591" Type="http://schemas.openxmlformats.org/officeDocument/2006/relationships/hyperlink" Target="https://sciwheel.com/work/citation?ids=4689011&amp;pre=&amp;suf=&amp;sa=0" TargetMode="External"/><Relationship Id="rId605" Type="http://schemas.openxmlformats.org/officeDocument/2006/relationships/hyperlink" Target="https://sciwheel.com/work/citation?ids=15116196,1070803&amp;pre=&amp;pre=&amp;suf=&amp;suf=&amp;sa=0,0" TargetMode="External"/><Relationship Id="rId787" Type="http://schemas.openxmlformats.org/officeDocument/2006/relationships/hyperlink" Target="https://sciwheel.com/work/citation?ids=3505330,2397881&amp;pre=&amp;pre=&amp;suf=&amp;suf=&amp;sa=0,0" TargetMode="External"/><Relationship Id="rId812" Type="http://schemas.openxmlformats.org/officeDocument/2006/relationships/hyperlink" Target="https://sciwheel.com/work/citation?ids=15289867&amp;pre=&amp;suf=&amp;sa=0" TargetMode="External"/><Relationship Id="rId202" Type="http://schemas.openxmlformats.org/officeDocument/2006/relationships/hyperlink" Target="https://sciwheel.com/work/citation?ids=11444632&amp;pre=&amp;suf=&amp;sa=0" TargetMode="External"/><Relationship Id="rId244" Type="http://schemas.openxmlformats.org/officeDocument/2006/relationships/hyperlink" Target="https://sciwheel.com/work/citation?ids=1534576&amp;pre=&amp;suf=&amp;sa=0" TargetMode="External"/><Relationship Id="rId647" Type="http://schemas.openxmlformats.org/officeDocument/2006/relationships/hyperlink" Target="https://sciwheel.com/work/citation?ids=4472797,3273105,15270449,3374500&amp;pre=&amp;pre=&amp;pre=&amp;pre=&amp;suf=&amp;suf=&amp;suf=&amp;suf=&amp;sa=0,0,0,0" TargetMode="External"/><Relationship Id="rId689" Type="http://schemas.openxmlformats.org/officeDocument/2006/relationships/hyperlink" Target="https://sciwheel.com/work/citation?ids=4472797,3273105,15270449,3374500&amp;pre=&amp;pre=&amp;pre=&amp;pre=&amp;suf=&amp;suf=&amp;suf=&amp;suf=&amp;sa=0,0,0,0" TargetMode="External"/><Relationship Id="rId854" Type="http://schemas.openxmlformats.org/officeDocument/2006/relationships/hyperlink" Target="https://sciwheel.com/work/citation?ids=1070790,2616094&amp;pre=&amp;pre=&amp;suf=&amp;suf=&amp;sa=0,0" TargetMode="External"/><Relationship Id="rId39" Type="http://schemas.openxmlformats.org/officeDocument/2006/relationships/hyperlink" Target="https://sciwheel.com/work/citation?ids=9428305&amp;pre=&amp;suf=&amp;sa=0" TargetMode="External"/><Relationship Id="rId286" Type="http://schemas.openxmlformats.org/officeDocument/2006/relationships/hyperlink" Target="https://sciwheel.com/work/citation?ids=5157968,1169646&amp;pre=&amp;pre=&amp;suf=&amp;suf=&amp;sa=0,0" TargetMode="External"/><Relationship Id="rId451" Type="http://schemas.openxmlformats.org/officeDocument/2006/relationships/hyperlink" Target="https://sciwheel.com/work/citation?ids=84030,7260340&amp;pre=&amp;pre=&amp;suf=&amp;suf=&amp;sa=0,0" TargetMode="External"/><Relationship Id="rId493" Type="http://schemas.openxmlformats.org/officeDocument/2006/relationships/hyperlink" Target="https://sciwheel.com/work/citation?ids=10295054,14546286,8596649&amp;pre=&amp;pre=&amp;pre=&amp;suf=&amp;suf=&amp;suf=&amp;sa=0,0,0" TargetMode="External"/><Relationship Id="rId507" Type="http://schemas.openxmlformats.org/officeDocument/2006/relationships/hyperlink" Target="https://sciwheel.com/work/citation?ids=15113448&amp;pre=&amp;suf=&amp;sa=0" TargetMode="External"/><Relationship Id="rId549" Type="http://schemas.openxmlformats.org/officeDocument/2006/relationships/hyperlink" Target="https://sciwheel.com/work/citation?ids=10237230&amp;pre=&amp;suf=&amp;sa=0" TargetMode="External"/><Relationship Id="rId714" Type="http://schemas.openxmlformats.org/officeDocument/2006/relationships/hyperlink" Target="https://sciwheel.com/work/citation?ids=4689011&amp;pre=&amp;suf=&amp;sa=0" TargetMode="External"/><Relationship Id="rId756" Type="http://schemas.openxmlformats.org/officeDocument/2006/relationships/hyperlink" Target="https://sciwheel.com/work/citation?ids=2842447,6909823&amp;pre=&amp;pre=&amp;suf=&amp;suf=&amp;sa=0,0" TargetMode="External"/><Relationship Id="rId50" Type="http://schemas.openxmlformats.org/officeDocument/2006/relationships/hyperlink" Target="https://sciwheel.com/work/citation?ids=1524103,3784247,12945099&amp;pre=&amp;pre=&amp;pre=&amp;suf=&amp;suf=&amp;suf=&amp;sa=0,0,0" TargetMode="External"/><Relationship Id="rId104" Type="http://schemas.openxmlformats.org/officeDocument/2006/relationships/hyperlink" Target="https://sciwheel.com/work/citation?ids=5157968,1169646&amp;pre=&amp;pre=&amp;suf=&amp;suf=&amp;sa=0,0" TargetMode="External"/><Relationship Id="rId146" Type="http://schemas.openxmlformats.org/officeDocument/2006/relationships/hyperlink" Target="https://sciwheel.com/work/citation?ids=9050860,338810&amp;pre=&amp;pre=&amp;suf=&amp;suf=&amp;sa=0,0" TargetMode="External"/><Relationship Id="rId188" Type="http://schemas.openxmlformats.org/officeDocument/2006/relationships/hyperlink" Target="https://sciwheel.com/work/citation?ids=12031712,15039503,15039763&amp;pre=&amp;pre=&amp;pre=&amp;suf=&amp;suf=&amp;suf=&amp;sa=0,0,0" TargetMode="External"/><Relationship Id="rId311" Type="http://schemas.openxmlformats.org/officeDocument/2006/relationships/hyperlink" Target="https://sciwheel.com/work/citation?ids=5157968,1169646&amp;pre=&amp;pre=&amp;suf=&amp;suf=&amp;sa=0,0" TargetMode="External"/><Relationship Id="rId353" Type="http://schemas.openxmlformats.org/officeDocument/2006/relationships/hyperlink" Target="https://sciwheel.com/work/citation?ids=5157968,1169646&amp;pre=&amp;pre=&amp;suf=&amp;suf=&amp;sa=0,0" TargetMode="External"/><Relationship Id="rId395" Type="http://schemas.openxmlformats.org/officeDocument/2006/relationships/hyperlink" Target="https://sciwheel.com/work/citation?ids=460146&amp;pre=&amp;suf=&amp;sa=0" TargetMode="External"/><Relationship Id="rId409" Type="http://schemas.openxmlformats.org/officeDocument/2006/relationships/hyperlink" Target="https://sciwheel.com/work/citation?ids=8952682&amp;pre=&amp;suf=&amp;sa=0" TargetMode="External"/><Relationship Id="rId560" Type="http://schemas.openxmlformats.org/officeDocument/2006/relationships/hyperlink" Target="https://sciwheel.com/work/citation?ids=846347,4774891&amp;pre=&amp;pre=&amp;suf=&amp;suf=&amp;sa=0,0" TargetMode="External"/><Relationship Id="rId798" Type="http://schemas.openxmlformats.org/officeDocument/2006/relationships/hyperlink" Target="https://sciwheel.com/work/citation?ids=15190497&amp;pre=&amp;suf=&amp;sa=0" TargetMode="External"/><Relationship Id="rId92" Type="http://schemas.openxmlformats.org/officeDocument/2006/relationships/hyperlink" Target="https://sciwheel.com/work/citation?ids=1149035,15018772,798797&amp;pre=&amp;pre=&amp;pre=&amp;suf=&amp;suf=&amp;suf=&amp;sa=0,0,0" TargetMode="External"/><Relationship Id="rId213" Type="http://schemas.openxmlformats.org/officeDocument/2006/relationships/hyperlink" Target="https://sciwheel.com/work/citation?ids=4181379,8307084&amp;pre=&amp;pre=&amp;suf=&amp;suf=&amp;sa=0,0" TargetMode="External"/><Relationship Id="rId420" Type="http://schemas.openxmlformats.org/officeDocument/2006/relationships/image" Target="media/image8.jpeg"/><Relationship Id="rId616" Type="http://schemas.openxmlformats.org/officeDocument/2006/relationships/hyperlink" Target="https://sciwheel.com/work/citation?ids=15116380,798505,1785345,10549590&amp;pre=&amp;pre=&amp;pre=&amp;pre=&amp;suf=&amp;suf=&amp;suf=&amp;suf=&amp;sa=0,0,0,0" TargetMode="External"/><Relationship Id="rId658" Type="http://schemas.openxmlformats.org/officeDocument/2006/relationships/hyperlink" Target="https://sciwheel.com/work/citation?ids=8559025,10615282&amp;pre=&amp;pre=&amp;suf=&amp;suf=&amp;sa=0,0" TargetMode="External"/><Relationship Id="rId823" Type="http://schemas.openxmlformats.org/officeDocument/2006/relationships/hyperlink" Target="https://sciwheel.com/work/citation?ids=15014578&amp;pre=&amp;suf=&amp;sa=0" TargetMode="External"/><Relationship Id="rId865" Type="http://schemas.openxmlformats.org/officeDocument/2006/relationships/hyperlink" Target="https://sciwheel.com/work/citation?ids=14102755&amp;pre=&amp;suf=&amp;sa=0" TargetMode="External"/><Relationship Id="rId255" Type="http://schemas.openxmlformats.org/officeDocument/2006/relationships/hyperlink" Target="https://sciwheel.com/work/citation?ids=2616074,15088794,4616871,355969,7441132&amp;pre=&amp;pre=&amp;pre=&amp;pre=&amp;pre=&amp;suf=&amp;suf=&amp;suf=&amp;suf=&amp;suf=&amp;sa=0,0,0,0,0" TargetMode="External"/><Relationship Id="rId297" Type="http://schemas.openxmlformats.org/officeDocument/2006/relationships/hyperlink" Target="https://sciwheel.com/work/citation?ids=1237218,8053320&amp;pre=&amp;pre=&amp;suf=&amp;suf=&amp;sa=0,0" TargetMode="External"/><Relationship Id="rId462" Type="http://schemas.openxmlformats.org/officeDocument/2006/relationships/hyperlink" Target="https://sciwheel.com/work/citation?ids=5741192,6199644&amp;pre=&amp;pre=&amp;suf=&amp;suf=&amp;sa=0,0" TargetMode="External"/><Relationship Id="rId518" Type="http://schemas.openxmlformats.org/officeDocument/2006/relationships/hyperlink" Target="https://sciwheel.com/work/citation?ids=15113476,74667,852070&amp;pre=&amp;pre=&amp;pre=&amp;suf=&amp;suf=&amp;suf=&amp;sa=0,0,0" TargetMode="External"/><Relationship Id="rId725" Type="http://schemas.openxmlformats.org/officeDocument/2006/relationships/hyperlink" Target="https://sciwheel.com/work/citation?ids=14546548,15153275,8371782&amp;pre=&amp;pre=&amp;pre=&amp;suf=&amp;suf=&amp;suf=&amp;sa=0,0,0" TargetMode="External"/><Relationship Id="rId115" Type="http://schemas.openxmlformats.org/officeDocument/2006/relationships/hyperlink" Target="https://sciwheel.com/work/citation?ids=15020369&amp;pre=&amp;suf=&amp;sa=0" TargetMode="External"/><Relationship Id="rId157" Type="http://schemas.openxmlformats.org/officeDocument/2006/relationships/hyperlink" Target="https://sciwheel.com/work/citation?ids=84030&amp;pre=&amp;suf=&amp;sa=0" TargetMode="External"/><Relationship Id="rId322" Type="http://schemas.openxmlformats.org/officeDocument/2006/relationships/hyperlink" Target="https://sciwheel.com/work/citation?ids=2692311&amp;pre=&amp;suf=&amp;sa=0" TargetMode="External"/><Relationship Id="rId364" Type="http://schemas.openxmlformats.org/officeDocument/2006/relationships/hyperlink" Target="https://sciwheel.com/work/citation?ids=5157968,1169646&amp;pre=&amp;pre=&amp;suf=&amp;suf=&amp;sa=0,0" TargetMode="External"/><Relationship Id="rId767" Type="http://schemas.openxmlformats.org/officeDocument/2006/relationships/hyperlink" Target="https://sciwheel.com/work/citation?ids=382623,141966,2989575,139933&amp;pre=&amp;pre=&amp;pre=&amp;pre=&amp;suf=&amp;suf=&amp;suf=&amp;suf=&amp;sa=0,0,0,0" TargetMode="External"/><Relationship Id="rId61" Type="http://schemas.openxmlformats.org/officeDocument/2006/relationships/hyperlink" Target="https://sciwheel.com/work/citation?ids=2304901&amp;pre=&amp;suf=&amp;sa=0" TargetMode="External"/><Relationship Id="rId199" Type="http://schemas.openxmlformats.org/officeDocument/2006/relationships/hyperlink" Target="https://sciwheel.com/work/citation?ids=376889&amp;pre=&amp;suf=&amp;sa=0" TargetMode="External"/><Relationship Id="rId571" Type="http://schemas.openxmlformats.org/officeDocument/2006/relationships/hyperlink" Target="https://sciwheel.com/work/citation?ids=1149035,15018772,798797&amp;pre=&amp;pre=&amp;pre=&amp;suf=&amp;suf=&amp;suf=&amp;sa=0,0,0" TargetMode="External"/><Relationship Id="rId627" Type="http://schemas.openxmlformats.org/officeDocument/2006/relationships/hyperlink" Target="https://sciwheel.com/work/citation?ids=138044&amp;pre=&amp;suf=&amp;sa=0" TargetMode="External"/><Relationship Id="rId669" Type="http://schemas.openxmlformats.org/officeDocument/2006/relationships/image" Target="media/image31.jpg"/><Relationship Id="rId834" Type="http://schemas.openxmlformats.org/officeDocument/2006/relationships/hyperlink" Target="https://sciwheel.com/work/citation?ids=795996,9306305&amp;pre=&amp;pre=&amp;suf=&amp;suf=&amp;sa=0,0" TargetMode="External"/><Relationship Id="rId876" Type="http://schemas.openxmlformats.org/officeDocument/2006/relationships/hyperlink" Target="https://doi.org/10.1016/j.bpsc.2018.11.013" TargetMode="External"/><Relationship Id="rId19" Type="http://schemas.openxmlformats.org/officeDocument/2006/relationships/hyperlink" Target="https://sciwheel.com/work/citation?ids=3447684&amp;pre=&amp;suf=&amp;sa=0" TargetMode="External"/><Relationship Id="rId224" Type="http://schemas.openxmlformats.org/officeDocument/2006/relationships/hyperlink" Target="https://sciwheel.com/work/citation?ids=15319820&amp;pre=&amp;suf=&amp;sa=0" TargetMode="External"/><Relationship Id="rId266" Type="http://schemas.openxmlformats.org/officeDocument/2006/relationships/hyperlink" Target="https://sciwheel.com/work/citation?ids=10549590,795996,446758&amp;pre=&amp;pre=&amp;pre=&amp;suf=&amp;suf=&amp;suf=&amp;sa=0,0,0" TargetMode="External"/><Relationship Id="rId431" Type="http://schemas.openxmlformats.org/officeDocument/2006/relationships/hyperlink" Target="https://sciwheel.com/work/citation?ids=2333023,83426,12745408&amp;pre=&amp;pre=&amp;pre=&amp;suf=&amp;suf=&amp;suf=&amp;sa=0,0,0" TargetMode="External"/><Relationship Id="rId473" Type="http://schemas.openxmlformats.org/officeDocument/2006/relationships/hyperlink" Target="https://sciwheel.com/work/citation?ids=3273372,5282111,6713658&amp;pre=&amp;pre=&amp;pre=&amp;suf=&amp;suf=&amp;suf=&amp;sa=0,0,0" TargetMode="External"/><Relationship Id="rId529" Type="http://schemas.openxmlformats.org/officeDocument/2006/relationships/hyperlink" Target="https://sciwheel.com/work/citation?ids=376889&amp;pre=&amp;suf=&amp;sa=0" TargetMode="External"/><Relationship Id="rId680" Type="http://schemas.openxmlformats.org/officeDocument/2006/relationships/hyperlink" Target="https://sciwheel.com/work/citation?ids=15039540,15039542&amp;pre=&amp;pre=&amp;suf=&amp;suf=&amp;sa=0,0" TargetMode="External"/><Relationship Id="rId736" Type="http://schemas.openxmlformats.org/officeDocument/2006/relationships/hyperlink" Target="https://sciwheel.com/work/citation?ids=4472797,3273105,15270449,3374500&amp;pre=&amp;pre=&amp;pre=&amp;pre=&amp;suf=&amp;suf=&amp;suf=&amp;suf=&amp;sa=0,0,0,0" TargetMode="External"/><Relationship Id="rId30" Type="http://schemas.openxmlformats.org/officeDocument/2006/relationships/hyperlink" Target="https://sciwheel.com/work/citation?ids=15014426&amp;pre=&amp;suf=&amp;sa=0" TargetMode="External"/><Relationship Id="rId126" Type="http://schemas.openxmlformats.org/officeDocument/2006/relationships/hyperlink" Target="https://sciwheel.com/work/citation?ids=1040686&amp;pre=&amp;suf=&amp;sa=0" TargetMode="External"/><Relationship Id="rId168" Type="http://schemas.openxmlformats.org/officeDocument/2006/relationships/hyperlink" Target="https://sciwheel.com/work/citation?ids=15017293&amp;pre=&amp;suf=&amp;sa=0" TargetMode="External"/><Relationship Id="rId333" Type="http://schemas.openxmlformats.org/officeDocument/2006/relationships/hyperlink" Target="https://sciwheel.com/work/citation?ids=8498213,3152148,1534020,161567&amp;pre=&amp;pre=&amp;pre=&amp;pre=&amp;suf=&amp;suf=&amp;suf=&amp;suf=&amp;sa=0,0,0,0" TargetMode="External"/><Relationship Id="rId540" Type="http://schemas.openxmlformats.org/officeDocument/2006/relationships/hyperlink" Target="https://sciwheel.com/work/citation?ids=10295025&amp;pre=&amp;suf=&amp;sa=0" TargetMode="External"/><Relationship Id="rId778" Type="http://schemas.openxmlformats.org/officeDocument/2006/relationships/hyperlink" Target="https://sciwheel.com/work/citation?ids=4472797,3273105,15270449,3374500&amp;pre=&amp;pre=&amp;pre=&amp;pre=&amp;suf=&amp;suf=&amp;suf=&amp;suf=&amp;sa=0,0,0,0" TargetMode="External"/><Relationship Id="rId72" Type="http://schemas.openxmlformats.org/officeDocument/2006/relationships/hyperlink" Target="https://sciwheel.com/work/citation?ids=885440&amp;pre=&amp;suf=&amp;sa=0" TargetMode="External"/><Relationship Id="rId375" Type="http://schemas.openxmlformats.org/officeDocument/2006/relationships/hyperlink" Target="https://sciwheel.com/work/citation?ids=10500694&amp;pre=&amp;suf=&amp;sa=0" TargetMode="External"/><Relationship Id="rId582" Type="http://schemas.openxmlformats.org/officeDocument/2006/relationships/hyperlink" Target="https://sciwheel.com/work/citation?ids=4689011&amp;pre=&amp;suf=&amp;sa=0" TargetMode="External"/><Relationship Id="rId638" Type="http://schemas.openxmlformats.org/officeDocument/2006/relationships/hyperlink" Target="https://sciwheel.com/work/citation?ids=2397881,3165926&amp;pre=&amp;pre=&amp;suf=&amp;suf=&amp;sa=0,0" TargetMode="External"/><Relationship Id="rId803" Type="http://schemas.openxmlformats.org/officeDocument/2006/relationships/hyperlink" Target="https://sciwheel.com/work/citation?ids=15194640&amp;pre=&amp;suf=&amp;sa=0" TargetMode="External"/><Relationship Id="rId845" Type="http://schemas.openxmlformats.org/officeDocument/2006/relationships/hyperlink" Target="https://sciwheel.com/work/citation?ids=1524118,3457105,1524094,7262623&amp;pre=&amp;pre=&amp;pre=&amp;pre=&amp;suf=&amp;suf=&amp;suf=&amp;suf=&amp;sa=0,0,0,0" TargetMode="External"/><Relationship Id="rId3" Type="http://schemas.openxmlformats.org/officeDocument/2006/relationships/styles" Target="styles.xml"/><Relationship Id="rId235" Type="http://schemas.openxmlformats.org/officeDocument/2006/relationships/hyperlink" Target="https://sciwheel.com/work/citation?ids=14512664&amp;pre=&amp;suf=&amp;sa=0" TargetMode="External"/><Relationship Id="rId277" Type="http://schemas.openxmlformats.org/officeDocument/2006/relationships/hyperlink" Target="https://sciwheel.com/work/citation?ids=798505&amp;pre=&amp;suf=&amp;sa=0" TargetMode="External"/><Relationship Id="rId400" Type="http://schemas.openxmlformats.org/officeDocument/2006/relationships/hyperlink" Target="https://sciwheel.com/work/citation?ids=11038548&amp;pre=&amp;suf=&amp;sa=0" TargetMode="External"/><Relationship Id="rId442" Type="http://schemas.openxmlformats.org/officeDocument/2006/relationships/hyperlink" Target="https://sciwheel.com/work/citation?ids=10295054,14546286,8596649&amp;pre=&amp;pre=&amp;pre=&amp;suf=&amp;suf=&amp;suf=&amp;sa=0,0,0" TargetMode="External"/><Relationship Id="rId484" Type="http://schemas.openxmlformats.org/officeDocument/2006/relationships/hyperlink" Target="https://sciwheel.com/work/citation?ids=6632811,15054348&amp;pre=&amp;pre=&amp;suf=&amp;suf=&amp;sa=0,0" TargetMode="External"/><Relationship Id="rId705" Type="http://schemas.openxmlformats.org/officeDocument/2006/relationships/hyperlink" Target="https://sciwheel.com/work/citation?ids=4940855,706190&amp;pre=&amp;pre=&amp;suf=&amp;suf=&amp;sa=0,0" TargetMode="External"/><Relationship Id="rId137" Type="http://schemas.openxmlformats.org/officeDocument/2006/relationships/hyperlink" Target="https://sciwheel.com/work/citation?ids=9050860,338810&amp;pre=&amp;pre=&amp;suf=&amp;suf=&amp;sa=0,0" TargetMode="External"/><Relationship Id="rId302" Type="http://schemas.openxmlformats.org/officeDocument/2006/relationships/hyperlink" Target="https://sciwheel.com/work/citation?ids=8371782&amp;pre=&amp;suf=&amp;sa=0" TargetMode="External"/><Relationship Id="rId344" Type="http://schemas.openxmlformats.org/officeDocument/2006/relationships/hyperlink" Target="https://sciwheel.com/work/citation?ids=294106,1489022&amp;pre=&amp;pre=&amp;suf=&amp;suf=&amp;sa=0,0" TargetMode="External"/><Relationship Id="rId691" Type="http://schemas.openxmlformats.org/officeDocument/2006/relationships/hyperlink" Target="https://sciwheel.com/work/citation?ids=4472797,3273105,15270449,3374500&amp;pre=&amp;pre=&amp;pre=&amp;pre=&amp;suf=&amp;suf=&amp;suf=&amp;suf=&amp;sa=0,0,0,0" TargetMode="External"/><Relationship Id="rId747" Type="http://schemas.openxmlformats.org/officeDocument/2006/relationships/hyperlink" Target="https://sciwheel.com/work/citation?ids=890155&amp;pre=&amp;suf=&amp;sa=0" TargetMode="External"/><Relationship Id="rId789" Type="http://schemas.openxmlformats.org/officeDocument/2006/relationships/hyperlink" Target="https://sciwheel.com/work/citation?ids=890746&amp;pre=&amp;suf=&amp;sa=0" TargetMode="External"/><Relationship Id="rId41" Type="http://schemas.openxmlformats.org/officeDocument/2006/relationships/hyperlink" Target="https://sciwheel.com/work/citation?ids=7469382&amp;pre=&amp;suf=&amp;sa=0" TargetMode="External"/><Relationship Id="rId83" Type="http://schemas.openxmlformats.org/officeDocument/2006/relationships/hyperlink" Target="https://sciwheel.com/work/citation?ids=377516&amp;pre=&amp;suf=&amp;sa=0" TargetMode="External"/><Relationship Id="rId179" Type="http://schemas.openxmlformats.org/officeDocument/2006/relationships/hyperlink" Target="https://sciwheel.com/work/citation?ids=15039500&amp;pre=&amp;suf=&amp;sa=0" TargetMode="External"/><Relationship Id="rId386" Type="http://schemas.openxmlformats.org/officeDocument/2006/relationships/hyperlink" Target="https://sciwheel.com/work/citation?ids=4461226&amp;pre=&amp;suf=&amp;sa=0" TargetMode="External"/><Relationship Id="rId551" Type="http://schemas.openxmlformats.org/officeDocument/2006/relationships/hyperlink" Target="http://preprocessed-connectomes-project.org/" TargetMode="External"/><Relationship Id="rId593" Type="http://schemas.openxmlformats.org/officeDocument/2006/relationships/hyperlink" Target="https://sciwheel.com/work/citation?ids=450607&amp;pre=&amp;suf=&amp;sa=0" TargetMode="External"/><Relationship Id="rId607" Type="http://schemas.openxmlformats.org/officeDocument/2006/relationships/image" Target="media/image25.jpg"/><Relationship Id="rId649" Type="http://schemas.openxmlformats.org/officeDocument/2006/relationships/hyperlink" Target="https://sciwheel.com/work/citation?ids=15116723&amp;pre=&amp;suf=&amp;sa=0" TargetMode="External"/><Relationship Id="rId814" Type="http://schemas.openxmlformats.org/officeDocument/2006/relationships/hyperlink" Target="https://sciwheel.com/work/citation?ids=94889&amp;pre=&amp;suf=&amp;sa=0" TargetMode="External"/><Relationship Id="rId856" Type="http://schemas.openxmlformats.org/officeDocument/2006/relationships/hyperlink" Target="https://sciwheel.com/work/citation?ids=5551763&amp;pre=&amp;suf=&amp;sa=0" TargetMode="External"/><Relationship Id="rId190" Type="http://schemas.openxmlformats.org/officeDocument/2006/relationships/hyperlink" Target="https://sciwheel.com/work/citation?ids=5157968,1169646&amp;pre=&amp;pre=&amp;suf=&amp;suf=&amp;sa=0,0" TargetMode="External"/><Relationship Id="rId204" Type="http://schemas.openxmlformats.org/officeDocument/2006/relationships/hyperlink" Target="https://sciwheel.com/work/citation?ids=5157968,1169646&amp;pre=&amp;pre=&amp;suf=&amp;suf=&amp;sa=0,0" TargetMode="External"/><Relationship Id="rId246" Type="http://schemas.openxmlformats.org/officeDocument/2006/relationships/hyperlink" Target="https://sciwheel.com/work/citation?ids=24241,6143986&amp;pre=&amp;pre=&amp;suf=&amp;suf=&amp;sa=0,0" TargetMode="External"/><Relationship Id="rId288" Type="http://schemas.openxmlformats.org/officeDocument/2006/relationships/hyperlink" Target="https://sciwheel.com/work/citation?ids=74198&amp;pre=&amp;suf=&amp;sa=0" TargetMode="External"/><Relationship Id="rId411" Type="http://schemas.openxmlformats.org/officeDocument/2006/relationships/hyperlink" Target="https://sciwheel.com/work/citation?ids=6351305&amp;pre=&amp;suf=&amp;sa=0" TargetMode="External"/><Relationship Id="rId453" Type="http://schemas.openxmlformats.org/officeDocument/2006/relationships/hyperlink" Target="https://sciwheel.com/work/citation?ids=885843&amp;pre=&amp;suf=&amp;sa=0" TargetMode="External"/><Relationship Id="rId509" Type="http://schemas.openxmlformats.org/officeDocument/2006/relationships/hyperlink" Target="https://sciwheel.com/work/citation?ids=15113452&amp;pre=&amp;suf=&amp;sa=0" TargetMode="External"/><Relationship Id="rId660" Type="http://schemas.openxmlformats.org/officeDocument/2006/relationships/hyperlink" Target="https://sciwheel.com/work/citation?ids=10615282,10350559&amp;pre=&amp;pre=&amp;suf=&amp;suf=&amp;sa=0,0" TargetMode="External"/><Relationship Id="rId106" Type="http://schemas.openxmlformats.org/officeDocument/2006/relationships/hyperlink" Target="https://sciwheel.com/work/citation?ids=15019966,6007455,5642690&amp;pre=&amp;pre=&amp;pre=&amp;suf=&amp;suf=&amp;suf=&amp;sa=0,0,0" TargetMode="External"/><Relationship Id="rId313" Type="http://schemas.openxmlformats.org/officeDocument/2006/relationships/hyperlink" Target="https://sciwheel.com/work/citation?ids=15095101&amp;pre=&amp;suf=&amp;sa=0" TargetMode="External"/><Relationship Id="rId495" Type="http://schemas.openxmlformats.org/officeDocument/2006/relationships/hyperlink" Target="https://sciwheel.com/work/citation?ids=10295054,14546286,8596649&amp;pre=&amp;pre=&amp;pre=&amp;suf=&amp;suf=&amp;suf=&amp;sa=0,0,0" TargetMode="External"/><Relationship Id="rId716" Type="http://schemas.openxmlformats.org/officeDocument/2006/relationships/hyperlink" Target="https://github.com/Chaogan-Yan/DPABI" TargetMode="External"/><Relationship Id="rId758" Type="http://schemas.openxmlformats.org/officeDocument/2006/relationships/hyperlink" Target="https://sciwheel.com/work/citation?ids=334639&amp;pre=&amp;suf=&amp;sa=0" TargetMode="External"/><Relationship Id="rId10" Type="http://schemas.openxmlformats.org/officeDocument/2006/relationships/hyperlink" Target="https://github.com/wenyixiao0058/eegstudy.git" TargetMode="External"/><Relationship Id="rId52" Type="http://schemas.openxmlformats.org/officeDocument/2006/relationships/hyperlink" Target="https://sciwheel.com/work/citation?ids=1524103,3784247,12945099&amp;pre=&amp;pre=&amp;pre=&amp;suf=&amp;suf=&amp;suf=&amp;sa=0,0,0" TargetMode="External"/><Relationship Id="rId94" Type="http://schemas.openxmlformats.org/officeDocument/2006/relationships/hyperlink" Target="https://sciwheel.com/work/citation?ids=1171078,1477948,4407693&amp;pre=&amp;pre=&amp;pre=&amp;suf=&amp;suf=&amp;suf=&amp;sa=0,0,0" TargetMode="External"/><Relationship Id="rId148" Type="http://schemas.openxmlformats.org/officeDocument/2006/relationships/hyperlink" Target="https://sciwheel.com/work/citation?ids=9050860,338810&amp;pre=&amp;pre=&amp;suf=&amp;suf=&amp;sa=0,0" TargetMode="External"/><Relationship Id="rId355" Type="http://schemas.openxmlformats.org/officeDocument/2006/relationships/hyperlink" Target="https://sciwheel.com/work/citation?ids=610705&amp;pre=&amp;suf=&amp;sa=0" TargetMode="External"/><Relationship Id="rId397" Type="http://schemas.openxmlformats.org/officeDocument/2006/relationships/hyperlink" Target="https://sciwheel.com/work/citation?ids=11038548&amp;pre=&amp;suf=&amp;sa=0" TargetMode="External"/><Relationship Id="rId520" Type="http://schemas.openxmlformats.org/officeDocument/2006/relationships/hyperlink" Target="https://sciwheel.com/work/citation?ids=12031712&amp;pre=&amp;suf=&amp;sa=0" TargetMode="External"/><Relationship Id="rId562" Type="http://schemas.openxmlformats.org/officeDocument/2006/relationships/image" Target="media/image18.png"/><Relationship Id="rId618" Type="http://schemas.openxmlformats.org/officeDocument/2006/relationships/hyperlink" Target="https://sciwheel.com/work/citation?ids=15116380,798505,1785345,10549590&amp;pre=&amp;pre=&amp;pre=&amp;pre=&amp;suf=&amp;suf=&amp;suf=&amp;suf=&amp;sa=0,0,0,0" TargetMode="External"/><Relationship Id="rId825" Type="http://schemas.openxmlformats.org/officeDocument/2006/relationships/hyperlink" Target="https://sciwheel.com/work/citation?ids=13566964,339143&amp;pre=&amp;pre=&amp;suf=&amp;suf=&amp;sa=0,0" TargetMode="External"/><Relationship Id="rId215" Type="http://schemas.openxmlformats.org/officeDocument/2006/relationships/hyperlink" Target="https://sciwheel.com/work/citation?ids=15040002&amp;pre=&amp;suf=&amp;sa=0" TargetMode="External"/><Relationship Id="rId257" Type="http://schemas.openxmlformats.org/officeDocument/2006/relationships/hyperlink" Target="https://sciwheel.com/work/citation?ids=5157968,1169646&amp;pre=&amp;pre=&amp;suf=&amp;suf=&amp;sa=0,0" TargetMode="External"/><Relationship Id="rId422" Type="http://schemas.openxmlformats.org/officeDocument/2006/relationships/image" Target="media/image10.jpeg"/><Relationship Id="rId464" Type="http://schemas.openxmlformats.org/officeDocument/2006/relationships/hyperlink" Target="https://sciwheel.com/work/citation?ids=4573083&amp;pre=&amp;suf=&amp;sa=0" TargetMode="External"/><Relationship Id="rId867" Type="http://schemas.openxmlformats.org/officeDocument/2006/relationships/hyperlink" Target="https://sciwheel.com/work/citation?ids=3495384&amp;pre=&amp;suf=&amp;sa=0" TargetMode="External"/><Relationship Id="rId299" Type="http://schemas.openxmlformats.org/officeDocument/2006/relationships/hyperlink" Target="https://sciwheel.com/work/citation?ids=15039542&amp;pre=&amp;suf=&amp;sa=0" TargetMode="External"/><Relationship Id="rId727" Type="http://schemas.openxmlformats.org/officeDocument/2006/relationships/hyperlink" Target="https://sciwheel.com/work/citation?ids=14546548,15153275,8371782&amp;pre=&amp;pre=&amp;pre=&amp;suf=&amp;suf=&amp;suf=&amp;sa=0,0,0" TargetMode="External"/><Relationship Id="rId63" Type="http://schemas.openxmlformats.org/officeDocument/2006/relationships/hyperlink" Target="https://sciwheel.com/work/citation?ids=8944249&amp;pre=&amp;suf=&amp;sa=0" TargetMode="External"/><Relationship Id="rId159" Type="http://schemas.openxmlformats.org/officeDocument/2006/relationships/hyperlink" Target="https://sciwheel.com/work/citation?ids=7260340&amp;pre=&amp;suf=&amp;sa=0" TargetMode="External"/><Relationship Id="rId366" Type="http://schemas.openxmlformats.org/officeDocument/2006/relationships/hyperlink" Target="https://sciwheel.com/work/citation?ids=7088042,15097045&amp;pre=&amp;pre=&amp;suf=&amp;suf=&amp;sa=0,0" TargetMode="External"/><Relationship Id="rId573" Type="http://schemas.openxmlformats.org/officeDocument/2006/relationships/hyperlink" Target="https://sciwheel.com/work/citation?ids=15039542&amp;pre=&amp;suf=&amp;sa=0" TargetMode="External"/><Relationship Id="rId780" Type="http://schemas.openxmlformats.org/officeDocument/2006/relationships/hyperlink" Target="https://sciwheel.com/work/citation?ids=968830,3497540&amp;pre=&amp;pre=&amp;suf=&amp;suf=&amp;sa=0,0" TargetMode="External"/><Relationship Id="rId226" Type="http://schemas.openxmlformats.org/officeDocument/2006/relationships/hyperlink" Target="https://sciwheel.com/work/citation?ids=15039508&amp;pre=&amp;suf=&amp;sa=0" TargetMode="External"/><Relationship Id="rId433" Type="http://schemas.openxmlformats.org/officeDocument/2006/relationships/hyperlink" Target="https://sciwheel.com/work/citation?ids=2333023,83426,12745408&amp;pre=&amp;pre=&amp;pre=&amp;suf=&amp;suf=&amp;suf=&amp;sa=0,0,0" TargetMode="External"/><Relationship Id="rId878" Type="http://schemas.openxmlformats.org/officeDocument/2006/relationships/hyperlink" Target="https://doi.org/10.1016/j.ijpsycho.2013.10.005" TargetMode="External"/><Relationship Id="rId640" Type="http://schemas.openxmlformats.org/officeDocument/2006/relationships/hyperlink" Target="https://sciwheel.com/work/citation?ids=15116700&amp;pre=&amp;suf=&amp;sa=0" TargetMode="External"/><Relationship Id="rId738" Type="http://schemas.openxmlformats.org/officeDocument/2006/relationships/hyperlink" Target="https://sciwheel.com/work/citation?ids=4472797,3273105,15270449,3374500&amp;pre=&amp;pre=&amp;pre=&amp;pre=&amp;suf=&amp;suf=&amp;suf=&amp;suf=&amp;sa=0,0,0,0" TargetMode="External"/><Relationship Id="rId74" Type="http://schemas.openxmlformats.org/officeDocument/2006/relationships/hyperlink" Target="https://sciwheel.com/work/citation?ids=795580&amp;pre=&amp;suf=&amp;sa=0" TargetMode="External"/><Relationship Id="rId377" Type="http://schemas.openxmlformats.org/officeDocument/2006/relationships/hyperlink" Target="https://sciwheel.com/work/citation?ids=5157968,1169646&amp;pre=&amp;pre=&amp;suf=&amp;suf=&amp;sa=0,0" TargetMode="External"/><Relationship Id="rId500" Type="http://schemas.openxmlformats.org/officeDocument/2006/relationships/hyperlink" Target="https://sciwheel.com/work/citation?ids=3770500,3457105,1785345&amp;pre=&amp;pre=&amp;pre=&amp;suf=&amp;suf=&amp;suf=&amp;sa=0,0,0" TargetMode="External"/><Relationship Id="rId584" Type="http://schemas.openxmlformats.org/officeDocument/2006/relationships/hyperlink" Target="https://github.com/wenyixiao0058/fmristudy.%20" TargetMode="External"/><Relationship Id="rId805" Type="http://schemas.openxmlformats.org/officeDocument/2006/relationships/hyperlink" Target="https://sciwheel.com/work/citation?ids=4472797,3273105,15270449,3374500&amp;pre=&amp;pre=&amp;pre=&amp;pre=&amp;suf=&amp;suf=&amp;suf=&amp;suf=&amp;sa=0,0,0,0" TargetMode="External"/><Relationship Id="rId5" Type="http://schemas.openxmlformats.org/officeDocument/2006/relationships/webSettings" Target="webSettings.xml"/><Relationship Id="rId237" Type="http://schemas.openxmlformats.org/officeDocument/2006/relationships/hyperlink" Target="https://sciwheel.com/work/citation?ids=1149035&amp;pre=&amp;suf=&amp;sa=0" TargetMode="External"/><Relationship Id="rId791" Type="http://schemas.openxmlformats.org/officeDocument/2006/relationships/hyperlink" Target="https://sciwheel.com/work/citation?ids=4809689,83282,4809690&amp;pre=&amp;pre=&amp;pre=&amp;suf=&amp;suf=&amp;suf=&amp;sa=0,0,0" TargetMode="External"/><Relationship Id="rId444" Type="http://schemas.openxmlformats.org/officeDocument/2006/relationships/hyperlink" Target="https://sciwheel.com/work/citation?ids=10295054,14546286,8596649&amp;pre=&amp;pre=&amp;pre=&amp;suf=&amp;suf=&amp;suf=&amp;sa=0,0,0" TargetMode="External"/><Relationship Id="rId651" Type="http://schemas.openxmlformats.org/officeDocument/2006/relationships/hyperlink" Target="https://sciwheel.com/work/citation?ids=4616871,355969&amp;pre=&amp;pre=&amp;suf=&amp;suf=&amp;sa=0,0" TargetMode="External"/><Relationship Id="rId749" Type="http://schemas.openxmlformats.org/officeDocument/2006/relationships/hyperlink" Target="https://sciwheel.com/work/citation?ids=4801628&amp;pre=&amp;suf=&amp;sa=0" TargetMode="External"/><Relationship Id="rId290" Type="http://schemas.openxmlformats.org/officeDocument/2006/relationships/hyperlink" Target="https://sciwheel.com/work/citation?ids=15093062&amp;pre=&amp;suf=&amp;sa=0" TargetMode="External"/><Relationship Id="rId304" Type="http://schemas.openxmlformats.org/officeDocument/2006/relationships/hyperlink" Target="https://sciwheel.com/work/citation?ids=12031712&amp;pre=&amp;suf=&amp;sa=0" TargetMode="External"/><Relationship Id="rId388" Type="http://schemas.openxmlformats.org/officeDocument/2006/relationships/hyperlink" Target="https://sciwheel.com/work/citation?ids=3499717&amp;pre=&amp;suf=&amp;sa=0" TargetMode="External"/><Relationship Id="rId511" Type="http://schemas.openxmlformats.org/officeDocument/2006/relationships/hyperlink" Target="https://sciwheel.com/work/citation?ids=279618,15081367&amp;pre=&amp;pre=&amp;suf=&amp;suf=&amp;sa=0,0" TargetMode="External"/><Relationship Id="rId609" Type="http://schemas.openxmlformats.org/officeDocument/2006/relationships/hyperlink" Target="https://sciwheel.com/work/citation?ids=15309581&amp;pre=&amp;suf=&amp;sa=0" TargetMode="External"/><Relationship Id="rId85" Type="http://schemas.openxmlformats.org/officeDocument/2006/relationships/hyperlink" Target="https://sciwheel.com/work/citation?ids=161800&amp;pre=&amp;suf=&amp;sa=0" TargetMode="External"/><Relationship Id="rId150" Type="http://schemas.openxmlformats.org/officeDocument/2006/relationships/hyperlink" Target="https://sciwheel.com/work/citation?ids=885440&amp;pre=&amp;suf=&amp;sa=0" TargetMode="External"/><Relationship Id="rId595" Type="http://schemas.openxmlformats.org/officeDocument/2006/relationships/hyperlink" Target="https://sciwheel.com/work/citation?ids=15308646&amp;pre=&amp;suf=&amp;sa=0" TargetMode="External"/><Relationship Id="rId816" Type="http://schemas.openxmlformats.org/officeDocument/2006/relationships/hyperlink" Target="https://sciwheel.com/work/citation?ids=10882497&amp;pre=&amp;suf=&amp;sa=0" TargetMode="External"/><Relationship Id="rId248" Type="http://schemas.openxmlformats.org/officeDocument/2006/relationships/hyperlink" Target="https://sciwheel.com/work/citation?ids=5157968,1169646&amp;pre=&amp;pre=&amp;suf=&amp;suf=&amp;sa=0,0" TargetMode="External"/><Relationship Id="rId455" Type="http://schemas.openxmlformats.org/officeDocument/2006/relationships/hyperlink" Target="https://sciwheel.com/work/citation?ids=15042069,12149379&amp;pre=&amp;pre=&amp;suf=&amp;suf=&amp;sa=0,0" TargetMode="External"/><Relationship Id="rId662" Type="http://schemas.openxmlformats.org/officeDocument/2006/relationships/hyperlink" Target="https://sciwheel.com/work/citation?ids=10615282,10350559&amp;pre=&amp;pre=&amp;suf=&amp;suf=&amp;sa=0,0" TargetMode="External"/><Relationship Id="rId12" Type="http://schemas.openxmlformats.org/officeDocument/2006/relationships/hyperlink" Target="https://github.com/wenyixiao0058/MSE_effectiveness.git" TargetMode="External"/><Relationship Id="rId108" Type="http://schemas.openxmlformats.org/officeDocument/2006/relationships/hyperlink" Target="https://sciwheel.com/work/citation?ids=15019966,6007455,5642690&amp;pre=&amp;pre=&amp;pre=&amp;suf=&amp;suf=&amp;suf=&amp;sa=0,0,0" TargetMode="External"/><Relationship Id="rId315" Type="http://schemas.openxmlformats.org/officeDocument/2006/relationships/hyperlink" Target="https://sciwheel.com/work/citation?ids=4262101,1071194&amp;pre=&amp;pre=&amp;suf=&amp;suf=&amp;sa=0,0" TargetMode="External"/><Relationship Id="rId522" Type="http://schemas.openxmlformats.org/officeDocument/2006/relationships/hyperlink" Target="https://sciwheel.com/work/citation?ids=12031712&amp;pre=&amp;suf=&amp;sa=0" TargetMode="External"/><Relationship Id="rId96" Type="http://schemas.openxmlformats.org/officeDocument/2006/relationships/hyperlink" Target="https://sciwheel.com/work/citation?ids=1171078,1477948,4407693&amp;pre=&amp;pre=&amp;pre=&amp;suf=&amp;suf=&amp;suf=&amp;sa=0,0,0" TargetMode="External"/><Relationship Id="rId161" Type="http://schemas.openxmlformats.org/officeDocument/2006/relationships/hyperlink" Target="https://sciwheel.com/work/citation?ids=7261488&amp;pre=&amp;suf=&amp;sa=0" TargetMode="External"/><Relationship Id="rId399" Type="http://schemas.openxmlformats.org/officeDocument/2006/relationships/hyperlink" Target="https://sciwheel.com/work/citation?ids=14546488&amp;pre=&amp;suf=&amp;sa=0" TargetMode="External"/><Relationship Id="rId827" Type="http://schemas.openxmlformats.org/officeDocument/2006/relationships/hyperlink" Target="https://sciwheel.com/work/citation?ids=13507560,6435087&amp;pre=&amp;pre=&amp;suf=&amp;suf=&amp;sa=0,0" TargetMode="External"/><Relationship Id="rId259" Type="http://schemas.openxmlformats.org/officeDocument/2006/relationships/hyperlink" Target="https://sciwheel.com/work/citation?ids=2821181&amp;pre=&amp;suf=&amp;sa=0" TargetMode="External"/><Relationship Id="rId466" Type="http://schemas.openxmlformats.org/officeDocument/2006/relationships/hyperlink" Target="https://sciwheel.com/work/citation?ids=84030,7260340&amp;pre=&amp;pre=&amp;suf=&amp;suf=&amp;sa=0,0" TargetMode="External"/><Relationship Id="rId673" Type="http://schemas.openxmlformats.org/officeDocument/2006/relationships/hyperlink" Target="https://sciwheel.com/work/citation?ids=15116624,15230166&amp;pre=&amp;pre=&amp;suf=&amp;suf=&amp;sa=0,0" TargetMode="External"/><Relationship Id="rId880" Type="http://schemas.openxmlformats.org/officeDocument/2006/relationships/footer" Target="footer1.xml"/><Relationship Id="rId23" Type="http://schemas.openxmlformats.org/officeDocument/2006/relationships/hyperlink" Target="https://sciwheel.com/work/citation?ids=15014103&amp;pre=&amp;suf=&amp;sa=0" TargetMode="External"/><Relationship Id="rId119" Type="http://schemas.openxmlformats.org/officeDocument/2006/relationships/hyperlink" Target="https://sciwheel.com/work/citation?ids=15020369&amp;pre=&amp;suf=&amp;sa=0" TargetMode="External"/><Relationship Id="rId326" Type="http://schemas.openxmlformats.org/officeDocument/2006/relationships/hyperlink" Target="https://sciwheel.com/work/citation?ids=148661&amp;pre=&amp;suf=&amp;sa=0" TargetMode="External"/><Relationship Id="rId533" Type="http://schemas.openxmlformats.org/officeDocument/2006/relationships/hyperlink" Target="https://sciwheel.com/work/citation?ids=8498213,5551763&amp;pre=&amp;pre=&amp;suf=&amp;suf=&amp;sa=0,0" TargetMode="External"/><Relationship Id="rId740" Type="http://schemas.openxmlformats.org/officeDocument/2006/relationships/hyperlink" Target="https://sciwheel.com/work/citation?ids=651958&amp;pre=&amp;suf=&amp;sa=0" TargetMode="External"/><Relationship Id="rId838" Type="http://schemas.openxmlformats.org/officeDocument/2006/relationships/hyperlink" Target="https://sciwheel.com/work/citation?ids=1281773,2091881&amp;pre=&amp;pre=&amp;suf=&amp;suf=&amp;sa=0,0" TargetMode="External"/><Relationship Id="rId172" Type="http://schemas.openxmlformats.org/officeDocument/2006/relationships/hyperlink" Target="https://sciwheel.com/work/citation?ids=5551921&amp;pre=&amp;suf=&amp;sa=0" TargetMode="External"/><Relationship Id="rId477" Type="http://schemas.openxmlformats.org/officeDocument/2006/relationships/hyperlink" Target="https://sciwheel.com/work/citation?ids=823772&amp;pre=&amp;suf=&amp;sa=0" TargetMode="External"/><Relationship Id="rId600" Type="http://schemas.openxmlformats.org/officeDocument/2006/relationships/image" Target="media/image22.png"/><Relationship Id="rId684" Type="http://schemas.openxmlformats.org/officeDocument/2006/relationships/hyperlink" Target="https://sciwheel.com/work/citation?ids=1524625,14102755&amp;pre=&amp;pre=&amp;suf=&amp;suf=&amp;sa=0,0" TargetMode="External"/><Relationship Id="rId337" Type="http://schemas.openxmlformats.org/officeDocument/2006/relationships/hyperlink" Target="https://sciwheel.com/work/citation?ids=4940855&amp;pre=&amp;suf=&amp;sa=0" TargetMode="External"/><Relationship Id="rId34" Type="http://schemas.openxmlformats.org/officeDocument/2006/relationships/hyperlink" Target="https://sciwheel.com/work/citation?ids=8266524&amp;pre=&amp;suf=&amp;sa=0" TargetMode="External"/><Relationship Id="rId544" Type="http://schemas.openxmlformats.org/officeDocument/2006/relationships/hyperlink" Target="https://sciwheel.com/work/citation?ids=4472797,3273105,15270449,3374500&amp;pre=&amp;pre=&amp;pre=&amp;pre=&amp;suf=&amp;suf=&amp;suf=&amp;suf=&amp;sa=0,0,0,0" TargetMode="External"/><Relationship Id="rId751" Type="http://schemas.openxmlformats.org/officeDocument/2006/relationships/hyperlink" Target="https://sciwheel.com/work/citation?ids=653184&amp;pre=&amp;suf=&amp;sa=0" TargetMode="External"/><Relationship Id="rId849" Type="http://schemas.openxmlformats.org/officeDocument/2006/relationships/hyperlink" Target="https://sciwheel.com/work/citation?ids=1070790,2616094&amp;pre=&amp;pre=&amp;suf=&amp;suf=&amp;sa=0,0" TargetMode="External"/><Relationship Id="rId183" Type="http://schemas.openxmlformats.org/officeDocument/2006/relationships/hyperlink" Target="https://sciwheel.com/work/citation?ids=15039542&amp;pre=&amp;suf=&amp;sa=0" TargetMode="External"/><Relationship Id="rId390" Type="http://schemas.openxmlformats.org/officeDocument/2006/relationships/hyperlink" Target="https://sciwheel.com/work/citation?ids=74935,376889&amp;pre=&amp;pre=&amp;suf=&amp;suf=&amp;sa=0,0" TargetMode="External"/><Relationship Id="rId404" Type="http://schemas.openxmlformats.org/officeDocument/2006/relationships/hyperlink" Target="https://sciwheel.com/work/citation?ids=891054&amp;pre=&amp;suf=&amp;sa=0" TargetMode="External"/><Relationship Id="rId611" Type="http://schemas.openxmlformats.org/officeDocument/2006/relationships/hyperlink" Target="https://sciwheel.com/work/citation?ids=139933&amp;pre=&amp;suf=&amp;sa=0" TargetMode="External"/><Relationship Id="rId250" Type="http://schemas.openxmlformats.org/officeDocument/2006/relationships/hyperlink" Target="https://sciwheel.com/work/citation?ids=15081382,14988783&amp;pre=&amp;pre=&amp;suf=&amp;suf=&amp;sa=0,0" TargetMode="External"/><Relationship Id="rId488" Type="http://schemas.openxmlformats.org/officeDocument/2006/relationships/hyperlink" Target="https://sciwheel.com/work/citation?ids=83632,717535&amp;pre=&amp;pre=&amp;suf=&amp;suf=&amp;sa=0,0" TargetMode="External"/><Relationship Id="rId695" Type="http://schemas.openxmlformats.org/officeDocument/2006/relationships/hyperlink" Target="https://sciwheel.com/work/citation?ids=14546548&amp;pre=&amp;suf=&amp;sa=0" TargetMode="External"/><Relationship Id="rId709" Type="http://schemas.openxmlformats.org/officeDocument/2006/relationships/hyperlink" Target="https://github.com/Mensen/ept_TFCE-matlab" TargetMode="External"/><Relationship Id="rId45" Type="http://schemas.openxmlformats.org/officeDocument/2006/relationships/hyperlink" Target="https://sciwheel.com/work/citation?ids=5748523,14454602&amp;pre=&amp;pre=&amp;suf=&amp;suf=&amp;sa=0,0" TargetMode="External"/><Relationship Id="rId110" Type="http://schemas.openxmlformats.org/officeDocument/2006/relationships/hyperlink" Target="https://sciwheel.com/work/citation?ids=15019966,6007455,5642690&amp;pre=&amp;pre=&amp;pre=&amp;suf=&amp;suf=&amp;suf=&amp;sa=0,0,0" TargetMode="External"/><Relationship Id="rId348" Type="http://schemas.openxmlformats.org/officeDocument/2006/relationships/hyperlink" Target="https://sciwheel.com/work/citation?ids=149420&amp;pre=&amp;suf=&amp;sa=0" TargetMode="External"/><Relationship Id="rId555" Type="http://schemas.openxmlformats.org/officeDocument/2006/relationships/hyperlink" Target="https://sciwheel.com/work/citation?ids=8198828&amp;pre=&amp;suf=&amp;sa=0" TargetMode="External"/><Relationship Id="rId762" Type="http://schemas.openxmlformats.org/officeDocument/2006/relationships/hyperlink" Target="https://sciwheel.com/work/citation?ids=15181673,339143&amp;pre=&amp;pre=&amp;suf=&amp;suf=&amp;sa=0,0" TargetMode="External"/><Relationship Id="rId194" Type="http://schemas.openxmlformats.org/officeDocument/2006/relationships/hyperlink" Target="https://sciwheel.com/work/citation?ids=15039542,15039503,15039763&amp;pre=&amp;pre=&amp;pre=&amp;suf=&amp;suf=&amp;suf=&amp;sa=0,0,0" TargetMode="External"/><Relationship Id="rId208" Type="http://schemas.openxmlformats.org/officeDocument/2006/relationships/hyperlink" Target="https://sciwheel.com/work/citation?ids=7359077&amp;pre=&amp;suf=&amp;sa=0" TargetMode="External"/><Relationship Id="rId415" Type="http://schemas.openxmlformats.org/officeDocument/2006/relationships/hyperlink" Target="https://sciwheel.com/work/citation?ids=8251828&amp;pre=&amp;suf=&amp;sa=0" TargetMode="External"/><Relationship Id="rId622" Type="http://schemas.openxmlformats.org/officeDocument/2006/relationships/hyperlink" Target="https://sciwheel.com/work/citation?ids=11033089&amp;pre=&amp;suf=&amp;sa=0" TargetMode="External"/><Relationship Id="rId261" Type="http://schemas.openxmlformats.org/officeDocument/2006/relationships/hyperlink" Target="https://sciwheel.com/work/citation?ids=7262622&amp;pre=&amp;suf=&amp;sa=0" TargetMode="External"/><Relationship Id="rId499" Type="http://schemas.openxmlformats.org/officeDocument/2006/relationships/hyperlink" Target="https://sciwheel.com/work/citation?ids=382861&amp;pre=&amp;suf=&amp;sa=0" TargetMode="External"/><Relationship Id="rId56" Type="http://schemas.openxmlformats.org/officeDocument/2006/relationships/hyperlink" Target="https://sciwheel.com/work/citation?ids=2289537,3500223&amp;pre=&amp;pre=&amp;suf=&amp;suf=&amp;sa=0,0" TargetMode="External"/><Relationship Id="rId359" Type="http://schemas.openxmlformats.org/officeDocument/2006/relationships/hyperlink" Target="https://sciwheel.com/work/citation?ids=5157968,1169646&amp;pre=&amp;pre=&amp;suf=&amp;suf=&amp;sa=0,0" TargetMode="External"/><Relationship Id="rId566" Type="http://schemas.openxmlformats.org/officeDocument/2006/relationships/hyperlink" Target="https://sciwheel.com/work/citation?ids=1071194&amp;pre=&amp;suf=&amp;sa=0" TargetMode="External"/><Relationship Id="rId773" Type="http://schemas.openxmlformats.org/officeDocument/2006/relationships/hyperlink" Target="https://sciwheel.com/work/citation?ids=3497540&amp;pre=&amp;suf=&amp;sa=0" TargetMode="External"/><Relationship Id="rId121" Type="http://schemas.openxmlformats.org/officeDocument/2006/relationships/hyperlink" Target="https://sciwheel.com/work/citation?ids=15014578&amp;pre=&amp;suf=&amp;sa=0" TargetMode="External"/><Relationship Id="rId219" Type="http://schemas.openxmlformats.org/officeDocument/2006/relationships/hyperlink" Target="https://sciwheel.com/work/citation?ids=5551763,14546548,15039874&amp;pre=&amp;pre=&amp;pre=&amp;suf=&amp;suf=&amp;suf=&amp;sa=0,0,0" TargetMode="External"/><Relationship Id="rId426" Type="http://schemas.openxmlformats.org/officeDocument/2006/relationships/image" Target="media/image14.jpeg"/><Relationship Id="rId633" Type="http://schemas.openxmlformats.org/officeDocument/2006/relationships/hyperlink" Target="https://sciwheel.com/work/citation?ids=10626305,15116356&amp;pre=&amp;pre=&amp;suf=&amp;suf=&amp;sa=0,0" TargetMode="External"/><Relationship Id="rId840" Type="http://schemas.openxmlformats.org/officeDocument/2006/relationships/hyperlink" Target="https://sciwheel.com/work/citation?ids=1070790,2616094&amp;pre=&amp;pre=&amp;suf=&amp;suf=&amp;sa=0,0" TargetMode="External"/><Relationship Id="rId67" Type="http://schemas.openxmlformats.org/officeDocument/2006/relationships/hyperlink" Target="https://sciwheel.com/work/citation?ids=15014519,15014525&amp;pre=&amp;pre=&amp;suf=&amp;suf=&amp;sa=0,0" TargetMode="External"/><Relationship Id="rId272" Type="http://schemas.openxmlformats.org/officeDocument/2006/relationships/hyperlink" Target="https://sciwheel.com/work/citation?ids=2821181&amp;pre=&amp;suf=&amp;sa=0" TargetMode="External"/><Relationship Id="rId577" Type="http://schemas.openxmlformats.org/officeDocument/2006/relationships/hyperlink" Target="https://sciwheel.com/work/citation?ids=332699&amp;pre=&amp;suf=&amp;sa=0" TargetMode="External"/><Relationship Id="rId700" Type="http://schemas.openxmlformats.org/officeDocument/2006/relationships/hyperlink" Target="https://sciwheel.com/work/citation?ids=8371782&amp;pre=&amp;suf=&amp;sa=0" TargetMode="External"/><Relationship Id="rId132" Type="http://schemas.openxmlformats.org/officeDocument/2006/relationships/hyperlink" Target="https://sciwheel.com/work/citation?ids=13964193&amp;pre=&amp;suf=&amp;sa=0" TargetMode="External"/><Relationship Id="rId784" Type="http://schemas.openxmlformats.org/officeDocument/2006/relationships/hyperlink" Target="https://sciwheel.com/work/citation?ids=1343660&amp;pre=&amp;suf=&amp;sa=0" TargetMode="External"/><Relationship Id="rId437" Type="http://schemas.openxmlformats.org/officeDocument/2006/relationships/hyperlink" Target="https://sciwheel.com/work/citation?ids=890674,15041825&amp;pre=&amp;pre=&amp;suf=&amp;suf=&amp;sa=0,0" TargetMode="External"/><Relationship Id="rId644" Type="http://schemas.openxmlformats.org/officeDocument/2006/relationships/hyperlink" Target="https://sciwheel.com/work/citation?ids=11444632&amp;pre=&amp;suf=&amp;sa=0" TargetMode="External"/><Relationship Id="rId851" Type="http://schemas.openxmlformats.org/officeDocument/2006/relationships/hyperlink" Target="https://sciwheel.com/work/citation?ids=1523984,986552,481057,3499209&amp;pre=&amp;pre=&amp;pre=&amp;pre=&amp;suf=&amp;suf=&amp;suf=&amp;suf=&amp;sa=0,0,0,0" TargetMode="External"/><Relationship Id="rId283" Type="http://schemas.openxmlformats.org/officeDocument/2006/relationships/hyperlink" Target="https://sciwheel.com/work/citation?ids=795996,1524497&amp;pre=&amp;pre=&amp;suf=&amp;suf=&amp;sa=0,0" TargetMode="External"/><Relationship Id="rId490" Type="http://schemas.openxmlformats.org/officeDocument/2006/relationships/hyperlink" Target="https://sciwheel.com/work/citation?ids=6351305&amp;pre=&amp;suf=&amp;sa=0" TargetMode="External"/><Relationship Id="rId504" Type="http://schemas.openxmlformats.org/officeDocument/2006/relationships/hyperlink" Target="https://sciwheel.com/work/citation?ids=3882630,14049926&amp;pre=&amp;pre=&amp;suf=&amp;suf=&amp;sa=0,0" TargetMode="External"/><Relationship Id="rId711" Type="http://schemas.openxmlformats.org/officeDocument/2006/relationships/image" Target="media/image35.jpg"/><Relationship Id="rId78" Type="http://schemas.openxmlformats.org/officeDocument/2006/relationships/hyperlink" Target="https://sciwheel.com/work/citation?ids=15013723,1439767&amp;pre=&amp;pre=&amp;suf=&amp;suf=&amp;sa=0,0" TargetMode="External"/><Relationship Id="rId143" Type="http://schemas.openxmlformats.org/officeDocument/2006/relationships/hyperlink" Target="https://sciwheel.com/work/citation?ids=5741192&amp;pre=&amp;suf=&amp;sa=0" TargetMode="External"/><Relationship Id="rId350" Type="http://schemas.openxmlformats.org/officeDocument/2006/relationships/hyperlink" Target="https://sciwheel.com/work/citation?ids=610705&amp;pre=&amp;suf=&amp;sa=0" TargetMode="External"/><Relationship Id="rId588" Type="http://schemas.openxmlformats.org/officeDocument/2006/relationships/hyperlink" Target="https://github.com/Chaogan-Yan/DPABI" TargetMode="External"/><Relationship Id="rId795" Type="http://schemas.openxmlformats.org/officeDocument/2006/relationships/hyperlink" Target="https://sciwheel.com/work/citation?ids=15190497&amp;pre=&amp;suf=&amp;sa=0" TargetMode="External"/><Relationship Id="rId809" Type="http://schemas.openxmlformats.org/officeDocument/2006/relationships/hyperlink" Target="https://sciwheel.com/work/citation?ids=14102755&amp;pre=&amp;suf=&amp;sa=0" TargetMode="External"/><Relationship Id="rId9" Type="http://schemas.openxmlformats.org/officeDocument/2006/relationships/hyperlink" Target="https://github.com/adede1988/SheffieldAutismBiomarkers" TargetMode="External"/><Relationship Id="rId210" Type="http://schemas.openxmlformats.org/officeDocument/2006/relationships/hyperlink" Target="https://sciwheel.com/work/citation?ids=74935&amp;pre=&amp;suf=&amp;sa=0" TargetMode="External"/><Relationship Id="rId448" Type="http://schemas.openxmlformats.org/officeDocument/2006/relationships/hyperlink" Target="https://sciwheel.com/work/citation?ids=10295054,14546286,8596649&amp;pre=&amp;pre=&amp;pre=&amp;suf=&amp;suf=&amp;suf=&amp;sa=0,0,0" TargetMode="External"/><Relationship Id="rId655" Type="http://schemas.openxmlformats.org/officeDocument/2006/relationships/hyperlink" Target="https://sciwheel.com/work/citation?ids=83175,149420&amp;pre=&amp;pre=&amp;suf=&amp;suf=&amp;sa=0,0" TargetMode="External"/><Relationship Id="rId862" Type="http://schemas.openxmlformats.org/officeDocument/2006/relationships/hyperlink" Target="https://sciwheel.com/work/citation?ids=1070790,2616094&amp;pre=&amp;pre=&amp;suf=&amp;suf=&amp;sa=0,0" TargetMode="External"/><Relationship Id="rId294" Type="http://schemas.openxmlformats.org/officeDocument/2006/relationships/hyperlink" Target="https://sciwheel.com/work/citation?ids=8498213&amp;pre=&amp;suf=&amp;sa=0" TargetMode="External"/><Relationship Id="rId308" Type="http://schemas.openxmlformats.org/officeDocument/2006/relationships/hyperlink" Target="https://sciwheel.com/work/citation?ids=8498213,5551763&amp;pre=&amp;pre=&amp;suf=&amp;suf=&amp;sa=0,0" TargetMode="External"/><Relationship Id="rId515" Type="http://schemas.openxmlformats.org/officeDocument/2006/relationships/hyperlink" Target="https://sciwheel.com/work/citation?ids=74198&amp;pre=&amp;suf=&amp;sa=0" TargetMode="External"/><Relationship Id="rId722" Type="http://schemas.openxmlformats.org/officeDocument/2006/relationships/image" Target="media/image38.jpg"/><Relationship Id="rId89" Type="http://schemas.openxmlformats.org/officeDocument/2006/relationships/hyperlink" Target="https://sciwheel.com/work/citation?ids=3494984&amp;pre=&amp;suf=&amp;sa=0" TargetMode="External"/><Relationship Id="rId154" Type="http://schemas.openxmlformats.org/officeDocument/2006/relationships/hyperlink" Target="https://sciwheel.com/work/citation?ids=3273372&amp;pre=&amp;suf=&amp;sa=0" TargetMode="External"/><Relationship Id="rId361" Type="http://schemas.openxmlformats.org/officeDocument/2006/relationships/hyperlink" Target="https://sciwheel.com/work/citation?ids=1381116&amp;pre=&amp;suf=&amp;sa=0" TargetMode="External"/><Relationship Id="rId599" Type="http://schemas.openxmlformats.org/officeDocument/2006/relationships/image" Target="media/image21.png"/><Relationship Id="rId459" Type="http://schemas.openxmlformats.org/officeDocument/2006/relationships/hyperlink" Target="https://sciwheel.com/work/citation?ids=15043010,83427,7259734,84030,7260340,7258381&amp;pre=&amp;pre=&amp;pre=&amp;pre=&amp;pre=&amp;pre=&amp;suf=&amp;suf=&amp;suf=&amp;suf=&amp;suf=&amp;suf=&amp;sa=0,0,0,0,0,0" TargetMode="External"/><Relationship Id="rId666" Type="http://schemas.openxmlformats.org/officeDocument/2006/relationships/image" Target="media/image28.png"/><Relationship Id="rId873" Type="http://schemas.openxmlformats.org/officeDocument/2006/relationships/hyperlink" Target="https://sciwheel.com/work/citation?ids=14643055&amp;pre=&amp;suf=&amp;sa=0" TargetMode="External"/><Relationship Id="rId16" Type="http://schemas.openxmlformats.org/officeDocument/2006/relationships/hyperlink" Target="https://sciwheel.com/work/citation?ids=11485652&amp;pre=&amp;suf=&amp;sa=0" TargetMode="External"/><Relationship Id="rId221" Type="http://schemas.openxmlformats.org/officeDocument/2006/relationships/hyperlink" Target="https://sciwheel.com/work/citation?ids=15313221&amp;pre=&amp;suf=&amp;sa=0" TargetMode="External"/><Relationship Id="rId319" Type="http://schemas.openxmlformats.org/officeDocument/2006/relationships/hyperlink" Target="https://sciwheel.com/work/citation?ids=5157968,1169646&amp;pre=&amp;pre=&amp;suf=&amp;suf=&amp;sa=0,0" TargetMode="External"/><Relationship Id="rId526" Type="http://schemas.openxmlformats.org/officeDocument/2006/relationships/hyperlink" Target="https://sciwheel.com/work/citation?ids=8371782&amp;pre=&amp;suf=&amp;sa=0" TargetMode="External"/><Relationship Id="rId733" Type="http://schemas.openxmlformats.org/officeDocument/2006/relationships/hyperlink" Target="https://sciwheel.com/work/citation?ids=15153254,564371,15153300&amp;pre=&amp;pre=&amp;pre=&amp;suf=&amp;suf=&amp;suf=&amp;sa=0,0,0" TargetMode="External"/><Relationship Id="rId165" Type="http://schemas.openxmlformats.org/officeDocument/2006/relationships/hyperlink" Target="https://sciwheel.com/work/citation?ids=15016957&amp;pre=&amp;suf=&amp;sa=0" TargetMode="External"/><Relationship Id="rId372" Type="http://schemas.openxmlformats.org/officeDocument/2006/relationships/hyperlink" Target="https://sciwheel.com/work/citation?ids=14623130&amp;pre=&amp;suf=&amp;sa=0" TargetMode="External"/><Relationship Id="rId677" Type="http://schemas.openxmlformats.org/officeDocument/2006/relationships/hyperlink" Target="https://sciwheel.com/work/citation?ids=14078333,5551763&amp;pre=&amp;pre=&amp;suf=&amp;suf=&amp;sa=0,0" TargetMode="External"/><Relationship Id="rId800" Type="http://schemas.openxmlformats.org/officeDocument/2006/relationships/hyperlink" Target="https://sciwheel.com/work/citation?ids=3492213,15194642&amp;pre=&amp;pre=&amp;suf=&amp;suf=&amp;sa=0,0" TargetMode="External"/><Relationship Id="rId232" Type="http://schemas.openxmlformats.org/officeDocument/2006/relationships/image" Target="media/image5.jpg"/><Relationship Id="rId27" Type="http://schemas.openxmlformats.org/officeDocument/2006/relationships/hyperlink" Target="https://sciwheel.com/work/citation?ids=2738138&amp;pre=&amp;suf=&amp;sa=0" TargetMode="External"/><Relationship Id="rId537" Type="http://schemas.openxmlformats.org/officeDocument/2006/relationships/hyperlink" Target="https://sciwheel.com/work/citation?ids=4472797,3273105,15270449,3374500&amp;pre=&amp;pre=&amp;pre=&amp;pre=&amp;suf=&amp;suf=&amp;suf=&amp;suf=&amp;sa=0,0,0,0" TargetMode="External"/><Relationship Id="rId744" Type="http://schemas.openxmlformats.org/officeDocument/2006/relationships/hyperlink" Target="https://sciwheel.com/work/citation?ids=890155&amp;pre=&amp;suf=&amp;sa=0" TargetMode="External"/><Relationship Id="rId80" Type="http://schemas.openxmlformats.org/officeDocument/2006/relationships/hyperlink" Target="https://sciwheel.com/work/citation?ids=15017293&amp;pre=&amp;suf=&amp;sa=0" TargetMode="External"/><Relationship Id="rId176" Type="http://schemas.openxmlformats.org/officeDocument/2006/relationships/hyperlink" Target="https://sciwheel.com/work/citation?ids=15257072,4180956&amp;pre=&amp;pre=&amp;suf=&amp;suf=&amp;sa=0,0" TargetMode="External"/><Relationship Id="rId383" Type="http://schemas.openxmlformats.org/officeDocument/2006/relationships/hyperlink" Target="https://sciwheel.com/work/citation?ids=22899,5157968&amp;pre=&amp;pre=&amp;suf=&amp;suf=&amp;sa=0,0" TargetMode="External"/><Relationship Id="rId590" Type="http://schemas.openxmlformats.org/officeDocument/2006/relationships/hyperlink" Target="https://sciwheel.com/work/citation?ids=1071293&amp;pre=&amp;suf=&amp;sa=0" TargetMode="External"/><Relationship Id="rId604" Type="http://schemas.openxmlformats.org/officeDocument/2006/relationships/hyperlink" Target="https://sciwheel.com/work/citation?ids=4472797,3273105,15270449,3374500&amp;pre=&amp;pre=&amp;pre=&amp;pre=&amp;suf=&amp;suf=&amp;suf=&amp;suf=&amp;sa=0,0,0,0" TargetMode="External"/><Relationship Id="rId811" Type="http://schemas.openxmlformats.org/officeDocument/2006/relationships/hyperlink" Target="https://sciwheel.com/work/citation?ids=6909823,5551763,2842447&amp;pre=&amp;pre=&amp;pre=&amp;suf=&amp;suf=&amp;suf=&amp;sa=0,0,0" TargetMode="External"/><Relationship Id="rId243" Type="http://schemas.openxmlformats.org/officeDocument/2006/relationships/hyperlink" Target="https://sciwheel.com/work/citation?ids=14420132&amp;pre=&amp;suf=&amp;sa=0" TargetMode="External"/><Relationship Id="rId450" Type="http://schemas.openxmlformats.org/officeDocument/2006/relationships/hyperlink" Target="https://sciwheel.com/work/citation?ids=885440&amp;pre=&amp;suf=&amp;sa=0" TargetMode="External"/><Relationship Id="rId688" Type="http://schemas.openxmlformats.org/officeDocument/2006/relationships/hyperlink" Target="https://sciwheel.com/work/citation?ids=3152148,8498213,9813704&amp;pre=&amp;pre=&amp;pre=&amp;suf=&amp;suf=&amp;suf=&amp;sa=0,0,0" TargetMode="External"/><Relationship Id="rId38" Type="http://schemas.openxmlformats.org/officeDocument/2006/relationships/hyperlink" Target="https://sciwheel.com/work/citation?ids=8463325&amp;pre=&amp;suf=&amp;sa=0" TargetMode="External"/><Relationship Id="rId103" Type="http://schemas.openxmlformats.org/officeDocument/2006/relationships/hyperlink" Target="https://sciwheel.com/work/citation?ids=15020076,14546548&amp;pre=&amp;pre=&amp;suf=&amp;suf=&amp;sa=0,0" TargetMode="External"/><Relationship Id="rId310" Type="http://schemas.openxmlformats.org/officeDocument/2006/relationships/hyperlink" Target="https://sciwheel.com/work/citation?ids=7022537,10626305&amp;pre=&amp;pre=&amp;suf=&amp;suf=&amp;sa=0,0" TargetMode="External"/><Relationship Id="rId548" Type="http://schemas.openxmlformats.org/officeDocument/2006/relationships/hyperlink" Target="https://sciwheel.com/work/citation?ids=9717582&amp;pre=&amp;suf=&amp;sa=0" TargetMode="External"/><Relationship Id="rId755" Type="http://schemas.openxmlformats.org/officeDocument/2006/relationships/hyperlink" Target="https://sciwheel.com/work/citation?ids=4801628&amp;pre=&amp;suf=&amp;sa=0" TargetMode="External"/><Relationship Id="rId91" Type="http://schemas.openxmlformats.org/officeDocument/2006/relationships/hyperlink" Target="https://sciwheel.com/work/citation?ids=5157968,1169646&amp;pre=&amp;pre=&amp;suf=&amp;suf=&amp;sa=0,0" TargetMode="External"/><Relationship Id="rId187" Type="http://schemas.openxmlformats.org/officeDocument/2006/relationships/hyperlink" Target="https://sciwheel.com/work/citation?ids=5157968,1169646&amp;pre=&amp;pre=&amp;suf=&amp;suf=&amp;sa=0,0" TargetMode="External"/><Relationship Id="rId394" Type="http://schemas.openxmlformats.org/officeDocument/2006/relationships/hyperlink" Target="https://sciwheel.com/work/citation?ids=3369950&amp;pre=&amp;suf=&amp;sa=0" TargetMode="External"/><Relationship Id="rId408" Type="http://schemas.openxmlformats.org/officeDocument/2006/relationships/hyperlink" Target="https://sciwheel.com/work/citation?ids=6351305&amp;pre=&amp;suf=&amp;sa=0" TargetMode="External"/><Relationship Id="rId615" Type="http://schemas.openxmlformats.org/officeDocument/2006/relationships/hyperlink" Target="https://sciwheel.com/work/citation?ids=15116380,798505,1785345,10549590&amp;pre=&amp;pre=&amp;pre=&amp;pre=&amp;suf=&amp;suf=&amp;suf=&amp;suf=&amp;sa=0,0,0,0" TargetMode="External"/><Relationship Id="rId822" Type="http://schemas.openxmlformats.org/officeDocument/2006/relationships/hyperlink" Target="https://sciwheel.com/work/citation?ids=743698&amp;pre=&amp;suf=&amp;sa=0" TargetMode="External"/><Relationship Id="rId254" Type="http://schemas.openxmlformats.org/officeDocument/2006/relationships/hyperlink" Target="https://sciwheel.com/work/citation?ids=5157968,1169646&amp;pre=&amp;pre=&amp;suf=&amp;suf=&amp;sa=0,0" TargetMode="External"/><Relationship Id="rId699" Type="http://schemas.openxmlformats.org/officeDocument/2006/relationships/hyperlink" Target="https://sciwheel.com/work/citation?ids=14512664&amp;pre=&amp;suf=&amp;sa=0" TargetMode="External"/><Relationship Id="rId49" Type="http://schemas.openxmlformats.org/officeDocument/2006/relationships/hyperlink" Target="https://sciwheel.com/work/citation?ids=5157968,1169646&amp;pre=&amp;pre=&amp;suf=&amp;suf=&amp;sa=0,0" TargetMode="External"/><Relationship Id="rId114" Type="http://schemas.openxmlformats.org/officeDocument/2006/relationships/hyperlink" Target="https://sciwheel.com/work/citation?ids=15020408&amp;pre=&amp;suf=&amp;sa=0" TargetMode="External"/><Relationship Id="rId461" Type="http://schemas.openxmlformats.org/officeDocument/2006/relationships/hyperlink" Target="https://sciwheel.com/work/citation?ids=15043010,83427,7259734,84030,7260340,7258381&amp;pre=&amp;pre=&amp;pre=&amp;pre=&amp;pre=&amp;pre=&amp;suf=&amp;suf=&amp;suf=&amp;suf=&amp;suf=&amp;suf=&amp;sa=0,0,0,0,0,0" TargetMode="External"/><Relationship Id="rId559" Type="http://schemas.openxmlformats.org/officeDocument/2006/relationships/hyperlink" Target="https://sciwheel.com/work/citation?ids=1524111&amp;pre=&amp;suf=&amp;sa=0" TargetMode="External"/><Relationship Id="rId766" Type="http://schemas.openxmlformats.org/officeDocument/2006/relationships/hyperlink" Target="https://sciwheel.com/work/citation?ids=4472797,3273105,15270449,3374500&amp;pre=&amp;pre=&amp;pre=&amp;pre=&amp;suf=&amp;suf=&amp;suf=&amp;suf=&amp;sa=0,0,0,0" TargetMode="External"/><Relationship Id="rId198" Type="http://schemas.openxmlformats.org/officeDocument/2006/relationships/hyperlink" Target="https://sciwheel.com/work/citation?ids=14854252,15039791&amp;pre=&amp;pre=&amp;suf=&amp;suf=&amp;sa=0,0" TargetMode="External"/><Relationship Id="rId321" Type="http://schemas.openxmlformats.org/officeDocument/2006/relationships/hyperlink" Target="https://sciwheel.com/work/citation?ids=8307084&amp;pre=&amp;suf=&amp;sa=0" TargetMode="External"/><Relationship Id="rId419" Type="http://schemas.openxmlformats.org/officeDocument/2006/relationships/hyperlink" Target="https://github.com/Mensen/ept_TFCE-matlab" TargetMode="External"/><Relationship Id="rId626" Type="http://schemas.openxmlformats.org/officeDocument/2006/relationships/hyperlink" Target="https://sciwheel.com/work/citation?ids=2539791&amp;pre=&amp;suf=&amp;sa=0" TargetMode="External"/><Relationship Id="rId833" Type="http://schemas.openxmlformats.org/officeDocument/2006/relationships/hyperlink" Target="https://sciwheel.com/work/citation?ids=1070790,2616094&amp;pre=&amp;pre=&amp;suf=&amp;suf=&amp;sa=0,0" TargetMode="External"/><Relationship Id="rId265" Type="http://schemas.openxmlformats.org/officeDocument/2006/relationships/hyperlink" Target="https://sciwheel.com/work/citation?ids=1785345,798505,10549590&amp;pre=&amp;pre=&amp;pre=&amp;suf=&amp;suf=&amp;suf=&amp;sa=0,0,0" TargetMode="External"/><Relationship Id="rId472" Type="http://schemas.openxmlformats.org/officeDocument/2006/relationships/hyperlink" Target="https://sciwheel.com/work/citation?ids=84030,7260340&amp;pre=&amp;pre=&amp;suf=&amp;suf=&amp;sa=0,0" TargetMode="External"/><Relationship Id="rId125" Type="http://schemas.openxmlformats.org/officeDocument/2006/relationships/hyperlink" Target="https://sciwheel.com/work/citation?ids=891054&amp;pre=&amp;suf=&amp;sa=0" TargetMode="External"/><Relationship Id="rId332" Type="http://schemas.openxmlformats.org/officeDocument/2006/relationships/hyperlink" Target="https://sciwheel.com/work/citation?ids=5157968,1169646&amp;pre=&amp;pre=&amp;suf=&amp;suf=&amp;sa=0,0" TargetMode="External"/><Relationship Id="rId777" Type="http://schemas.openxmlformats.org/officeDocument/2006/relationships/hyperlink" Target="https://sciwheel.com/work/citation?ids=6132352,651941&amp;pre=&amp;pre=&amp;suf=&amp;suf=&amp;sa=0,0" TargetMode="External"/><Relationship Id="rId637" Type="http://schemas.openxmlformats.org/officeDocument/2006/relationships/hyperlink" Target="https://sciwheel.com/work/citation?ids=5551763&amp;pre=&amp;suf=&amp;sa=0" TargetMode="External"/><Relationship Id="rId844" Type="http://schemas.openxmlformats.org/officeDocument/2006/relationships/hyperlink" Target="https://sciwheel.com/work/citation?ids=446758&amp;pre=&amp;suf=&amp;sa=0" TargetMode="External"/><Relationship Id="rId276" Type="http://schemas.openxmlformats.org/officeDocument/2006/relationships/hyperlink" Target="https://sciwheel.com/work/citation?ids=7441132&amp;pre=&amp;suf=&amp;sa=0" TargetMode="External"/><Relationship Id="rId483" Type="http://schemas.openxmlformats.org/officeDocument/2006/relationships/hyperlink" Target="https://sciwheel.com/work/citation?ids=14512664&amp;pre=&amp;suf=&amp;sa=0" TargetMode="External"/><Relationship Id="rId690" Type="http://schemas.openxmlformats.org/officeDocument/2006/relationships/hyperlink" Target="https://sciwheel.com/work/citation?ids=3152148,15020390&amp;pre=&amp;pre=&amp;suf=&amp;suf=&amp;sa=0,0" TargetMode="External"/><Relationship Id="rId704" Type="http://schemas.openxmlformats.org/officeDocument/2006/relationships/hyperlink" Target="https://sciwheel.com/work/citation?ids=4472797,3273105,15270449,3374500&amp;pre=&amp;pre=&amp;pre=&amp;pre=&amp;suf=&amp;suf=&amp;suf=&amp;suf=&amp;sa=0,0,0,0" TargetMode="External"/><Relationship Id="rId40" Type="http://schemas.openxmlformats.org/officeDocument/2006/relationships/hyperlink" Target="https://sciwheel.com/work/citation?ids=6281872&amp;pre=&amp;suf=&amp;sa=0" TargetMode="External"/><Relationship Id="rId136" Type="http://schemas.openxmlformats.org/officeDocument/2006/relationships/hyperlink" Target="https://sciwheel.com/work/citation?ids=84030&amp;pre=&amp;suf=&amp;sa=0" TargetMode="External"/><Relationship Id="rId343" Type="http://schemas.openxmlformats.org/officeDocument/2006/relationships/hyperlink" Target="https://sciwheel.com/work/citation?ids=141966&amp;pre=&amp;suf=&amp;sa=0" TargetMode="External"/><Relationship Id="rId550" Type="http://schemas.openxmlformats.org/officeDocument/2006/relationships/hyperlink" Target="https://sciwheel.com/work/citation?ids=5407283,797135&amp;pre=&amp;pre=&amp;suf=&amp;suf=&amp;sa=0,0" TargetMode="External"/><Relationship Id="rId788" Type="http://schemas.openxmlformats.org/officeDocument/2006/relationships/hyperlink" Target="https://sciwheel.com/work/citation?ids=996539&amp;pre=&amp;suf=&amp;sa=0" TargetMode="External"/><Relationship Id="rId203" Type="http://schemas.openxmlformats.org/officeDocument/2006/relationships/hyperlink" Target="https://sciwheel.com/work/citation?ids=1102778,435317&amp;pre=&amp;pre=&amp;suf=&amp;suf=&amp;sa=0,0" TargetMode="External"/><Relationship Id="rId648" Type="http://schemas.openxmlformats.org/officeDocument/2006/relationships/hyperlink" Target="https://sciwheel.com/work/citation?ids=3457105,11125912&amp;pre=&amp;pre=&amp;suf=&amp;suf=&amp;sa=0,0" TargetMode="External"/><Relationship Id="rId855" Type="http://schemas.openxmlformats.org/officeDocument/2006/relationships/hyperlink" Target="https://sciwheel.com/work/citation?ids=1523984,986552,481057,3499209&amp;pre=&amp;pre=&amp;pre=&amp;pre=&amp;suf=&amp;suf=&amp;suf=&amp;suf=&amp;sa=0,0,0,0" TargetMode="External"/><Relationship Id="rId287" Type="http://schemas.openxmlformats.org/officeDocument/2006/relationships/hyperlink" Target="https://sciwheel.com/work/citation?ids=6006897,377937&amp;pre=&amp;pre=&amp;suf=&amp;suf=&amp;sa=0,0" TargetMode="External"/><Relationship Id="rId410" Type="http://schemas.openxmlformats.org/officeDocument/2006/relationships/hyperlink" Target="https://sciwheel.com/work/citation?ids=14643055&amp;pre=&amp;suf=&amp;sa=0" TargetMode="External"/><Relationship Id="rId494" Type="http://schemas.openxmlformats.org/officeDocument/2006/relationships/hyperlink" Target="https://sciwheel.com/work/citation?ids=10615229&amp;pre=&amp;suf=&amp;sa=0" TargetMode="External"/><Relationship Id="rId508" Type="http://schemas.openxmlformats.org/officeDocument/2006/relationships/hyperlink" Target="https://sciwheel.com/work/citation?ids=15081837&amp;pre=&amp;suf=&amp;sa=0" TargetMode="External"/><Relationship Id="rId715" Type="http://schemas.openxmlformats.org/officeDocument/2006/relationships/hyperlink" Target="https://sciwheel.com/work/citation?ids=2370222&amp;pre=&amp;suf=&amp;sa=0" TargetMode="External"/><Relationship Id="rId147" Type="http://schemas.openxmlformats.org/officeDocument/2006/relationships/hyperlink" Target="https://sciwheel.com/work/citation?ids=3273372&amp;pre=&amp;suf=&amp;sa=0" TargetMode="External"/><Relationship Id="rId354" Type="http://schemas.openxmlformats.org/officeDocument/2006/relationships/hyperlink" Target="https://sciwheel.com/work/citation?ids=355759,382910&amp;pre=&amp;pre=&amp;suf=&amp;suf=&amp;sa=0,0" TargetMode="External"/><Relationship Id="rId799" Type="http://schemas.openxmlformats.org/officeDocument/2006/relationships/hyperlink" Target="https://sciwheel.com/work/citation?ids=15190497&amp;pre=&amp;suf=&amp;sa=0" TargetMode="External"/><Relationship Id="rId51" Type="http://schemas.openxmlformats.org/officeDocument/2006/relationships/hyperlink" Target="https://sciwheel.com/work/citation?ids=5157968,1169646&amp;pre=&amp;pre=&amp;suf=&amp;suf=&amp;sa=0,0" TargetMode="External"/><Relationship Id="rId561" Type="http://schemas.openxmlformats.org/officeDocument/2006/relationships/hyperlink" Target="http://preprocessed-connectomes-project.org/abide/quality_assessment.html" TargetMode="External"/><Relationship Id="rId659" Type="http://schemas.openxmlformats.org/officeDocument/2006/relationships/hyperlink" Target="https://sciwheel.com/work/citation?ids=10615282,10350559&amp;pre=&amp;pre=&amp;suf=&amp;suf=&amp;sa=0,0" TargetMode="External"/><Relationship Id="rId866" Type="http://schemas.openxmlformats.org/officeDocument/2006/relationships/hyperlink" Target="https://sciwheel.com/work/citation?ids=9163321&amp;pre=&amp;suf=&amp;sa=0" TargetMode="External"/><Relationship Id="rId214" Type="http://schemas.openxmlformats.org/officeDocument/2006/relationships/hyperlink" Target="https://sciwheel.com/work/citation?ids=5185756&amp;pre=&amp;suf=&amp;sa=0" TargetMode="External"/><Relationship Id="rId298" Type="http://schemas.openxmlformats.org/officeDocument/2006/relationships/hyperlink" Target="https://sciwheel.com/work/citation?ids=12031712&amp;pre=&amp;suf=&amp;sa=0" TargetMode="External"/><Relationship Id="rId421" Type="http://schemas.openxmlformats.org/officeDocument/2006/relationships/image" Target="media/image9.jpeg"/><Relationship Id="rId519" Type="http://schemas.openxmlformats.org/officeDocument/2006/relationships/hyperlink" Target="https://sciwheel.com/work/citation?ids=15113482&amp;pre=&amp;suf=&amp;sa=0" TargetMode="External"/><Relationship Id="rId158" Type="http://schemas.openxmlformats.org/officeDocument/2006/relationships/hyperlink" Target="https://sciwheel.com/work/citation?ids=7260340&amp;pre=&amp;suf=&amp;sa=0" TargetMode="External"/><Relationship Id="rId726" Type="http://schemas.openxmlformats.org/officeDocument/2006/relationships/hyperlink" Target="https://sciwheel.com/work/citation?ids=4472797,3273105,15270449,3374500&amp;pre=&amp;pre=&amp;pre=&amp;pre=&amp;suf=&amp;suf=&amp;suf=&amp;suf=&amp;sa=0,0,0,0" TargetMode="External"/><Relationship Id="rId62" Type="http://schemas.openxmlformats.org/officeDocument/2006/relationships/hyperlink" Target="https://sciwheel.com/work/citation?ids=1384960,1364930&amp;pre=&amp;pre=&amp;suf=&amp;suf=&amp;sa=0,0" TargetMode="External"/><Relationship Id="rId365" Type="http://schemas.openxmlformats.org/officeDocument/2006/relationships/hyperlink" Target="https://sciwheel.com/work/citation?ids=797135,7088042&amp;pre=&amp;pre=&amp;suf=&amp;suf=&amp;sa=0,0" TargetMode="External"/><Relationship Id="rId572" Type="http://schemas.openxmlformats.org/officeDocument/2006/relationships/image" Target="media/image19.png"/><Relationship Id="rId225" Type="http://schemas.openxmlformats.org/officeDocument/2006/relationships/hyperlink" Target="https://sciwheel.com/work/citation?ids=15319825&amp;pre=&amp;suf=&amp;sa=0" TargetMode="External"/><Relationship Id="rId432" Type="http://schemas.openxmlformats.org/officeDocument/2006/relationships/hyperlink" Target="https://sciwheel.com/work/citation?ids=823772&amp;pre=&amp;suf=&amp;sa=0" TargetMode="External"/><Relationship Id="rId877" Type="http://schemas.openxmlformats.org/officeDocument/2006/relationships/hyperlink" Target="https://doi.org/10.1016/j.cmpb.2019.105240" TargetMode="External"/><Relationship Id="rId737" Type="http://schemas.openxmlformats.org/officeDocument/2006/relationships/hyperlink" Target="https://sciwheel.com/work/citation?ids=282462,161618&amp;pre=&amp;pre=&amp;suf=&amp;suf=&amp;sa=0,0" TargetMode="External"/><Relationship Id="rId73" Type="http://schemas.openxmlformats.org/officeDocument/2006/relationships/hyperlink" Target="https://sciwheel.com/work/citation?ids=12277509&amp;pre=&amp;suf=&amp;sa=0" TargetMode="External"/><Relationship Id="rId169" Type="http://schemas.openxmlformats.org/officeDocument/2006/relationships/hyperlink" Target="https://sciwheel.com/work/citation?ids=8257946,15028783&amp;pre=&amp;pre=&amp;suf=&amp;suf=&amp;sa=0,0" TargetMode="External"/><Relationship Id="rId376" Type="http://schemas.openxmlformats.org/officeDocument/2006/relationships/hyperlink" Target="https://sciwheel.com/work/citation?ids=1008273,15097299,6435087,10692354&amp;pre=&amp;pre=&amp;pre=&amp;pre=&amp;suf=&amp;suf=&amp;suf=&amp;suf=&amp;sa=0,0,0,0" TargetMode="External"/><Relationship Id="rId583" Type="http://schemas.openxmlformats.org/officeDocument/2006/relationships/hyperlink" Target="https://github.com/Chaogan-Yan/DPABI" TargetMode="External"/><Relationship Id="rId790" Type="http://schemas.openxmlformats.org/officeDocument/2006/relationships/hyperlink" Target="https://sciwheel.com/work/citation?ids=339143&amp;pre=&amp;suf=&amp;sa=0" TargetMode="External"/><Relationship Id="rId804" Type="http://schemas.openxmlformats.org/officeDocument/2006/relationships/hyperlink" Target="https://sciwheel.com/work/citation?ids=3018204,6954330&amp;pre=&amp;pre=&amp;suf=&amp;suf=&amp;sa=0,0" TargetMode="External"/><Relationship Id="rId4" Type="http://schemas.openxmlformats.org/officeDocument/2006/relationships/settings" Target="settings.xml"/><Relationship Id="rId236" Type="http://schemas.openxmlformats.org/officeDocument/2006/relationships/hyperlink" Target="https://sciwheel.com/work/citation?ids=15039540&amp;pre=&amp;suf=&amp;sa=0" TargetMode="External"/><Relationship Id="rId443" Type="http://schemas.openxmlformats.org/officeDocument/2006/relationships/hyperlink" Target="https://sciwheel.com/work/citation?ids=14130454,15041926&amp;pre=&amp;pre=&amp;suf=&amp;suf=&amp;sa=0,0" TargetMode="External"/><Relationship Id="rId650" Type="http://schemas.openxmlformats.org/officeDocument/2006/relationships/hyperlink" Target="https://sciwheel.com/work/citation?ids=4616871,355969&amp;pre=&amp;pre=&amp;suf=&amp;suf=&amp;sa=0,0" TargetMode="External"/><Relationship Id="rId303" Type="http://schemas.openxmlformats.org/officeDocument/2006/relationships/hyperlink" Target="https://sciwheel.com/work/citation?ids=15039540&amp;pre=&amp;suf=&amp;sa=0" TargetMode="External"/><Relationship Id="rId748" Type="http://schemas.openxmlformats.org/officeDocument/2006/relationships/hyperlink" Target="https://sciwheel.com/work/citation?ids=890155&amp;pre=&amp;suf=&amp;sa=0" TargetMode="External"/><Relationship Id="rId84" Type="http://schemas.openxmlformats.org/officeDocument/2006/relationships/hyperlink" Target="https://sciwheel.com/work/citation?ids=161800&amp;pre=&amp;suf=&amp;sa=0" TargetMode="External"/><Relationship Id="rId387" Type="http://schemas.openxmlformats.org/officeDocument/2006/relationships/hyperlink" Target="https://sciwheel.com/work/citation?ids=15010729&amp;pre=&amp;suf=&amp;sa=0" TargetMode="External"/><Relationship Id="rId510" Type="http://schemas.openxmlformats.org/officeDocument/2006/relationships/hyperlink" Target="https://sciwheel.com/work/citation?ids=15081837&amp;pre=&amp;suf=&amp;sa=0" TargetMode="External"/><Relationship Id="rId594" Type="http://schemas.openxmlformats.org/officeDocument/2006/relationships/hyperlink" Target="http://splab.cz/en/download/software/software-pro-sekvencni-selekci-priznaku" TargetMode="External"/><Relationship Id="rId608" Type="http://schemas.openxmlformats.org/officeDocument/2006/relationships/hyperlink" Target="https://sciwheel.com/work/citation?ids=15116342&amp;pre=&amp;suf=&amp;sa=0" TargetMode="External"/><Relationship Id="rId815" Type="http://schemas.openxmlformats.org/officeDocument/2006/relationships/hyperlink" Target="https://sciwheel.com/work/citation?ids=8371800&amp;pre=&amp;suf=&amp;sa=0" TargetMode="External"/><Relationship Id="rId247" Type="http://schemas.openxmlformats.org/officeDocument/2006/relationships/hyperlink" Target="https://sciwheel.com/work/citation?ids=15081367,279618&amp;pre=&amp;pre=&amp;suf=&amp;suf=&amp;sa=0,0" TargetMode="External"/><Relationship Id="rId107" Type="http://schemas.openxmlformats.org/officeDocument/2006/relationships/hyperlink" Target="https://sciwheel.com/work/citation?ids=15020093,14546439&amp;pre=&amp;pre=&amp;suf=&amp;suf=&amp;sa=0,0" TargetMode="External"/><Relationship Id="rId454" Type="http://schemas.openxmlformats.org/officeDocument/2006/relationships/hyperlink" Target="https://sciwheel.com/work/citation?ids=4714157&amp;pre=&amp;suf=&amp;sa=0" TargetMode="External"/><Relationship Id="rId661" Type="http://schemas.openxmlformats.org/officeDocument/2006/relationships/hyperlink" Target="https://sciwheel.com/work/citation?ids=4472797,3273105,15270449,3374500&amp;pre=&amp;pre=&amp;pre=&amp;pre=&amp;suf=&amp;suf=&amp;suf=&amp;suf=&amp;sa=0,0,0,0" TargetMode="External"/><Relationship Id="rId759" Type="http://schemas.openxmlformats.org/officeDocument/2006/relationships/hyperlink" Target="https://sciwheel.com/work/citation?ids=15153300&amp;pre=&amp;suf=&amp;sa=0" TargetMode="External"/><Relationship Id="rId11" Type="http://schemas.openxmlformats.org/officeDocument/2006/relationships/hyperlink" Target="https://github.com/wenyixiao0058/fmristudy.git" TargetMode="External"/><Relationship Id="rId314" Type="http://schemas.openxmlformats.org/officeDocument/2006/relationships/hyperlink" Target="https://sciwheel.com/work/citation?ids=24241&amp;pre=&amp;suf=&amp;sa=0" TargetMode="External"/><Relationship Id="rId398" Type="http://schemas.openxmlformats.org/officeDocument/2006/relationships/hyperlink" Target="https://sciwheel.com/work/citation?ids=279613,284991&amp;pre=&amp;pre=&amp;suf=&amp;suf=&amp;sa=0,0" TargetMode="External"/><Relationship Id="rId521" Type="http://schemas.openxmlformats.org/officeDocument/2006/relationships/hyperlink" Target="https://sciwheel.com/work/citation?ids=15039542&amp;pre=&amp;suf=&amp;sa=0" TargetMode="External"/><Relationship Id="rId619" Type="http://schemas.openxmlformats.org/officeDocument/2006/relationships/hyperlink" Target="https://sciwheel.com/work/citation?ids=15116380,798505,1785345,10549590&amp;pre=&amp;pre=&amp;pre=&amp;pre=&amp;suf=&amp;suf=&amp;suf=&amp;suf=&amp;sa=0,0,0,0" TargetMode="External"/><Relationship Id="rId95" Type="http://schemas.openxmlformats.org/officeDocument/2006/relationships/hyperlink" Target="https://sciwheel.com/work/citation?ids=5157968,1169646&amp;pre=&amp;pre=&amp;suf=&amp;suf=&amp;sa=0,0" TargetMode="External"/><Relationship Id="rId160" Type="http://schemas.openxmlformats.org/officeDocument/2006/relationships/hyperlink" Target="https://sciwheel.com/work/citation?ids=5741192&amp;pre=&amp;suf=&amp;sa=0" TargetMode="External"/><Relationship Id="rId826" Type="http://schemas.openxmlformats.org/officeDocument/2006/relationships/hyperlink" Target="https://sciwheel.com/work/citation?ids=3497540,968830&amp;pre=&amp;pre=&amp;suf=&amp;suf=&amp;sa=0,0" TargetMode="External"/><Relationship Id="rId258" Type="http://schemas.openxmlformats.org/officeDocument/2006/relationships/hyperlink" Target="https://sciwheel.com/work/citation?ids=1785345,15088817,9944274&amp;pre=&amp;pre=&amp;pre=&amp;suf=&amp;suf=&amp;suf=&amp;sa=0,0,0" TargetMode="External"/><Relationship Id="rId465" Type="http://schemas.openxmlformats.org/officeDocument/2006/relationships/hyperlink" Target="https://sciwheel.com/work/citation?ids=3166673,13542184&amp;pre=&amp;pre=&amp;suf=&amp;suf=&amp;sa=0,0" TargetMode="External"/><Relationship Id="rId672" Type="http://schemas.openxmlformats.org/officeDocument/2006/relationships/image" Target="media/image33.jpg"/><Relationship Id="rId22" Type="http://schemas.openxmlformats.org/officeDocument/2006/relationships/hyperlink" Target="https://www.sciencedirect.com/topics/pharmacology-toxicology-and-pharmaceutical-science/diagnostic-and-statistical-manual-of-mental-disorders" TargetMode="External"/><Relationship Id="rId118" Type="http://schemas.openxmlformats.org/officeDocument/2006/relationships/hyperlink" Target="https://sciwheel.com/work/citation?ids=15028697&amp;pre=&amp;suf=&amp;sa=0" TargetMode="External"/><Relationship Id="rId325" Type="http://schemas.openxmlformats.org/officeDocument/2006/relationships/hyperlink" Target="https://sciwheel.com/work/citation?ids=10552675&amp;pre=&amp;suf=&amp;sa=0" TargetMode="External"/><Relationship Id="rId532" Type="http://schemas.openxmlformats.org/officeDocument/2006/relationships/hyperlink" Target="https://sciwheel.com/work/citation?ids=4472797,3273105,15270449,3374500&amp;pre=&amp;pre=&amp;pre=&amp;pre=&amp;suf=&amp;suf=&amp;suf=&amp;suf=&amp;sa=0,0,0,0" TargetMode="External"/><Relationship Id="rId171" Type="http://schemas.openxmlformats.org/officeDocument/2006/relationships/hyperlink" Target="https://sciwheel.com/work/citation?ids=8257946,15028783&amp;pre=&amp;pre=&amp;suf=&amp;suf=&amp;sa=0,0" TargetMode="External"/><Relationship Id="rId837" Type="http://schemas.openxmlformats.org/officeDocument/2006/relationships/hyperlink" Target="https://sciwheel.com/work/citation?ids=1070790,2616094&amp;pre=&amp;pre=&amp;suf=&amp;suf=&amp;sa=0,0" TargetMode="External"/><Relationship Id="rId269" Type="http://schemas.openxmlformats.org/officeDocument/2006/relationships/hyperlink" Target="https://sciwheel.com/work/citation?ids=3770500,798505&amp;pre=&amp;pre=&amp;suf=&amp;suf=&amp;sa=0,0" TargetMode="External"/><Relationship Id="rId476" Type="http://schemas.openxmlformats.org/officeDocument/2006/relationships/hyperlink" Target="https://sciwheel.com/work/citation?ids=13507560&amp;pre=&amp;suf=&amp;sa=0" TargetMode="External"/><Relationship Id="rId683" Type="http://schemas.openxmlformats.org/officeDocument/2006/relationships/hyperlink" Target="https://sciwheel.com/work/citation?ids=14102755,1524625&amp;pre=&amp;pre=&amp;suf=&amp;suf=&amp;sa=0,0" TargetMode="External"/><Relationship Id="rId33" Type="http://schemas.openxmlformats.org/officeDocument/2006/relationships/hyperlink" Target="https://sciwheel.com/work/citation?ids=8463325&amp;pre=&amp;suf=&amp;sa=0" TargetMode="External"/><Relationship Id="rId129" Type="http://schemas.openxmlformats.org/officeDocument/2006/relationships/hyperlink" Target="https://sciwheel.com/work/citation?ids=823772&amp;pre=&amp;suf=&amp;sa=0" TargetMode="External"/><Relationship Id="rId336" Type="http://schemas.openxmlformats.org/officeDocument/2006/relationships/hyperlink" Target="https://sciwheel.com/work/citation?ids=15095267&amp;pre=&amp;suf=&amp;sa=0" TargetMode="External"/><Relationship Id="rId543" Type="http://schemas.openxmlformats.org/officeDocument/2006/relationships/hyperlink" Target="https://sciwheel.com/work/citation?ids=2985913,15266899&amp;pre=&amp;pre=&amp;suf=&amp;suf=&amp;sa=0,0" TargetMode="External"/><Relationship Id="rId182" Type="http://schemas.openxmlformats.org/officeDocument/2006/relationships/hyperlink" Target="https://sciwheel.com/work/citation?ids=15039503&amp;pre=&amp;suf=&amp;sa=0" TargetMode="External"/><Relationship Id="rId403" Type="http://schemas.openxmlformats.org/officeDocument/2006/relationships/hyperlink" Target="https://sciwheel.com/work/citation?ids=8596649&amp;pre=&amp;suf=&amp;sa=0" TargetMode="External"/><Relationship Id="rId750" Type="http://schemas.openxmlformats.org/officeDocument/2006/relationships/hyperlink" Target="https://sciwheel.com/work/citation?ids=7105790&amp;pre=&amp;suf=&amp;sa=0" TargetMode="External"/><Relationship Id="rId848" Type="http://schemas.openxmlformats.org/officeDocument/2006/relationships/hyperlink" Target="https://sciwheel.com/work/citation?ids=1524118,3457105,1524094,7262623&amp;pre=&amp;pre=&amp;pre=&amp;pre=&amp;suf=&amp;suf=&amp;suf=&amp;suf=&amp;sa=0,0,0,0" TargetMode="External"/><Relationship Id="rId487" Type="http://schemas.openxmlformats.org/officeDocument/2006/relationships/hyperlink" Target="https://sciwheel.com/work/citation?ids=4940855&amp;pre=&amp;suf=&amp;sa=0" TargetMode="External"/><Relationship Id="rId610" Type="http://schemas.openxmlformats.org/officeDocument/2006/relationships/hyperlink" Target="https://sciwheel.com/work/citation?ids=1374915&amp;pre=&amp;suf=&amp;sa=0" TargetMode="External"/><Relationship Id="rId694" Type="http://schemas.openxmlformats.org/officeDocument/2006/relationships/hyperlink" Target="https://sciwheel.com/work/citation?ids=15020369&amp;pre=&amp;suf=&amp;sa=0" TargetMode="External"/><Relationship Id="rId708" Type="http://schemas.openxmlformats.org/officeDocument/2006/relationships/hyperlink" Target="https://sciwheel.com/work/citation?ids=15014578&amp;pre=&amp;suf=&amp;sa=0" TargetMode="External"/><Relationship Id="rId347" Type="http://schemas.openxmlformats.org/officeDocument/2006/relationships/hyperlink" Target="https://sciwheel.com/work/citation?ids=1746958&amp;pre=&amp;suf=&amp;sa=0" TargetMode="External"/><Relationship Id="rId44" Type="http://schemas.openxmlformats.org/officeDocument/2006/relationships/hyperlink" Target="https://sciwheel.com/work/citation?ids=14454602&amp;pre=&amp;suf=&amp;sa=0" TargetMode="External"/><Relationship Id="rId554" Type="http://schemas.openxmlformats.org/officeDocument/2006/relationships/hyperlink" Target="http://preprocessed-connectomes-project.org/quality-assessment-protocol/index.html" TargetMode="External"/><Relationship Id="rId761" Type="http://schemas.openxmlformats.org/officeDocument/2006/relationships/hyperlink" Target="https://sciwheel.com/work/citation?ids=4472797,3273105,15270449,3374500&amp;pre=&amp;pre=&amp;pre=&amp;pre=&amp;suf=&amp;suf=&amp;suf=&amp;suf=&amp;sa=0,0,0,0" TargetMode="External"/><Relationship Id="rId859" Type="http://schemas.openxmlformats.org/officeDocument/2006/relationships/hyperlink" Target="https://sciwheel.com/work/citation?ids=3502457&amp;pre=&amp;suf=&amp;sa=0" TargetMode="External"/><Relationship Id="rId193" Type="http://schemas.openxmlformats.org/officeDocument/2006/relationships/hyperlink" Target="https://sciwheel.com/work/citation?ids=5157968,1169646&amp;pre=&amp;pre=&amp;suf=&amp;suf=&amp;sa=0,0" TargetMode="External"/><Relationship Id="rId207" Type="http://schemas.openxmlformats.org/officeDocument/2006/relationships/hyperlink" Target="https://sciwheel.com/work/citation?ids=1485232&amp;pre=&amp;suf=&amp;sa=0" TargetMode="External"/><Relationship Id="rId414" Type="http://schemas.openxmlformats.org/officeDocument/2006/relationships/hyperlink" Target="https://github.com/adede1988/SheffieldAutismBiomarkers" TargetMode="External"/><Relationship Id="rId498" Type="http://schemas.openxmlformats.org/officeDocument/2006/relationships/hyperlink" Target="https://sciwheel.com/work/citation?ids=10615229&amp;pre=&amp;suf=&amp;sa=0" TargetMode="External"/><Relationship Id="rId621" Type="http://schemas.openxmlformats.org/officeDocument/2006/relationships/hyperlink" Target="https://sciwheel.com/work/citation?ids=2397881,3165926&amp;pre=&amp;pre=&amp;suf=&amp;suf=&amp;sa=0,0" TargetMode="External"/><Relationship Id="rId260" Type="http://schemas.openxmlformats.org/officeDocument/2006/relationships/hyperlink" Target="https://sciwheel.com/work/citation?ids=1524094&amp;pre=&amp;suf=&amp;sa=0" TargetMode="External"/><Relationship Id="rId719" Type="http://schemas.openxmlformats.org/officeDocument/2006/relationships/hyperlink" Target="https://sciwheel.com/work/citation?ids=4689011&amp;pre=&amp;suf=&amp;sa=0" TargetMode="External"/><Relationship Id="rId55" Type="http://schemas.openxmlformats.org/officeDocument/2006/relationships/hyperlink" Target="https://sciwheel.com/work/citation?ids=14003189&amp;pre=&amp;suf=&amp;sa=0" TargetMode="External"/><Relationship Id="rId120" Type="http://schemas.openxmlformats.org/officeDocument/2006/relationships/hyperlink" Target="https://sciwheel.com/work/citation?ids=14512664&amp;pre=&amp;suf=&amp;sa=0" TargetMode="External"/><Relationship Id="rId358" Type="http://schemas.openxmlformats.org/officeDocument/2006/relationships/hyperlink" Target="https://sciwheel.com/work/citation?ids=7262623,800981,1381116&amp;pre=&amp;pre=&amp;pre=&amp;suf=&amp;suf=&amp;suf=&amp;sa=0,0,0" TargetMode="External"/><Relationship Id="rId565" Type="http://schemas.openxmlformats.org/officeDocument/2006/relationships/hyperlink" Target="https://sciwheel.com/work/citation?ids=4689011&amp;pre=&amp;suf=&amp;sa=0" TargetMode="External"/><Relationship Id="rId772" Type="http://schemas.openxmlformats.org/officeDocument/2006/relationships/hyperlink" Target="https://sciwheel.com/work/citation?ids=5551763&amp;pre=&amp;suf=&amp;sa=0" TargetMode="External"/><Relationship Id="rId218" Type="http://schemas.openxmlformats.org/officeDocument/2006/relationships/hyperlink" Target="https://sciwheel.com/work/citation?ids=5157968,1169646&amp;pre=&amp;pre=&amp;suf=&amp;suf=&amp;sa=0,0" TargetMode="External"/><Relationship Id="rId425" Type="http://schemas.openxmlformats.org/officeDocument/2006/relationships/image" Target="media/image13.jpeg"/><Relationship Id="rId632" Type="http://schemas.openxmlformats.org/officeDocument/2006/relationships/hyperlink" Target="https://sciwheel.com/work/citation?ids=4472797,3273105,15270449,3374500&amp;pre=&amp;pre=&amp;pre=&amp;pre=&amp;suf=&amp;suf=&amp;suf=&amp;suf=&amp;sa=0,0,0,0" TargetMode="External"/><Relationship Id="rId271" Type="http://schemas.openxmlformats.org/officeDocument/2006/relationships/hyperlink" Target="https://sciwheel.com/work/citation?ids=795996,446758&amp;pre=&amp;pre=&amp;suf=&amp;suf=&amp;sa=0,0" TargetMode="External"/><Relationship Id="rId66" Type="http://schemas.openxmlformats.org/officeDocument/2006/relationships/hyperlink" Target="https://sciwheel.com/work/citation?ids=15210894,13722374&amp;pre=&amp;pre=&amp;suf=&amp;suf=&amp;sa=0,0" TargetMode="External"/><Relationship Id="rId131" Type="http://schemas.openxmlformats.org/officeDocument/2006/relationships/hyperlink" Target="https://sciwheel.com/work/citation?ids=9050860,338810&amp;pre=&amp;pre=&amp;suf=&amp;suf=&amp;sa=0,0" TargetMode="External"/><Relationship Id="rId369" Type="http://schemas.openxmlformats.org/officeDocument/2006/relationships/hyperlink" Target="https://sciwheel.com/work/citation?ids=15097045,1008311&amp;pre=&amp;pre=&amp;suf=&amp;suf=&amp;sa=0,0" TargetMode="External"/><Relationship Id="rId576" Type="http://schemas.openxmlformats.org/officeDocument/2006/relationships/hyperlink" Target="https://sciwheel.com/work/citation?ids=1071369&amp;pre=&amp;suf=&amp;sa=0" TargetMode="External"/><Relationship Id="rId783" Type="http://schemas.openxmlformats.org/officeDocument/2006/relationships/hyperlink" Target="https://sciwheel.com/work/citation?ids=23177&amp;pre=&amp;suf=&amp;sa=0" TargetMode="External"/><Relationship Id="rId229" Type="http://schemas.openxmlformats.org/officeDocument/2006/relationships/image" Target="media/image3.jpeg"/><Relationship Id="rId436" Type="http://schemas.openxmlformats.org/officeDocument/2006/relationships/hyperlink" Target="https://sciwheel.com/work/citation?ids=8460976,15041796,15041797,13507560&amp;pre=&amp;pre=&amp;pre=&amp;pre=&amp;suf=&amp;suf=&amp;suf=&amp;suf=&amp;sa=0,0,0,0" TargetMode="External"/><Relationship Id="rId643" Type="http://schemas.openxmlformats.org/officeDocument/2006/relationships/hyperlink" Target="https://sciwheel.com/work/citation?ids=15039542,12031712&amp;pre=&amp;pre=&amp;suf=&amp;suf=&amp;sa=0,0" TargetMode="External"/><Relationship Id="rId850" Type="http://schemas.openxmlformats.org/officeDocument/2006/relationships/hyperlink" Target="https://sciwheel.com/work/citation?ids=1524118,3457105,1524094,7262623&amp;pre=&amp;pre=&amp;pre=&amp;pre=&amp;suf=&amp;suf=&amp;suf=&amp;suf=&amp;sa=0,0,0,0" TargetMode="External"/><Relationship Id="rId77" Type="http://schemas.openxmlformats.org/officeDocument/2006/relationships/hyperlink" Target="https://sciwheel.com/work/citation?ids=3499717&amp;pre=&amp;suf=&amp;sa=0" TargetMode="External"/><Relationship Id="rId282" Type="http://schemas.openxmlformats.org/officeDocument/2006/relationships/hyperlink" Target="https://sciwheel.com/work/citation?ids=3770500,10549590,795996&amp;pre=&amp;pre=&amp;pre=&amp;suf=&amp;suf=&amp;suf=&amp;sa=0,0,0" TargetMode="External"/><Relationship Id="rId503" Type="http://schemas.openxmlformats.org/officeDocument/2006/relationships/hyperlink" Target="https://sciwheel.com/work/citation?ids=6632811,15014578,15039540,3499757&amp;pre=&amp;pre=&amp;pre=&amp;pre=&amp;suf=&amp;suf=&amp;suf=&amp;suf=&amp;sa=0,0,0,0" TargetMode="External"/><Relationship Id="rId587" Type="http://schemas.openxmlformats.org/officeDocument/2006/relationships/hyperlink" Target="https://sciwheel.com/work/citation?ids=15126003&amp;pre=&amp;suf=&amp;sa=0" TargetMode="External"/><Relationship Id="rId710" Type="http://schemas.openxmlformats.org/officeDocument/2006/relationships/image" Target="media/image34.png"/><Relationship Id="rId808" Type="http://schemas.openxmlformats.org/officeDocument/2006/relationships/hyperlink" Target="https://sciwheel.com/work/citation?ids=6278963&amp;pre=&amp;suf=&amp;sa=0" TargetMode="External"/><Relationship Id="rId8" Type="http://schemas.openxmlformats.org/officeDocument/2006/relationships/image" Target="media/image1.png"/><Relationship Id="rId142" Type="http://schemas.openxmlformats.org/officeDocument/2006/relationships/hyperlink" Target="https://sciwheel.com/work/citation?ids=9050860,338810&amp;pre=&amp;pre=&amp;suf=&amp;suf=&amp;sa=0,0" TargetMode="External"/><Relationship Id="rId447" Type="http://schemas.openxmlformats.org/officeDocument/2006/relationships/hyperlink" Target="https://sciwheel.com/work/citation?ids=14130454,15041926&amp;pre=&amp;pre=&amp;suf=&amp;suf=&amp;sa=0,0" TargetMode="External"/><Relationship Id="rId794" Type="http://schemas.openxmlformats.org/officeDocument/2006/relationships/hyperlink" Target="https://sciwheel.com/work/citation?ids=1305395&amp;pre=&amp;suf=&amp;sa=0" TargetMode="External"/><Relationship Id="rId654" Type="http://schemas.openxmlformats.org/officeDocument/2006/relationships/hyperlink" Target="https://sciwheel.com/work/citation?ids=4472797,3273105,15270449,3374500&amp;pre=&amp;pre=&amp;pre=&amp;pre=&amp;suf=&amp;suf=&amp;suf=&amp;suf=&amp;sa=0,0,0,0" TargetMode="External"/><Relationship Id="rId861" Type="http://schemas.openxmlformats.org/officeDocument/2006/relationships/hyperlink" Target="https://sciwheel.com/work/citation?ids=1524103,533653&amp;pre=&amp;pre=&amp;suf=&amp;suf=&amp;sa=0,0" TargetMode="External"/><Relationship Id="rId293" Type="http://schemas.openxmlformats.org/officeDocument/2006/relationships/hyperlink" Target="https://sciwheel.com/work/citation?ids=10626305&amp;pre=&amp;suf=&amp;sa=0" TargetMode="External"/><Relationship Id="rId307" Type="http://schemas.openxmlformats.org/officeDocument/2006/relationships/hyperlink" Target="https://sciwheel.com/work/citation?ids=5157968,1169646&amp;pre=&amp;pre=&amp;suf=&amp;suf=&amp;sa=0,0" TargetMode="External"/><Relationship Id="rId514" Type="http://schemas.openxmlformats.org/officeDocument/2006/relationships/hyperlink" Target="https://sciwheel.com/work/citation?ids=377937,6006897&amp;pre=&amp;pre=&amp;suf=&amp;suf=&amp;sa=0,0" TargetMode="External"/><Relationship Id="rId721" Type="http://schemas.openxmlformats.org/officeDocument/2006/relationships/hyperlink" Target="https://github.com/Chaogan-Yan/DPABI" TargetMode="External"/><Relationship Id="rId88" Type="http://schemas.openxmlformats.org/officeDocument/2006/relationships/hyperlink" Target="https://sciwheel.com/work/citation?ids=3505162&amp;pre=&amp;suf=&amp;sa=0" TargetMode="External"/><Relationship Id="rId153" Type="http://schemas.openxmlformats.org/officeDocument/2006/relationships/hyperlink" Target="https://sciwheel.com/work/citation?ids=3273372&amp;pre=&amp;suf=&amp;sa=0" TargetMode="External"/><Relationship Id="rId360" Type="http://schemas.openxmlformats.org/officeDocument/2006/relationships/hyperlink" Target="https://sciwheel.com/work/citation?ids=7262623,800981,1381116&amp;pre=&amp;pre=&amp;pre=&amp;suf=&amp;suf=&amp;suf=&amp;sa=0,0,0" TargetMode="External"/><Relationship Id="rId598" Type="http://schemas.openxmlformats.org/officeDocument/2006/relationships/hyperlink" Target="https://surfer.nmr.mgh.harvard.edu/fswiki/CorticalParcellation_Yeo2011" TargetMode="External"/><Relationship Id="rId819" Type="http://schemas.openxmlformats.org/officeDocument/2006/relationships/hyperlink" Target="https://sciwheel.com/work/citation?ids=11623154&amp;pre=&amp;suf=&amp;sa=0" TargetMode="External"/><Relationship Id="rId220" Type="http://schemas.openxmlformats.org/officeDocument/2006/relationships/hyperlink" Target="https://sciwheel.com/work/citation?ids=15039508&amp;pre=&amp;suf=&amp;sa=0" TargetMode="External"/><Relationship Id="rId458" Type="http://schemas.openxmlformats.org/officeDocument/2006/relationships/hyperlink" Target="https://sciwheel.com/work/citation?ids=84030,7260340&amp;pre=&amp;pre=&amp;suf=&amp;suf=&amp;sa=0,0" TargetMode="External"/><Relationship Id="rId665" Type="http://schemas.openxmlformats.org/officeDocument/2006/relationships/image" Target="media/image27.jpg"/><Relationship Id="rId872" Type="http://schemas.openxmlformats.org/officeDocument/2006/relationships/hyperlink" Target="https://www.ema.europa.eu/en/documents/other/letter-support-n170-erp-prognostic-biomarker-adaptive-social-functioning-its-potential-stratify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DDFB9-5756-4BCD-B900-0E818038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286</Pages>
  <Words>84695</Words>
  <Characters>482766</Characters>
  <Application>Microsoft Office Word</Application>
  <DocSecurity>0</DocSecurity>
  <Lines>4023</Lines>
  <Paragraphs>1132</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566329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微 软</cp:lastModifiedBy>
  <cp:revision>44</cp:revision>
  <dcterms:created xsi:type="dcterms:W3CDTF">2023-09-14T10:26:00Z</dcterms:created>
  <dcterms:modified xsi:type="dcterms:W3CDTF">2024-01-25T16:42:00Z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453d556a0da98ef31bff7b6e80b95de0f59e76167be744038f88045be4a735c5</vt:lpwstr>
  </property>
</Properties>
</file>