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93D4D2" w14:textId="31CE1D49" w:rsidR="00687AEF" w:rsidRDefault="001F5396">
      <w:pPr>
        <w:pStyle w:val="Title1"/>
      </w:pPr>
      <w:bookmarkStart w:id="0" w:name="_Hlk146482371"/>
      <w:bookmarkEnd w:id="0"/>
      <w:r>
        <w:t>The regulation of plant growth in response to soil volume and neighbour density</w:t>
      </w:r>
    </w:p>
    <w:p w14:paraId="73474138" w14:textId="77777777" w:rsidR="005261E4" w:rsidRDefault="005261E4">
      <w:pPr>
        <w:pStyle w:val="centred"/>
      </w:pPr>
    </w:p>
    <w:p w14:paraId="76CAD36C" w14:textId="77777777" w:rsidR="001F5396" w:rsidRDefault="001F5396">
      <w:pPr>
        <w:pStyle w:val="centred"/>
      </w:pPr>
    </w:p>
    <w:p w14:paraId="5BDA4D87" w14:textId="77777777" w:rsidR="001F5396" w:rsidRDefault="001F5396">
      <w:pPr>
        <w:pStyle w:val="centred"/>
      </w:pPr>
    </w:p>
    <w:p w14:paraId="312F4908" w14:textId="77777777" w:rsidR="001F5396" w:rsidRDefault="001F5396">
      <w:pPr>
        <w:pStyle w:val="centred"/>
      </w:pPr>
    </w:p>
    <w:p w14:paraId="0F9DF868" w14:textId="710685BA" w:rsidR="00687AEF" w:rsidRDefault="00966451">
      <w:pPr>
        <w:pStyle w:val="centred"/>
      </w:pPr>
      <w:r>
        <w:t>Cara Dee Wheeldon</w:t>
      </w:r>
    </w:p>
    <w:p w14:paraId="3A4F7962" w14:textId="77777777" w:rsidR="00936B02" w:rsidRDefault="00936B02">
      <w:pPr>
        <w:pStyle w:val="centred"/>
      </w:pPr>
    </w:p>
    <w:p w14:paraId="15F08902" w14:textId="218E911E" w:rsidR="00687AEF" w:rsidRDefault="00687AEF">
      <w:pPr>
        <w:pStyle w:val="centred"/>
      </w:pPr>
      <w:r>
        <w:t>Submitted in accordance with the requirements for the degree of</w:t>
      </w:r>
      <w:r>
        <w:br/>
      </w:r>
      <w:r w:rsidR="001F5396">
        <w:t>Doctor of Philosophy</w:t>
      </w:r>
    </w:p>
    <w:p w14:paraId="47C4D47D" w14:textId="77777777" w:rsidR="00687AEF" w:rsidRDefault="00687AEF">
      <w:pPr>
        <w:pStyle w:val="centred"/>
      </w:pPr>
    </w:p>
    <w:p w14:paraId="2AC138AA" w14:textId="77777777" w:rsidR="001F5396" w:rsidRDefault="001F5396">
      <w:pPr>
        <w:pStyle w:val="centred"/>
      </w:pPr>
    </w:p>
    <w:p w14:paraId="6518932E" w14:textId="5261CDD1" w:rsidR="00687AEF" w:rsidRDefault="006B2AF6">
      <w:pPr>
        <w:pStyle w:val="centred"/>
      </w:pPr>
      <w:r>
        <w:t xml:space="preserve">The </w:t>
      </w:r>
      <w:smartTag w:uri="urn:schemas-microsoft-com:office:smarttags" w:element="PlaceType">
        <w:r w:rsidR="00687AEF">
          <w:t>University</w:t>
        </w:r>
      </w:smartTag>
      <w:r w:rsidR="00687AEF">
        <w:t xml:space="preserve"> of Leeds</w:t>
      </w:r>
      <w:r w:rsidR="00FC4A53">
        <w:br/>
      </w:r>
      <w:r w:rsidR="001F5396">
        <w:t>School of Biology</w:t>
      </w:r>
      <w:r w:rsidR="00687AEF">
        <w:br/>
      </w:r>
      <w:r w:rsidR="001F5396">
        <w:t>Centre for Plant Sciences</w:t>
      </w:r>
    </w:p>
    <w:p w14:paraId="7AD32865" w14:textId="77777777" w:rsidR="00687AEF" w:rsidRDefault="00687AEF">
      <w:pPr>
        <w:pStyle w:val="centred"/>
      </w:pPr>
    </w:p>
    <w:p w14:paraId="0AFED91D" w14:textId="646690BA" w:rsidR="00966451" w:rsidRDefault="00966451">
      <w:pPr>
        <w:pStyle w:val="centred"/>
      </w:pPr>
      <w:r>
        <w:t>September, 2023</w:t>
      </w:r>
    </w:p>
    <w:p w14:paraId="5C49C8E2" w14:textId="4204E186" w:rsidR="00687AEF" w:rsidRDefault="003457C0" w:rsidP="001F5396">
      <w:r>
        <w:br w:type="page"/>
      </w:r>
    </w:p>
    <w:p w14:paraId="350FC2C8" w14:textId="77777777" w:rsidR="003D51E6" w:rsidRDefault="003D51E6" w:rsidP="005B0E77">
      <w:pPr>
        <w:sectPr w:rsidR="003D51E6" w:rsidSect="00AC2862">
          <w:footnotePr>
            <w:numRestart w:val="eachSect"/>
          </w:footnotePr>
          <w:type w:val="continuous"/>
          <w:pgSz w:w="11906" w:h="16838"/>
          <w:pgMar w:top="1440" w:right="1296" w:bottom="1152" w:left="2448" w:header="720" w:footer="720" w:gutter="0"/>
          <w:cols w:space="720"/>
        </w:sectPr>
      </w:pPr>
    </w:p>
    <w:p w14:paraId="1353766C" w14:textId="1FE6CB66" w:rsidR="005B0E77" w:rsidRDefault="005B0E77" w:rsidP="005B0E77">
      <w:r>
        <w:lastRenderedPageBreak/>
        <w:t>The candidate confirms that the work submitted is her own, except where work which has formed part of jointly-authored publications has been included. The contribution of the candidate and the other authors to this work has been explicitly indicated below. The candidate confirms that appropriate credit has been given within the thesis where reference has been made to the work of others.</w:t>
      </w:r>
      <w:r w:rsidR="00D577DB">
        <w:t xml:space="preserve">  </w:t>
      </w:r>
    </w:p>
    <w:p w14:paraId="785B410D" w14:textId="77777777" w:rsidR="00301690" w:rsidRDefault="00301690" w:rsidP="005B0E77">
      <w:pPr>
        <w:rPr>
          <w:i/>
        </w:rPr>
      </w:pPr>
    </w:p>
    <w:p w14:paraId="248813B5" w14:textId="77777777" w:rsidR="00E27ED0" w:rsidRDefault="00E27ED0" w:rsidP="00446573"/>
    <w:p w14:paraId="5203210B" w14:textId="77777777" w:rsidR="00C56F88" w:rsidRDefault="00C56F88" w:rsidP="00446573"/>
    <w:p w14:paraId="6995A9FB" w14:textId="77777777" w:rsidR="00C56F88" w:rsidRDefault="00C56F88" w:rsidP="00446573"/>
    <w:p w14:paraId="7811044B" w14:textId="77777777" w:rsidR="00C56F88" w:rsidRDefault="00C56F88" w:rsidP="00446573"/>
    <w:p w14:paraId="5C02A944" w14:textId="77777777" w:rsidR="00C56F88" w:rsidRDefault="00C56F88" w:rsidP="00446573"/>
    <w:p w14:paraId="2C3C3DA0" w14:textId="77777777" w:rsidR="00C56F88" w:rsidRDefault="00C56F88" w:rsidP="00446573"/>
    <w:p w14:paraId="211A9C61" w14:textId="77777777" w:rsidR="00C56F88" w:rsidRDefault="00C56F88" w:rsidP="00446573"/>
    <w:p w14:paraId="37C52CAE" w14:textId="77777777" w:rsidR="00E27ED0" w:rsidRDefault="00E27ED0" w:rsidP="00446573"/>
    <w:p w14:paraId="6B5C6F8B" w14:textId="77777777" w:rsidR="00E27ED0" w:rsidRDefault="00E27ED0" w:rsidP="00446573"/>
    <w:p w14:paraId="54958530" w14:textId="77777777" w:rsidR="00E27ED0" w:rsidRDefault="00E27ED0" w:rsidP="00446573"/>
    <w:p w14:paraId="7307FC6B" w14:textId="77777777" w:rsidR="00E27ED0" w:rsidRDefault="00E27ED0" w:rsidP="00446573"/>
    <w:p w14:paraId="7D1AB8E4" w14:textId="77777777" w:rsidR="00E27ED0" w:rsidRDefault="00E27ED0" w:rsidP="00446573"/>
    <w:p w14:paraId="37B2B83D" w14:textId="77777777" w:rsidR="00E27ED0" w:rsidRDefault="00E27ED0" w:rsidP="00446573"/>
    <w:p w14:paraId="27C0D404" w14:textId="77777777" w:rsidR="00E27ED0" w:rsidRDefault="00E27ED0" w:rsidP="00446573"/>
    <w:p w14:paraId="59C79615" w14:textId="77777777" w:rsidR="000B516E" w:rsidRDefault="000B516E" w:rsidP="00446573"/>
    <w:p w14:paraId="283760A0" w14:textId="77777777" w:rsidR="00E27ED0" w:rsidRDefault="00E27ED0" w:rsidP="00446573"/>
    <w:p w14:paraId="4C5D79C9" w14:textId="77777777" w:rsidR="006F4507" w:rsidRDefault="006F4507" w:rsidP="006F4507">
      <w:r>
        <w:t>This copy has been supplied on the understanding that it is copyright material and that no quotation from the thesis may be published without proper acknowledgement</w:t>
      </w:r>
      <w:r w:rsidR="00DA71B8">
        <w:t>.</w:t>
      </w:r>
    </w:p>
    <w:p w14:paraId="3915F401" w14:textId="77777777" w:rsidR="003669FF" w:rsidRDefault="003669FF" w:rsidP="006F4507"/>
    <w:p w14:paraId="6E59A5A4" w14:textId="6867EE78" w:rsidR="003669FF" w:rsidRDefault="00FA4D96" w:rsidP="00FA4D96">
      <w:r>
        <w:t xml:space="preserve">The right of </w:t>
      </w:r>
      <w:r w:rsidR="001F5396">
        <w:t>Cara Dee Wheeldon</w:t>
      </w:r>
      <w:r>
        <w:t xml:space="preserve"> to be identified as Author of this work has been asserted by her in accordance with the Copyright</w:t>
      </w:r>
      <w:r w:rsidR="0062367D">
        <w:t>, Designs and Patents Act 1988.</w:t>
      </w:r>
    </w:p>
    <w:p w14:paraId="00347187" w14:textId="77777777" w:rsidR="00FA4D96" w:rsidRDefault="00FA4D96" w:rsidP="00FA4D96"/>
    <w:p w14:paraId="76F3FFB6" w14:textId="38F84DBC" w:rsidR="00FA4D96" w:rsidRDefault="00FA4D96" w:rsidP="00FA4D96">
      <w:r>
        <w:t xml:space="preserve">© </w:t>
      </w:r>
      <w:r w:rsidR="001F5396">
        <w:t>2023</w:t>
      </w:r>
      <w:r>
        <w:t xml:space="preserve"> The University of Leeds and </w:t>
      </w:r>
      <w:r w:rsidR="001F5396">
        <w:t>Cara Dee Wheeldon</w:t>
      </w:r>
    </w:p>
    <w:p w14:paraId="09A5E7C0" w14:textId="77777777" w:rsidR="004F21EF" w:rsidRDefault="004F21EF" w:rsidP="00F3071B">
      <w:pPr>
        <w:pStyle w:val="Heading1"/>
        <w:numPr>
          <w:ilvl w:val="0"/>
          <w:numId w:val="0"/>
        </w:numPr>
      </w:pPr>
      <w:bookmarkStart w:id="1" w:name="_Toc154331414"/>
      <w:r>
        <w:lastRenderedPageBreak/>
        <w:t>Acknowledgements</w:t>
      </w:r>
      <w:bookmarkEnd w:id="1"/>
    </w:p>
    <w:p w14:paraId="234AB289" w14:textId="77777777" w:rsidR="00E11707" w:rsidRDefault="00E11707" w:rsidP="007529FC">
      <w:pPr>
        <w:spacing w:after="0" w:line="360" w:lineRule="auto"/>
      </w:pPr>
    </w:p>
    <w:p w14:paraId="589BAACA" w14:textId="35A810BD" w:rsidR="00BE7269" w:rsidRDefault="00E27ED0" w:rsidP="007529FC">
      <w:pPr>
        <w:spacing w:after="0" w:line="360" w:lineRule="auto"/>
      </w:pPr>
      <w:r>
        <w:t xml:space="preserve">Firstly I’d like to thank Dr Tom Bennett for introducing me to the fascinating world of plant developmental biology. Your </w:t>
      </w:r>
      <w:r w:rsidR="00E11707">
        <w:t>never-ending</w:t>
      </w:r>
      <w:r w:rsidR="00C21BA2">
        <w:t xml:space="preserve"> encouragement, support and faith in me has been truly appreciated and I cannot express how grateful I am for your involvement in my career</w:t>
      </w:r>
      <w:r w:rsidR="00E11707">
        <w:t xml:space="preserve"> so far</w:t>
      </w:r>
      <w:r w:rsidR="00C21BA2">
        <w:t xml:space="preserve">. </w:t>
      </w:r>
    </w:p>
    <w:p w14:paraId="5F3EA266" w14:textId="77777777" w:rsidR="007529FC" w:rsidRDefault="007529FC" w:rsidP="007529FC">
      <w:pPr>
        <w:spacing w:after="0" w:line="360" w:lineRule="auto"/>
      </w:pPr>
    </w:p>
    <w:p w14:paraId="7F2D1B1F" w14:textId="43F17A20" w:rsidR="00BE7269" w:rsidRDefault="007529FC" w:rsidP="007529FC">
      <w:pPr>
        <w:spacing w:after="0" w:line="360" w:lineRule="auto"/>
      </w:pPr>
      <w:r>
        <w:t xml:space="preserve">Tom Bennett, </w:t>
      </w:r>
      <w:r w:rsidR="00C21BA2">
        <w:t>Kaori Yoneyama, Catriona Walker, Maxime Hamon-Josse, Hannah Lund, I thank you for your collaborations and contributions to published work</w:t>
      </w:r>
      <w:r w:rsidR="00E11707">
        <w:t>,</w:t>
      </w:r>
      <w:r w:rsidR="00C21BA2">
        <w:t xml:space="preserve"> </w:t>
      </w:r>
      <w:r w:rsidR="00E11707">
        <w:t>a</w:t>
      </w:r>
      <w:r w:rsidR="00C21BA2">
        <w:t>nd to previous summer and masters students Julia Wapenhans and Ciara Danes for being wonderful students.</w:t>
      </w:r>
      <w:r w:rsidR="00BD33B9">
        <w:t xml:space="preserve"> Klaus Oldach at KWS, thank you for your collaboration and interest in my project.</w:t>
      </w:r>
    </w:p>
    <w:p w14:paraId="09C9BA5C" w14:textId="77777777" w:rsidR="007529FC" w:rsidRDefault="007529FC" w:rsidP="007529FC">
      <w:pPr>
        <w:spacing w:after="0" w:line="360" w:lineRule="auto"/>
      </w:pPr>
    </w:p>
    <w:p w14:paraId="79ED4D4B" w14:textId="4D77C9FC" w:rsidR="00BE7269" w:rsidRDefault="00C21BA2" w:rsidP="007529FC">
      <w:pPr>
        <w:spacing w:after="0" w:line="360" w:lineRule="auto"/>
      </w:pPr>
      <w:r>
        <w:t xml:space="preserve">I’d like to thank every member of the </w:t>
      </w:r>
      <w:r w:rsidR="001A0724">
        <w:t>B</w:t>
      </w:r>
      <w:r>
        <w:t>ennett lab</w:t>
      </w:r>
      <w:r w:rsidR="00BE7269">
        <w:t>, past and present</w:t>
      </w:r>
      <w:r w:rsidR="001A0724">
        <w:t xml:space="preserve">; </w:t>
      </w:r>
      <w:r w:rsidR="00BE7269">
        <w:t xml:space="preserve">for the comradery, great company and </w:t>
      </w:r>
      <w:r w:rsidR="007529FC">
        <w:t>laughs.</w:t>
      </w:r>
      <w:r w:rsidR="00BE7269">
        <w:t xml:space="preserve"> I would especially like to thank Catriona, for lunch time chats</w:t>
      </w:r>
      <w:r w:rsidR="00E11707">
        <w:t>, emotional support</w:t>
      </w:r>
      <w:r w:rsidR="00BE7269">
        <w:t xml:space="preserve"> and endless snacks</w:t>
      </w:r>
      <w:r w:rsidR="007529FC">
        <w:t xml:space="preserve">, and Pablo for </w:t>
      </w:r>
      <w:r w:rsidR="00E11707">
        <w:t>keeping me going when times have got tough</w:t>
      </w:r>
      <w:r w:rsidR="007529FC">
        <w:t>.</w:t>
      </w:r>
    </w:p>
    <w:p w14:paraId="481351E6" w14:textId="77777777" w:rsidR="007529FC" w:rsidRDefault="007529FC" w:rsidP="007529FC">
      <w:pPr>
        <w:spacing w:after="0" w:line="360" w:lineRule="auto"/>
      </w:pPr>
    </w:p>
    <w:p w14:paraId="1061CD96" w14:textId="4AAD3595" w:rsidR="00C21BA2" w:rsidRDefault="00BE7269" w:rsidP="007529FC">
      <w:pPr>
        <w:spacing w:after="0" w:line="360" w:lineRule="auto"/>
      </w:pPr>
      <w:r>
        <w:t>Thank you to all my family</w:t>
      </w:r>
      <w:r w:rsidR="004C0DE5">
        <w:t>;</w:t>
      </w:r>
      <w:r>
        <w:t xml:space="preserve"> Mum, Dad, Nanna, Aunty Carol, Uncle John and Uncle Carl for your love and support</w:t>
      </w:r>
      <w:r w:rsidR="008E60F9">
        <w:t>.</w:t>
      </w:r>
      <w:r>
        <w:t xml:space="preserve"> </w:t>
      </w:r>
    </w:p>
    <w:p w14:paraId="48D2DB47" w14:textId="77777777" w:rsidR="007529FC" w:rsidRDefault="007529FC" w:rsidP="007529FC">
      <w:pPr>
        <w:spacing w:after="0" w:line="360" w:lineRule="auto"/>
      </w:pPr>
    </w:p>
    <w:p w14:paraId="3880DD66" w14:textId="4B58EF24" w:rsidR="00BE7269" w:rsidRDefault="00BE7269" w:rsidP="007529FC">
      <w:pPr>
        <w:spacing w:after="0" w:line="360" w:lineRule="auto"/>
      </w:pPr>
      <w:r>
        <w:t>Soph and Becca, thank you for</w:t>
      </w:r>
      <w:r w:rsidR="00CE137C">
        <w:t xml:space="preserve"> </w:t>
      </w:r>
      <w:r>
        <w:t xml:space="preserve">being </w:t>
      </w:r>
      <w:r w:rsidR="009A7D33">
        <w:t xml:space="preserve">there for me </w:t>
      </w:r>
      <w:r>
        <w:t>and always providing a reason to g</w:t>
      </w:r>
      <w:r w:rsidR="007529FC">
        <w:t>o for</w:t>
      </w:r>
      <w:r>
        <w:t xml:space="preserve"> brunch.</w:t>
      </w:r>
    </w:p>
    <w:p w14:paraId="2E082E0F" w14:textId="77777777" w:rsidR="007529FC" w:rsidRDefault="007529FC" w:rsidP="007529FC">
      <w:pPr>
        <w:spacing w:after="0" w:line="360" w:lineRule="auto"/>
      </w:pPr>
    </w:p>
    <w:p w14:paraId="1B60DC02" w14:textId="704B0D00" w:rsidR="0029128B" w:rsidRDefault="007529FC" w:rsidP="007529FC">
      <w:pPr>
        <w:spacing w:after="0" w:line="360" w:lineRule="auto"/>
      </w:pPr>
      <w:r>
        <w:t>Finally, Adam, thank you for your unwavering love and support through the hard times and the good. Your meals, endless supply of tea and always knowing what will make me feel better has kept me going the past few months.</w:t>
      </w:r>
    </w:p>
    <w:p w14:paraId="42897B94" w14:textId="77777777" w:rsidR="007529FC" w:rsidRDefault="007529FC" w:rsidP="007529FC">
      <w:pPr>
        <w:spacing w:after="0" w:line="360" w:lineRule="auto"/>
      </w:pPr>
    </w:p>
    <w:p w14:paraId="45DD3C26" w14:textId="77777777" w:rsidR="007529FC" w:rsidRDefault="007529FC" w:rsidP="007529FC">
      <w:pPr>
        <w:spacing w:after="0" w:line="360" w:lineRule="auto"/>
      </w:pPr>
    </w:p>
    <w:p w14:paraId="22015834" w14:textId="77777777" w:rsidR="007529FC" w:rsidRDefault="007529FC" w:rsidP="007529FC">
      <w:pPr>
        <w:spacing w:after="0" w:line="360" w:lineRule="auto"/>
      </w:pPr>
    </w:p>
    <w:p w14:paraId="5D39FF87" w14:textId="77777777" w:rsidR="00E11707" w:rsidRDefault="00E11707" w:rsidP="007529FC">
      <w:pPr>
        <w:spacing w:after="0" w:line="360" w:lineRule="auto"/>
      </w:pPr>
    </w:p>
    <w:p w14:paraId="57632D82" w14:textId="77777777" w:rsidR="007529FC" w:rsidRDefault="007529FC" w:rsidP="007529FC">
      <w:pPr>
        <w:spacing w:after="0" w:line="360" w:lineRule="auto"/>
      </w:pPr>
    </w:p>
    <w:p w14:paraId="2952E18F" w14:textId="77777777" w:rsidR="007529FC" w:rsidRDefault="007529FC" w:rsidP="007529FC">
      <w:pPr>
        <w:spacing w:after="0" w:line="360" w:lineRule="auto"/>
      </w:pPr>
    </w:p>
    <w:p w14:paraId="10FBDFC7" w14:textId="77777777" w:rsidR="00CB5102" w:rsidRDefault="00CB5102" w:rsidP="00CB5102">
      <w:pPr>
        <w:spacing w:line="276" w:lineRule="auto"/>
      </w:pPr>
      <w:r w:rsidRPr="001065A1">
        <w:lastRenderedPageBreak/>
        <w:t>This research has been carried ou</w:t>
      </w:r>
      <w:r>
        <w:t>t by a team which has included Dr Tom Bennett, Catriona Walker, Maxime Hamon-Josse, Hannah Lund, Kaori Yoneyama, Ciara Danes and Julia Wapenhans</w:t>
      </w:r>
      <w:r w:rsidRPr="001065A1">
        <w:t xml:space="preserve">. My own contributions, </w:t>
      </w:r>
      <w:r>
        <w:t>and those of the other members of the group have been as follows:</w:t>
      </w:r>
    </w:p>
    <w:p w14:paraId="29C49356" w14:textId="77777777" w:rsidR="00CB5102" w:rsidRDefault="00CB5102" w:rsidP="00CB5102">
      <w:pPr>
        <w:spacing w:line="276" w:lineRule="auto"/>
      </w:pPr>
    </w:p>
    <w:p w14:paraId="75550D00" w14:textId="77777777" w:rsidR="00CB5102" w:rsidRPr="00664A10" w:rsidRDefault="00CB5102" w:rsidP="00CB5102">
      <w:pPr>
        <w:spacing w:line="240" w:lineRule="auto"/>
      </w:pPr>
      <w:r w:rsidRPr="00664A10">
        <w:t xml:space="preserve">Wheeldon CD, Hamon-Josse M, Lund H, Yoneyama K, Bennett T. (2022). Environmental strigolactone drives early growth responses to neighbouring plants and soil volume in pea. </w:t>
      </w:r>
      <w:r w:rsidRPr="00664A10">
        <w:rPr>
          <w:i/>
          <w:iCs/>
        </w:rPr>
        <w:t>Current Biology</w:t>
      </w:r>
      <w:r>
        <w:rPr>
          <w:i/>
          <w:iCs/>
        </w:rPr>
        <w:t xml:space="preserve">; </w:t>
      </w:r>
      <w:r>
        <w:t xml:space="preserve">32, </w:t>
      </w:r>
      <w:r w:rsidRPr="00664A10">
        <w:t>3593-3600.e3</w:t>
      </w:r>
    </w:p>
    <w:p w14:paraId="5AE0B322" w14:textId="77777777" w:rsidR="00CB5102" w:rsidRDefault="00CB5102" w:rsidP="00CB5102">
      <w:pPr>
        <w:spacing w:line="240" w:lineRule="auto"/>
      </w:pPr>
      <w:r w:rsidRPr="00664A10">
        <w:t xml:space="preserve">Wheeldon CD, Walker CH, Hamon-Josse M, Bennett T (2021). Wheat plants sense substrate volume and root density to proactively modulate shoot growth. </w:t>
      </w:r>
      <w:r w:rsidRPr="00664A10">
        <w:rPr>
          <w:i/>
          <w:iCs/>
        </w:rPr>
        <w:t>Plant, Cell &amp; Environment</w:t>
      </w:r>
      <w:r w:rsidRPr="00664A10">
        <w:t>; 44, 1202-1214.</w:t>
      </w:r>
    </w:p>
    <w:p w14:paraId="7944FC2F" w14:textId="77777777" w:rsidR="00CB5102" w:rsidRDefault="00CB5102" w:rsidP="00CB5102">
      <w:pPr>
        <w:spacing w:line="240" w:lineRule="auto"/>
      </w:pPr>
    </w:p>
    <w:tbl>
      <w:tblPr>
        <w:tblStyle w:val="TableGrid"/>
        <w:tblW w:w="0" w:type="auto"/>
        <w:tblLook w:val="04A0" w:firstRow="1" w:lastRow="0" w:firstColumn="1" w:lastColumn="0" w:noHBand="0" w:noVBand="1"/>
      </w:tblPr>
      <w:tblGrid>
        <w:gridCol w:w="1555"/>
        <w:gridCol w:w="1842"/>
        <w:gridCol w:w="1701"/>
        <w:gridCol w:w="3054"/>
      </w:tblGrid>
      <w:tr w:rsidR="00CB5102" w:rsidRPr="0029128B" w14:paraId="7017B807" w14:textId="77777777" w:rsidTr="00321EDC">
        <w:tc>
          <w:tcPr>
            <w:tcW w:w="1555" w:type="dxa"/>
            <w:shd w:val="clear" w:color="auto" w:fill="D9D9D9" w:themeFill="background1" w:themeFillShade="D9"/>
          </w:tcPr>
          <w:p w14:paraId="668B994C" w14:textId="77777777" w:rsidR="00CB5102" w:rsidRPr="0029128B" w:rsidRDefault="00CB5102" w:rsidP="00321EDC">
            <w:pPr>
              <w:spacing w:line="240" w:lineRule="auto"/>
              <w:jc w:val="left"/>
              <w:rPr>
                <w:rFonts w:ascii="Arial" w:hAnsi="Arial" w:cs="Arial"/>
                <w:b/>
                <w:bCs/>
              </w:rPr>
            </w:pPr>
            <w:r w:rsidRPr="0029128B">
              <w:rPr>
                <w:rFonts w:ascii="Arial" w:hAnsi="Arial" w:cs="Arial"/>
                <w:b/>
                <w:bCs/>
              </w:rPr>
              <w:t>Figure / Table</w:t>
            </w:r>
          </w:p>
        </w:tc>
        <w:tc>
          <w:tcPr>
            <w:tcW w:w="1842" w:type="dxa"/>
            <w:shd w:val="clear" w:color="auto" w:fill="D9D9D9" w:themeFill="background1" w:themeFillShade="D9"/>
          </w:tcPr>
          <w:p w14:paraId="1484ED20" w14:textId="77777777" w:rsidR="00CB5102" w:rsidRPr="0029128B" w:rsidRDefault="00CB5102" w:rsidP="00321EDC">
            <w:pPr>
              <w:spacing w:line="240" w:lineRule="auto"/>
              <w:jc w:val="left"/>
              <w:rPr>
                <w:rFonts w:ascii="Arial" w:hAnsi="Arial" w:cs="Arial"/>
                <w:b/>
                <w:bCs/>
              </w:rPr>
            </w:pPr>
            <w:r w:rsidRPr="0029128B">
              <w:rPr>
                <w:rFonts w:ascii="Arial" w:hAnsi="Arial" w:cs="Arial"/>
                <w:b/>
                <w:bCs/>
              </w:rPr>
              <w:t>Data collection</w:t>
            </w:r>
          </w:p>
        </w:tc>
        <w:tc>
          <w:tcPr>
            <w:tcW w:w="1701" w:type="dxa"/>
            <w:shd w:val="clear" w:color="auto" w:fill="D9D9D9" w:themeFill="background1" w:themeFillShade="D9"/>
          </w:tcPr>
          <w:p w14:paraId="4A89A969" w14:textId="77777777" w:rsidR="00CB5102" w:rsidRPr="0029128B" w:rsidRDefault="00CB5102" w:rsidP="00321EDC">
            <w:pPr>
              <w:spacing w:line="240" w:lineRule="auto"/>
              <w:jc w:val="left"/>
              <w:rPr>
                <w:rFonts w:ascii="Arial" w:hAnsi="Arial" w:cs="Arial"/>
                <w:b/>
                <w:bCs/>
              </w:rPr>
            </w:pPr>
            <w:r>
              <w:rPr>
                <w:rFonts w:ascii="Arial" w:hAnsi="Arial" w:cs="Arial"/>
                <w:b/>
                <w:bCs/>
              </w:rPr>
              <w:t>Publication information</w:t>
            </w:r>
          </w:p>
        </w:tc>
        <w:tc>
          <w:tcPr>
            <w:tcW w:w="3054" w:type="dxa"/>
            <w:shd w:val="clear" w:color="auto" w:fill="D9D9D9" w:themeFill="background1" w:themeFillShade="D9"/>
          </w:tcPr>
          <w:p w14:paraId="1E34F13F" w14:textId="77777777" w:rsidR="00CB5102" w:rsidRPr="0029128B" w:rsidRDefault="00CB5102" w:rsidP="00321EDC">
            <w:pPr>
              <w:spacing w:line="240" w:lineRule="auto"/>
              <w:jc w:val="left"/>
              <w:rPr>
                <w:rFonts w:ascii="Arial" w:hAnsi="Arial" w:cs="Arial"/>
                <w:b/>
                <w:bCs/>
              </w:rPr>
            </w:pPr>
            <w:r>
              <w:rPr>
                <w:rFonts w:ascii="Arial" w:hAnsi="Arial" w:cs="Arial"/>
                <w:b/>
                <w:bCs/>
              </w:rPr>
              <w:t>Notes</w:t>
            </w:r>
          </w:p>
        </w:tc>
      </w:tr>
      <w:tr w:rsidR="00CB5102" w:rsidRPr="0029128B" w14:paraId="523E483D" w14:textId="77777777" w:rsidTr="00321EDC">
        <w:tc>
          <w:tcPr>
            <w:tcW w:w="8152" w:type="dxa"/>
            <w:gridSpan w:val="4"/>
          </w:tcPr>
          <w:p w14:paraId="58FBE2F2" w14:textId="77777777" w:rsidR="00CB5102" w:rsidRPr="001C6790" w:rsidRDefault="00CB5102" w:rsidP="00321EDC">
            <w:pPr>
              <w:spacing w:line="240" w:lineRule="auto"/>
              <w:jc w:val="left"/>
              <w:rPr>
                <w:rFonts w:ascii="Arial" w:hAnsi="Arial" w:cs="Arial"/>
                <w:b/>
                <w:bCs/>
              </w:rPr>
            </w:pPr>
            <w:r w:rsidRPr="009741F0">
              <w:rPr>
                <w:rFonts w:ascii="Arial" w:hAnsi="Arial" w:cs="Arial"/>
                <w:b/>
                <w:bCs/>
                <w:sz w:val="22"/>
                <w:szCs w:val="20"/>
              </w:rPr>
              <w:t>Chapter 1 Introduction</w:t>
            </w:r>
          </w:p>
        </w:tc>
      </w:tr>
      <w:tr w:rsidR="00CB5102" w:rsidRPr="0029128B" w14:paraId="4FF6CE19" w14:textId="77777777" w:rsidTr="00321EDC">
        <w:tc>
          <w:tcPr>
            <w:tcW w:w="1555" w:type="dxa"/>
          </w:tcPr>
          <w:p w14:paraId="3A661C56" w14:textId="77777777" w:rsidR="00CB5102" w:rsidRPr="0029128B" w:rsidRDefault="00CB5102" w:rsidP="00321EDC">
            <w:pPr>
              <w:spacing w:line="240" w:lineRule="auto"/>
              <w:jc w:val="left"/>
              <w:rPr>
                <w:rFonts w:ascii="Arial" w:hAnsi="Arial" w:cs="Arial"/>
                <w:sz w:val="22"/>
                <w:szCs w:val="20"/>
              </w:rPr>
            </w:pPr>
            <w:r w:rsidRPr="0029128B">
              <w:rPr>
                <w:rFonts w:ascii="Arial" w:hAnsi="Arial" w:cs="Arial"/>
                <w:sz w:val="22"/>
                <w:szCs w:val="20"/>
              </w:rPr>
              <w:t>Figure 1.1</w:t>
            </w:r>
          </w:p>
        </w:tc>
        <w:tc>
          <w:tcPr>
            <w:tcW w:w="1842" w:type="dxa"/>
          </w:tcPr>
          <w:p w14:paraId="7A59D05A" w14:textId="77777777" w:rsidR="00CB5102" w:rsidRPr="0029128B" w:rsidRDefault="00CB5102" w:rsidP="00321EDC">
            <w:pPr>
              <w:spacing w:line="240" w:lineRule="auto"/>
              <w:jc w:val="left"/>
              <w:rPr>
                <w:rFonts w:ascii="Arial" w:hAnsi="Arial" w:cs="Arial"/>
                <w:sz w:val="22"/>
                <w:szCs w:val="20"/>
              </w:rPr>
            </w:pPr>
            <w:r>
              <w:rPr>
                <w:rFonts w:ascii="Arial" w:hAnsi="Arial" w:cs="Arial"/>
                <w:sz w:val="22"/>
                <w:szCs w:val="20"/>
              </w:rPr>
              <w:t>Cara Wheeldon</w:t>
            </w:r>
          </w:p>
        </w:tc>
        <w:tc>
          <w:tcPr>
            <w:tcW w:w="1701" w:type="dxa"/>
          </w:tcPr>
          <w:p w14:paraId="629B06FA" w14:textId="77777777" w:rsidR="00CB5102" w:rsidRPr="0029128B" w:rsidRDefault="00CB5102" w:rsidP="00321EDC">
            <w:pPr>
              <w:spacing w:line="240" w:lineRule="auto"/>
              <w:jc w:val="left"/>
              <w:rPr>
                <w:rFonts w:ascii="Arial" w:hAnsi="Arial" w:cs="Arial"/>
                <w:sz w:val="22"/>
                <w:szCs w:val="20"/>
              </w:rPr>
            </w:pPr>
            <w:r>
              <w:rPr>
                <w:rFonts w:ascii="Arial" w:hAnsi="Arial" w:cs="Arial"/>
                <w:sz w:val="22"/>
                <w:szCs w:val="20"/>
              </w:rPr>
              <w:t xml:space="preserve">Modified from Wheeldon et al (2022) </w:t>
            </w:r>
          </w:p>
        </w:tc>
        <w:tc>
          <w:tcPr>
            <w:tcW w:w="3054" w:type="dxa"/>
          </w:tcPr>
          <w:p w14:paraId="70678F71" w14:textId="77777777" w:rsidR="00CB5102" w:rsidRPr="0029128B" w:rsidRDefault="00CB5102" w:rsidP="00321EDC">
            <w:pPr>
              <w:spacing w:line="240" w:lineRule="auto"/>
              <w:jc w:val="left"/>
              <w:rPr>
                <w:rFonts w:ascii="Arial" w:hAnsi="Arial" w:cs="Arial"/>
                <w:sz w:val="22"/>
                <w:szCs w:val="20"/>
              </w:rPr>
            </w:pPr>
            <w:r>
              <w:rPr>
                <w:rFonts w:ascii="Arial" w:hAnsi="Arial" w:cs="Arial"/>
                <w:sz w:val="22"/>
                <w:szCs w:val="20"/>
              </w:rPr>
              <w:t>With additional information from Yoneyama et al (2022), Abe et al (2014), Zhang et al (2014) and Yoneyama et al (2018)</w:t>
            </w:r>
          </w:p>
        </w:tc>
      </w:tr>
      <w:tr w:rsidR="00CB5102" w:rsidRPr="0029128B" w14:paraId="760E8815" w14:textId="77777777" w:rsidTr="00321EDC">
        <w:tc>
          <w:tcPr>
            <w:tcW w:w="1555" w:type="dxa"/>
          </w:tcPr>
          <w:p w14:paraId="4A4D6C39" w14:textId="77777777" w:rsidR="00CB5102" w:rsidRPr="0029128B" w:rsidRDefault="00CB5102" w:rsidP="00321EDC">
            <w:pPr>
              <w:spacing w:line="240" w:lineRule="auto"/>
              <w:jc w:val="left"/>
              <w:rPr>
                <w:rFonts w:ascii="Arial" w:hAnsi="Arial" w:cs="Arial"/>
                <w:sz w:val="22"/>
                <w:szCs w:val="20"/>
              </w:rPr>
            </w:pPr>
            <w:r>
              <w:rPr>
                <w:rFonts w:ascii="Arial" w:hAnsi="Arial" w:cs="Arial"/>
                <w:sz w:val="22"/>
                <w:szCs w:val="20"/>
              </w:rPr>
              <w:t>Figure 1.2</w:t>
            </w:r>
          </w:p>
        </w:tc>
        <w:tc>
          <w:tcPr>
            <w:tcW w:w="1842" w:type="dxa"/>
          </w:tcPr>
          <w:p w14:paraId="173DAA11" w14:textId="77777777" w:rsidR="00CB5102" w:rsidRPr="0029128B" w:rsidRDefault="00CB5102" w:rsidP="00321EDC">
            <w:pPr>
              <w:spacing w:line="240" w:lineRule="auto"/>
              <w:jc w:val="left"/>
              <w:rPr>
                <w:rFonts w:ascii="Arial" w:hAnsi="Arial" w:cs="Arial"/>
                <w:sz w:val="22"/>
                <w:szCs w:val="20"/>
              </w:rPr>
            </w:pPr>
            <w:r>
              <w:rPr>
                <w:rFonts w:ascii="Arial" w:hAnsi="Arial" w:cs="Arial"/>
                <w:sz w:val="22"/>
                <w:szCs w:val="20"/>
              </w:rPr>
              <w:t>Cara Wheeldon</w:t>
            </w:r>
          </w:p>
        </w:tc>
        <w:tc>
          <w:tcPr>
            <w:tcW w:w="1701" w:type="dxa"/>
          </w:tcPr>
          <w:p w14:paraId="33B1FC1C" w14:textId="77777777" w:rsidR="00CB5102" w:rsidRPr="0029128B" w:rsidRDefault="00CB5102" w:rsidP="00321EDC">
            <w:pPr>
              <w:spacing w:line="240" w:lineRule="auto"/>
              <w:jc w:val="left"/>
              <w:rPr>
                <w:rFonts w:ascii="Arial" w:hAnsi="Arial" w:cs="Arial"/>
                <w:sz w:val="22"/>
                <w:szCs w:val="20"/>
              </w:rPr>
            </w:pPr>
            <w:r>
              <w:rPr>
                <w:rFonts w:ascii="Arial" w:hAnsi="Arial" w:cs="Arial"/>
                <w:sz w:val="22"/>
                <w:szCs w:val="20"/>
              </w:rPr>
              <w:t xml:space="preserve">Modified from Wheeldon et al (2022) </w:t>
            </w:r>
          </w:p>
        </w:tc>
        <w:tc>
          <w:tcPr>
            <w:tcW w:w="3054" w:type="dxa"/>
          </w:tcPr>
          <w:p w14:paraId="4E217EE9" w14:textId="77777777" w:rsidR="00CB5102" w:rsidRPr="0029128B" w:rsidRDefault="00CB5102" w:rsidP="00321EDC">
            <w:pPr>
              <w:spacing w:line="240" w:lineRule="auto"/>
              <w:jc w:val="left"/>
              <w:rPr>
                <w:rFonts w:ascii="Arial" w:hAnsi="Arial" w:cs="Arial"/>
                <w:sz w:val="22"/>
                <w:szCs w:val="20"/>
              </w:rPr>
            </w:pPr>
            <w:r>
              <w:rPr>
                <w:rFonts w:ascii="Arial" w:hAnsi="Arial" w:cs="Arial"/>
                <w:sz w:val="22"/>
                <w:szCs w:val="20"/>
              </w:rPr>
              <w:t>With a</w:t>
            </w:r>
            <w:r w:rsidRPr="001B1B26">
              <w:rPr>
                <w:rFonts w:ascii="Arial" w:hAnsi="Arial" w:cs="Arial"/>
                <w:sz w:val="22"/>
                <w:szCs w:val="20"/>
              </w:rPr>
              <w:t xml:space="preserve">dditional detail from </w:t>
            </w:r>
            <w:r>
              <w:rPr>
                <w:rFonts w:ascii="Arial" w:hAnsi="Arial" w:cs="Arial"/>
                <w:sz w:val="22"/>
                <w:szCs w:val="20"/>
              </w:rPr>
              <w:t xml:space="preserve">Yoneyama et al (2022) and </w:t>
            </w:r>
            <w:r w:rsidRPr="001B1B26">
              <w:rPr>
                <w:rFonts w:ascii="Arial" w:hAnsi="Arial" w:cs="Arial"/>
                <w:sz w:val="22"/>
                <w:szCs w:val="20"/>
              </w:rPr>
              <w:t>Waters et al (2017)</w:t>
            </w:r>
          </w:p>
        </w:tc>
      </w:tr>
      <w:tr w:rsidR="00CB5102" w:rsidRPr="0029128B" w14:paraId="393397E2" w14:textId="77777777" w:rsidTr="00321EDC">
        <w:tc>
          <w:tcPr>
            <w:tcW w:w="8152" w:type="dxa"/>
            <w:gridSpan w:val="4"/>
          </w:tcPr>
          <w:p w14:paraId="26878CDC" w14:textId="77777777" w:rsidR="00CB5102" w:rsidRPr="001C6790" w:rsidRDefault="00CB5102" w:rsidP="00321EDC">
            <w:pPr>
              <w:spacing w:line="240" w:lineRule="auto"/>
              <w:jc w:val="left"/>
              <w:rPr>
                <w:rFonts w:ascii="Arial" w:hAnsi="Arial" w:cs="Arial"/>
                <w:b/>
                <w:bCs/>
              </w:rPr>
            </w:pPr>
            <w:r w:rsidRPr="009741F0">
              <w:rPr>
                <w:rFonts w:ascii="Arial" w:hAnsi="Arial" w:cs="Arial"/>
                <w:b/>
                <w:bCs/>
                <w:sz w:val="22"/>
                <w:szCs w:val="20"/>
              </w:rPr>
              <w:t>Chapter 3 Defining plant growth responses to soil volume and neighbour density</w:t>
            </w:r>
          </w:p>
        </w:tc>
      </w:tr>
      <w:tr w:rsidR="00CB5102" w:rsidRPr="0029128B" w14:paraId="4EB4B5ED" w14:textId="77777777" w:rsidTr="00321EDC">
        <w:tc>
          <w:tcPr>
            <w:tcW w:w="1555" w:type="dxa"/>
          </w:tcPr>
          <w:p w14:paraId="0B568947" w14:textId="77777777" w:rsidR="00CB5102" w:rsidRPr="001C6790" w:rsidRDefault="00CB5102" w:rsidP="00321EDC">
            <w:pPr>
              <w:spacing w:line="240" w:lineRule="auto"/>
              <w:jc w:val="left"/>
              <w:rPr>
                <w:rFonts w:ascii="Arial" w:hAnsi="Arial" w:cs="Arial"/>
                <w:sz w:val="22"/>
                <w:szCs w:val="20"/>
              </w:rPr>
            </w:pPr>
            <w:r w:rsidRPr="001C6790">
              <w:rPr>
                <w:rFonts w:ascii="Arial" w:hAnsi="Arial" w:cs="Arial"/>
                <w:sz w:val="22"/>
                <w:szCs w:val="20"/>
              </w:rPr>
              <w:t>Figure 3.1 and 3.2</w:t>
            </w:r>
          </w:p>
        </w:tc>
        <w:tc>
          <w:tcPr>
            <w:tcW w:w="1842" w:type="dxa"/>
          </w:tcPr>
          <w:p w14:paraId="11DD29E9" w14:textId="77777777" w:rsidR="00CB5102" w:rsidRPr="001C6790" w:rsidRDefault="00CB5102" w:rsidP="00321EDC">
            <w:pPr>
              <w:spacing w:line="240" w:lineRule="auto"/>
              <w:jc w:val="left"/>
              <w:rPr>
                <w:rFonts w:ascii="Arial" w:hAnsi="Arial" w:cs="Arial"/>
                <w:sz w:val="22"/>
                <w:szCs w:val="20"/>
              </w:rPr>
            </w:pPr>
            <w:r w:rsidRPr="001C6790">
              <w:rPr>
                <w:rFonts w:ascii="Arial" w:hAnsi="Arial" w:cs="Arial"/>
                <w:sz w:val="22"/>
                <w:szCs w:val="20"/>
              </w:rPr>
              <w:t>Cara Wheeldon</w:t>
            </w:r>
          </w:p>
        </w:tc>
        <w:tc>
          <w:tcPr>
            <w:tcW w:w="1701" w:type="dxa"/>
          </w:tcPr>
          <w:p w14:paraId="6C9D7D33" w14:textId="77777777" w:rsidR="00CB5102" w:rsidRPr="001C6790" w:rsidRDefault="00CB5102" w:rsidP="00321EDC">
            <w:pPr>
              <w:spacing w:line="240" w:lineRule="auto"/>
              <w:jc w:val="left"/>
              <w:rPr>
                <w:rFonts w:ascii="Arial" w:hAnsi="Arial" w:cs="Arial"/>
                <w:sz w:val="22"/>
                <w:szCs w:val="20"/>
              </w:rPr>
            </w:pPr>
            <w:r w:rsidRPr="001C6790">
              <w:rPr>
                <w:rFonts w:ascii="Arial" w:hAnsi="Arial" w:cs="Arial"/>
                <w:sz w:val="22"/>
                <w:szCs w:val="20"/>
              </w:rPr>
              <w:t>Modified from Wheeldon et al (2021)</w:t>
            </w:r>
          </w:p>
        </w:tc>
        <w:tc>
          <w:tcPr>
            <w:tcW w:w="3054" w:type="dxa"/>
          </w:tcPr>
          <w:p w14:paraId="70D8F826" w14:textId="77777777" w:rsidR="00CB5102" w:rsidRPr="001C6790" w:rsidRDefault="00CB5102" w:rsidP="00321EDC">
            <w:pPr>
              <w:spacing w:line="240" w:lineRule="auto"/>
              <w:jc w:val="left"/>
              <w:rPr>
                <w:rFonts w:ascii="Arial" w:hAnsi="Arial" w:cs="Arial"/>
                <w:sz w:val="22"/>
                <w:szCs w:val="20"/>
              </w:rPr>
            </w:pPr>
          </w:p>
        </w:tc>
      </w:tr>
      <w:tr w:rsidR="00CB5102" w:rsidRPr="0029128B" w14:paraId="0A033D4D" w14:textId="77777777" w:rsidTr="00321EDC">
        <w:tc>
          <w:tcPr>
            <w:tcW w:w="1555" w:type="dxa"/>
          </w:tcPr>
          <w:p w14:paraId="05B42323" w14:textId="77777777" w:rsidR="00CB5102" w:rsidRPr="001C6790" w:rsidRDefault="00CB5102" w:rsidP="00321EDC">
            <w:pPr>
              <w:spacing w:line="240" w:lineRule="auto"/>
              <w:jc w:val="left"/>
              <w:rPr>
                <w:rFonts w:ascii="Arial" w:hAnsi="Arial" w:cs="Arial"/>
                <w:sz w:val="22"/>
                <w:szCs w:val="20"/>
              </w:rPr>
            </w:pPr>
            <w:r w:rsidRPr="001C6790">
              <w:rPr>
                <w:rFonts w:ascii="Arial" w:hAnsi="Arial" w:cs="Arial"/>
                <w:sz w:val="22"/>
                <w:szCs w:val="20"/>
              </w:rPr>
              <w:t>Figure 3.9</w:t>
            </w:r>
          </w:p>
        </w:tc>
        <w:tc>
          <w:tcPr>
            <w:tcW w:w="1842" w:type="dxa"/>
          </w:tcPr>
          <w:p w14:paraId="6AB4A79D" w14:textId="77777777" w:rsidR="00CB5102" w:rsidRPr="001C6790" w:rsidRDefault="00CB5102" w:rsidP="00321EDC">
            <w:pPr>
              <w:spacing w:line="240" w:lineRule="auto"/>
              <w:jc w:val="left"/>
              <w:rPr>
                <w:rFonts w:ascii="Arial" w:hAnsi="Arial" w:cs="Arial"/>
                <w:sz w:val="22"/>
                <w:szCs w:val="20"/>
              </w:rPr>
            </w:pPr>
            <w:r w:rsidRPr="001C6790">
              <w:rPr>
                <w:rFonts w:ascii="Arial" w:hAnsi="Arial" w:cs="Arial"/>
                <w:sz w:val="22"/>
                <w:szCs w:val="20"/>
              </w:rPr>
              <w:t>Cara Wheeldon</w:t>
            </w:r>
          </w:p>
        </w:tc>
        <w:tc>
          <w:tcPr>
            <w:tcW w:w="1701" w:type="dxa"/>
          </w:tcPr>
          <w:p w14:paraId="2F8F3131" w14:textId="77777777" w:rsidR="00CB5102" w:rsidRPr="001C6790" w:rsidRDefault="00CB5102" w:rsidP="00321EDC">
            <w:pPr>
              <w:spacing w:line="240" w:lineRule="auto"/>
              <w:jc w:val="left"/>
              <w:rPr>
                <w:rFonts w:ascii="Arial" w:hAnsi="Arial" w:cs="Arial"/>
                <w:sz w:val="22"/>
                <w:szCs w:val="20"/>
              </w:rPr>
            </w:pPr>
            <w:r w:rsidRPr="001C6790">
              <w:rPr>
                <w:rFonts w:ascii="Arial" w:hAnsi="Arial" w:cs="Arial"/>
                <w:sz w:val="22"/>
                <w:szCs w:val="20"/>
              </w:rPr>
              <w:t>Modified from Wheeldon et al (2022)</w:t>
            </w:r>
          </w:p>
        </w:tc>
        <w:tc>
          <w:tcPr>
            <w:tcW w:w="3054" w:type="dxa"/>
          </w:tcPr>
          <w:p w14:paraId="235EE1A5" w14:textId="77777777" w:rsidR="00CB5102" w:rsidRPr="001C6790" w:rsidRDefault="00CB5102" w:rsidP="00321EDC">
            <w:pPr>
              <w:spacing w:line="240" w:lineRule="auto"/>
              <w:jc w:val="left"/>
              <w:rPr>
                <w:rFonts w:ascii="Arial" w:hAnsi="Arial" w:cs="Arial"/>
                <w:sz w:val="22"/>
                <w:szCs w:val="20"/>
              </w:rPr>
            </w:pPr>
          </w:p>
        </w:tc>
      </w:tr>
      <w:tr w:rsidR="00CB5102" w:rsidRPr="0029128B" w14:paraId="39D4AA7D" w14:textId="77777777" w:rsidTr="00321EDC">
        <w:tc>
          <w:tcPr>
            <w:tcW w:w="1555" w:type="dxa"/>
          </w:tcPr>
          <w:p w14:paraId="39537BF4" w14:textId="77777777" w:rsidR="00CB5102" w:rsidRPr="001C6790" w:rsidRDefault="00CB5102" w:rsidP="00321EDC">
            <w:pPr>
              <w:spacing w:line="240" w:lineRule="auto"/>
              <w:jc w:val="left"/>
              <w:rPr>
                <w:rFonts w:ascii="Arial" w:hAnsi="Arial" w:cs="Arial"/>
                <w:sz w:val="22"/>
                <w:szCs w:val="20"/>
              </w:rPr>
            </w:pPr>
            <w:r w:rsidRPr="001C6790">
              <w:rPr>
                <w:rFonts w:ascii="Arial" w:hAnsi="Arial" w:cs="Arial"/>
                <w:sz w:val="22"/>
                <w:szCs w:val="20"/>
              </w:rPr>
              <w:t>Figure 3.</w:t>
            </w:r>
            <w:r>
              <w:rPr>
                <w:rFonts w:ascii="Arial" w:hAnsi="Arial" w:cs="Arial"/>
                <w:sz w:val="22"/>
                <w:szCs w:val="20"/>
              </w:rPr>
              <w:t>3</w:t>
            </w:r>
            <w:r w:rsidRPr="001C6790">
              <w:rPr>
                <w:rFonts w:ascii="Arial" w:hAnsi="Arial" w:cs="Arial"/>
                <w:sz w:val="22"/>
                <w:szCs w:val="20"/>
              </w:rPr>
              <w:t>1, 3.</w:t>
            </w:r>
            <w:r>
              <w:rPr>
                <w:rFonts w:ascii="Arial" w:hAnsi="Arial" w:cs="Arial"/>
                <w:sz w:val="22"/>
                <w:szCs w:val="20"/>
              </w:rPr>
              <w:t>3</w:t>
            </w:r>
            <w:r w:rsidRPr="001C6790">
              <w:rPr>
                <w:rFonts w:ascii="Arial" w:hAnsi="Arial" w:cs="Arial"/>
                <w:sz w:val="22"/>
                <w:szCs w:val="20"/>
              </w:rPr>
              <w:t>2, 3.</w:t>
            </w:r>
            <w:r>
              <w:rPr>
                <w:rFonts w:ascii="Arial" w:hAnsi="Arial" w:cs="Arial"/>
                <w:sz w:val="22"/>
                <w:szCs w:val="20"/>
              </w:rPr>
              <w:t>3</w:t>
            </w:r>
            <w:r w:rsidRPr="001C6790">
              <w:rPr>
                <w:rFonts w:ascii="Arial" w:hAnsi="Arial" w:cs="Arial"/>
                <w:sz w:val="22"/>
                <w:szCs w:val="20"/>
              </w:rPr>
              <w:t>3, 3.</w:t>
            </w:r>
            <w:r>
              <w:rPr>
                <w:rFonts w:ascii="Arial" w:hAnsi="Arial" w:cs="Arial"/>
                <w:sz w:val="22"/>
                <w:szCs w:val="20"/>
              </w:rPr>
              <w:t>3</w:t>
            </w:r>
            <w:r w:rsidRPr="001C6790">
              <w:rPr>
                <w:rFonts w:ascii="Arial" w:hAnsi="Arial" w:cs="Arial"/>
                <w:sz w:val="22"/>
                <w:szCs w:val="20"/>
              </w:rPr>
              <w:t>4</w:t>
            </w:r>
          </w:p>
        </w:tc>
        <w:tc>
          <w:tcPr>
            <w:tcW w:w="1842" w:type="dxa"/>
          </w:tcPr>
          <w:p w14:paraId="52C71655" w14:textId="77777777" w:rsidR="00CB5102" w:rsidRPr="001C6790" w:rsidRDefault="00CB5102" w:rsidP="00321EDC">
            <w:pPr>
              <w:spacing w:line="240" w:lineRule="auto"/>
              <w:jc w:val="left"/>
              <w:rPr>
                <w:rFonts w:ascii="Arial" w:hAnsi="Arial" w:cs="Arial"/>
                <w:sz w:val="22"/>
                <w:szCs w:val="20"/>
              </w:rPr>
            </w:pPr>
            <w:r>
              <w:rPr>
                <w:rFonts w:ascii="Arial" w:hAnsi="Arial" w:cs="Arial"/>
                <w:sz w:val="22"/>
                <w:szCs w:val="20"/>
              </w:rPr>
              <w:t>Ciara Danes</w:t>
            </w:r>
          </w:p>
        </w:tc>
        <w:tc>
          <w:tcPr>
            <w:tcW w:w="1701" w:type="dxa"/>
          </w:tcPr>
          <w:p w14:paraId="3AB09ACA" w14:textId="77777777" w:rsidR="00CB5102" w:rsidRPr="001C6790" w:rsidRDefault="00CB5102" w:rsidP="00321EDC">
            <w:pPr>
              <w:spacing w:line="240" w:lineRule="auto"/>
              <w:jc w:val="left"/>
              <w:rPr>
                <w:rFonts w:ascii="Arial" w:hAnsi="Arial" w:cs="Arial"/>
                <w:sz w:val="22"/>
                <w:szCs w:val="20"/>
              </w:rPr>
            </w:pPr>
            <w:r>
              <w:rPr>
                <w:rFonts w:ascii="Arial" w:hAnsi="Arial" w:cs="Arial"/>
                <w:sz w:val="22"/>
                <w:szCs w:val="20"/>
              </w:rPr>
              <w:t>Not published</w:t>
            </w:r>
          </w:p>
        </w:tc>
        <w:tc>
          <w:tcPr>
            <w:tcW w:w="3054" w:type="dxa"/>
          </w:tcPr>
          <w:p w14:paraId="242EFE0B" w14:textId="77777777" w:rsidR="00CB5102" w:rsidRPr="001C6790" w:rsidRDefault="00CB5102" w:rsidP="00321EDC">
            <w:pPr>
              <w:spacing w:line="240" w:lineRule="auto"/>
              <w:jc w:val="left"/>
              <w:rPr>
                <w:rFonts w:ascii="Arial" w:hAnsi="Arial" w:cs="Arial"/>
                <w:sz w:val="22"/>
                <w:szCs w:val="20"/>
              </w:rPr>
            </w:pPr>
            <w:r>
              <w:rPr>
                <w:rFonts w:ascii="Arial" w:hAnsi="Arial" w:cs="Arial"/>
                <w:sz w:val="22"/>
                <w:szCs w:val="20"/>
              </w:rPr>
              <w:t>I supervised Ciara Danes for her MBiol project which I designed. All plant care and rhizobox scanning was carried out by Ciara. All image and data analysis presented in this thesis was carried out by myself.</w:t>
            </w:r>
          </w:p>
        </w:tc>
      </w:tr>
      <w:tr w:rsidR="00CB5102" w:rsidRPr="0029128B" w14:paraId="6237E5CE" w14:textId="77777777" w:rsidTr="00321EDC">
        <w:tc>
          <w:tcPr>
            <w:tcW w:w="8152" w:type="dxa"/>
            <w:gridSpan w:val="4"/>
          </w:tcPr>
          <w:p w14:paraId="2E9D439F" w14:textId="77777777" w:rsidR="00CB5102" w:rsidRPr="001C6790" w:rsidRDefault="00CB5102" w:rsidP="00321EDC">
            <w:pPr>
              <w:spacing w:line="240" w:lineRule="auto"/>
              <w:jc w:val="left"/>
              <w:rPr>
                <w:rFonts w:ascii="Arial" w:hAnsi="Arial" w:cs="Arial"/>
                <w:b/>
                <w:bCs/>
                <w:sz w:val="22"/>
                <w:szCs w:val="20"/>
              </w:rPr>
            </w:pPr>
            <w:r w:rsidRPr="001C6790">
              <w:rPr>
                <w:rFonts w:ascii="Arial" w:hAnsi="Arial" w:cs="Arial"/>
                <w:b/>
                <w:bCs/>
                <w:sz w:val="22"/>
                <w:szCs w:val="20"/>
              </w:rPr>
              <w:t>Chapter 4 Defining mechanisms for plant volume and neighbour perception</w:t>
            </w:r>
          </w:p>
        </w:tc>
      </w:tr>
      <w:tr w:rsidR="00CB5102" w:rsidRPr="0029128B" w14:paraId="6D17E506" w14:textId="77777777" w:rsidTr="00321EDC">
        <w:tc>
          <w:tcPr>
            <w:tcW w:w="1555" w:type="dxa"/>
          </w:tcPr>
          <w:p w14:paraId="1577EEC6" w14:textId="77777777" w:rsidR="00CB5102" w:rsidRPr="001C6790" w:rsidRDefault="00CB5102" w:rsidP="00321EDC">
            <w:pPr>
              <w:spacing w:line="240" w:lineRule="auto"/>
              <w:jc w:val="left"/>
              <w:rPr>
                <w:rFonts w:ascii="Arial" w:hAnsi="Arial" w:cs="Arial"/>
                <w:sz w:val="22"/>
                <w:szCs w:val="20"/>
              </w:rPr>
            </w:pPr>
            <w:r>
              <w:rPr>
                <w:rFonts w:ascii="Arial" w:hAnsi="Arial" w:cs="Arial"/>
                <w:sz w:val="22"/>
                <w:szCs w:val="20"/>
              </w:rPr>
              <w:t>Figure 4.6</w:t>
            </w:r>
          </w:p>
        </w:tc>
        <w:tc>
          <w:tcPr>
            <w:tcW w:w="1842" w:type="dxa"/>
          </w:tcPr>
          <w:p w14:paraId="350FDABA" w14:textId="77777777" w:rsidR="00CB5102" w:rsidRPr="001C6790" w:rsidRDefault="00CB5102" w:rsidP="00321EDC">
            <w:pPr>
              <w:spacing w:line="240" w:lineRule="auto"/>
              <w:jc w:val="left"/>
              <w:rPr>
                <w:rFonts w:ascii="Arial" w:hAnsi="Arial" w:cs="Arial"/>
                <w:sz w:val="22"/>
                <w:szCs w:val="20"/>
              </w:rPr>
            </w:pPr>
            <w:r>
              <w:rPr>
                <w:rFonts w:ascii="Arial" w:hAnsi="Arial" w:cs="Arial"/>
                <w:sz w:val="22"/>
                <w:szCs w:val="20"/>
              </w:rPr>
              <w:t>Cara Wheeldon</w:t>
            </w:r>
          </w:p>
        </w:tc>
        <w:tc>
          <w:tcPr>
            <w:tcW w:w="1701" w:type="dxa"/>
          </w:tcPr>
          <w:p w14:paraId="3C46DF46" w14:textId="77777777" w:rsidR="00CB5102" w:rsidRPr="001C6790" w:rsidRDefault="00CB5102" w:rsidP="00321EDC">
            <w:pPr>
              <w:spacing w:line="240" w:lineRule="auto"/>
              <w:jc w:val="left"/>
              <w:rPr>
                <w:rFonts w:ascii="Arial" w:hAnsi="Arial" w:cs="Arial"/>
                <w:sz w:val="22"/>
                <w:szCs w:val="20"/>
              </w:rPr>
            </w:pPr>
            <w:r>
              <w:rPr>
                <w:rFonts w:ascii="Arial" w:hAnsi="Arial" w:cs="Arial"/>
                <w:sz w:val="22"/>
                <w:szCs w:val="20"/>
              </w:rPr>
              <w:t>Modified from Wheeldon et al (2021)</w:t>
            </w:r>
          </w:p>
        </w:tc>
        <w:tc>
          <w:tcPr>
            <w:tcW w:w="3054" w:type="dxa"/>
          </w:tcPr>
          <w:p w14:paraId="05F041C5" w14:textId="77777777" w:rsidR="00CB5102" w:rsidRPr="001C6790" w:rsidRDefault="00CB5102" w:rsidP="00321EDC">
            <w:pPr>
              <w:spacing w:line="240" w:lineRule="auto"/>
              <w:jc w:val="left"/>
              <w:rPr>
                <w:rFonts w:ascii="Arial" w:hAnsi="Arial" w:cs="Arial"/>
                <w:sz w:val="22"/>
                <w:szCs w:val="20"/>
              </w:rPr>
            </w:pPr>
            <w:r>
              <w:rPr>
                <w:rFonts w:ascii="Arial" w:hAnsi="Arial" w:cs="Arial"/>
                <w:sz w:val="22"/>
                <w:szCs w:val="20"/>
              </w:rPr>
              <w:t>Additional plant care provided by Catriona Walker</w:t>
            </w:r>
          </w:p>
        </w:tc>
      </w:tr>
      <w:tr w:rsidR="00CB5102" w:rsidRPr="0029128B" w14:paraId="3A9416E2" w14:textId="77777777" w:rsidTr="00321EDC">
        <w:tc>
          <w:tcPr>
            <w:tcW w:w="1555" w:type="dxa"/>
          </w:tcPr>
          <w:p w14:paraId="48BA1BCD" w14:textId="77777777" w:rsidR="00CB5102" w:rsidRPr="00711419" w:rsidRDefault="00CB5102" w:rsidP="00321EDC">
            <w:pPr>
              <w:spacing w:line="240" w:lineRule="auto"/>
              <w:jc w:val="left"/>
              <w:rPr>
                <w:rFonts w:ascii="Arial" w:hAnsi="Arial" w:cs="Arial"/>
                <w:sz w:val="22"/>
              </w:rPr>
            </w:pPr>
            <w:r>
              <w:rPr>
                <w:rFonts w:ascii="Arial" w:hAnsi="Arial" w:cs="Arial"/>
                <w:sz w:val="22"/>
              </w:rPr>
              <w:t>Figure 4.7, 4.8</w:t>
            </w:r>
          </w:p>
        </w:tc>
        <w:tc>
          <w:tcPr>
            <w:tcW w:w="1842" w:type="dxa"/>
          </w:tcPr>
          <w:p w14:paraId="26C974CB" w14:textId="77777777" w:rsidR="00CB5102" w:rsidRPr="00711419" w:rsidRDefault="00CB5102" w:rsidP="00321EDC">
            <w:pPr>
              <w:spacing w:line="240" w:lineRule="auto"/>
              <w:jc w:val="left"/>
              <w:rPr>
                <w:rFonts w:ascii="Arial" w:hAnsi="Arial" w:cs="Arial"/>
                <w:sz w:val="22"/>
              </w:rPr>
            </w:pPr>
            <w:r>
              <w:rPr>
                <w:rFonts w:ascii="Arial" w:hAnsi="Arial" w:cs="Arial"/>
                <w:sz w:val="22"/>
                <w:szCs w:val="20"/>
              </w:rPr>
              <w:t>Cara Wheeldon</w:t>
            </w:r>
          </w:p>
        </w:tc>
        <w:tc>
          <w:tcPr>
            <w:tcW w:w="1701" w:type="dxa"/>
          </w:tcPr>
          <w:p w14:paraId="19926A1D" w14:textId="77777777" w:rsidR="00CB5102" w:rsidRPr="00711419" w:rsidRDefault="00CB5102" w:rsidP="00321EDC">
            <w:pPr>
              <w:spacing w:line="240" w:lineRule="auto"/>
              <w:jc w:val="left"/>
              <w:rPr>
                <w:rFonts w:ascii="Arial" w:hAnsi="Arial" w:cs="Arial"/>
                <w:sz w:val="22"/>
              </w:rPr>
            </w:pPr>
            <w:r>
              <w:rPr>
                <w:rFonts w:ascii="Arial" w:hAnsi="Arial" w:cs="Arial"/>
                <w:sz w:val="22"/>
                <w:szCs w:val="20"/>
              </w:rPr>
              <w:t>Modified from Wheeldon et al (2021)</w:t>
            </w:r>
          </w:p>
        </w:tc>
        <w:tc>
          <w:tcPr>
            <w:tcW w:w="3054" w:type="dxa"/>
          </w:tcPr>
          <w:p w14:paraId="20FD9043" w14:textId="77777777" w:rsidR="00CB5102" w:rsidRPr="00711419" w:rsidRDefault="00CB5102" w:rsidP="00321EDC">
            <w:pPr>
              <w:spacing w:line="240" w:lineRule="auto"/>
              <w:jc w:val="left"/>
              <w:rPr>
                <w:rFonts w:ascii="Arial" w:hAnsi="Arial" w:cs="Arial"/>
                <w:sz w:val="22"/>
              </w:rPr>
            </w:pPr>
          </w:p>
        </w:tc>
      </w:tr>
      <w:tr w:rsidR="00CB5102" w:rsidRPr="0029128B" w14:paraId="7FF5DB2B" w14:textId="77777777" w:rsidTr="00321EDC">
        <w:tc>
          <w:tcPr>
            <w:tcW w:w="1555" w:type="dxa"/>
          </w:tcPr>
          <w:p w14:paraId="5E3EACF3" w14:textId="77777777" w:rsidR="00CB5102" w:rsidRPr="00711419" w:rsidRDefault="00CB5102" w:rsidP="00321EDC">
            <w:pPr>
              <w:spacing w:line="240" w:lineRule="auto"/>
              <w:jc w:val="left"/>
              <w:rPr>
                <w:rFonts w:ascii="Arial" w:hAnsi="Arial" w:cs="Arial"/>
                <w:sz w:val="22"/>
              </w:rPr>
            </w:pPr>
            <w:r>
              <w:rPr>
                <w:rFonts w:ascii="Arial" w:hAnsi="Arial" w:cs="Arial"/>
                <w:sz w:val="22"/>
              </w:rPr>
              <w:lastRenderedPageBreak/>
              <w:t>Figure 4.9, 4.10</w:t>
            </w:r>
          </w:p>
        </w:tc>
        <w:tc>
          <w:tcPr>
            <w:tcW w:w="1842" w:type="dxa"/>
          </w:tcPr>
          <w:p w14:paraId="257DBFBE" w14:textId="77777777" w:rsidR="00CB5102" w:rsidRPr="00711419" w:rsidRDefault="00CB5102" w:rsidP="00321EDC">
            <w:pPr>
              <w:spacing w:line="240" w:lineRule="auto"/>
              <w:jc w:val="left"/>
              <w:rPr>
                <w:rFonts w:ascii="Arial" w:hAnsi="Arial" w:cs="Arial"/>
                <w:sz w:val="22"/>
              </w:rPr>
            </w:pPr>
            <w:r>
              <w:rPr>
                <w:rFonts w:ascii="Arial" w:hAnsi="Arial" w:cs="Arial"/>
                <w:sz w:val="22"/>
                <w:szCs w:val="20"/>
              </w:rPr>
              <w:t>Cara Wheeldon</w:t>
            </w:r>
          </w:p>
        </w:tc>
        <w:tc>
          <w:tcPr>
            <w:tcW w:w="1701" w:type="dxa"/>
          </w:tcPr>
          <w:p w14:paraId="6431B137" w14:textId="77777777" w:rsidR="00CB5102" w:rsidRPr="00711419" w:rsidRDefault="00CB5102" w:rsidP="00321EDC">
            <w:pPr>
              <w:spacing w:line="240" w:lineRule="auto"/>
              <w:jc w:val="left"/>
              <w:rPr>
                <w:rFonts w:ascii="Arial" w:hAnsi="Arial" w:cs="Arial"/>
                <w:sz w:val="22"/>
              </w:rPr>
            </w:pPr>
            <w:r>
              <w:rPr>
                <w:rFonts w:ascii="Arial" w:hAnsi="Arial" w:cs="Arial"/>
                <w:sz w:val="22"/>
                <w:szCs w:val="20"/>
              </w:rPr>
              <w:t>Modified from Wheeldon et al (2021)</w:t>
            </w:r>
          </w:p>
        </w:tc>
        <w:tc>
          <w:tcPr>
            <w:tcW w:w="3054" w:type="dxa"/>
          </w:tcPr>
          <w:p w14:paraId="616878F9" w14:textId="77777777" w:rsidR="00CB5102" w:rsidRPr="00711419" w:rsidRDefault="00CB5102" w:rsidP="00321EDC">
            <w:pPr>
              <w:spacing w:line="240" w:lineRule="auto"/>
              <w:jc w:val="left"/>
              <w:rPr>
                <w:rFonts w:ascii="Arial" w:hAnsi="Arial" w:cs="Arial"/>
                <w:sz w:val="22"/>
              </w:rPr>
            </w:pPr>
          </w:p>
        </w:tc>
      </w:tr>
      <w:tr w:rsidR="00CB5102" w:rsidRPr="0029128B" w14:paraId="15700AB6" w14:textId="77777777" w:rsidTr="00321EDC">
        <w:tc>
          <w:tcPr>
            <w:tcW w:w="1555" w:type="dxa"/>
          </w:tcPr>
          <w:p w14:paraId="15E60459" w14:textId="77777777" w:rsidR="00CB5102" w:rsidRPr="00711419" w:rsidRDefault="00CB5102" w:rsidP="00321EDC">
            <w:pPr>
              <w:spacing w:line="240" w:lineRule="auto"/>
              <w:jc w:val="left"/>
              <w:rPr>
                <w:rFonts w:ascii="Arial" w:hAnsi="Arial" w:cs="Arial"/>
                <w:sz w:val="22"/>
              </w:rPr>
            </w:pPr>
            <w:r>
              <w:rPr>
                <w:rFonts w:ascii="Arial" w:hAnsi="Arial" w:cs="Arial"/>
                <w:sz w:val="22"/>
              </w:rPr>
              <w:t>Figure 4.11, 4.12</w:t>
            </w:r>
          </w:p>
        </w:tc>
        <w:tc>
          <w:tcPr>
            <w:tcW w:w="1842" w:type="dxa"/>
          </w:tcPr>
          <w:p w14:paraId="34418A66" w14:textId="77777777" w:rsidR="00CB5102" w:rsidRPr="00711419" w:rsidRDefault="00CB5102" w:rsidP="00321EDC">
            <w:pPr>
              <w:spacing w:line="240" w:lineRule="auto"/>
              <w:jc w:val="left"/>
              <w:rPr>
                <w:rFonts w:ascii="Arial" w:hAnsi="Arial" w:cs="Arial"/>
                <w:sz w:val="22"/>
              </w:rPr>
            </w:pPr>
            <w:r>
              <w:rPr>
                <w:rFonts w:ascii="Arial" w:hAnsi="Arial" w:cs="Arial"/>
                <w:sz w:val="22"/>
              </w:rPr>
              <w:t>Cara Wheeldon and Julia Wapenhans</w:t>
            </w:r>
          </w:p>
        </w:tc>
        <w:tc>
          <w:tcPr>
            <w:tcW w:w="1701" w:type="dxa"/>
          </w:tcPr>
          <w:p w14:paraId="51672A25" w14:textId="77777777" w:rsidR="00CB5102" w:rsidRPr="00711419" w:rsidRDefault="00CB5102" w:rsidP="00321EDC">
            <w:pPr>
              <w:spacing w:line="240" w:lineRule="auto"/>
              <w:jc w:val="left"/>
              <w:rPr>
                <w:rFonts w:ascii="Arial" w:hAnsi="Arial" w:cs="Arial"/>
                <w:sz w:val="22"/>
              </w:rPr>
            </w:pPr>
            <w:r>
              <w:rPr>
                <w:rFonts w:ascii="Arial" w:hAnsi="Arial" w:cs="Arial"/>
                <w:sz w:val="22"/>
              </w:rPr>
              <w:t>Not published</w:t>
            </w:r>
          </w:p>
        </w:tc>
        <w:tc>
          <w:tcPr>
            <w:tcW w:w="3054" w:type="dxa"/>
          </w:tcPr>
          <w:p w14:paraId="7DC8A507" w14:textId="77777777" w:rsidR="00CB5102" w:rsidRPr="00711419" w:rsidRDefault="00CB5102" w:rsidP="00321EDC">
            <w:pPr>
              <w:spacing w:line="240" w:lineRule="auto"/>
              <w:jc w:val="left"/>
              <w:rPr>
                <w:rFonts w:ascii="Arial" w:hAnsi="Arial" w:cs="Arial"/>
                <w:sz w:val="22"/>
              </w:rPr>
            </w:pPr>
            <w:r>
              <w:rPr>
                <w:rFonts w:ascii="Arial" w:hAnsi="Arial" w:cs="Arial"/>
                <w:sz w:val="22"/>
              </w:rPr>
              <w:t>I supervised Julia Wapenhans for a summer project. The experiment was designed by myself, containers were made by Julia but subsequent plant care and data collection was carried out jointly. Data analysis was carried out by myself.</w:t>
            </w:r>
          </w:p>
        </w:tc>
      </w:tr>
      <w:tr w:rsidR="00CB5102" w:rsidRPr="0029128B" w14:paraId="58523983" w14:textId="77777777" w:rsidTr="00321EDC">
        <w:tc>
          <w:tcPr>
            <w:tcW w:w="1555" w:type="dxa"/>
          </w:tcPr>
          <w:p w14:paraId="0657A3B0" w14:textId="77777777" w:rsidR="00CB5102" w:rsidRPr="00711419" w:rsidRDefault="00CB5102" w:rsidP="00321EDC">
            <w:pPr>
              <w:spacing w:line="240" w:lineRule="auto"/>
              <w:jc w:val="left"/>
              <w:rPr>
                <w:rFonts w:ascii="Arial" w:hAnsi="Arial" w:cs="Arial"/>
                <w:sz w:val="22"/>
              </w:rPr>
            </w:pPr>
            <w:r>
              <w:rPr>
                <w:rFonts w:ascii="Arial" w:hAnsi="Arial" w:cs="Arial"/>
                <w:sz w:val="22"/>
              </w:rPr>
              <w:t>Figure 4.15, 4.16</w:t>
            </w:r>
          </w:p>
        </w:tc>
        <w:tc>
          <w:tcPr>
            <w:tcW w:w="1842" w:type="dxa"/>
          </w:tcPr>
          <w:p w14:paraId="6B2F59EC" w14:textId="77777777" w:rsidR="00CB5102" w:rsidRPr="00711419" w:rsidRDefault="00CB5102" w:rsidP="00321EDC">
            <w:pPr>
              <w:spacing w:line="240" w:lineRule="auto"/>
              <w:jc w:val="left"/>
              <w:rPr>
                <w:rFonts w:ascii="Arial" w:hAnsi="Arial" w:cs="Arial"/>
                <w:sz w:val="22"/>
              </w:rPr>
            </w:pPr>
            <w:r>
              <w:rPr>
                <w:rFonts w:ascii="Arial" w:hAnsi="Arial" w:cs="Arial"/>
                <w:sz w:val="22"/>
              </w:rPr>
              <w:t>Cara Wheeldon</w:t>
            </w:r>
          </w:p>
        </w:tc>
        <w:tc>
          <w:tcPr>
            <w:tcW w:w="1701" w:type="dxa"/>
          </w:tcPr>
          <w:p w14:paraId="12999B6A" w14:textId="77777777" w:rsidR="00CB5102" w:rsidRPr="00711419" w:rsidRDefault="00CB5102" w:rsidP="00321EDC">
            <w:pPr>
              <w:spacing w:line="240" w:lineRule="auto"/>
              <w:jc w:val="left"/>
              <w:rPr>
                <w:rFonts w:ascii="Arial" w:hAnsi="Arial" w:cs="Arial"/>
                <w:sz w:val="22"/>
              </w:rPr>
            </w:pPr>
            <w:r>
              <w:rPr>
                <w:rFonts w:ascii="Arial" w:hAnsi="Arial" w:cs="Arial"/>
                <w:sz w:val="22"/>
                <w:szCs w:val="20"/>
              </w:rPr>
              <w:t>Modified from Wheeldon et al (2021)</w:t>
            </w:r>
          </w:p>
        </w:tc>
        <w:tc>
          <w:tcPr>
            <w:tcW w:w="3054" w:type="dxa"/>
          </w:tcPr>
          <w:p w14:paraId="29EBDB8B" w14:textId="77777777" w:rsidR="00CB5102" w:rsidRPr="00711419" w:rsidRDefault="00CB5102" w:rsidP="00321EDC">
            <w:pPr>
              <w:spacing w:line="240" w:lineRule="auto"/>
              <w:jc w:val="left"/>
              <w:rPr>
                <w:rFonts w:ascii="Arial" w:hAnsi="Arial" w:cs="Arial"/>
                <w:sz w:val="22"/>
              </w:rPr>
            </w:pPr>
            <w:r>
              <w:rPr>
                <w:rFonts w:ascii="Arial" w:hAnsi="Arial" w:cs="Arial"/>
                <w:sz w:val="22"/>
              </w:rPr>
              <w:t>The hydroponic system used here was jointly developed for the Bennett lab by Maxime Hamon-Josse and I. A preliminary version of this experiment was carried out jointly by Maxime and I.</w:t>
            </w:r>
          </w:p>
        </w:tc>
      </w:tr>
      <w:tr w:rsidR="00CB5102" w:rsidRPr="0029128B" w14:paraId="209E9165" w14:textId="77777777" w:rsidTr="00321EDC">
        <w:tc>
          <w:tcPr>
            <w:tcW w:w="1555" w:type="dxa"/>
          </w:tcPr>
          <w:p w14:paraId="65754482" w14:textId="77777777" w:rsidR="00CB5102" w:rsidRPr="00411A5B" w:rsidRDefault="00CB5102" w:rsidP="00321EDC">
            <w:pPr>
              <w:spacing w:line="240" w:lineRule="auto"/>
              <w:jc w:val="left"/>
              <w:rPr>
                <w:rFonts w:ascii="Arial" w:hAnsi="Arial" w:cs="Arial"/>
                <w:sz w:val="22"/>
              </w:rPr>
            </w:pPr>
            <w:r w:rsidRPr="00411A5B">
              <w:rPr>
                <w:rFonts w:ascii="Arial" w:hAnsi="Arial" w:cs="Arial"/>
                <w:sz w:val="22"/>
              </w:rPr>
              <w:t>Figure 4.1</w:t>
            </w:r>
            <w:r>
              <w:rPr>
                <w:rFonts w:ascii="Arial" w:hAnsi="Arial" w:cs="Arial"/>
                <w:sz w:val="22"/>
              </w:rPr>
              <w:t>7</w:t>
            </w:r>
          </w:p>
        </w:tc>
        <w:tc>
          <w:tcPr>
            <w:tcW w:w="1842" w:type="dxa"/>
          </w:tcPr>
          <w:p w14:paraId="5ED21AF9" w14:textId="77777777" w:rsidR="00CB5102" w:rsidRPr="00411A5B" w:rsidRDefault="00CB5102" w:rsidP="00321EDC">
            <w:pPr>
              <w:spacing w:line="240" w:lineRule="auto"/>
              <w:jc w:val="left"/>
              <w:rPr>
                <w:rFonts w:ascii="Arial" w:hAnsi="Arial" w:cs="Arial"/>
                <w:sz w:val="22"/>
              </w:rPr>
            </w:pPr>
            <w:r w:rsidRPr="00411A5B">
              <w:rPr>
                <w:rFonts w:ascii="Arial" w:hAnsi="Arial" w:cs="Arial"/>
                <w:sz w:val="22"/>
              </w:rPr>
              <w:t>Cara Wheeldon</w:t>
            </w:r>
          </w:p>
        </w:tc>
        <w:tc>
          <w:tcPr>
            <w:tcW w:w="1701" w:type="dxa"/>
          </w:tcPr>
          <w:p w14:paraId="3D61A3F0" w14:textId="77777777" w:rsidR="00CB5102" w:rsidRDefault="00CB5102" w:rsidP="00321EDC">
            <w:pPr>
              <w:spacing w:line="240" w:lineRule="auto"/>
              <w:jc w:val="left"/>
              <w:rPr>
                <w:sz w:val="22"/>
              </w:rPr>
            </w:pPr>
            <w:r>
              <w:rPr>
                <w:rFonts w:ascii="Arial" w:hAnsi="Arial" w:cs="Arial"/>
                <w:sz w:val="22"/>
                <w:szCs w:val="20"/>
              </w:rPr>
              <w:t>Modified from Wheeldon et al (2021)</w:t>
            </w:r>
          </w:p>
        </w:tc>
        <w:tc>
          <w:tcPr>
            <w:tcW w:w="3054" w:type="dxa"/>
          </w:tcPr>
          <w:p w14:paraId="65DB1417" w14:textId="77777777" w:rsidR="00CB5102" w:rsidRPr="00411A5B" w:rsidRDefault="00CB5102" w:rsidP="00321EDC">
            <w:pPr>
              <w:spacing w:line="240" w:lineRule="auto"/>
              <w:jc w:val="left"/>
              <w:rPr>
                <w:rFonts w:ascii="Arial" w:hAnsi="Arial" w:cs="Arial"/>
                <w:sz w:val="22"/>
              </w:rPr>
            </w:pPr>
            <w:r w:rsidRPr="00411A5B">
              <w:rPr>
                <w:rFonts w:ascii="Arial" w:hAnsi="Arial" w:cs="Arial"/>
                <w:sz w:val="22"/>
              </w:rPr>
              <w:t>Original figure in the paper was created by Tom Bennett</w:t>
            </w:r>
            <w:r>
              <w:rPr>
                <w:rFonts w:ascii="Arial" w:hAnsi="Arial" w:cs="Arial"/>
                <w:sz w:val="22"/>
              </w:rPr>
              <w:t>.</w:t>
            </w:r>
          </w:p>
        </w:tc>
      </w:tr>
      <w:tr w:rsidR="00CB5102" w:rsidRPr="0029128B" w14:paraId="767D4C61" w14:textId="77777777" w:rsidTr="00321EDC">
        <w:tc>
          <w:tcPr>
            <w:tcW w:w="8152" w:type="dxa"/>
            <w:gridSpan w:val="4"/>
          </w:tcPr>
          <w:p w14:paraId="7E3C9DC3" w14:textId="77777777" w:rsidR="00CB5102" w:rsidRPr="00711419" w:rsidRDefault="00CB5102" w:rsidP="00321EDC">
            <w:pPr>
              <w:spacing w:line="240" w:lineRule="auto"/>
              <w:jc w:val="left"/>
              <w:rPr>
                <w:rFonts w:ascii="Arial" w:hAnsi="Arial" w:cs="Arial"/>
                <w:b/>
                <w:bCs/>
                <w:sz w:val="22"/>
              </w:rPr>
            </w:pPr>
            <w:r w:rsidRPr="009741F0">
              <w:rPr>
                <w:rFonts w:ascii="Arial" w:hAnsi="Arial" w:cs="Arial"/>
                <w:b/>
                <w:bCs/>
                <w:sz w:val="22"/>
              </w:rPr>
              <w:t>Chapter 5 Strigolactone as a root exuded signal for neighbour and volume detection</w:t>
            </w:r>
          </w:p>
        </w:tc>
      </w:tr>
      <w:tr w:rsidR="00CB5102" w:rsidRPr="0029128B" w14:paraId="4B5965D9" w14:textId="77777777" w:rsidTr="00321EDC">
        <w:tc>
          <w:tcPr>
            <w:tcW w:w="1555" w:type="dxa"/>
          </w:tcPr>
          <w:p w14:paraId="3FE81FE5" w14:textId="77777777" w:rsidR="00CB5102" w:rsidRPr="00711419" w:rsidRDefault="00CB5102" w:rsidP="00321EDC">
            <w:pPr>
              <w:spacing w:line="240" w:lineRule="auto"/>
              <w:jc w:val="left"/>
              <w:rPr>
                <w:rFonts w:ascii="Arial" w:hAnsi="Arial" w:cs="Arial"/>
                <w:sz w:val="22"/>
              </w:rPr>
            </w:pPr>
            <w:r>
              <w:rPr>
                <w:rFonts w:ascii="Arial" w:hAnsi="Arial" w:cs="Arial"/>
                <w:sz w:val="22"/>
              </w:rPr>
              <w:t>Figure 5.1</w:t>
            </w:r>
          </w:p>
        </w:tc>
        <w:tc>
          <w:tcPr>
            <w:tcW w:w="1842" w:type="dxa"/>
          </w:tcPr>
          <w:p w14:paraId="471C7B5E" w14:textId="77777777" w:rsidR="00CB5102" w:rsidRPr="00711419" w:rsidRDefault="00CB5102" w:rsidP="00321EDC">
            <w:pPr>
              <w:spacing w:line="240" w:lineRule="auto"/>
              <w:jc w:val="left"/>
              <w:rPr>
                <w:rFonts w:ascii="Arial" w:hAnsi="Arial" w:cs="Arial"/>
                <w:sz w:val="22"/>
              </w:rPr>
            </w:pPr>
            <w:r w:rsidRPr="00C85E11">
              <w:rPr>
                <w:rFonts w:ascii="Arial" w:hAnsi="Arial" w:cs="Arial"/>
                <w:sz w:val="22"/>
              </w:rPr>
              <w:t>Hannah Lund</w:t>
            </w:r>
          </w:p>
        </w:tc>
        <w:tc>
          <w:tcPr>
            <w:tcW w:w="1701" w:type="dxa"/>
          </w:tcPr>
          <w:p w14:paraId="2AB5A38F" w14:textId="77777777" w:rsidR="00CB5102" w:rsidRPr="00711419" w:rsidRDefault="00CB5102" w:rsidP="00321EDC">
            <w:pPr>
              <w:spacing w:line="240" w:lineRule="auto"/>
              <w:jc w:val="left"/>
              <w:rPr>
                <w:rFonts w:ascii="Arial" w:hAnsi="Arial" w:cs="Arial"/>
                <w:sz w:val="22"/>
              </w:rPr>
            </w:pPr>
            <w:r>
              <w:rPr>
                <w:rFonts w:ascii="Arial" w:hAnsi="Arial" w:cs="Arial"/>
                <w:sz w:val="22"/>
              </w:rPr>
              <w:t>Modified from Wheeldon et al (2022)</w:t>
            </w:r>
          </w:p>
        </w:tc>
        <w:tc>
          <w:tcPr>
            <w:tcW w:w="3054" w:type="dxa"/>
          </w:tcPr>
          <w:p w14:paraId="155079B2" w14:textId="77777777" w:rsidR="00CB5102" w:rsidRPr="00711419" w:rsidRDefault="00CB5102" w:rsidP="00321EDC">
            <w:pPr>
              <w:spacing w:line="240" w:lineRule="auto"/>
              <w:jc w:val="left"/>
              <w:rPr>
                <w:rFonts w:ascii="Arial" w:hAnsi="Arial" w:cs="Arial"/>
                <w:sz w:val="22"/>
              </w:rPr>
            </w:pPr>
            <w:r>
              <w:rPr>
                <w:rFonts w:ascii="Arial" w:hAnsi="Arial" w:cs="Arial"/>
                <w:sz w:val="22"/>
              </w:rPr>
              <w:t>The experiment was designed by Maxime Hamon-Josse and I.</w:t>
            </w:r>
          </w:p>
        </w:tc>
      </w:tr>
      <w:tr w:rsidR="00CB5102" w:rsidRPr="0029128B" w14:paraId="4D227F78" w14:textId="77777777" w:rsidTr="00321EDC">
        <w:tc>
          <w:tcPr>
            <w:tcW w:w="1555" w:type="dxa"/>
          </w:tcPr>
          <w:p w14:paraId="3FA51AE9" w14:textId="77777777" w:rsidR="00CB5102" w:rsidRPr="00711419" w:rsidRDefault="00CB5102" w:rsidP="00321EDC">
            <w:pPr>
              <w:spacing w:line="240" w:lineRule="auto"/>
              <w:jc w:val="left"/>
              <w:rPr>
                <w:rFonts w:ascii="Arial" w:hAnsi="Arial" w:cs="Arial"/>
                <w:sz w:val="22"/>
              </w:rPr>
            </w:pPr>
            <w:r>
              <w:rPr>
                <w:rFonts w:ascii="Arial" w:hAnsi="Arial" w:cs="Arial"/>
                <w:sz w:val="22"/>
              </w:rPr>
              <w:t>Figure 5.2</w:t>
            </w:r>
          </w:p>
        </w:tc>
        <w:tc>
          <w:tcPr>
            <w:tcW w:w="1842" w:type="dxa"/>
          </w:tcPr>
          <w:p w14:paraId="3C0637C2" w14:textId="77777777" w:rsidR="00CB5102" w:rsidRPr="00711419" w:rsidRDefault="00CB5102" w:rsidP="00321EDC">
            <w:pPr>
              <w:spacing w:line="240" w:lineRule="auto"/>
              <w:jc w:val="left"/>
              <w:rPr>
                <w:rFonts w:ascii="Arial" w:hAnsi="Arial" w:cs="Arial"/>
                <w:sz w:val="22"/>
              </w:rPr>
            </w:pPr>
            <w:r>
              <w:rPr>
                <w:rFonts w:ascii="Arial" w:hAnsi="Arial" w:cs="Arial"/>
                <w:sz w:val="22"/>
              </w:rPr>
              <w:t>Kaori Yoneyama</w:t>
            </w:r>
          </w:p>
        </w:tc>
        <w:tc>
          <w:tcPr>
            <w:tcW w:w="1701" w:type="dxa"/>
          </w:tcPr>
          <w:p w14:paraId="5595E285" w14:textId="77777777" w:rsidR="00CB5102" w:rsidRPr="00711419" w:rsidRDefault="00CB5102" w:rsidP="00321EDC">
            <w:pPr>
              <w:spacing w:line="240" w:lineRule="auto"/>
              <w:jc w:val="left"/>
              <w:rPr>
                <w:rFonts w:ascii="Arial" w:hAnsi="Arial" w:cs="Arial"/>
                <w:sz w:val="22"/>
              </w:rPr>
            </w:pPr>
            <w:r>
              <w:rPr>
                <w:rFonts w:ascii="Arial" w:hAnsi="Arial" w:cs="Arial"/>
                <w:sz w:val="22"/>
              </w:rPr>
              <w:t>Modified from Wheeldon et al (2022)</w:t>
            </w:r>
          </w:p>
        </w:tc>
        <w:tc>
          <w:tcPr>
            <w:tcW w:w="3054" w:type="dxa"/>
          </w:tcPr>
          <w:p w14:paraId="721FE85F" w14:textId="77777777" w:rsidR="00CB5102" w:rsidRPr="00711419" w:rsidRDefault="00CB5102" w:rsidP="00321EDC">
            <w:pPr>
              <w:spacing w:line="240" w:lineRule="auto"/>
              <w:jc w:val="left"/>
              <w:rPr>
                <w:rFonts w:ascii="Arial" w:hAnsi="Arial" w:cs="Arial"/>
                <w:sz w:val="22"/>
              </w:rPr>
            </w:pPr>
          </w:p>
        </w:tc>
      </w:tr>
      <w:tr w:rsidR="00CB5102" w:rsidRPr="0029128B" w14:paraId="05D3C258" w14:textId="77777777" w:rsidTr="00321EDC">
        <w:tc>
          <w:tcPr>
            <w:tcW w:w="1555" w:type="dxa"/>
          </w:tcPr>
          <w:p w14:paraId="3F80FB48" w14:textId="77777777" w:rsidR="00CB5102" w:rsidRPr="00711419" w:rsidRDefault="00CB5102" w:rsidP="00321EDC">
            <w:pPr>
              <w:spacing w:line="240" w:lineRule="auto"/>
              <w:jc w:val="left"/>
              <w:rPr>
                <w:rFonts w:ascii="Arial" w:hAnsi="Arial" w:cs="Arial"/>
                <w:sz w:val="22"/>
                <w:szCs w:val="20"/>
              </w:rPr>
            </w:pPr>
            <w:r w:rsidRPr="00711419">
              <w:rPr>
                <w:rFonts w:ascii="Arial" w:hAnsi="Arial" w:cs="Arial"/>
                <w:sz w:val="22"/>
                <w:szCs w:val="20"/>
              </w:rPr>
              <w:t>Figure 5.3</w:t>
            </w:r>
          </w:p>
        </w:tc>
        <w:tc>
          <w:tcPr>
            <w:tcW w:w="1842" w:type="dxa"/>
          </w:tcPr>
          <w:p w14:paraId="5234C715" w14:textId="77777777" w:rsidR="00CB5102" w:rsidRPr="00711419" w:rsidRDefault="00CB5102" w:rsidP="00321EDC">
            <w:pPr>
              <w:spacing w:line="240" w:lineRule="auto"/>
              <w:jc w:val="left"/>
              <w:rPr>
                <w:rFonts w:ascii="Arial" w:hAnsi="Arial" w:cs="Arial"/>
                <w:sz w:val="22"/>
                <w:szCs w:val="20"/>
              </w:rPr>
            </w:pPr>
            <w:r w:rsidRPr="00C85E11">
              <w:rPr>
                <w:rFonts w:ascii="Arial" w:hAnsi="Arial" w:cs="Arial"/>
                <w:sz w:val="22"/>
              </w:rPr>
              <w:t>Hannah Lund</w:t>
            </w:r>
          </w:p>
        </w:tc>
        <w:tc>
          <w:tcPr>
            <w:tcW w:w="1701" w:type="dxa"/>
          </w:tcPr>
          <w:p w14:paraId="4DC646DF" w14:textId="77777777" w:rsidR="00CB5102" w:rsidRPr="00711419" w:rsidRDefault="00CB5102" w:rsidP="00321EDC">
            <w:pPr>
              <w:spacing w:line="240" w:lineRule="auto"/>
              <w:jc w:val="left"/>
              <w:rPr>
                <w:rFonts w:ascii="Arial" w:hAnsi="Arial" w:cs="Arial"/>
                <w:sz w:val="22"/>
                <w:szCs w:val="20"/>
              </w:rPr>
            </w:pPr>
            <w:r>
              <w:rPr>
                <w:rFonts w:ascii="Arial" w:hAnsi="Arial" w:cs="Arial"/>
                <w:sz w:val="22"/>
              </w:rPr>
              <w:t>Modified from Wheeldon et al (2022)</w:t>
            </w:r>
          </w:p>
        </w:tc>
        <w:tc>
          <w:tcPr>
            <w:tcW w:w="3054" w:type="dxa"/>
          </w:tcPr>
          <w:p w14:paraId="4A99B579" w14:textId="77777777" w:rsidR="00CB5102" w:rsidRPr="00711419" w:rsidRDefault="00CB5102" w:rsidP="00321EDC">
            <w:pPr>
              <w:spacing w:line="240" w:lineRule="auto"/>
              <w:jc w:val="left"/>
              <w:rPr>
                <w:rFonts w:ascii="Arial" w:hAnsi="Arial" w:cs="Arial"/>
                <w:sz w:val="22"/>
                <w:szCs w:val="20"/>
              </w:rPr>
            </w:pPr>
            <w:r>
              <w:rPr>
                <w:rFonts w:ascii="Arial" w:hAnsi="Arial" w:cs="Arial"/>
                <w:sz w:val="22"/>
              </w:rPr>
              <w:t>The experiment was designed by Maxime Hamon-Josse and I.</w:t>
            </w:r>
          </w:p>
        </w:tc>
      </w:tr>
      <w:tr w:rsidR="00CB5102" w:rsidRPr="0029128B" w14:paraId="4D44A4C2" w14:textId="77777777" w:rsidTr="00321EDC">
        <w:tc>
          <w:tcPr>
            <w:tcW w:w="1555" w:type="dxa"/>
          </w:tcPr>
          <w:p w14:paraId="27D36637" w14:textId="77777777" w:rsidR="00CB5102" w:rsidRPr="00711419" w:rsidRDefault="00CB5102" w:rsidP="00321EDC">
            <w:pPr>
              <w:spacing w:line="240" w:lineRule="auto"/>
              <w:jc w:val="left"/>
              <w:rPr>
                <w:rFonts w:ascii="Arial" w:hAnsi="Arial" w:cs="Arial"/>
                <w:sz w:val="22"/>
                <w:szCs w:val="20"/>
              </w:rPr>
            </w:pPr>
            <w:r>
              <w:rPr>
                <w:rFonts w:ascii="Arial" w:hAnsi="Arial" w:cs="Arial"/>
                <w:sz w:val="22"/>
                <w:szCs w:val="20"/>
              </w:rPr>
              <w:t>Figure 5.4</w:t>
            </w:r>
          </w:p>
        </w:tc>
        <w:tc>
          <w:tcPr>
            <w:tcW w:w="1842" w:type="dxa"/>
          </w:tcPr>
          <w:p w14:paraId="740500F4" w14:textId="77777777" w:rsidR="00CB5102" w:rsidRPr="00711419" w:rsidRDefault="00CB5102" w:rsidP="00321EDC">
            <w:pPr>
              <w:spacing w:line="240" w:lineRule="auto"/>
              <w:jc w:val="left"/>
              <w:rPr>
                <w:rFonts w:ascii="Arial" w:hAnsi="Arial" w:cs="Arial"/>
                <w:sz w:val="22"/>
                <w:szCs w:val="20"/>
              </w:rPr>
            </w:pPr>
            <w:r w:rsidRPr="00711419">
              <w:rPr>
                <w:rFonts w:ascii="Arial" w:hAnsi="Arial" w:cs="Arial"/>
                <w:sz w:val="22"/>
                <w:szCs w:val="20"/>
              </w:rPr>
              <w:t>Cara Wheeldon</w:t>
            </w:r>
          </w:p>
        </w:tc>
        <w:tc>
          <w:tcPr>
            <w:tcW w:w="1701" w:type="dxa"/>
          </w:tcPr>
          <w:p w14:paraId="7F027A96" w14:textId="77777777" w:rsidR="00CB5102" w:rsidRPr="00711419" w:rsidRDefault="00CB5102" w:rsidP="00321EDC">
            <w:pPr>
              <w:spacing w:line="240" w:lineRule="auto"/>
              <w:jc w:val="left"/>
              <w:rPr>
                <w:sz w:val="22"/>
                <w:szCs w:val="20"/>
              </w:rPr>
            </w:pPr>
            <w:r>
              <w:rPr>
                <w:rFonts w:ascii="Arial" w:hAnsi="Arial" w:cs="Arial"/>
                <w:sz w:val="22"/>
              </w:rPr>
              <w:t>Modified from Wheeldon et al (2022)</w:t>
            </w:r>
          </w:p>
        </w:tc>
        <w:tc>
          <w:tcPr>
            <w:tcW w:w="3054" w:type="dxa"/>
          </w:tcPr>
          <w:p w14:paraId="1D25C6B4" w14:textId="77777777" w:rsidR="00CB5102" w:rsidRPr="00711419" w:rsidRDefault="00CB5102" w:rsidP="00321EDC">
            <w:pPr>
              <w:spacing w:line="240" w:lineRule="auto"/>
              <w:jc w:val="left"/>
              <w:rPr>
                <w:sz w:val="22"/>
                <w:szCs w:val="20"/>
              </w:rPr>
            </w:pPr>
          </w:p>
        </w:tc>
      </w:tr>
      <w:tr w:rsidR="00CB5102" w:rsidRPr="0029128B" w14:paraId="3D38DC2E" w14:textId="77777777" w:rsidTr="00321EDC">
        <w:tc>
          <w:tcPr>
            <w:tcW w:w="1555" w:type="dxa"/>
          </w:tcPr>
          <w:p w14:paraId="5D71773F" w14:textId="77777777" w:rsidR="00CB5102" w:rsidRPr="00711419" w:rsidRDefault="00CB5102" w:rsidP="00321EDC">
            <w:pPr>
              <w:spacing w:line="240" w:lineRule="auto"/>
              <w:jc w:val="left"/>
              <w:rPr>
                <w:rFonts w:ascii="Arial" w:hAnsi="Arial" w:cs="Arial"/>
                <w:sz w:val="22"/>
                <w:szCs w:val="20"/>
              </w:rPr>
            </w:pPr>
            <w:r w:rsidRPr="00711419">
              <w:rPr>
                <w:rFonts w:ascii="Arial" w:hAnsi="Arial" w:cs="Arial"/>
                <w:sz w:val="22"/>
                <w:szCs w:val="20"/>
              </w:rPr>
              <w:t>Figure 5.5</w:t>
            </w:r>
          </w:p>
        </w:tc>
        <w:tc>
          <w:tcPr>
            <w:tcW w:w="1842" w:type="dxa"/>
          </w:tcPr>
          <w:p w14:paraId="64F8A4BE" w14:textId="77777777" w:rsidR="00CB5102" w:rsidRPr="00711419" w:rsidRDefault="00CB5102" w:rsidP="00321EDC">
            <w:pPr>
              <w:spacing w:line="240" w:lineRule="auto"/>
              <w:jc w:val="left"/>
              <w:rPr>
                <w:rFonts w:ascii="Arial" w:hAnsi="Arial" w:cs="Arial"/>
                <w:sz w:val="22"/>
                <w:szCs w:val="20"/>
              </w:rPr>
            </w:pPr>
            <w:r w:rsidRPr="00711419">
              <w:rPr>
                <w:rFonts w:ascii="Arial" w:hAnsi="Arial" w:cs="Arial"/>
                <w:sz w:val="22"/>
                <w:szCs w:val="20"/>
              </w:rPr>
              <w:t>Cara Wheeldon</w:t>
            </w:r>
          </w:p>
        </w:tc>
        <w:tc>
          <w:tcPr>
            <w:tcW w:w="1701" w:type="dxa"/>
          </w:tcPr>
          <w:p w14:paraId="31D50CB4" w14:textId="77777777" w:rsidR="00CB5102" w:rsidRPr="00711419" w:rsidRDefault="00CB5102" w:rsidP="00321EDC">
            <w:pPr>
              <w:spacing w:line="240" w:lineRule="auto"/>
              <w:jc w:val="left"/>
              <w:rPr>
                <w:rFonts w:ascii="Arial" w:hAnsi="Arial" w:cs="Arial"/>
                <w:sz w:val="22"/>
                <w:szCs w:val="20"/>
              </w:rPr>
            </w:pPr>
            <w:r>
              <w:rPr>
                <w:rFonts w:ascii="Arial" w:hAnsi="Arial" w:cs="Arial"/>
                <w:sz w:val="22"/>
              </w:rPr>
              <w:t>Modified from Wheeldon et al (2022)</w:t>
            </w:r>
          </w:p>
        </w:tc>
        <w:tc>
          <w:tcPr>
            <w:tcW w:w="3054" w:type="dxa"/>
          </w:tcPr>
          <w:p w14:paraId="55551CA5" w14:textId="77777777" w:rsidR="00CB5102" w:rsidRPr="00711419" w:rsidRDefault="00CB5102" w:rsidP="00321EDC">
            <w:pPr>
              <w:spacing w:line="240" w:lineRule="auto"/>
              <w:jc w:val="left"/>
              <w:rPr>
                <w:rFonts w:ascii="Arial" w:hAnsi="Arial" w:cs="Arial"/>
                <w:sz w:val="22"/>
                <w:szCs w:val="20"/>
              </w:rPr>
            </w:pPr>
          </w:p>
        </w:tc>
      </w:tr>
    </w:tbl>
    <w:p w14:paraId="49639C50" w14:textId="77777777" w:rsidR="00CB5102" w:rsidRDefault="00CB5102" w:rsidP="00CB5102"/>
    <w:p w14:paraId="0D708D78" w14:textId="77777777" w:rsidR="00CB5102" w:rsidRDefault="00CB5102" w:rsidP="00CB5102">
      <w:r>
        <w:t>All additional data presented in this thesis was solely carried out by myself.</w:t>
      </w:r>
    </w:p>
    <w:p w14:paraId="0AC0B471" w14:textId="77777777" w:rsidR="007529FC" w:rsidRDefault="007529FC" w:rsidP="007529FC">
      <w:pPr>
        <w:spacing w:after="0" w:line="360" w:lineRule="auto"/>
      </w:pPr>
    </w:p>
    <w:p w14:paraId="3AD5B0F4" w14:textId="77777777" w:rsidR="00687AEF" w:rsidRDefault="00687AEF" w:rsidP="00F3071B">
      <w:pPr>
        <w:pStyle w:val="Heading1"/>
        <w:numPr>
          <w:ilvl w:val="0"/>
          <w:numId w:val="0"/>
        </w:numPr>
      </w:pPr>
      <w:bookmarkStart w:id="2" w:name="_Toc154331415"/>
      <w:r>
        <w:lastRenderedPageBreak/>
        <w:t>Abstract</w:t>
      </w:r>
      <w:bookmarkEnd w:id="2"/>
    </w:p>
    <w:p w14:paraId="2C7E60BF" w14:textId="77777777" w:rsidR="00C069D4" w:rsidRDefault="00C069D4" w:rsidP="00C069D4">
      <w:pPr>
        <w:spacing w:line="480" w:lineRule="auto"/>
      </w:pPr>
      <w:r>
        <w:t xml:space="preserve">Plants must carefully integrate environmental information and plan for their future growth according to their current and predicted resource availability. Soil volume and the presence of neighbouring plants are two such environmental factors that plants must take into consideration. Soil volume has been shown to strongly inhibit plant growth independently of nutrient availability, and plants sown at high densities show similar inhibition of growth. However, the mechanisms underpinning soil volume and neighbour density detection and response have remained elusive. In this thesis I have assessed inter- and intraspecies responses to soil volume and neighbour density in the shoot and root system, characterising the responses in agronomically important crops such as wheat, barley and pea, as well as Arabidopsis. By carrying out a large phenotyping screen of barley germplasm, I have identified genotypes with elevated and reduced sensitivity to soil volume. I have shown that although plant responses to soil volume and neighbour density are similar, they are not completely interchangeable. I have proposed a two-phase root exudate-based system that plants use to detect and respond to their available soil volume and the presence of neighbouring plants. The first phase involves the recognition of available space by dilution of an exudate and this results in changes in shoot growth. The second phase involves a different signal with much lower mobility, which increases when roots are at high density and results in shoot and root growth inhibition. I have identified that the first phase root exudate is likely exuded strigolactones. This thesis demonstrates a new role for exuded strigolactones as plant-to-plant signals that inhibit the shoot growth of neighbouring plants. This thesis provides a strong basis for integrating the soil volume and neighbour density responses </w:t>
      </w:r>
      <w:r>
        <w:lastRenderedPageBreak/>
        <w:t>into breeding programs to produce larger plants within a given space without the need for elevated fertiliser inputs.</w:t>
      </w:r>
    </w:p>
    <w:p w14:paraId="686B4352" w14:textId="77777777" w:rsidR="007A63D4" w:rsidRDefault="007A63D4" w:rsidP="00C069D4">
      <w:pPr>
        <w:spacing w:line="480" w:lineRule="auto"/>
      </w:pPr>
    </w:p>
    <w:p w14:paraId="5F5DA72E" w14:textId="77777777" w:rsidR="007A63D4" w:rsidRDefault="007A63D4" w:rsidP="00C069D4">
      <w:pPr>
        <w:spacing w:line="480" w:lineRule="auto"/>
      </w:pPr>
    </w:p>
    <w:p w14:paraId="52726B6C" w14:textId="77777777" w:rsidR="007A63D4" w:rsidRDefault="007A63D4" w:rsidP="00C069D4">
      <w:pPr>
        <w:spacing w:line="480" w:lineRule="auto"/>
      </w:pPr>
    </w:p>
    <w:p w14:paraId="7E546834" w14:textId="77777777" w:rsidR="007A63D4" w:rsidRDefault="007A63D4" w:rsidP="00C069D4">
      <w:pPr>
        <w:spacing w:line="480" w:lineRule="auto"/>
      </w:pPr>
    </w:p>
    <w:p w14:paraId="0338B2FF" w14:textId="77777777" w:rsidR="007A63D4" w:rsidRDefault="007A63D4" w:rsidP="00C069D4">
      <w:pPr>
        <w:spacing w:line="480" w:lineRule="auto"/>
      </w:pPr>
    </w:p>
    <w:p w14:paraId="0C17D5AC" w14:textId="77777777" w:rsidR="007A63D4" w:rsidRDefault="007A63D4" w:rsidP="00C069D4">
      <w:pPr>
        <w:spacing w:line="480" w:lineRule="auto"/>
      </w:pPr>
    </w:p>
    <w:p w14:paraId="133DB649" w14:textId="77777777" w:rsidR="007A63D4" w:rsidRDefault="007A63D4" w:rsidP="00C069D4">
      <w:pPr>
        <w:spacing w:line="480" w:lineRule="auto"/>
      </w:pPr>
    </w:p>
    <w:p w14:paraId="4263F4A6" w14:textId="77777777" w:rsidR="007A63D4" w:rsidRDefault="007A63D4" w:rsidP="00C069D4">
      <w:pPr>
        <w:spacing w:line="480" w:lineRule="auto"/>
      </w:pPr>
    </w:p>
    <w:p w14:paraId="0D5F2DD2" w14:textId="77777777" w:rsidR="007A63D4" w:rsidRDefault="007A63D4" w:rsidP="00C069D4">
      <w:pPr>
        <w:spacing w:line="480" w:lineRule="auto"/>
      </w:pPr>
    </w:p>
    <w:p w14:paraId="078DF4BA" w14:textId="77777777" w:rsidR="002509CB" w:rsidRDefault="002509CB" w:rsidP="00C069D4">
      <w:pPr>
        <w:spacing w:line="480" w:lineRule="auto"/>
      </w:pPr>
    </w:p>
    <w:p w14:paraId="0BD26086" w14:textId="77777777" w:rsidR="002509CB" w:rsidRDefault="002509CB" w:rsidP="00C069D4">
      <w:pPr>
        <w:spacing w:line="480" w:lineRule="auto"/>
      </w:pPr>
    </w:p>
    <w:p w14:paraId="151797AB" w14:textId="77777777" w:rsidR="002509CB" w:rsidRDefault="002509CB" w:rsidP="00C069D4">
      <w:pPr>
        <w:spacing w:line="480" w:lineRule="auto"/>
      </w:pPr>
    </w:p>
    <w:p w14:paraId="5911905A" w14:textId="77777777" w:rsidR="002509CB" w:rsidRDefault="002509CB" w:rsidP="00C069D4">
      <w:pPr>
        <w:spacing w:line="480" w:lineRule="auto"/>
      </w:pPr>
    </w:p>
    <w:p w14:paraId="26822848" w14:textId="77777777" w:rsidR="002509CB" w:rsidRDefault="002509CB" w:rsidP="00C069D4">
      <w:pPr>
        <w:spacing w:line="480" w:lineRule="auto"/>
      </w:pPr>
    </w:p>
    <w:p w14:paraId="3B2A87DF" w14:textId="77777777" w:rsidR="002509CB" w:rsidRDefault="002509CB" w:rsidP="00C069D4">
      <w:pPr>
        <w:spacing w:line="480" w:lineRule="auto"/>
      </w:pPr>
    </w:p>
    <w:p w14:paraId="134737BC" w14:textId="77777777" w:rsidR="00687AEF" w:rsidRDefault="00A86C74" w:rsidP="00F3071B">
      <w:pPr>
        <w:pStyle w:val="Heading1"/>
        <w:numPr>
          <w:ilvl w:val="0"/>
          <w:numId w:val="0"/>
        </w:numPr>
      </w:pPr>
      <w:bookmarkStart w:id="3" w:name="_Toc154331416"/>
      <w:r>
        <w:lastRenderedPageBreak/>
        <w:t xml:space="preserve">Table of </w:t>
      </w:r>
      <w:r w:rsidR="00687AEF">
        <w:t>Contents</w:t>
      </w:r>
      <w:bookmarkEnd w:id="3"/>
    </w:p>
    <w:p w14:paraId="443ECCD3" w14:textId="04228A33" w:rsidR="00434F50" w:rsidRDefault="00687AEF">
      <w:pPr>
        <w:pStyle w:val="TOC1"/>
        <w:rPr>
          <w:rFonts w:asciiTheme="minorHAnsi" w:eastAsiaTheme="minorEastAsia" w:hAnsiTheme="minorHAnsi" w:cstheme="minorBidi"/>
          <w:b w:val="0"/>
          <w:noProof/>
          <w:kern w:val="2"/>
          <w:sz w:val="22"/>
          <w:szCs w:val="22"/>
          <w14:ligatures w14:val="standardContextual"/>
        </w:rPr>
      </w:pPr>
      <w:r>
        <w:fldChar w:fldCharType="begin"/>
      </w:r>
      <w:r>
        <w:instrText>TOC \o</w:instrText>
      </w:r>
      <w:r>
        <w:fldChar w:fldCharType="separate"/>
      </w:r>
      <w:r w:rsidR="00434F50">
        <w:rPr>
          <w:noProof/>
        </w:rPr>
        <w:t>Acknowledgements</w:t>
      </w:r>
      <w:r w:rsidR="00434F50">
        <w:rPr>
          <w:noProof/>
        </w:rPr>
        <w:tab/>
      </w:r>
      <w:r w:rsidR="00434F50">
        <w:rPr>
          <w:noProof/>
        </w:rPr>
        <w:fldChar w:fldCharType="begin"/>
      </w:r>
      <w:r w:rsidR="00434F50">
        <w:rPr>
          <w:noProof/>
        </w:rPr>
        <w:instrText xml:space="preserve"> PAGEREF _Toc154331414 \h </w:instrText>
      </w:r>
      <w:r w:rsidR="00434F50">
        <w:rPr>
          <w:noProof/>
        </w:rPr>
      </w:r>
      <w:r w:rsidR="00434F50">
        <w:rPr>
          <w:noProof/>
        </w:rPr>
        <w:fldChar w:fldCharType="separate"/>
      </w:r>
      <w:r w:rsidR="004B7F70">
        <w:rPr>
          <w:noProof/>
        </w:rPr>
        <w:t>ii</w:t>
      </w:r>
      <w:r w:rsidR="00434F50">
        <w:rPr>
          <w:noProof/>
        </w:rPr>
        <w:fldChar w:fldCharType="end"/>
      </w:r>
    </w:p>
    <w:p w14:paraId="38449BE9" w14:textId="2A47F822" w:rsidR="00434F50" w:rsidRDefault="00434F50">
      <w:pPr>
        <w:pStyle w:val="TOC1"/>
        <w:rPr>
          <w:rFonts w:asciiTheme="minorHAnsi" w:eastAsiaTheme="minorEastAsia" w:hAnsiTheme="minorHAnsi" w:cstheme="minorBidi"/>
          <w:b w:val="0"/>
          <w:noProof/>
          <w:kern w:val="2"/>
          <w:sz w:val="22"/>
          <w:szCs w:val="22"/>
          <w14:ligatures w14:val="standardContextual"/>
        </w:rPr>
      </w:pPr>
      <w:r>
        <w:rPr>
          <w:noProof/>
        </w:rPr>
        <w:t>Abstract</w:t>
      </w:r>
      <w:r>
        <w:rPr>
          <w:noProof/>
        </w:rPr>
        <w:tab/>
      </w:r>
      <w:r>
        <w:rPr>
          <w:noProof/>
        </w:rPr>
        <w:fldChar w:fldCharType="begin"/>
      </w:r>
      <w:r>
        <w:rPr>
          <w:noProof/>
        </w:rPr>
        <w:instrText xml:space="preserve"> PAGEREF _Toc154331415 \h </w:instrText>
      </w:r>
      <w:r>
        <w:rPr>
          <w:noProof/>
        </w:rPr>
      </w:r>
      <w:r>
        <w:rPr>
          <w:noProof/>
        </w:rPr>
        <w:fldChar w:fldCharType="separate"/>
      </w:r>
      <w:r w:rsidR="004B7F70">
        <w:rPr>
          <w:noProof/>
        </w:rPr>
        <w:t>v</w:t>
      </w:r>
      <w:r>
        <w:rPr>
          <w:noProof/>
        </w:rPr>
        <w:fldChar w:fldCharType="end"/>
      </w:r>
    </w:p>
    <w:p w14:paraId="3B1E0AA5" w14:textId="75613F84" w:rsidR="00434F50" w:rsidRDefault="00434F50">
      <w:pPr>
        <w:pStyle w:val="TOC1"/>
        <w:rPr>
          <w:rFonts w:asciiTheme="minorHAnsi" w:eastAsiaTheme="minorEastAsia" w:hAnsiTheme="minorHAnsi" w:cstheme="minorBidi"/>
          <w:b w:val="0"/>
          <w:noProof/>
          <w:kern w:val="2"/>
          <w:sz w:val="22"/>
          <w:szCs w:val="22"/>
          <w14:ligatures w14:val="standardContextual"/>
        </w:rPr>
      </w:pPr>
      <w:r>
        <w:rPr>
          <w:noProof/>
        </w:rPr>
        <w:t>Table of Contents</w:t>
      </w:r>
      <w:r>
        <w:rPr>
          <w:noProof/>
        </w:rPr>
        <w:tab/>
      </w:r>
      <w:r>
        <w:rPr>
          <w:noProof/>
        </w:rPr>
        <w:fldChar w:fldCharType="begin"/>
      </w:r>
      <w:r>
        <w:rPr>
          <w:noProof/>
        </w:rPr>
        <w:instrText xml:space="preserve"> PAGEREF _Toc154331416 \h </w:instrText>
      </w:r>
      <w:r>
        <w:rPr>
          <w:noProof/>
        </w:rPr>
      </w:r>
      <w:r>
        <w:rPr>
          <w:noProof/>
        </w:rPr>
        <w:fldChar w:fldCharType="separate"/>
      </w:r>
      <w:r w:rsidR="004B7F70">
        <w:rPr>
          <w:noProof/>
        </w:rPr>
        <w:t>vii</w:t>
      </w:r>
      <w:r>
        <w:rPr>
          <w:noProof/>
        </w:rPr>
        <w:fldChar w:fldCharType="end"/>
      </w:r>
    </w:p>
    <w:p w14:paraId="0A8B1CFC" w14:textId="47752747" w:rsidR="00434F50" w:rsidRDefault="00434F50">
      <w:pPr>
        <w:pStyle w:val="TOC1"/>
        <w:rPr>
          <w:rFonts w:asciiTheme="minorHAnsi" w:eastAsiaTheme="minorEastAsia" w:hAnsiTheme="minorHAnsi" w:cstheme="minorBidi"/>
          <w:b w:val="0"/>
          <w:noProof/>
          <w:kern w:val="2"/>
          <w:sz w:val="22"/>
          <w:szCs w:val="22"/>
          <w14:ligatures w14:val="standardContextual"/>
        </w:rPr>
      </w:pPr>
      <w:r>
        <w:rPr>
          <w:noProof/>
        </w:rPr>
        <w:t>List of Tables</w:t>
      </w:r>
      <w:r>
        <w:rPr>
          <w:noProof/>
        </w:rPr>
        <w:tab/>
      </w:r>
      <w:r>
        <w:rPr>
          <w:noProof/>
        </w:rPr>
        <w:fldChar w:fldCharType="begin"/>
      </w:r>
      <w:r>
        <w:rPr>
          <w:noProof/>
        </w:rPr>
        <w:instrText xml:space="preserve"> PAGEREF _Toc154331417 \h </w:instrText>
      </w:r>
      <w:r>
        <w:rPr>
          <w:noProof/>
        </w:rPr>
      </w:r>
      <w:r>
        <w:rPr>
          <w:noProof/>
        </w:rPr>
        <w:fldChar w:fldCharType="separate"/>
      </w:r>
      <w:r w:rsidR="004B7F70">
        <w:rPr>
          <w:noProof/>
        </w:rPr>
        <w:t>xi</w:t>
      </w:r>
      <w:r>
        <w:rPr>
          <w:noProof/>
        </w:rPr>
        <w:fldChar w:fldCharType="end"/>
      </w:r>
    </w:p>
    <w:p w14:paraId="15E39623" w14:textId="224CB1A7" w:rsidR="00434F50" w:rsidRDefault="00434F50">
      <w:pPr>
        <w:pStyle w:val="TOC1"/>
        <w:rPr>
          <w:rFonts w:asciiTheme="minorHAnsi" w:eastAsiaTheme="minorEastAsia" w:hAnsiTheme="minorHAnsi" w:cstheme="minorBidi"/>
          <w:b w:val="0"/>
          <w:noProof/>
          <w:kern w:val="2"/>
          <w:sz w:val="22"/>
          <w:szCs w:val="22"/>
          <w14:ligatures w14:val="standardContextual"/>
        </w:rPr>
      </w:pPr>
      <w:r>
        <w:rPr>
          <w:noProof/>
        </w:rPr>
        <w:t>List of Figures</w:t>
      </w:r>
      <w:r>
        <w:rPr>
          <w:noProof/>
        </w:rPr>
        <w:tab/>
      </w:r>
      <w:r>
        <w:rPr>
          <w:noProof/>
        </w:rPr>
        <w:fldChar w:fldCharType="begin"/>
      </w:r>
      <w:r>
        <w:rPr>
          <w:noProof/>
        </w:rPr>
        <w:instrText xml:space="preserve"> PAGEREF _Toc154331418 \h </w:instrText>
      </w:r>
      <w:r>
        <w:rPr>
          <w:noProof/>
        </w:rPr>
      </w:r>
      <w:r>
        <w:rPr>
          <w:noProof/>
        </w:rPr>
        <w:fldChar w:fldCharType="separate"/>
      </w:r>
      <w:r w:rsidR="004B7F70">
        <w:rPr>
          <w:noProof/>
        </w:rPr>
        <w:t>xii</w:t>
      </w:r>
      <w:r>
        <w:rPr>
          <w:noProof/>
        </w:rPr>
        <w:fldChar w:fldCharType="end"/>
      </w:r>
    </w:p>
    <w:p w14:paraId="57038518" w14:textId="30EFFDF4" w:rsidR="00434F50" w:rsidRDefault="00434F50">
      <w:pPr>
        <w:pStyle w:val="TOC1"/>
        <w:rPr>
          <w:rFonts w:asciiTheme="minorHAnsi" w:eastAsiaTheme="minorEastAsia" w:hAnsiTheme="minorHAnsi" w:cstheme="minorBidi"/>
          <w:b w:val="0"/>
          <w:noProof/>
          <w:kern w:val="2"/>
          <w:sz w:val="22"/>
          <w:szCs w:val="22"/>
          <w14:ligatures w14:val="standardContextual"/>
        </w:rPr>
      </w:pPr>
      <w:r>
        <w:rPr>
          <w:noProof/>
        </w:rPr>
        <w:t>List of Abbreviations</w:t>
      </w:r>
      <w:r>
        <w:rPr>
          <w:noProof/>
        </w:rPr>
        <w:tab/>
      </w:r>
      <w:r>
        <w:rPr>
          <w:noProof/>
        </w:rPr>
        <w:fldChar w:fldCharType="begin"/>
      </w:r>
      <w:r>
        <w:rPr>
          <w:noProof/>
        </w:rPr>
        <w:instrText xml:space="preserve"> PAGEREF _Toc154331419 \h </w:instrText>
      </w:r>
      <w:r>
        <w:rPr>
          <w:noProof/>
        </w:rPr>
      </w:r>
      <w:r>
        <w:rPr>
          <w:noProof/>
        </w:rPr>
        <w:fldChar w:fldCharType="separate"/>
      </w:r>
      <w:r w:rsidR="004B7F70">
        <w:rPr>
          <w:noProof/>
        </w:rPr>
        <w:t>1</w:t>
      </w:r>
      <w:r>
        <w:rPr>
          <w:noProof/>
        </w:rPr>
        <w:fldChar w:fldCharType="end"/>
      </w:r>
    </w:p>
    <w:p w14:paraId="3D15D564" w14:textId="2ED7696D" w:rsidR="00434F50" w:rsidRDefault="00434F50">
      <w:pPr>
        <w:pStyle w:val="TOC1"/>
        <w:tabs>
          <w:tab w:val="left" w:pos="1620"/>
        </w:tabs>
        <w:rPr>
          <w:rFonts w:asciiTheme="minorHAnsi" w:eastAsiaTheme="minorEastAsia" w:hAnsiTheme="minorHAnsi" w:cstheme="minorBidi"/>
          <w:b w:val="0"/>
          <w:noProof/>
          <w:kern w:val="2"/>
          <w:sz w:val="22"/>
          <w:szCs w:val="22"/>
          <w14:ligatures w14:val="standardContextual"/>
        </w:rPr>
      </w:pPr>
      <w:r>
        <w:rPr>
          <w:noProof/>
        </w:rPr>
        <w:t>Chapter 1</w:t>
      </w:r>
      <w:r>
        <w:rPr>
          <w:rFonts w:asciiTheme="minorHAnsi" w:eastAsiaTheme="minorEastAsia" w:hAnsiTheme="minorHAnsi" w:cstheme="minorBidi"/>
          <w:b w:val="0"/>
          <w:noProof/>
          <w:kern w:val="2"/>
          <w:sz w:val="22"/>
          <w:szCs w:val="22"/>
          <w14:ligatures w14:val="standardContextual"/>
        </w:rPr>
        <w:tab/>
      </w:r>
      <w:r>
        <w:rPr>
          <w:noProof/>
        </w:rPr>
        <w:t>Introduction</w:t>
      </w:r>
      <w:r>
        <w:rPr>
          <w:noProof/>
        </w:rPr>
        <w:tab/>
      </w:r>
      <w:r>
        <w:rPr>
          <w:noProof/>
        </w:rPr>
        <w:fldChar w:fldCharType="begin"/>
      </w:r>
      <w:r>
        <w:rPr>
          <w:noProof/>
        </w:rPr>
        <w:instrText xml:space="preserve"> PAGEREF _Toc154331420 \h </w:instrText>
      </w:r>
      <w:r>
        <w:rPr>
          <w:noProof/>
        </w:rPr>
      </w:r>
      <w:r>
        <w:rPr>
          <w:noProof/>
        </w:rPr>
        <w:fldChar w:fldCharType="separate"/>
      </w:r>
      <w:r w:rsidR="004B7F70">
        <w:rPr>
          <w:noProof/>
        </w:rPr>
        <w:t>3</w:t>
      </w:r>
      <w:r>
        <w:rPr>
          <w:noProof/>
        </w:rPr>
        <w:fldChar w:fldCharType="end"/>
      </w:r>
    </w:p>
    <w:p w14:paraId="09A837D8" w14:textId="6EA908C2"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1.1.</w:t>
      </w:r>
      <w:r>
        <w:rPr>
          <w:rFonts w:asciiTheme="minorHAnsi" w:eastAsiaTheme="minorEastAsia" w:hAnsiTheme="minorHAnsi" w:cstheme="minorBidi"/>
          <w:noProof/>
          <w:kern w:val="2"/>
          <w:sz w:val="22"/>
          <w:szCs w:val="22"/>
          <w14:ligatures w14:val="standardContextual"/>
        </w:rPr>
        <w:tab/>
      </w:r>
      <w:r>
        <w:rPr>
          <w:noProof/>
        </w:rPr>
        <w:t>The environment and plant growth</w:t>
      </w:r>
      <w:r>
        <w:rPr>
          <w:noProof/>
        </w:rPr>
        <w:tab/>
      </w:r>
      <w:r>
        <w:rPr>
          <w:noProof/>
        </w:rPr>
        <w:fldChar w:fldCharType="begin"/>
      </w:r>
      <w:r>
        <w:rPr>
          <w:noProof/>
        </w:rPr>
        <w:instrText xml:space="preserve"> PAGEREF _Toc154331421 \h </w:instrText>
      </w:r>
      <w:r>
        <w:rPr>
          <w:noProof/>
        </w:rPr>
      </w:r>
      <w:r>
        <w:rPr>
          <w:noProof/>
        </w:rPr>
        <w:fldChar w:fldCharType="separate"/>
      </w:r>
      <w:r w:rsidR="004B7F70">
        <w:rPr>
          <w:noProof/>
        </w:rPr>
        <w:t>3</w:t>
      </w:r>
      <w:r>
        <w:rPr>
          <w:noProof/>
        </w:rPr>
        <w:fldChar w:fldCharType="end"/>
      </w:r>
    </w:p>
    <w:p w14:paraId="15731D22" w14:textId="5CF45FF4"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1.2.</w:t>
      </w:r>
      <w:r>
        <w:rPr>
          <w:rFonts w:asciiTheme="minorHAnsi" w:eastAsiaTheme="minorEastAsia" w:hAnsiTheme="minorHAnsi" w:cstheme="minorBidi"/>
          <w:noProof/>
          <w:kern w:val="2"/>
          <w:sz w:val="22"/>
          <w:szCs w:val="22"/>
          <w14:ligatures w14:val="standardContextual"/>
        </w:rPr>
        <w:tab/>
      </w:r>
      <w:r>
        <w:rPr>
          <w:noProof/>
        </w:rPr>
        <w:t>Soil volume and plant growth</w:t>
      </w:r>
      <w:r>
        <w:rPr>
          <w:noProof/>
        </w:rPr>
        <w:tab/>
      </w:r>
      <w:r>
        <w:rPr>
          <w:noProof/>
        </w:rPr>
        <w:fldChar w:fldCharType="begin"/>
      </w:r>
      <w:r>
        <w:rPr>
          <w:noProof/>
        </w:rPr>
        <w:instrText xml:space="preserve"> PAGEREF _Toc154331422 \h </w:instrText>
      </w:r>
      <w:r>
        <w:rPr>
          <w:noProof/>
        </w:rPr>
      </w:r>
      <w:r>
        <w:rPr>
          <w:noProof/>
        </w:rPr>
        <w:fldChar w:fldCharType="separate"/>
      </w:r>
      <w:r w:rsidR="004B7F70">
        <w:rPr>
          <w:noProof/>
        </w:rPr>
        <w:t>4</w:t>
      </w:r>
      <w:r>
        <w:rPr>
          <w:noProof/>
        </w:rPr>
        <w:fldChar w:fldCharType="end"/>
      </w:r>
    </w:p>
    <w:p w14:paraId="7C3155A6" w14:textId="1D3446CB"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1.2.1.</w:t>
      </w:r>
      <w:r>
        <w:rPr>
          <w:rFonts w:asciiTheme="minorHAnsi" w:eastAsiaTheme="minorEastAsia" w:hAnsiTheme="minorHAnsi" w:cstheme="minorBidi"/>
          <w:noProof/>
          <w:kern w:val="2"/>
          <w:sz w:val="22"/>
          <w:szCs w:val="22"/>
          <w14:ligatures w14:val="standardContextual"/>
        </w:rPr>
        <w:tab/>
      </w:r>
      <w:r>
        <w:rPr>
          <w:noProof/>
        </w:rPr>
        <w:t>The relationship between soil volume responses and nutrient and water availability</w:t>
      </w:r>
      <w:r>
        <w:rPr>
          <w:noProof/>
        </w:rPr>
        <w:tab/>
      </w:r>
      <w:r>
        <w:rPr>
          <w:noProof/>
        </w:rPr>
        <w:fldChar w:fldCharType="begin"/>
      </w:r>
      <w:r>
        <w:rPr>
          <w:noProof/>
        </w:rPr>
        <w:instrText xml:space="preserve"> PAGEREF _Toc154331423 \h </w:instrText>
      </w:r>
      <w:r>
        <w:rPr>
          <w:noProof/>
        </w:rPr>
      </w:r>
      <w:r>
        <w:rPr>
          <w:noProof/>
        </w:rPr>
        <w:fldChar w:fldCharType="separate"/>
      </w:r>
      <w:r w:rsidR="004B7F70">
        <w:rPr>
          <w:noProof/>
        </w:rPr>
        <w:t>7</w:t>
      </w:r>
      <w:r>
        <w:rPr>
          <w:noProof/>
        </w:rPr>
        <w:fldChar w:fldCharType="end"/>
      </w:r>
    </w:p>
    <w:p w14:paraId="0BAFB945" w14:textId="1FFE7649"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1.2.2.</w:t>
      </w:r>
      <w:r>
        <w:rPr>
          <w:rFonts w:asciiTheme="minorHAnsi" w:eastAsiaTheme="minorEastAsia" w:hAnsiTheme="minorHAnsi" w:cstheme="minorBidi"/>
          <w:noProof/>
          <w:kern w:val="2"/>
          <w:sz w:val="22"/>
          <w:szCs w:val="22"/>
          <w14:ligatures w14:val="standardContextual"/>
        </w:rPr>
        <w:tab/>
      </w:r>
      <w:r>
        <w:rPr>
          <w:noProof/>
        </w:rPr>
        <w:t>Soil volume responses could involve root impedance and root exuded chemicals</w:t>
      </w:r>
      <w:r>
        <w:rPr>
          <w:noProof/>
        </w:rPr>
        <w:tab/>
      </w:r>
      <w:r>
        <w:rPr>
          <w:noProof/>
        </w:rPr>
        <w:fldChar w:fldCharType="begin"/>
      </w:r>
      <w:r>
        <w:rPr>
          <w:noProof/>
        </w:rPr>
        <w:instrText xml:space="preserve"> PAGEREF _Toc154331424 \h </w:instrText>
      </w:r>
      <w:r>
        <w:rPr>
          <w:noProof/>
        </w:rPr>
      </w:r>
      <w:r>
        <w:rPr>
          <w:noProof/>
        </w:rPr>
        <w:fldChar w:fldCharType="separate"/>
      </w:r>
      <w:r w:rsidR="004B7F70">
        <w:rPr>
          <w:noProof/>
        </w:rPr>
        <w:t>10</w:t>
      </w:r>
      <w:r>
        <w:rPr>
          <w:noProof/>
        </w:rPr>
        <w:fldChar w:fldCharType="end"/>
      </w:r>
    </w:p>
    <w:p w14:paraId="6F633832" w14:textId="7F283429"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1.3.</w:t>
      </w:r>
      <w:r>
        <w:rPr>
          <w:rFonts w:asciiTheme="minorHAnsi" w:eastAsiaTheme="minorEastAsia" w:hAnsiTheme="minorHAnsi" w:cstheme="minorBidi"/>
          <w:noProof/>
          <w:kern w:val="2"/>
          <w:sz w:val="22"/>
          <w:szCs w:val="22"/>
          <w14:ligatures w14:val="standardContextual"/>
        </w:rPr>
        <w:tab/>
      </w:r>
      <w:r>
        <w:rPr>
          <w:noProof/>
        </w:rPr>
        <w:t>Neighbour density and plant growth</w:t>
      </w:r>
      <w:r>
        <w:rPr>
          <w:noProof/>
        </w:rPr>
        <w:tab/>
      </w:r>
      <w:r>
        <w:rPr>
          <w:noProof/>
        </w:rPr>
        <w:fldChar w:fldCharType="begin"/>
      </w:r>
      <w:r>
        <w:rPr>
          <w:noProof/>
        </w:rPr>
        <w:instrText xml:space="preserve"> PAGEREF _Toc154331425 \h </w:instrText>
      </w:r>
      <w:r>
        <w:rPr>
          <w:noProof/>
        </w:rPr>
      </w:r>
      <w:r>
        <w:rPr>
          <w:noProof/>
        </w:rPr>
        <w:fldChar w:fldCharType="separate"/>
      </w:r>
      <w:r w:rsidR="004B7F70">
        <w:rPr>
          <w:noProof/>
        </w:rPr>
        <w:t>12</w:t>
      </w:r>
      <w:r>
        <w:rPr>
          <w:noProof/>
        </w:rPr>
        <w:fldChar w:fldCharType="end"/>
      </w:r>
    </w:p>
    <w:p w14:paraId="4C6FD5D7" w14:textId="1A6F1859"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1.3.1.</w:t>
      </w:r>
      <w:r>
        <w:rPr>
          <w:rFonts w:asciiTheme="minorHAnsi" w:eastAsiaTheme="minorEastAsia" w:hAnsiTheme="minorHAnsi" w:cstheme="minorBidi"/>
          <w:noProof/>
          <w:kern w:val="2"/>
          <w:sz w:val="22"/>
          <w:szCs w:val="22"/>
          <w14:ligatures w14:val="standardContextual"/>
        </w:rPr>
        <w:tab/>
      </w:r>
      <w:r>
        <w:rPr>
          <w:noProof/>
        </w:rPr>
        <w:t>Neighbour density studies are often confounded by soil volume</w:t>
      </w:r>
      <w:r>
        <w:rPr>
          <w:noProof/>
        </w:rPr>
        <w:tab/>
      </w:r>
      <w:r>
        <w:rPr>
          <w:noProof/>
        </w:rPr>
        <w:fldChar w:fldCharType="begin"/>
      </w:r>
      <w:r>
        <w:rPr>
          <w:noProof/>
        </w:rPr>
        <w:instrText xml:space="preserve"> PAGEREF _Toc154331426 \h </w:instrText>
      </w:r>
      <w:r>
        <w:rPr>
          <w:noProof/>
        </w:rPr>
      </w:r>
      <w:r>
        <w:rPr>
          <w:noProof/>
        </w:rPr>
        <w:fldChar w:fldCharType="separate"/>
      </w:r>
      <w:r w:rsidR="004B7F70">
        <w:rPr>
          <w:noProof/>
        </w:rPr>
        <w:t>13</w:t>
      </w:r>
      <w:r>
        <w:rPr>
          <w:noProof/>
        </w:rPr>
        <w:fldChar w:fldCharType="end"/>
      </w:r>
    </w:p>
    <w:p w14:paraId="796B86B9" w14:textId="7EDA9484"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1.3.2.</w:t>
      </w:r>
      <w:r>
        <w:rPr>
          <w:rFonts w:asciiTheme="minorHAnsi" w:eastAsiaTheme="minorEastAsia" w:hAnsiTheme="minorHAnsi" w:cstheme="minorBidi"/>
          <w:noProof/>
          <w:kern w:val="2"/>
          <w:sz w:val="22"/>
          <w:szCs w:val="22"/>
          <w14:ligatures w14:val="standardContextual"/>
        </w:rPr>
        <w:tab/>
      </w:r>
      <w:r>
        <w:rPr>
          <w:noProof/>
        </w:rPr>
        <w:t>Neighbour density in agricultural settings</w:t>
      </w:r>
      <w:r>
        <w:rPr>
          <w:noProof/>
        </w:rPr>
        <w:tab/>
      </w:r>
      <w:r>
        <w:rPr>
          <w:noProof/>
        </w:rPr>
        <w:fldChar w:fldCharType="begin"/>
      </w:r>
      <w:r>
        <w:rPr>
          <w:noProof/>
        </w:rPr>
        <w:instrText xml:space="preserve"> PAGEREF _Toc154331427 \h </w:instrText>
      </w:r>
      <w:r>
        <w:rPr>
          <w:noProof/>
        </w:rPr>
      </w:r>
      <w:r>
        <w:rPr>
          <w:noProof/>
        </w:rPr>
        <w:fldChar w:fldCharType="separate"/>
      </w:r>
      <w:r w:rsidR="004B7F70">
        <w:rPr>
          <w:noProof/>
        </w:rPr>
        <w:t>15</w:t>
      </w:r>
      <w:r>
        <w:rPr>
          <w:noProof/>
        </w:rPr>
        <w:fldChar w:fldCharType="end"/>
      </w:r>
    </w:p>
    <w:p w14:paraId="2D1C5D72" w14:textId="35D32BA1"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1.3.3.</w:t>
      </w:r>
      <w:r>
        <w:rPr>
          <w:rFonts w:asciiTheme="minorHAnsi" w:eastAsiaTheme="minorEastAsia" w:hAnsiTheme="minorHAnsi" w:cstheme="minorBidi"/>
          <w:noProof/>
          <w:kern w:val="2"/>
          <w:sz w:val="22"/>
          <w:szCs w:val="22"/>
          <w14:ligatures w14:val="standardContextual"/>
        </w:rPr>
        <w:tab/>
      </w:r>
      <w:r>
        <w:rPr>
          <w:noProof/>
        </w:rPr>
        <w:t>Neighbour detection using root exudates</w:t>
      </w:r>
      <w:r>
        <w:rPr>
          <w:noProof/>
        </w:rPr>
        <w:tab/>
      </w:r>
      <w:r>
        <w:rPr>
          <w:noProof/>
        </w:rPr>
        <w:fldChar w:fldCharType="begin"/>
      </w:r>
      <w:r>
        <w:rPr>
          <w:noProof/>
        </w:rPr>
        <w:instrText xml:space="preserve"> PAGEREF _Toc154331428 \h </w:instrText>
      </w:r>
      <w:r>
        <w:rPr>
          <w:noProof/>
        </w:rPr>
      </w:r>
      <w:r>
        <w:rPr>
          <w:noProof/>
        </w:rPr>
        <w:fldChar w:fldCharType="separate"/>
      </w:r>
      <w:r w:rsidR="004B7F70">
        <w:rPr>
          <w:noProof/>
        </w:rPr>
        <w:t>16</w:t>
      </w:r>
      <w:r>
        <w:rPr>
          <w:noProof/>
        </w:rPr>
        <w:fldChar w:fldCharType="end"/>
      </w:r>
    </w:p>
    <w:p w14:paraId="3439AA2B" w14:textId="33B7171C"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1.4.</w:t>
      </w:r>
      <w:r>
        <w:rPr>
          <w:rFonts w:asciiTheme="minorHAnsi" w:eastAsiaTheme="minorEastAsia" w:hAnsiTheme="minorHAnsi" w:cstheme="minorBidi"/>
          <w:noProof/>
          <w:kern w:val="2"/>
          <w:sz w:val="22"/>
          <w:szCs w:val="22"/>
          <w14:ligatures w14:val="standardContextual"/>
        </w:rPr>
        <w:tab/>
      </w:r>
      <w:r>
        <w:rPr>
          <w:noProof/>
        </w:rPr>
        <w:t>Strigolactones</w:t>
      </w:r>
      <w:r>
        <w:rPr>
          <w:noProof/>
        </w:rPr>
        <w:tab/>
      </w:r>
      <w:r>
        <w:rPr>
          <w:noProof/>
        </w:rPr>
        <w:fldChar w:fldCharType="begin"/>
      </w:r>
      <w:r>
        <w:rPr>
          <w:noProof/>
        </w:rPr>
        <w:instrText xml:space="preserve"> PAGEREF _Toc154331429 \h </w:instrText>
      </w:r>
      <w:r>
        <w:rPr>
          <w:noProof/>
        </w:rPr>
      </w:r>
      <w:r>
        <w:rPr>
          <w:noProof/>
        </w:rPr>
        <w:fldChar w:fldCharType="separate"/>
      </w:r>
      <w:r w:rsidR="004B7F70">
        <w:rPr>
          <w:noProof/>
        </w:rPr>
        <w:t>19</w:t>
      </w:r>
      <w:r>
        <w:rPr>
          <w:noProof/>
        </w:rPr>
        <w:fldChar w:fldCharType="end"/>
      </w:r>
    </w:p>
    <w:p w14:paraId="2341FF9A" w14:textId="67699F45"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1.4.1.</w:t>
      </w:r>
      <w:r>
        <w:rPr>
          <w:rFonts w:asciiTheme="minorHAnsi" w:eastAsiaTheme="minorEastAsia" w:hAnsiTheme="minorHAnsi" w:cstheme="minorBidi"/>
          <w:noProof/>
          <w:kern w:val="2"/>
          <w:sz w:val="22"/>
          <w:szCs w:val="22"/>
          <w14:ligatures w14:val="standardContextual"/>
        </w:rPr>
        <w:tab/>
      </w:r>
      <w:r>
        <w:rPr>
          <w:noProof/>
        </w:rPr>
        <w:t>Strigolactone biosynthesis</w:t>
      </w:r>
      <w:r>
        <w:rPr>
          <w:noProof/>
        </w:rPr>
        <w:tab/>
      </w:r>
      <w:r>
        <w:rPr>
          <w:noProof/>
        </w:rPr>
        <w:fldChar w:fldCharType="begin"/>
      </w:r>
      <w:r>
        <w:rPr>
          <w:noProof/>
        </w:rPr>
        <w:instrText xml:space="preserve"> PAGEREF _Toc154331430 \h </w:instrText>
      </w:r>
      <w:r>
        <w:rPr>
          <w:noProof/>
        </w:rPr>
      </w:r>
      <w:r>
        <w:rPr>
          <w:noProof/>
        </w:rPr>
        <w:fldChar w:fldCharType="separate"/>
      </w:r>
      <w:r w:rsidR="004B7F70">
        <w:rPr>
          <w:noProof/>
        </w:rPr>
        <w:t>20</w:t>
      </w:r>
      <w:r>
        <w:rPr>
          <w:noProof/>
        </w:rPr>
        <w:fldChar w:fldCharType="end"/>
      </w:r>
    </w:p>
    <w:p w14:paraId="35F77177" w14:textId="35135E8E"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1.4.2.</w:t>
      </w:r>
      <w:r>
        <w:rPr>
          <w:rFonts w:asciiTheme="minorHAnsi" w:eastAsiaTheme="minorEastAsia" w:hAnsiTheme="minorHAnsi" w:cstheme="minorBidi"/>
          <w:noProof/>
          <w:kern w:val="2"/>
          <w:sz w:val="22"/>
          <w:szCs w:val="22"/>
          <w14:ligatures w14:val="standardContextual"/>
        </w:rPr>
        <w:tab/>
      </w:r>
      <w:r>
        <w:rPr>
          <w:noProof/>
        </w:rPr>
        <w:t>Canonical and non-canonical strigolactones</w:t>
      </w:r>
      <w:r>
        <w:rPr>
          <w:noProof/>
        </w:rPr>
        <w:tab/>
      </w:r>
      <w:r>
        <w:rPr>
          <w:noProof/>
        </w:rPr>
        <w:fldChar w:fldCharType="begin"/>
      </w:r>
      <w:r>
        <w:rPr>
          <w:noProof/>
        </w:rPr>
        <w:instrText xml:space="preserve"> PAGEREF _Toc154331431 \h </w:instrText>
      </w:r>
      <w:r>
        <w:rPr>
          <w:noProof/>
        </w:rPr>
      </w:r>
      <w:r>
        <w:rPr>
          <w:noProof/>
        </w:rPr>
        <w:fldChar w:fldCharType="separate"/>
      </w:r>
      <w:r w:rsidR="004B7F70">
        <w:rPr>
          <w:noProof/>
        </w:rPr>
        <w:t>22</w:t>
      </w:r>
      <w:r>
        <w:rPr>
          <w:noProof/>
        </w:rPr>
        <w:fldChar w:fldCharType="end"/>
      </w:r>
    </w:p>
    <w:p w14:paraId="70C8B6BF" w14:textId="1E7D5AE1"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1.4.3.</w:t>
      </w:r>
      <w:r>
        <w:rPr>
          <w:rFonts w:asciiTheme="minorHAnsi" w:eastAsiaTheme="minorEastAsia" w:hAnsiTheme="minorHAnsi" w:cstheme="minorBidi"/>
          <w:noProof/>
          <w:kern w:val="2"/>
          <w:sz w:val="22"/>
          <w:szCs w:val="22"/>
          <w14:ligatures w14:val="standardContextual"/>
        </w:rPr>
        <w:tab/>
      </w:r>
      <w:r>
        <w:rPr>
          <w:noProof/>
        </w:rPr>
        <w:t>Strigolactone signalling</w:t>
      </w:r>
      <w:r>
        <w:rPr>
          <w:noProof/>
        </w:rPr>
        <w:tab/>
      </w:r>
      <w:r>
        <w:rPr>
          <w:noProof/>
        </w:rPr>
        <w:fldChar w:fldCharType="begin"/>
      </w:r>
      <w:r>
        <w:rPr>
          <w:noProof/>
        </w:rPr>
        <w:instrText xml:space="preserve"> PAGEREF _Toc154331432 \h </w:instrText>
      </w:r>
      <w:r>
        <w:rPr>
          <w:noProof/>
        </w:rPr>
      </w:r>
      <w:r>
        <w:rPr>
          <w:noProof/>
        </w:rPr>
        <w:fldChar w:fldCharType="separate"/>
      </w:r>
      <w:r w:rsidR="004B7F70">
        <w:rPr>
          <w:noProof/>
        </w:rPr>
        <w:t>23</w:t>
      </w:r>
      <w:r>
        <w:rPr>
          <w:noProof/>
        </w:rPr>
        <w:fldChar w:fldCharType="end"/>
      </w:r>
    </w:p>
    <w:p w14:paraId="5F17B964" w14:textId="04D36910"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1.4.4.</w:t>
      </w:r>
      <w:r>
        <w:rPr>
          <w:rFonts w:asciiTheme="minorHAnsi" w:eastAsiaTheme="minorEastAsia" w:hAnsiTheme="minorHAnsi" w:cstheme="minorBidi"/>
          <w:noProof/>
          <w:kern w:val="2"/>
          <w:sz w:val="22"/>
          <w:szCs w:val="22"/>
          <w14:ligatures w14:val="standardContextual"/>
        </w:rPr>
        <w:tab/>
      </w:r>
      <w:r>
        <w:rPr>
          <w:noProof/>
        </w:rPr>
        <w:t>Could strigolactones have other roles in the rhizosphere?</w:t>
      </w:r>
      <w:r>
        <w:rPr>
          <w:noProof/>
        </w:rPr>
        <w:tab/>
      </w:r>
      <w:r>
        <w:rPr>
          <w:noProof/>
        </w:rPr>
        <w:fldChar w:fldCharType="begin"/>
      </w:r>
      <w:r>
        <w:rPr>
          <w:noProof/>
        </w:rPr>
        <w:instrText xml:space="preserve"> PAGEREF _Toc154331433 \h </w:instrText>
      </w:r>
      <w:r>
        <w:rPr>
          <w:noProof/>
        </w:rPr>
      </w:r>
      <w:r>
        <w:rPr>
          <w:noProof/>
        </w:rPr>
        <w:fldChar w:fldCharType="separate"/>
      </w:r>
      <w:r w:rsidR="004B7F70">
        <w:rPr>
          <w:noProof/>
        </w:rPr>
        <w:t>24</w:t>
      </w:r>
      <w:r>
        <w:rPr>
          <w:noProof/>
        </w:rPr>
        <w:fldChar w:fldCharType="end"/>
      </w:r>
    </w:p>
    <w:p w14:paraId="2C3022D9" w14:textId="656D104A"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1.5.</w:t>
      </w:r>
      <w:r>
        <w:rPr>
          <w:rFonts w:asciiTheme="minorHAnsi" w:eastAsiaTheme="minorEastAsia" w:hAnsiTheme="minorHAnsi" w:cstheme="minorBidi"/>
          <w:noProof/>
          <w:kern w:val="2"/>
          <w:sz w:val="22"/>
          <w:szCs w:val="22"/>
          <w14:ligatures w14:val="standardContextual"/>
        </w:rPr>
        <w:tab/>
      </w:r>
      <w:r>
        <w:rPr>
          <w:noProof/>
        </w:rPr>
        <w:t>Aims</w:t>
      </w:r>
      <w:r>
        <w:rPr>
          <w:noProof/>
        </w:rPr>
        <w:tab/>
      </w:r>
      <w:r>
        <w:rPr>
          <w:noProof/>
        </w:rPr>
        <w:fldChar w:fldCharType="begin"/>
      </w:r>
      <w:r>
        <w:rPr>
          <w:noProof/>
        </w:rPr>
        <w:instrText xml:space="preserve"> PAGEREF _Toc154331434 \h </w:instrText>
      </w:r>
      <w:r>
        <w:rPr>
          <w:noProof/>
        </w:rPr>
      </w:r>
      <w:r>
        <w:rPr>
          <w:noProof/>
        </w:rPr>
        <w:fldChar w:fldCharType="separate"/>
      </w:r>
      <w:r w:rsidR="004B7F70">
        <w:rPr>
          <w:noProof/>
        </w:rPr>
        <w:t>26</w:t>
      </w:r>
      <w:r>
        <w:rPr>
          <w:noProof/>
        </w:rPr>
        <w:fldChar w:fldCharType="end"/>
      </w:r>
    </w:p>
    <w:p w14:paraId="4DB5996D" w14:textId="1CD1927F" w:rsidR="00434F50" w:rsidRDefault="00434F50">
      <w:pPr>
        <w:pStyle w:val="TOC1"/>
        <w:tabs>
          <w:tab w:val="left" w:pos="1620"/>
        </w:tabs>
        <w:rPr>
          <w:rFonts w:asciiTheme="minorHAnsi" w:eastAsiaTheme="minorEastAsia" w:hAnsiTheme="minorHAnsi" w:cstheme="minorBidi"/>
          <w:b w:val="0"/>
          <w:noProof/>
          <w:kern w:val="2"/>
          <w:sz w:val="22"/>
          <w:szCs w:val="22"/>
          <w14:ligatures w14:val="standardContextual"/>
        </w:rPr>
      </w:pPr>
      <w:r>
        <w:rPr>
          <w:noProof/>
        </w:rPr>
        <w:t>Chapter 2</w:t>
      </w:r>
      <w:r>
        <w:rPr>
          <w:rFonts w:asciiTheme="minorHAnsi" w:eastAsiaTheme="minorEastAsia" w:hAnsiTheme="minorHAnsi" w:cstheme="minorBidi"/>
          <w:b w:val="0"/>
          <w:noProof/>
          <w:kern w:val="2"/>
          <w:sz w:val="22"/>
          <w:szCs w:val="22"/>
          <w14:ligatures w14:val="standardContextual"/>
        </w:rPr>
        <w:tab/>
      </w:r>
      <w:r>
        <w:rPr>
          <w:noProof/>
        </w:rPr>
        <w:t>Methods and Materials</w:t>
      </w:r>
      <w:r>
        <w:rPr>
          <w:noProof/>
        </w:rPr>
        <w:tab/>
      </w:r>
      <w:r>
        <w:rPr>
          <w:noProof/>
        </w:rPr>
        <w:fldChar w:fldCharType="begin"/>
      </w:r>
      <w:r>
        <w:rPr>
          <w:noProof/>
        </w:rPr>
        <w:instrText xml:space="preserve"> PAGEREF _Toc154331435 \h </w:instrText>
      </w:r>
      <w:r>
        <w:rPr>
          <w:noProof/>
        </w:rPr>
      </w:r>
      <w:r>
        <w:rPr>
          <w:noProof/>
        </w:rPr>
        <w:fldChar w:fldCharType="separate"/>
      </w:r>
      <w:r w:rsidR="004B7F70">
        <w:rPr>
          <w:noProof/>
        </w:rPr>
        <w:t>28</w:t>
      </w:r>
      <w:r>
        <w:rPr>
          <w:noProof/>
        </w:rPr>
        <w:fldChar w:fldCharType="end"/>
      </w:r>
    </w:p>
    <w:p w14:paraId="4ACBC616" w14:textId="73A31F9E"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2.1.</w:t>
      </w:r>
      <w:r>
        <w:rPr>
          <w:rFonts w:asciiTheme="minorHAnsi" w:eastAsiaTheme="minorEastAsia" w:hAnsiTheme="minorHAnsi" w:cstheme="minorBidi"/>
          <w:noProof/>
          <w:kern w:val="2"/>
          <w:sz w:val="22"/>
          <w:szCs w:val="22"/>
          <w14:ligatures w14:val="standardContextual"/>
        </w:rPr>
        <w:tab/>
      </w:r>
      <w:r>
        <w:rPr>
          <w:noProof/>
        </w:rPr>
        <w:t>Plant growth conditions</w:t>
      </w:r>
      <w:r>
        <w:rPr>
          <w:noProof/>
        </w:rPr>
        <w:tab/>
      </w:r>
      <w:r>
        <w:rPr>
          <w:noProof/>
        </w:rPr>
        <w:fldChar w:fldCharType="begin"/>
      </w:r>
      <w:r>
        <w:rPr>
          <w:noProof/>
        </w:rPr>
        <w:instrText xml:space="preserve"> PAGEREF _Toc154331436 \h </w:instrText>
      </w:r>
      <w:r>
        <w:rPr>
          <w:noProof/>
        </w:rPr>
      </w:r>
      <w:r>
        <w:rPr>
          <w:noProof/>
        </w:rPr>
        <w:fldChar w:fldCharType="separate"/>
      </w:r>
      <w:r w:rsidR="004B7F70">
        <w:rPr>
          <w:noProof/>
        </w:rPr>
        <w:t>28</w:t>
      </w:r>
      <w:r>
        <w:rPr>
          <w:noProof/>
        </w:rPr>
        <w:fldChar w:fldCharType="end"/>
      </w:r>
    </w:p>
    <w:p w14:paraId="067B0B85" w14:textId="40DC2F8F"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2.1.1.</w:t>
      </w:r>
      <w:r>
        <w:rPr>
          <w:rFonts w:asciiTheme="minorHAnsi" w:eastAsiaTheme="minorEastAsia" w:hAnsiTheme="minorHAnsi" w:cstheme="minorBidi"/>
          <w:noProof/>
          <w:kern w:val="2"/>
          <w:sz w:val="22"/>
          <w:szCs w:val="22"/>
          <w14:ligatures w14:val="standardContextual"/>
        </w:rPr>
        <w:tab/>
      </w:r>
      <w:r>
        <w:rPr>
          <w:noProof/>
        </w:rPr>
        <w:t>Light and temperature</w:t>
      </w:r>
      <w:r>
        <w:rPr>
          <w:noProof/>
        </w:rPr>
        <w:tab/>
      </w:r>
      <w:r>
        <w:rPr>
          <w:noProof/>
        </w:rPr>
        <w:fldChar w:fldCharType="begin"/>
      </w:r>
      <w:r>
        <w:rPr>
          <w:noProof/>
        </w:rPr>
        <w:instrText xml:space="preserve"> PAGEREF _Toc154331437 \h </w:instrText>
      </w:r>
      <w:r>
        <w:rPr>
          <w:noProof/>
        </w:rPr>
      </w:r>
      <w:r>
        <w:rPr>
          <w:noProof/>
        </w:rPr>
        <w:fldChar w:fldCharType="separate"/>
      </w:r>
      <w:r w:rsidR="004B7F70">
        <w:rPr>
          <w:noProof/>
        </w:rPr>
        <w:t>28</w:t>
      </w:r>
      <w:r>
        <w:rPr>
          <w:noProof/>
        </w:rPr>
        <w:fldChar w:fldCharType="end"/>
      </w:r>
    </w:p>
    <w:p w14:paraId="39759268" w14:textId="17BFFFF3"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2.1.2.</w:t>
      </w:r>
      <w:r>
        <w:rPr>
          <w:rFonts w:asciiTheme="minorHAnsi" w:eastAsiaTheme="minorEastAsia" w:hAnsiTheme="minorHAnsi" w:cstheme="minorBidi"/>
          <w:noProof/>
          <w:kern w:val="2"/>
          <w:sz w:val="22"/>
          <w:szCs w:val="22"/>
          <w14:ligatures w14:val="standardContextual"/>
        </w:rPr>
        <w:tab/>
      </w:r>
      <w:r>
        <w:rPr>
          <w:noProof/>
        </w:rPr>
        <w:t>Growth substrates</w:t>
      </w:r>
      <w:r>
        <w:rPr>
          <w:noProof/>
        </w:rPr>
        <w:tab/>
      </w:r>
      <w:r>
        <w:rPr>
          <w:noProof/>
        </w:rPr>
        <w:fldChar w:fldCharType="begin"/>
      </w:r>
      <w:r>
        <w:rPr>
          <w:noProof/>
        </w:rPr>
        <w:instrText xml:space="preserve"> PAGEREF _Toc154331438 \h </w:instrText>
      </w:r>
      <w:r>
        <w:rPr>
          <w:noProof/>
        </w:rPr>
      </w:r>
      <w:r>
        <w:rPr>
          <w:noProof/>
        </w:rPr>
        <w:fldChar w:fldCharType="separate"/>
      </w:r>
      <w:r w:rsidR="004B7F70">
        <w:rPr>
          <w:noProof/>
        </w:rPr>
        <w:t>28</w:t>
      </w:r>
      <w:r>
        <w:rPr>
          <w:noProof/>
        </w:rPr>
        <w:fldChar w:fldCharType="end"/>
      </w:r>
    </w:p>
    <w:p w14:paraId="6E7E763F" w14:textId="6C545DA7" w:rsidR="00434F50" w:rsidRDefault="00434F50">
      <w:pPr>
        <w:pStyle w:val="TOC4"/>
        <w:tabs>
          <w:tab w:val="left" w:pos="2641"/>
        </w:tabs>
        <w:rPr>
          <w:rFonts w:asciiTheme="minorHAnsi" w:eastAsiaTheme="minorEastAsia" w:hAnsiTheme="minorHAnsi" w:cstheme="minorBidi"/>
          <w:noProof/>
          <w:kern w:val="2"/>
          <w:sz w:val="22"/>
          <w:szCs w:val="22"/>
          <w14:ligatures w14:val="standardContextual"/>
        </w:rPr>
      </w:pPr>
      <w:r>
        <w:rPr>
          <w:noProof/>
        </w:rPr>
        <w:t>2.1.2.1.</w:t>
      </w:r>
      <w:r>
        <w:rPr>
          <w:rFonts w:asciiTheme="minorHAnsi" w:eastAsiaTheme="minorEastAsia" w:hAnsiTheme="minorHAnsi" w:cstheme="minorBidi"/>
          <w:noProof/>
          <w:kern w:val="2"/>
          <w:sz w:val="22"/>
          <w:szCs w:val="22"/>
          <w14:ligatures w14:val="standardContextual"/>
        </w:rPr>
        <w:tab/>
      </w:r>
      <w:r>
        <w:rPr>
          <w:noProof/>
        </w:rPr>
        <w:t>Soil based experiments</w:t>
      </w:r>
      <w:r>
        <w:rPr>
          <w:noProof/>
        </w:rPr>
        <w:tab/>
      </w:r>
      <w:r>
        <w:rPr>
          <w:noProof/>
        </w:rPr>
        <w:fldChar w:fldCharType="begin"/>
      </w:r>
      <w:r>
        <w:rPr>
          <w:noProof/>
        </w:rPr>
        <w:instrText xml:space="preserve"> PAGEREF _Toc154331439 \h </w:instrText>
      </w:r>
      <w:r>
        <w:rPr>
          <w:noProof/>
        </w:rPr>
      </w:r>
      <w:r>
        <w:rPr>
          <w:noProof/>
        </w:rPr>
        <w:fldChar w:fldCharType="separate"/>
      </w:r>
      <w:r w:rsidR="004B7F70">
        <w:rPr>
          <w:noProof/>
        </w:rPr>
        <w:t>28</w:t>
      </w:r>
      <w:r>
        <w:rPr>
          <w:noProof/>
        </w:rPr>
        <w:fldChar w:fldCharType="end"/>
      </w:r>
    </w:p>
    <w:p w14:paraId="048B4042" w14:textId="561917B9" w:rsidR="00434F50" w:rsidRDefault="00434F50">
      <w:pPr>
        <w:pStyle w:val="TOC4"/>
        <w:tabs>
          <w:tab w:val="left" w:pos="2641"/>
        </w:tabs>
        <w:rPr>
          <w:rFonts w:asciiTheme="minorHAnsi" w:eastAsiaTheme="minorEastAsia" w:hAnsiTheme="minorHAnsi" w:cstheme="minorBidi"/>
          <w:noProof/>
          <w:kern w:val="2"/>
          <w:sz w:val="22"/>
          <w:szCs w:val="22"/>
          <w14:ligatures w14:val="standardContextual"/>
        </w:rPr>
      </w:pPr>
      <w:r>
        <w:rPr>
          <w:noProof/>
        </w:rPr>
        <w:t>2.1.2.2.</w:t>
      </w:r>
      <w:r>
        <w:rPr>
          <w:rFonts w:asciiTheme="minorHAnsi" w:eastAsiaTheme="minorEastAsia" w:hAnsiTheme="minorHAnsi" w:cstheme="minorBidi"/>
          <w:noProof/>
          <w:kern w:val="2"/>
          <w:sz w:val="22"/>
          <w:szCs w:val="22"/>
          <w14:ligatures w14:val="standardContextual"/>
        </w:rPr>
        <w:tab/>
      </w:r>
      <w:r>
        <w:rPr>
          <w:noProof/>
        </w:rPr>
        <w:t>Hydroponic experiments</w:t>
      </w:r>
      <w:r>
        <w:rPr>
          <w:noProof/>
        </w:rPr>
        <w:tab/>
      </w:r>
      <w:r>
        <w:rPr>
          <w:noProof/>
        </w:rPr>
        <w:fldChar w:fldCharType="begin"/>
      </w:r>
      <w:r>
        <w:rPr>
          <w:noProof/>
        </w:rPr>
        <w:instrText xml:space="preserve"> PAGEREF _Toc154331440 \h </w:instrText>
      </w:r>
      <w:r>
        <w:rPr>
          <w:noProof/>
        </w:rPr>
      </w:r>
      <w:r>
        <w:rPr>
          <w:noProof/>
        </w:rPr>
        <w:fldChar w:fldCharType="separate"/>
      </w:r>
      <w:r w:rsidR="004B7F70">
        <w:rPr>
          <w:noProof/>
        </w:rPr>
        <w:t>28</w:t>
      </w:r>
      <w:r>
        <w:rPr>
          <w:noProof/>
        </w:rPr>
        <w:fldChar w:fldCharType="end"/>
      </w:r>
    </w:p>
    <w:p w14:paraId="6D2CD0B5" w14:textId="46C21A3D" w:rsidR="00434F50" w:rsidRDefault="00434F50">
      <w:pPr>
        <w:pStyle w:val="TOC4"/>
        <w:tabs>
          <w:tab w:val="left" w:pos="2641"/>
        </w:tabs>
        <w:rPr>
          <w:rFonts w:asciiTheme="minorHAnsi" w:eastAsiaTheme="minorEastAsia" w:hAnsiTheme="minorHAnsi" w:cstheme="minorBidi"/>
          <w:noProof/>
          <w:kern w:val="2"/>
          <w:sz w:val="22"/>
          <w:szCs w:val="22"/>
          <w14:ligatures w14:val="standardContextual"/>
        </w:rPr>
      </w:pPr>
      <w:r>
        <w:rPr>
          <w:noProof/>
        </w:rPr>
        <w:t>2.1.2.3.</w:t>
      </w:r>
      <w:r>
        <w:rPr>
          <w:rFonts w:asciiTheme="minorHAnsi" w:eastAsiaTheme="minorEastAsia" w:hAnsiTheme="minorHAnsi" w:cstheme="minorBidi"/>
          <w:noProof/>
          <w:kern w:val="2"/>
          <w:sz w:val="22"/>
          <w:szCs w:val="22"/>
          <w14:ligatures w14:val="standardContextual"/>
        </w:rPr>
        <w:tab/>
      </w:r>
      <w:r>
        <w:rPr>
          <w:noProof/>
        </w:rPr>
        <w:t>Rhizoboxes</w:t>
      </w:r>
      <w:r>
        <w:rPr>
          <w:noProof/>
        </w:rPr>
        <w:tab/>
      </w:r>
      <w:r>
        <w:rPr>
          <w:noProof/>
        </w:rPr>
        <w:fldChar w:fldCharType="begin"/>
      </w:r>
      <w:r>
        <w:rPr>
          <w:noProof/>
        </w:rPr>
        <w:instrText xml:space="preserve"> PAGEREF _Toc154331441 \h </w:instrText>
      </w:r>
      <w:r>
        <w:rPr>
          <w:noProof/>
        </w:rPr>
      </w:r>
      <w:r>
        <w:rPr>
          <w:noProof/>
        </w:rPr>
        <w:fldChar w:fldCharType="separate"/>
      </w:r>
      <w:r w:rsidR="004B7F70">
        <w:rPr>
          <w:noProof/>
        </w:rPr>
        <w:t>30</w:t>
      </w:r>
      <w:r>
        <w:rPr>
          <w:noProof/>
        </w:rPr>
        <w:fldChar w:fldCharType="end"/>
      </w:r>
    </w:p>
    <w:p w14:paraId="6B4F9A73" w14:textId="782B3819" w:rsidR="00434F50" w:rsidRDefault="00434F50">
      <w:pPr>
        <w:pStyle w:val="TOC4"/>
        <w:tabs>
          <w:tab w:val="left" w:pos="2641"/>
        </w:tabs>
        <w:rPr>
          <w:rFonts w:asciiTheme="minorHAnsi" w:eastAsiaTheme="minorEastAsia" w:hAnsiTheme="minorHAnsi" w:cstheme="minorBidi"/>
          <w:noProof/>
          <w:kern w:val="2"/>
          <w:sz w:val="22"/>
          <w:szCs w:val="22"/>
          <w14:ligatures w14:val="standardContextual"/>
        </w:rPr>
      </w:pPr>
      <w:r>
        <w:rPr>
          <w:noProof/>
        </w:rPr>
        <w:t>2.1.2.4.</w:t>
      </w:r>
      <w:r>
        <w:rPr>
          <w:rFonts w:asciiTheme="minorHAnsi" w:eastAsiaTheme="minorEastAsia" w:hAnsiTheme="minorHAnsi" w:cstheme="minorBidi"/>
          <w:noProof/>
          <w:kern w:val="2"/>
          <w:sz w:val="22"/>
          <w:szCs w:val="22"/>
          <w14:ligatures w14:val="standardContextual"/>
        </w:rPr>
        <w:tab/>
      </w:r>
      <w:r>
        <w:rPr>
          <w:noProof/>
        </w:rPr>
        <w:t>Agar plates</w:t>
      </w:r>
      <w:r>
        <w:rPr>
          <w:noProof/>
        </w:rPr>
        <w:tab/>
      </w:r>
      <w:r>
        <w:rPr>
          <w:noProof/>
        </w:rPr>
        <w:fldChar w:fldCharType="begin"/>
      </w:r>
      <w:r>
        <w:rPr>
          <w:noProof/>
        </w:rPr>
        <w:instrText xml:space="preserve"> PAGEREF _Toc154331442 \h </w:instrText>
      </w:r>
      <w:r>
        <w:rPr>
          <w:noProof/>
        </w:rPr>
      </w:r>
      <w:r>
        <w:rPr>
          <w:noProof/>
        </w:rPr>
        <w:fldChar w:fldCharType="separate"/>
      </w:r>
      <w:r w:rsidR="004B7F70">
        <w:rPr>
          <w:noProof/>
        </w:rPr>
        <w:t>30</w:t>
      </w:r>
      <w:r>
        <w:rPr>
          <w:noProof/>
        </w:rPr>
        <w:fldChar w:fldCharType="end"/>
      </w:r>
    </w:p>
    <w:p w14:paraId="67E520CA" w14:textId="77079AAD"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sidRPr="006D6546">
        <w:rPr>
          <w:rFonts w:eastAsia="Calibri"/>
          <w:noProof/>
        </w:rPr>
        <w:t>2.2.</w:t>
      </w:r>
      <w:r>
        <w:rPr>
          <w:rFonts w:asciiTheme="minorHAnsi" w:eastAsiaTheme="minorEastAsia" w:hAnsiTheme="minorHAnsi" w:cstheme="minorBidi"/>
          <w:noProof/>
          <w:kern w:val="2"/>
          <w:sz w:val="22"/>
          <w:szCs w:val="22"/>
          <w14:ligatures w14:val="standardContextual"/>
        </w:rPr>
        <w:tab/>
      </w:r>
      <w:r w:rsidRPr="006D6546">
        <w:rPr>
          <w:rFonts w:eastAsia="Calibri"/>
          <w:noProof/>
        </w:rPr>
        <w:t>Containers used for plant growth</w:t>
      </w:r>
      <w:r>
        <w:rPr>
          <w:noProof/>
        </w:rPr>
        <w:tab/>
      </w:r>
      <w:r>
        <w:rPr>
          <w:noProof/>
        </w:rPr>
        <w:fldChar w:fldCharType="begin"/>
      </w:r>
      <w:r>
        <w:rPr>
          <w:noProof/>
        </w:rPr>
        <w:instrText xml:space="preserve"> PAGEREF _Toc154331443 \h </w:instrText>
      </w:r>
      <w:r>
        <w:rPr>
          <w:noProof/>
        </w:rPr>
      </w:r>
      <w:r>
        <w:rPr>
          <w:noProof/>
        </w:rPr>
        <w:fldChar w:fldCharType="separate"/>
      </w:r>
      <w:r w:rsidR="004B7F70">
        <w:rPr>
          <w:noProof/>
        </w:rPr>
        <w:t>31</w:t>
      </w:r>
      <w:r>
        <w:rPr>
          <w:noProof/>
        </w:rPr>
        <w:fldChar w:fldCharType="end"/>
      </w:r>
    </w:p>
    <w:p w14:paraId="5C27DEB1" w14:textId="372A661F"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2.2.1.</w:t>
      </w:r>
      <w:r>
        <w:rPr>
          <w:rFonts w:asciiTheme="minorHAnsi" w:eastAsiaTheme="minorEastAsia" w:hAnsiTheme="minorHAnsi" w:cstheme="minorBidi"/>
          <w:noProof/>
          <w:kern w:val="2"/>
          <w:sz w:val="22"/>
          <w:szCs w:val="22"/>
          <w14:ligatures w14:val="standardContextual"/>
        </w:rPr>
        <w:tab/>
      </w:r>
      <w:r>
        <w:rPr>
          <w:noProof/>
        </w:rPr>
        <w:t>Neighbour density experiments</w:t>
      </w:r>
      <w:r>
        <w:rPr>
          <w:noProof/>
        </w:rPr>
        <w:tab/>
      </w:r>
      <w:r>
        <w:rPr>
          <w:noProof/>
        </w:rPr>
        <w:fldChar w:fldCharType="begin"/>
      </w:r>
      <w:r>
        <w:rPr>
          <w:noProof/>
        </w:rPr>
        <w:instrText xml:space="preserve"> PAGEREF _Toc154331444 \h </w:instrText>
      </w:r>
      <w:r>
        <w:rPr>
          <w:noProof/>
        </w:rPr>
      </w:r>
      <w:r>
        <w:rPr>
          <w:noProof/>
        </w:rPr>
        <w:fldChar w:fldCharType="separate"/>
      </w:r>
      <w:r w:rsidR="004B7F70">
        <w:rPr>
          <w:noProof/>
        </w:rPr>
        <w:t>31</w:t>
      </w:r>
      <w:r>
        <w:rPr>
          <w:noProof/>
        </w:rPr>
        <w:fldChar w:fldCharType="end"/>
      </w:r>
    </w:p>
    <w:p w14:paraId="00970911" w14:textId="41DAE4BD"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lastRenderedPageBreak/>
        <w:t>2.2.2.</w:t>
      </w:r>
      <w:r>
        <w:rPr>
          <w:rFonts w:asciiTheme="minorHAnsi" w:eastAsiaTheme="minorEastAsia" w:hAnsiTheme="minorHAnsi" w:cstheme="minorBidi"/>
          <w:noProof/>
          <w:kern w:val="2"/>
          <w:sz w:val="22"/>
          <w:szCs w:val="22"/>
          <w14:ligatures w14:val="standardContextual"/>
        </w:rPr>
        <w:tab/>
      </w:r>
      <w:r>
        <w:rPr>
          <w:noProof/>
        </w:rPr>
        <w:t>Rhizoboxes</w:t>
      </w:r>
      <w:r>
        <w:rPr>
          <w:noProof/>
        </w:rPr>
        <w:tab/>
      </w:r>
      <w:r>
        <w:rPr>
          <w:noProof/>
        </w:rPr>
        <w:fldChar w:fldCharType="begin"/>
      </w:r>
      <w:r>
        <w:rPr>
          <w:noProof/>
        </w:rPr>
        <w:instrText xml:space="preserve"> PAGEREF _Toc154331445 \h </w:instrText>
      </w:r>
      <w:r>
        <w:rPr>
          <w:noProof/>
        </w:rPr>
      </w:r>
      <w:r>
        <w:rPr>
          <w:noProof/>
        </w:rPr>
        <w:fldChar w:fldCharType="separate"/>
      </w:r>
      <w:r w:rsidR="004B7F70">
        <w:rPr>
          <w:noProof/>
        </w:rPr>
        <w:t>32</w:t>
      </w:r>
      <w:r>
        <w:rPr>
          <w:noProof/>
        </w:rPr>
        <w:fldChar w:fldCharType="end"/>
      </w:r>
    </w:p>
    <w:p w14:paraId="3D437FB5" w14:textId="7E279EB0"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2.2.3.</w:t>
      </w:r>
      <w:r>
        <w:rPr>
          <w:rFonts w:asciiTheme="minorHAnsi" w:eastAsiaTheme="minorEastAsia" w:hAnsiTheme="minorHAnsi" w:cstheme="minorBidi"/>
          <w:noProof/>
          <w:kern w:val="2"/>
          <w:sz w:val="22"/>
          <w:szCs w:val="22"/>
          <w14:ligatures w14:val="standardContextual"/>
        </w:rPr>
        <w:tab/>
      </w:r>
      <w:r>
        <w:rPr>
          <w:noProof/>
        </w:rPr>
        <w:t>Hydroponics</w:t>
      </w:r>
      <w:r>
        <w:rPr>
          <w:noProof/>
        </w:rPr>
        <w:tab/>
      </w:r>
      <w:r>
        <w:rPr>
          <w:noProof/>
        </w:rPr>
        <w:fldChar w:fldCharType="begin"/>
      </w:r>
      <w:r>
        <w:rPr>
          <w:noProof/>
        </w:rPr>
        <w:instrText xml:space="preserve"> PAGEREF _Toc154331446 \h </w:instrText>
      </w:r>
      <w:r>
        <w:rPr>
          <w:noProof/>
        </w:rPr>
      </w:r>
      <w:r>
        <w:rPr>
          <w:noProof/>
        </w:rPr>
        <w:fldChar w:fldCharType="separate"/>
      </w:r>
      <w:r w:rsidR="004B7F70">
        <w:rPr>
          <w:noProof/>
        </w:rPr>
        <w:t>33</w:t>
      </w:r>
      <w:r>
        <w:rPr>
          <w:noProof/>
        </w:rPr>
        <w:fldChar w:fldCharType="end"/>
      </w:r>
    </w:p>
    <w:p w14:paraId="618714E0" w14:textId="01554E54"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2.2.4.</w:t>
      </w:r>
      <w:r>
        <w:rPr>
          <w:rFonts w:asciiTheme="minorHAnsi" w:eastAsiaTheme="minorEastAsia" w:hAnsiTheme="minorHAnsi" w:cstheme="minorBidi"/>
          <w:noProof/>
          <w:kern w:val="2"/>
          <w:sz w:val="22"/>
          <w:szCs w:val="22"/>
          <w14:ligatures w14:val="standardContextual"/>
        </w:rPr>
        <w:tab/>
      </w:r>
      <w:r>
        <w:rPr>
          <w:noProof/>
        </w:rPr>
        <w:t>Container shape and root density</w:t>
      </w:r>
      <w:r>
        <w:rPr>
          <w:noProof/>
        </w:rPr>
        <w:tab/>
      </w:r>
      <w:r>
        <w:rPr>
          <w:noProof/>
        </w:rPr>
        <w:fldChar w:fldCharType="begin"/>
      </w:r>
      <w:r>
        <w:rPr>
          <w:noProof/>
        </w:rPr>
        <w:instrText xml:space="preserve"> PAGEREF _Toc154331447 \h </w:instrText>
      </w:r>
      <w:r>
        <w:rPr>
          <w:noProof/>
        </w:rPr>
      </w:r>
      <w:r>
        <w:rPr>
          <w:noProof/>
        </w:rPr>
        <w:fldChar w:fldCharType="separate"/>
      </w:r>
      <w:r w:rsidR="004B7F70">
        <w:rPr>
          <w:noProof/>
        </w:rPr>
        <w:t>34</w:t>
      </w:r>
      <w:r>
        <w:rPr>
          <w:noProof/>
        </w:rPr>
        <w:fldChar w:fldCharType="end"/>
      </w:r>
    </w:p>
    <w:p w14:paraId="1638BDAE" w14:textId="69C92779"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2.2.5.</w:t>
      </w:r>
      <w:r>
        <w:rPr>
          <w:rFonts w:asciiTheme="minorHAnsi" w:eastAsiaTheme="minorEastAsia" w:hAnsiTheme="minorHAnsi" w:cstheme="minorBidi"/>
          <w:noProof/>
          <w:kern w:val="2"/>
          <w:sz w:val="22"/>
          <w:szCs w:val="22"/>
          <w14:ligatures w14:val="standardContextual"/>
        </w:rPr>
        <w:tab/>
      </w:r>
      <w:r>
        <w:rPr>
          <w:noProof/>
        </w:rPr>
        <w:t>Nylon mesh</w:t>
      </w:r>
      <w:r>
        <w:rPr>
          <w:noProof/>
        </w:rPr>
        <w:tab/>
      </w:r>
      <w:r>
        <w:rPr>
          <w:noProof/>
        </w:rPr>
        <w:fldChar w:fldCharType="begin"/>
      </w:r>
      <w:r>
        <w:rPr>
          <w:noProof/>
        </w:rPr>
        <w:instrText xml:space="preserve"> PAGEREF _Toc154331448 \h </w:instrText>
      </w:r>
      <w:r>
        <w:rPr>
          <w:noProof/>
        </w:rPr>
      </w:r>
      <w:r>
        <w:rPr>
          <w:noProof/>
        </w:rPr>
        <w:fldChar w:fldCharType="separate"/>
      </w:r>
      <w:r w:rsidR="004B7F70">
        <w:rPr>
          <w:noProof/>
        </w:rPr>
        <w:t>34</w:t>
      </w:r>
      <w:r>
        <w:rPr>
          <w:noProof/>
        </w:rPr>
        <w:fldChar w:fldCharType="end"/>
      </w:r>
    </w:p>
    <w:p w14:paraId="19D169B2" w14:textId="3DFAF1A3"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2.3.</w:t>
      </w:r>
      <w:r>
        <w:rPr>
          <w:rFonts w:asciiTheme="minorHAnsi" w:eastAsiaTheme="minorEastAsia" w:hAnsiTheme="minorHAnsi" w:cstheme="minorBidi"/>
          <w:noProof/>
          <w:kern w:val="2"/>
          <w:sz w:val="22"/>
          <w:szCs w:val="22"/>
          <w14:ligatures w14:val="standardContextual"/>
        </w:rPr>
        <w:tab/>
      </w:r>
      <w:r>
        <w:rPr>
          <w:noProof/>
        </w:rPr>
        <w:t>Phenotypic assessments</w:t>
      </w:r>
      <w:r>
        <w:rPr>
          <w:noProof/>
        </w:rPr>
        <w:tab/>
      </w:r>
      <w:r>
        <w:rPr>
          <w:noProof/>
        </w:rPr>
        <w:fldChar w:fldCharType="begin"/>
      </w:r>
      <w:r>
        <w:rPr>
          <w:noProof/>
        </w:rPr>
        <w:instrText xml:space="preserve"> PAGEREF _Toc154331449 \h </w:instrText>
      </w:r>
      <w:r>
        <w:rPr>
          <w:noProof/>
        </w:rPr>
      </w:r>
      <w:r>
        <w:rPr>
          <w:noProof/>
        </w:rPr>
        <w:fldChar w:fldCharType="separate"/>
      </w:r>
      <w:r w:rsidR="004B7F70">
        <w:rPr>
          <w:noProof/>
        </w:rPr>
        <w:t>36</w:t>
      </w:r>
      <w:r>
        <w:rPr>
          <w:noProof/>
        </w:rPr>
        <w:fldChar w:fldCharType="end"/>
      </w:r>
    </w:p>
    <w:p w14:paraId="11D08EF5" w14:textId="3B68C228"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2.3.1.</w:t>
      </w:r>
      <w:r>
        <w:rPr>
          <w:rFonts w:asciiTheme="minorHAnsi" w:eastAsiaTheme="minorEastAsia" w:hAnsiTheme="minorHAnsi" w:cstheme="minorBidi"/>
          <w:noProof/>
          <w:kern w:val="2"/>
          <w:sz w:val="22"/>
          <w:szCs w:val="22"/>
          <w14:ligatures w14:val="standardContextual"/>
        </w:rPr>
        <w:tab/>
      </w:r>
      <w:r>
        <w:rPr>
          <w:noProof/>
        </w:rPr>
        <w:t>Branch and tiller counts</w:t>
      </w:r>
      <w:r>
        <w:rPr>
          <w:noProof/>
        </w:rPr>
        <w:tab/>
      </w:r>
      <w:r>
        <w:rPr>
          <w:noProof/>
        </w:rPr>
        <w:fldChar w:fldCharType="begin"/>
      </w:r>
      <w:r>
        <w:rPr>
          <w:noProof/>
        </w:rPr>
        <w:instrText xml:space="preserve"> PAGEREF _Toc154331450 \h </w:instrText>
      </w:r>
      <w:r>
        <w:rPr>
          <w:noProof/>
        </w:rPr>
      </w:r>
      <w:r>
        <w:rPr>
          <w:noProof/>
        </w:rPr>
        <w:fldChar w:fldCharType="separate"/>
      </w:r>
      <w:r w:rsidR="004B7F70">
        <w:rPr>
          <w:noProof/>
        </w:rPr>
        <w:t>36</w:t>
      </w:r>
      <w:r>
        <w:rPr>
          <w:noProof/>
        </w:rPr>
        <w:fldChar w:fldCharType="end"/>
      </w:r>
    </w:p>
    <w:p w14:paraId="090916D0" w14:textId="78135175"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2.3.2.</w:t>
      </w:r>
      <w:r>
        <w:rPr>
          <w:rFonts w:asciiTheme="minorHAnsi" w:eastAsiaTheme="minorEastAsia" w:hAnsiTheme="minorHAnsi" w:cstheme="minorBidi"/>
          <w:noProof/>
          <w:kern w:val="2"/>
          <w:sz w:val="22"/>
          <w:szCs w:val="22"/>
          <w14:ligatures w14:val="standardContextual"/>
        </w:rPr>
        <w:tab/>
      </w:r>
      <w:r>
        <w:rPr>
          <w:noProof/>
        </w:rPr>
        <w:t>Dry Biomass</w:t>
      </w:r>
      <w:r>
        <w:rPr>
          <w:noProof/>
        </w:rPr>
        <w:tab/>
      </w:r>
      <w:r>
        <w:rPr>
          <w:noProof/>
        </w:rPr>
        <w:fldChar w:fldCharType="begin"/>
      </w:r>
      <w:r>
        <w:rPr>
          <w:noProof/>
        </w:rPr>
        <w:instrText xml:space="preserve"> PAGEREF _Toc154331451 \h </w:instrText>
      </w:r>
      <w:r>
        <w:rPr>
          <w:noProof/>
        </w:rPr>
      </w:r>
      <w:r>
        <w:rPr>
          <w:noProof/>
        </w:rPr>
        <w:fldChar w:fldCharType="separate"/>
      </w:r>
      <w:r w:rsidR="004B7F70">
        <w:rPr>
          <w:noProof/>
        </w:rPr>
        <w:t>36</w:t>
      </w:r>
      <w:r>
        <w:rPr>
          <w:noProof/>
        </w:rPr>
        <w:fldChar w:fldCharType="end"/>
      </w:r>
    </w:p>
    <w:p w14:paraId="3CBCD9D1" w14:textId="72F75A12"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2.3.3.</w:t>
      </w:r>
      <w:r>
        <w:rPr>
          <w:rFonts w:asciiTheme="minorHAnsi" w:eastAsiaTheme="minorEastAsia" w:hAnsiTheme="minorHAnsi" w:cstheme="minorBidi"/>
          <w:noProof/>
          <w:kern w:val="2"/>
          <w:sz w:val="22"/>
          <w:szCs w:val="22"/>
          <w14:ligatures w14:val="standardContextual"/>
        </w:rPr>
        <w:tab/>
      </w:r>
      <w:r>
        <w:rPr>
          <w:noProof/>
        </w:rPr>
        <w:t>Spikelet counts</w:t>
      </w:r>
      <w:r>
        <w:rPr>
          <w:noProof/>
        </w:rPr>
        <w:tab/>
      </w:r>
      <w:r>
        <w:rPr>
          <w:noProof/>
        </w:rPr>
        <w:fldChar w:fldCharType="begin"/>
      </w:r>
      <w:r>
        <w:rPr>
          <w:noProof/>
        </w:rPr>
        <w:instrText xml:space="preserve"> PAGEREF _Toc154331452 \h </w:instrText>
      </w:r>
      <w:r>
        <w:rPr>
          <w:noProof/>
        </w:rPr>
      </w:r>
      <w:r>
        <w:rPr>
          <w:noProof/>
        </w:rPr>
        <w:fldChar w:fldCharType="separate"/>
      </w:r>
      <w:r w:rsidR="004B7F70">
        <w:rPr>
          <w:noProof/>
        </w:rPr>
        <w:t>36</w:t>
      </w:r>
      <w:r>
        <w:rPr>
          <w:noProof/>
        </w:rPr>
        <w:fldChar w:fldCharType="end"/>
      </w:r>
    </w:p>
    <w:p w14:paraId="33FCFFDE" w14:textId="4C2CFBFB"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2.3.4.</w:t>
      </w:r>
      <w:r>
        <w:rPr>
          <w:rFonts w:asciiTheme="minorHAnsi" w:eastAsiaTheme="minorEastAsia" w:hAnsiTheme="minorHAnsi" w:cstheme="minorBidi"/>
          <w:noProof/>
          <w:kern w:val="2"/>
          <w:sz w:val="22"/>
          <w:szCs w:val="22"/>
          <w14:ligatures w14:val="standardContextual"/>
        </w:rPr>
        <w:tab/>
      </w:r>
      <w:r>
        <w:rPr>
          <w:noProof/>
        </w:rPr>
        <w:t>Root system assessments</w:t>
      </w:r>
      <w:r>
        <w:rPr>
          <w:noProof/>
        </w:rPr>
        <w:tab/>
      </w:r>
      <w:r>
        <w:rPr>
          <w:noProof/>
        </w:rPr>
        <w:fldChar w:fldCharType="begin"/>
      </w:r>
      <w:r>
        <w:rPr>
          <w:noProof/>
        </w:rPr>
        <w:instrText xml:space="preserve"> PAGEREF _Toc154331453 \h </w:instrText>
      </w:r>
      <w:r>
        <w:rPr>
          <w:noProof/>
        </w:rPr>
      </w:r>
      <w:r>
        <w:rPr>
          <w:noProof/>
        </w:rPr>
        <w:fldChar w:fldCharType="separate"/>
      </w:r>
      <w:r w:rsidR="004B7F70">
        <w:rPr>
          <w:noProof/>
        </w:rPr>
        <w:t>36</w:t>
      </w:r>
      <w:r>
        <w:rPr>
          <w:noProof/>
        </w:rPr>
        <w:fldChar w:fldCharType="end"/>
      </w:r>
    </w:p>
    <w:p w14:paraId="0BF0B26E" w14:textId="42233792" w:rsidR="00434F50" w:rsidRDefault="00434F50">
      <w:pPr>
        <w:pStyle w:val="TOC4"/>
        <w:tabs>
          <w:tab w:val="left" w:pos="2641"/>
        </w:tabs>
        <w:rPr>
          <w:rFonts w:asciiTheme="minorHAnsi" w:eastAsiaTheme="minorEastAsia" w:hAnsiTheme="minorHAnsi" w:cstheme="minorBidi"/>
          <w:noProof/>
          <w:kern w:val="2"/>
          <w:sz w:val="22"/>
          <w:szCs w:val="22"/>
          <w14:ligatures w14:val="standardContextual"/>
        </w:rPr>
      </w:pPr>
      <w:r>
        <w:rPr>
          <w:noProof/>
        </w:rPr>
        <w:t>2.3.4.1.</w:t>
      </w:r>
      <w:r>
        <w:rPr>
          <w:rFonts w:asciiTheme="minorHAnsi" w:eastAsiaTheme="minorEastAsia" w:hAnsiTheme="minorHAnsi" w:cstheme="minorBidi"/>
          <w:noProof/>
          <w:kern w:val="2"/>
          <w:sz w:val="22"/>
          <w:szCs w:val="22"/>
          <w14:ligatures w14:val="standardContextual"/>
        </w:rPr>
        <w:tab/>
      </w:r>
      <w:r>
        <w:rPr>
          <w:noProof/>
        </w:rPr>
        <w:t>Root length and number in rhizoboxes</w:t>
      </w:r>
      <w:r>
        <w:rPr>
          <w:noProof/>
        </w:rPr>
        <w:tab/>
      </w:r>
      <w:r>
        <w:rPr>
          <w:noProof/>
        </w:rPr>
        <w:fldChar w:fldCharType="begin"/>
      </w:r>
      <w:r>
        <w:rPr>
          <w:noProof/>
        </w:rPr>
        <w:instrText xml:space="preserve"> PAGEREF _Toc154331454 \h </w:instrText>
      </w:r>
      <w:r>
        <w:rPr>
          <w:noProof/>
        </w:rPr>
      </w:r>
      <w:r>
        <w:rPr>
          <w:noProof/>
        </w:rPr>
        <w:fldChar w:fldCharType="separate"/>
      </w:r>
      <w:r w:rsidR="004B7F70">
        <w:rPr>
          <w:noProof/>
        </w:rPr>
        <w:t>36</w:t>
      </w:r>
      <w:r>
        <w:rPr>
          <w:noProof/>
        </w:rPr>
        <w:fldChar w:fldCharType="end"/>
      </w:r>
    </w:p>
    <w:p w14:paraId="2BF9E414" w14:textId="12FA1DD0" w:rsidR="00434F50" w:rsidRDefault="00434F50">
      <w:pPr>
        <w:pStyle w:val="TOC4"/>
        <w:tabs>
          <w:tab w:val="left" w:pos="2641"/>
        </w:tabs>
        <w:rPr>
          <w:rFonts w:asciiTheme="minorHAnsi" w:eastAsiaTheme="minorEastAsia" w:hAnsiTheme="minorHAnsi" w:cstheme="minorBidi"/>
          <w:noProof/>
          <w:kern w:val="2"/>
          <w:sz w:val="22"/>
          <w:szCs w:val="22"/>
          <w14:ligatures w14:val="standardContextual"/>
        </w:rPr>
      </w:pPr>
      <w:r>
        <w:rPr>
          <w:noProof/>
        </w:rPr>
        <w:t>2.3.4.2.</w:t>
      </w:r>
      <w:r>
        <w:rPr>
          <w:rFonts w:asciiTheme="minorHAnsi" w:eastAsiaTheme="minorEastAsia" w:hAnsiTheme="minorHAnsi" w:cstheme="minorBidi"/>
          <w:noProof/>
          <w:kern w:val="2"/>
          <w:sz w:val="22"/>
          <w:szCs w:val="22"/>
          <w14:ligatures w14:val="standardContextual"/>
        </w:rPr>
        <w:tab/>
      </w:r>
      <w:r>
        <w:rPr>
          <w:noProof/>
        </w:rPr>
        <w:t>Root density measurements</w:t>
      </w:r>
      <w:r>
        <w:rPr>
          <w:noProof/>
        </w:rPr>
        <w:tab/>
      </w:r>
      <w:r>
        <w:rPr>
          <w:noProof/>
        </w:rPr>
        <w:fldChar w:fldCharType="begin"/>
      </w:r>
      <w:r>
        <w:rPr>
          <w:noProof/>
        </w:rPr>
        <w:instrText xml:space="preserve"> PAGEREF _Toc154331455 \h </w:instrText>
      </w:r>
      <w:r>
        <w:rPr>
          <w:noProof/>
        </w:rPr>
      </w:r>
      <w:r>
        <w:rPr>
          <w:noProof/>
        </w:rPr>
        <w:fldChar w:fldCharType="separate"/>
      </w:r>
      <w:r w:rsidR="004B7F70">
        <w:rPr>
          <w:noProof/>
        </w:rPr>
        <w:t>37</w:t>
      </w:r>
      <w:r>
        <w:rPr>
          <w:noProof/>
        </w:rPr>
        <w:fldChar w:fldCharType="end"/>
      </w:r>
    </w:p>
    <w:p w14:paraId="2CAF9CFF" w14:textId="2E779295" w:rsidR="00434F50" w:rsidRDefault="00434F50">
      <w:pPr>
        <w:pStyle w:val="TOC4"/>
        <w:tabs>
          <w:tab w:val="left" w:pos="2641"/>
        </w:tabs>
        <w:rPr>
          <w:rFonts w:asciiTheme="minorHAnsi" w:eastAsiaTheme="minorEastAsia" w:hAnsiTheme="minorHAnsi" w:cstheme="minorBidi"/>
          <w:noProof/>
          <w:kern w:val="2"/>
          <w:sz w:val="22"/>
          <w:szCs w:val="22"/>
          <w14:ligatures w14:val="standardContextual"/>
        </w:rPr>
      </w:pPr>
      <w:r>
        <w:rPr>
          <w:noProof/>
        </w:rPr>
        <w:t>2.3.4.3.</w:t>
      </w:r>
      <w:r>
        <w:rPr>
          <w:rFonts w:asciiTheme="minorHAnsi" w:eastAsiaTheme="minorEastAsia" w:hAnsiTheme="minorHAnsi" w:cstheme="minorBidi"/>
          <w:noProof/>
          <w:kern w:val="2"/>
          <w:sz w:val="22"/>
          <w:szCs w:val="22"/>
          <w14:ligatures w14:val="standardContextual"/>
        </w:rPr>
        <w:tab/>
      </w:r>
      <w:r>
        <w:rPr>
          <w:noProof/>
        </w:rPr>
        <w:t>Arabidopsis agar plates</w:t>
      </w:r>
      <w:r>
        <w:rPr>
          <w:noProof/>
        </w:rPr>
        <w:tab/>
      </w:r>
      <w:r>
        <w:rPr>
          <w:noProof/>
        </w:rPr>
        <w:fldChar w:fldCharType="begin"/>
      </w:r>
      <w:r>
        <w:rPr>
          <w:noProof/>
        </w:rPr>
        <w:instrText xml:space="preserve"> PAGEREF _Toc154331456 \h </w:instrText>
      </w:r>
      <w:r>
        <w:rPr>
          <w:noProof/>
        </w:rPr>
      </w:r>
      <w:r>
        <w:rPr>
          <w:noProof/>
        </w:rPr>
        <w:fldChar w:fldCharType="separate"/>
      </w:r>
      <w:r w:rsidR="004B7F70">
        <w:rPr>
          <w:noProof/>
        </w:rPr>
        <w:t>39</w:t>
      </w:r>
      <w:r>
        <w:rPr>
          <w:noProof/>
        </w:rPr>
        <w:fldChar w:fldCharType="end"/>
      </w:r>
    </w:p>
    <w:p w14:paraId="6826B249" w14:textId="5CE35E56"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sidRPr="006D6546">
        <w:rPr>
          <w:rFonts w:eastAsia="Calibri"/>
          <w:noProof/>
        </w:rPr>
        <w:t>2.4.</w:t>
      </w:r>
      <w:r>
        <w:rPr>
          <w:rFonts w:asciiTheme="minorHAnsi" w:eastAsiaTheme="minorEastAsia" w:hAnsiTheme="minorHAnsi" w:cstheme="minorBidi"/>
          <w:noProof/>
          <w:kern w:val="2"/>
          <w:sz w:val="22"/>
          <w:szCs w:val="22"/>
          <w14:ligatures w14:val="standardContextual"/>
        </w:rPr>
        <w:tab/>
      </w:r>
      <w:r w:rsidRPr="006D6546">
        <w:rPr>
          <w:rFonts w:eastAsia="Calibri"/>
          <w:noProof/>
        </w:rPr>
        <w:t>Plant materials</w:t>
      </w:r>
      <w:r>
        <w:rPr>
          <w:noProof/>
        </w:rPr>
        <w:tab/>
      </w:r>
      <w:r>
        <w:rPr>
          <w:noProof/>
        </w:rPr>
        <w:fldChar w:fldCharType="begin"/>
      </w:r>
      <w:r>
        <w:rPr>
          <w:noProof/>
        </w:rPr>
        <w:instrText xml:space="preserve"> PAGEREF _Toc154331457 \h </w:instrText>
      </w:r>
      <w:r>
        <w:rPr>
          <w:noProof/>
        </w:rPr>
      </w:r>
      <w:r>
        <w:rPr>
          <w:noProof/>
        </w:rPr>
        <w:fldChar w:fldCharType="separate"/>
      </w:r>
      <w:r w:rsidR="004B7F70">
        <w:rPr>
          <w:noProof/>
        </w:rPr>
        <w:t>40</w:t>
      </w:r>
      <w:r>
        <w:rPr>
          <w:noProof/>
        </w:rPr>
        <w:fldChar w:fldCharType="end"/>
      </w:r>
    </w:p>
    <w:p w14:paraId="2F927795" w14:textId="37533566"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sidRPr="006D6546">
        <w:rPr>
          <w:i/>
          <w:iCs/>
          <w:noProof/>
        </w:rPr>
        <w:t>2.4.1.</w:t>
      </w:r>
      <w:r>
        <w:rPr>
          <w:rFonts w:asciiTheme="minorHAnsi" w:eastAsiaTheme="minorEastAsia" w:hAnsiTheme="minorHAnsi" w:cstheme="minorBidi"/>
          <w:noProof/>
          <w:kern w:val="2"/>
          <w:sz w:val="22"/>
          <w:szCs w:val="22"/>
          <w14:ligatures w14:val="standardContextual"/>
        </w:rPr>
        <w:tab/>
      </w:r>
      <w:r w:rsidRPr="006D6546">
        <w:rPr>
          <w:i/>
          <w:iCs/>
          <w:noProof/>
        </w:rPr>
        <w:t>Hordeum vulgare</w:t>
      </w:r>
      <w:r>
        <w:rPr>
          <w:noProof/>
        </w:rPr>
        <w:tab/>
      </w:r>
      <w:r>
        <w:rPr>
          <w:noProof/>
        </w:rPr>
        <w:fldChar w:fldCharType="begin"/>
      </w:r>
      <w:r>
        <w:rPr>
          <w:noProof/>
        </w:rPr>
        <w:instrText xml:space="preserve"> PAGEREF _Toc154331458 \h </w:instrText>
      </w:r>
      <w:r>
        <w:rPr>
          <w:noProof/>
        </w:rPr>
      </w:r>
      <w:r>
        <w:rPr>
          <w:noProof/>
        </w:rPr>
        <w:fldChar w:fldCharType="separate"/>
      </w:r>
      <w:r w:rsidR="004B7F70">
        <w:rPr>
          <w:noProof/>
        </w:rPr>
        <w:t>40</w:t>
      </w:r>
      <w:r>
        <w:rPr>
          <w:noProof/>
        </w:rPr>
        <w:fldChar w:fldCharType="end"/>
      </w:r>
    </w:p>
    <w:p w14:paraId="21025989" w14:textId="0950EC3B"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sidRPr="006D6546">
        <w:rPr>
          <w:i/>
          <w:iCs/>
          <w:noProof/>
        </w:rPr>
        <w:t>2.4.2.</w:t>
      </w:r>
      <w:r>
        <w:rPr>
          <w:rFonts w:asciiTheme="minorHAnsi" w:eastAsiaTheme="minorEastAsia" w:hAnsiTheme="minorHAnsi" w:cstheme="minorBidi"/>
          <w:noProof/>
          <w:kern w:val="2"/>
          <w:sz w:val="22"/>
          <w:szCs w:val="22"/>
          <w14:ligatures w14:val="standardContextual"/>
        </w:rPr>
        <w:tab/>
      </w:r>
      <w:r w:rsidRPr="006D6546">
        <w:rPr>
          <w:i/>
          <w:iCs/>
          <w:noProof/>
        </w:rPr>
        <w:t>Triticum aestivum</w:t>
      </w:r>
      <w:r>
        <w:rPr>
          <w:noProof/>
        </w:rPr>
        <w:tab/>
      </w:r>
      <w:r>
        <w:rPr>
          <w:noProof/>
        </w:rPr>
        <w:fldChar w:fldCharType="begin"/>
      </w:r>
      <w:r>
        <w:rPr>
          <w:noProof/>
        </w:rPr>
        <w:instrText xml:space="preserve"> PAGEREF _Toc154331459 \h </w:instrText>
      </w:r>
      <w:r>
        <w:rPr>
          <w:noProof/>
        </w:rPr>
      </w:r>
      <w:r>
        <w:rPr>
          <w:noProof/>
        </w:rPr>
        <w:fldChar w:fldCharType="separate"/>
      </w:r>
      <w:r w:rsidR="004B7F70">
        <w:rPr>
          <w:noProof/>
        </w:rPr>
        <w:t>48</w:t>
      </w:r>
      <w:r>
        <w:rPr>
          <w:noProof/>
        </w:rPr>
        <w:fldChar w:fldCharType="end"/>
      </w:r>
    </w:p>
    <w:p w14:paraId="72319E67" w14:textId="48A89A48"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sidRPr="006D6546">
        <w:rPr>
          <w:i/>
          <w:iCs/>
          <w:noProof/>
        </w:rPr>
        <w:t>2.4.3.</w:t>
      </w:r>
      <w:r>
        <w:rPr>
          <w:rFonts w:asciiTheme="minorHAnsi" w:eastAsiaTheme="minorEastAsia" w:hAnsiTheme="minorHAnsi" w:cstheme="minorBidi"/>
          <w:noProof/>
          <w:kern w:val="2"/>
          <w:sz w:val="22"/>
          <w:szCs w:val="22"/>
          <w14:ligatures w14:val="standardContextual"/>
        </w:rPr>
        <w:tab/>
      </w:r>
      <w:r w:rsidRPr="006D6546">
        <w:rPr>
          <w:i/>
          <w:iCs/>
          <w:noProof/>
        </w:rPr>
        <w:t>Pisum sativum</w:t>
      </w:r>
      <w:r>
        <w:rPr>
          <w:noProof/>
        </w:rPr>
        <w:tab/>
      </w:r>
      <w:r>
        <w:rPr>
          <w:noProof/>
        </w:rPr>
        <w:fldChar w:fldCharType="begin"/>
      </w:r>
      <w:r>
        <w:rPr>
          <w:noProof/>
        </w:rPr>
        <w:instrText xml:space="preserve"> PAGEREF _Toc154331460 \h </w:instrText>
      </w:r>
      <w:r>
        <w:rPr>
          <w:noProof/>
        </w:rPr>
      </w:r>
      <w:r>
        <w:rPr>
          <w:noProof/>
        </w:rPr>
        <w:fldChar w:fldCharType="separate"/>
      </w:r>
      <w:r w:rsidR="004B7F70">
        <w:rPr>
          <w:noProof/>
        </w:rPr>
        <w:t>48</w:t>
      </w:r>
      <w:r>
        <w:rPr>
          <w:noProof/>
        </w:rPr>
        <w:fldChar w:fldCharType="end"/>
      </w:r>
    </w:p>
    <w:p w14:paraId="7496DA1D" w14:textId="5F258AC2"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sidRPr="006D6546">
        <w:rPr>
          <w:i/>
          <w:iCs/>
          <w:noProof/>
        </w:rPr>
        <w:t>2.4.4.</w:t>
      </w:r>
      <w:r>
        <w:rPr>
          <w:rFonts w:asciiTheme="minorHAnsi" w:eastAsiaTheme="minorEastAsia" w:hAnsiTheme="minorHAnsi" w:cstheme="minorBidi"/>
          <w:noProof/>
          <w:kern w:val="2"/>
          <w:sz w:val="22"/>
          <w:szCs w:val="22"/>
          <w14:ligatures w14:val="standardContextual"/>
        </w:rPr>
        <w:tab/>
      </w:r>
      <w:r w:rsidRPr="006D6546">
        <w:rPr>
          <w:i/>
          <w:iCs/>
          <w:noProof/>
        </w:rPr>
        <w:t>Arabidopsis thaliana</w:t>
      </w:r>
      <w:r>
        <w:rPr>
          <w:noProof/>
        </w:rPr>
        <w:tab/>
      </w:r>
      <w:r>
        <w:rPr>
          <w:noProof/>
        </w:rPr>
        <w:fldChar w:fldCharType="begin"/>
      </w:r>
      <w:r>
        <w:rPr>
          <w:noProof/>
        </w:rPr>
        <w:instrText xml:space="preserve"> PAGEREF _Toc154331461 \h </w:instrText>
      </w:r>
      <w:r>
        <w:rPr>
          <w:noProof/>
        </w:rPr>
      </w:r>
      <w:r>
        <w:rPr>
          <w:noProof/>
        </w:rPr>
        <w:fldChar w:fldCharType="separate"/>
      </w:r>
      <w:r w:rsidR="004B7F70">
        <w:rPr>
          <w:noProof/>
        </w:rPr>
        <w:t>49</w:t>
      </w:r>
      <w:r>
        <w:rPr>
          <w:noProof/>
        </w:rPr>
        <w:fldChar w:fldCharType="end"/>
      </w:r>
    </w:p>
    <w:p w14:paraId="5A3A7EBF" w14:textId="13F36863"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2.5.</w:t>
      </w:r>
      <w:r>
        <w:rPr>
          <w:rFonts w:asciiTheme="minorHAnsi" w:eastAsiaTheme="minorEastAsia" w:hAnsiTheme="minorHAnsi" w:cstheme="minorBidi"/>
          <w:noProof/>
          <w:kern w:val="2"/>
          <w:sz w:val="22"/>
          <w:szCs w:val="22"/>
          <w14:ligatures w14:val="standardContextual"/>
        </w:rPr>
        <w:tab/>
      </w:r>
      <w:r>
        <w:rPr>
          <w:noProof/>
        </w:rPr>
        <w:t>Molecular Biology</w:t>
      </w:r>
      <w:r>
        <w:rPr>
          <w:noProof/>
        </w:rPr>
        <w:tab/>
      </w:r>
      <w:r>
        <w:rPr>
          <w:noProof/>
        </w:rPr>
        <w:fldChar w:fldCharType="begin"/>
      </w:r>
      <w:r>
        <w:rPr>
          <w:noProof/>
        </w:rPr>
        <w:instrText xml:space="preserve"> PAGEREF _Toc154331462 \h </w:instrText>
      </w:r>
      <w:r>
        <w:rPr>
          <w:noProof/>
        </w:rPr>
      </w:r>
      <w:r>
        <w:rPr>
          <w:noProof/>
        </w:rPr>
        <w:fldChar w:fldCharType="separate"/>
      </w:r>
      <w:r w:rsidR="004B7F70">
        <w:rPr>
          <w:noProof/>
        </w:rPr>
        <w:t>49</w:t>
      </w:r>
      <w:r>
        <w:rPr>
          <w:noProof/>
        </w:rPr>
        <w:fldChar w:fldCharType="end"/>
      </w:r>
    </w:p>
    <w:p w14:paraId="111D5B1A" w14:textId="7ECF5F70"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2.5.1.</w:t>
      </w:r>
      <w:r>
        <w:rPr>
          <w:rFonts w:asciiTheme="minorHAnsi" w:eastAsiaTheme="minorEastAsia" w:hAnsiTheme="minorHAnsi" w:cstheme="minorBidi"/>
          <w:noProof/>
          <w:kern w:val="2"/>
          <w:sz w:val="22"/>
          <w:szCs w:val="22"/>
          <w14:ligatures w14:val="standardContextual"/>
        </w:rPr>
        <w:tab/>
      </w:r>
      <w:r>
        <w:rPr>
          <w:noProof/>
        </w:rPr>
        <w:t>Genotyping</w:t>
      </w:r>
      <w:r>
        <w:rPr>
          <w:noProof/>
        </w:rPr>
        <w:tab/>
      </w:r>
      <w:r>
        <w:rPr>
          <w:noProof/>
        </w:rPr>
        <w:fldChar w:fldCharType="begin"/>
      </w:r>
      <w:r>
        <w:rPr>
          <w:noProof/>
        </w:rPr>
        <w:instrText xml:space="preserve"> PAGEREF _Toc154331463 \h </w:instrText>
      </w:r>
      <w:r>
        <w:rPr>
          <w:noProof/>
        </w:rPr>
      </w:r>
      <w:r>
        <w:rPr>
          <w:noProof/>
        </w:rPr>
        <w:fldChar w:fldCharType="separate"/>
      </w:r>
      <w:r w:rsidR="004B7F70">
        <w:rPr>
          <w:noProof/>
        </w:rPr>
        <w:t>49</w:t>
      </w:r>
      <w:r>
        <w:rPr>
          <w:noProof/>
        </w:rPr>
        <w:fldChar w:fldCharType="end"/>
      </w:r>
    </w:p>
    <w:p w14:paraId="2E3CB5A2" w14:textId="69F60EF9"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2.6.</w:t>
      </w:r>
      <w:r>
        <w:rPr>
          <w:rFonts w:asciiTheme="minorHAnsi" w:eastAsiaTheme="minorEastAsia" w:hAnsiTheme="minorHAnsi" w:cstheme="minorBidi"/>
          <w:noProof/>
          <w:kern w:val="2"/>
          <w:sz w:val="22"/>
          <w:szCs w:val="22"/>
          <w14:ligatures w14:val="standardContextual"/>
        </w:rPr>
        <w:tab/>
      </w:r>
      <w:r>
        <w:rPr>
          <w:noProof/>
        </w:rPr>
        <w:t>RNA sequencing</w:t>
      </w:r>
      <w:r>
        <w:rPr>
          <w:noProof/>
        </w:rPr>
        <w:tab/>
      </w:r>
      <w:r>
        <w:rPr>
          <w:noProof/>
        </w:rPr>
        <w:fldChar w:fldCharType="begin"/>
      </w:r>
      <w:r>
        <w:rPr>
          <w:noProof/>
        </w:rPr>
        <w:instrText xml:space="preserve"> PAGEREF _Toc154331464 \h </w:instrText>
      </w:r>
      <w:r>
        <w:rPr>
          <w:noProof/>
        </w:rPr>
      </w:r>
      <w:r>
        <w:rPr>
          <w:noProof/>
        </w:rPr>
        <w:fldChar w:fldCharType="separate"/>
      </w:r>
      <w:r w:rsidR="004B7F70">
        <w:rPr>
          <w:noProof/>
        </w:rPr>
        <w:t>51</w:t>
      </w:r>
      <w:r>
        <w:rPr>
          <w:noProof/>
        </w:rPr>
        <w:fldChar w:fldCharType="end"/>
      </w:r>
    </w:p>
    <w:p w14:paraId="6A10E2BD" w14:textId="3CB82266"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2.6.1.</w:t>
      </w:r>
      <w:r>
        <w:rPr>
          <w:rFonts w:asciiTheme="minorHAnsi" w:eastAsiaTheme="minorEastAsia" w:hAnsiTheme="minorHAnsi" w:cstheme="minorBidi"/>
          <w:noProof/>
          <w:kern w:val="2"/>
          <w:sz w:val="22"/>
          <w:szCs w:val="22"/>
          <w14:ligatures w14:val="standardContextual"/>
        </w:rPr>
        <w:tab/>
      </w:r>
      <w:r>
        <w:rPr>
          <w:noProof/>
        </w:rPr>
        <w:t>RNA extraction</w:t>
      </w:r>
      <w:r>
        <w:rPr>
          <w:noProof/>
        </w:rPr>
        <w:tab/>
      </w:r>
      <w:r>
        <w:rPr>
          <w:noProof/>
        </w:rPr>
        <w:fldChar w:fldCharType="begin"/>
      </w:r>
      <w:r>
        <w:rPr>
          <w:noProof/>
        </w:rPr>
        <w:instrText xml:space="preserve"> PAGEREF _Toc154331465 \h </w:instrText>
      </w:r>
      <w:r>
        <w:rPr>
          <w:noProof/>
        </w:rPr>
      </w:r>
      <w:r>
        <w:rPr>
          <w:noProof/>
        </w:rPr>
        <w:fldChar w:fldCharType="separate"/>
      </w:r>
      <w:r w:rsidR="004B7F70">
        <w:rPr>
          <w:noProof/>
        </w:rPr>
        <w:t>52</w:t>
      </w:r>
      <w:r>
        <w:rPr>
          <w:noProof/>
        </w:rPr>
        <w:fldChar w:fldCharType="end"/>
      </w:r>
    </w:p>
    <w:p w14:paraId="24D7532A" w14:textId="1EE09AB1"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2.6.2.</w:t>
      </w:r>
      <w:r>
        <w:rPr>
          <w:rFonts w:asciiTheme="minorHAnsi" w:eastAsiaTheme="minorEastAsia" w:hAnsiTheme="minorHAnsi" w:cstheme="minorBidi"/>
          <w:noProof/>
          <w:kern w:val="2"/>
          <w:sz w:val="22"/>
          <w:szCs w:val="22"/>
          <w14:ligatures w14:val="standardContextual"/>
        </w:rPr>
        <w:tab/>
      </w:r>
      <w:r>
        <w:rPr>
          <w:noProof/>
        </w:rPr>
        <w:t>Sample information and approach taken by Genewiz for RNA sequencing</w:t>
      </w:r>
      <w:r>
        <w:rPr>
          <w:noProof/>
        </w:rPr>
        <w:tab/>
      </w:r>
      <w:r>
        <w:rPr>
          <w:noProof/>
        </w:rPr>
        <w:fldChar w:fldCharType="begin"/>
      </w:r>
      <w:r>
        <w:rPr>
          <w:noProof/>
        </w:rPr>
        <w:instrText xml:space="preserve"> PAGEREF _Toc154331466 \h </w:instrText>
      </w:r>
      <w:r>
        <w:rPr>
          <w:noProof/>
        </w:rPr>
      </w:r>
      <w:r>
        <w:rPr>
          <w:noProof/>
        </w:rPr>
        <w:fldChar w:fldCharType="separate"/>
      </w:r>
      <w:r w:rsidR="004B7F70">
        <w:rPr>
          <w:noProof/>
        </w:rPr>
        <w:t>53</w:t>
      </w:r>
      <w:r>
        <w:rPr>
          <w:noProof/>
        </w:rPr>
        <w:fldChar w:fldCharType="end"/>
      </w:r>
    </w:p>
    <w:p w14:paraId="739E3850" w14:textId="42443372"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2.6.3.</w:t>
      </w:r>
      <w:r>
        <w:rPr>
          <w:rFonts w:asciiTheme="minorHAnsi" w:eastAsiaTheme="minorEastAsia" w:hAnsiTheme="minorHAnsi" w:cstheme="minorBidi"/>
          <w:noProof/>
          <w:kern w:val="2"/>
          <w:sz w:val="22"/>
          <w:szCs w:val="22"/>
          <w14:ligatures w14:val="standardContextual"/>
        </w:rPr>
        <w:tab/>
      </w:r>
      <w:r>
        <w:rPr>
          <w:noProof/>
        </w:rPr>
        <w:t>Barley gene name assignments</w:t>
      </w:r>
      <w:r>
        <w:rPr>
          <w:noProof/>
        </w:rPr>
        <w:tab/>
      </w:r>
      <w:r>
        <w:rPr>
          <w:noProof/>
        </w:rPr>
        <w:fldChar w:fldCharType="begin"/>
      </w:r>
      <w:r>
        <w:rPr>
          <w:noProof/>
        </w:rPr>
        <w:instrText xml:space="preserve"> PAGEREF _Toc154331467 \h </w:instrText>
      </w:r>
      <w:r>
        <w:rPr>
          <w:noProof/>
        </w:rPr>
      </w:r>
      <w:r>
        <w:rPr>
          <w:noProof/>
        </w:rPr>
        <w:fldChar w:fldCharType="separate"/>
      </w:r>
      <w:r w:rsidR="004B7F70">
        <w:rPr>
          <w:noProof/>
        </w:rPr>
        <w:t>57</w:t>
      </w:r>
      <w:r>
        <w:rPr>
          <w:noProof/>
        </w:rPr>
        <w:fldChar w:fldCharType="end"/>
      </w:r>
    </w:p>
    <w:p w14:paraId="17E34EE6" w14:textId="553326D1"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2.7.</w:t>
      </w:r>
      <w:r>
        <w:rPr>
          <w:rFonts w:asciiTheme="minorHAnsi" w:eastAsiaTheme="minorEastAsia" w:hAnsiTheme="minorHAnsi" w:cstheme="minorBidi"/>
          <w:noProof/>
          <w:kern w:val="2"/>
          <w:sz w:val="22"/>
          <w:szCs w:val="22"/>
          <w14:ligatures w14:val="standardContextual"/>
        </w:rPr>
        <w:tab/>
      </w:r>
      <w:r>
        <w:rPr>
          <w:noProof/>
        </w:rPr>
        <w:t>Statistical analysis</w:t>
      </w:r>
      <w:r>
        <w:rPr>
          <w:noProof/>
        </w:rPr>
        <w:tab/>
      </w:r>
      <w:r>
        <w:rPr>
          <w:noProof/>
        </w:rPr>
        <w:fldChar w:fldCharType="begin"/>
      </w:r>
      <w:r>
        <w:rPr>
          <w:noProof/>
        </w:rPr>
        <w:instrText xml:space="preserve"> PAGEREF _Toc154331468 \h </w:instrText>
      </w:r>
      <w:r>
        <w:rPr>
          <w:noProof/>
        </w:rPr>
      </w:r>
      <w:r>
        <w:rPr>
          <w:noProof/>
        </w:rPr>
        <w:fldChar w:fldCharType="separate"/>
      </w:r>
      <w:r w:rsidR="004B7F70">
        <w:rPr>
          <w:noProof/>
        </w:rPr>
        <w:t>58</w:t>
      </w:r>
      <w:r>
        <w:rPr>
          <w:noProof/>
        </w:rPr>
        <w:fldChar w:fldCharType="end"/>
      </w:r>
    </w:p>
    <w:p w14:paraId="06568E85" w14:textId="0E5AFD03" w:rsidR="00434F50" w:rsidRDefault="00434F50">
      <w:pPr>
        <w:pStyle w:val="TOC1"/>
        <w:tabs>
          <w:tab w:val="left" w:pos="1620"/>
        </w:tabs>
        <w:rPr>
          <w:rFonts w:asciiTheme="minorHAnsi" w:eastAsiaTheme="minorEastAsia" w:hAnsiTheme="minorHAnsi" w:cstheme="minorBidi"/>
          <w:b w:val="0"/>
          <w:noProof/>
          <w:kern w:val="2"/>
          <w:sz w:val="22"/>
          <w:szCs w:val="22"/>
          <w14:ligatures w14:val="standardContextual"/>
        </w:rPr>
      </w:pPr>
      <w:r>
        <w:rPr>
          <w:noProof/>
        </w:rPr>
        <w:t>Chapter 3</w:t>
      </w:r>
      <w:r>
        <w:rPr>
          <w:rFonts w:asciiTheme="minorHAnsi" w:eastAsiaTheme="minorEastAsia" w:hAnsiTheme="minorHAnsi" w:cstheme="minorBidi"/>
          <w:b w:val="0"/>
          <w:noProof/>
          <w:kern w:val="2"/>
          <w:sz w:val="22"/>
          <w:szCs w:val="22"/>
          <w14:ligatures w14:val="standardContextual"/>
        </w:rPr>
        <w:tab/>
      </w:r>
      <w:r>
        <w:rPr>
          <w:noProof/>
        </w:rPr>
        <w:t>Defining plant growth responses to soil volume and neighbour density</w:t>
      </w:r>
      <w:r>
        <w:rPr>
          <w:noProof/>
        </w:rPr>
        <w:tab/>
      </w:r>
      <w:r>
        <w:rPr>
          <w:noProof/>
        </w:rPr>
        <w:fldChar w:fldCharType="begin"/>
      </w:r>
      <w:r>
        <w:rPr>
          <w:noProof/>
        </w:rPr>
        <w:instrText xml:space="preserve"> PAGEREF _Toc154331469 \h </w:instrText>
      </w:r>
      <w:r>
        <w:rPr>
          <w:noProof/>
        </w:rPr>
      </w:r>
      <w:r>
        <w:rPr>
          <w:noProof/>
        </w:rPr>
        <w:fldChar w:fldCharType="separate"/>
      </w:r>
      <w:r w:rsidR="004B7F70">
        <w:rPr>
          <w:noProof/>
        </w:rPr>
        <w:t>59</w:t>
      </w:r>
      <w:r>
        <w:rPr>
          <w:noProof/>
        </w:rPr>
        <w:fldChar w:fldCharType="end"/>
      </w:r>
    </w:p>
    <w:p w14:paraId="41A64A4D" w14:textId="18063C81"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3.1.</w:t>
      </w:r>
      <w:r>
        <w:rPr>
          <w:rFonts w:asciiTheme="minorHAnsi" w:eastAsiaTheme="minorEastAsia" w:hAnsiTheme="minorHAnsi" w:cstheme="minorBidi"/>
          <w:noProof/>
          <w:kern w:val="2"/>
          <w:sz w:val="22"/>
          <w:szCs w:val="22"/>
          <w14:ligatures w14:val="standardContextual"/>
        </w:rPr>
        <w:tab/>
      </w:r>
      <w:r>
        <w:rPr>
          <w:noProof/>
        </w:rPr>
        <w:t>Introduction</w:t>
      </w:r>
      <w:r>
        <w:rPr>
          <w:noProof/>
        </w:rPr>
        <w:tab/>
      </w:r>
      <w:r>
        <w:rPr>
          <w:noProof/>
        </w:rPr>
        <w:fldChar w:fldCharType="begin"/>
      </w:r>
      <w:r>
        <w:rPr>
          <w:noProof/>
        </w:rPr>
        <w:instrText xml:space="preserve"> PAGEREF _Toc154331470 \h </w:instrText>
      </w:r>
      <w:r>
        <w:rPr>
          <w:noProof/>
        </w:rPr>
      </w:r>
      <w:r>
        <w:rPr>
          <w:noProof/>
        </w:rPr>
        <w:fldChar w:fldCharType="separate"/>
      </w:r>
      <w:r w:rsidR="004B7F70">
        <w:rPr>
          <w:noProof/>
        </w:rPr>
        <w:t>59</w:t>
      </w:r>
      <w:r>
        <w:rPr>
          <w:noProof/>
        </w:rPr>
        <w:fldChar w:fldCharType="end"/>
      </w:r>
    </w:p>
    <w:p w14:paraId="237D387A" w14:textId="75B5B5E4"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3.2.</w:t>
      </w:r>
      <w:r>
        <w:rPr>
          <w:rFonts w:asciiTheme="minorHAnsi" w:eastAsiaTheme="minorEastAsia" w:hAnsiTheme="minorHAnsi" w:cstheme="minorBidi"/>
          <w:noProof/>
          <w:kern w:val="2"/>
          <w:sz w:val="22"/>
          <w:szCs w:val="22"/>
          <w14:ligatures w14:val="standardContextual"/>
        </w:rPr>
        <w:tab/>
      </w:r>
      <w:r>
        <w:rPr>
          <w:noProof/>
        </w:rPr>
        <w:t>Interspecific variation in shoot response to soil volume and neighbour density</w:t>
      </w:r>
      <w:r>
        <w:rPr>
          <w:noProof/>
        </w:rPr>
        <w:tab/>
      </w:r>
      <w:r>
        <w:rPr>
          <w:noProof/>
        </w:rPr>
        <w:fldChar w:fldCharType="begin"/>
      </w:r>
      <w:r>
        <w:rPr>
          <w:noProof/>
        </w:rPr>
        <w:instrText xml:space="preserve"> PAGEREF _Toc154331471 \h </w:instrText>
      </w:r>
      <w:r>
        <w:rPr>
          <w:noProof/>
        </w:rPr>
      </w:r>
      <w:r>
        <w:rPr>
          <w:noProof/>
        </w:rPr>
        <w:fldChar w:fldCharType="separate"/>
      </w:r>
      <w:r w:rsidR="004B7F70">
        <w:rPr>
          <w:noProof/>
        </w:rPr>
        <w:t>61</w:t>
      </w:r>
      <w:r>
        <w:rPr>
          <w:noProof/>
        </w:rPr>
        <w:fldChar w:fldCharType="end"/>
      </w:r>
    </w:p>
    <w:p w14:paraId="15EC6542" w14:textId="16A59A43"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3.2.1.</w:t>
      </w:r>
      <w:r>
        <w:rPr>
          <w:rFonts w:asciiTheme="minorHAnsi" w:eastAsiaTheme="minorEastAsia" w:hAnsiTheme="minorHAnsi" w:cstheme="minorBidi"/>
          <w:noProof/>
          <w:kern w:val="2"/>
          <w:sz w:val="22"/>
          <w:szCs w:val="22"/>
          <w14:ligatures w14:val="standardContextual"/>
        </w:rPr>
        <w:tab/>
      </w:r>
      <w:r>
        <w:rPr>
          <w:noProof/>
        </w:rPr>
        <w:t>Wheat shoot responses to available soil volume and the density of neighbours are largely interchangeable</w:t>
      </w:r>
      <w:r>
        <w:rPr>
          <w:noProof/>
        </w:rPr>
        <w:tab/>
      </w:r>
      <w:r>
        <w:rPr>
          <w:noProof/>
        </w:rPr>
        <w:fldChar w:fldCharType="begin"/>
      </w:r>
      <w:r>
        <w:rPr>
          <w:noProof/>
        </w:rPr>
        <w:instrText xml:space="preserve"> PAGEREF _Toc154331472 \h </w:instrText>
      </w:r>
      <w:r>
        <w:rPr>
          <w:noProof/>
        </w:rPr>
      </w:r>
      <w:r>
        <w:rPr>
          <w:noProof/>
        </w:rPr>
        <w:fldChar w:fldCharType="separate"/>
      </w:r>
      <w:r w:rsidR="004B7F70">
        <w:rPr>
          <w:noProof/>
        </w:rPr>
        <w:t>61</w:t>
      </w:r>
      <w:r>
        <w:rPr>
          <w:noProof/>
        </w:rPr>
        <w:fldChar w:fldCharType="end"/>
      </w:r>
    </w:p>
    <w:p w14:paraId="28F54CA6" w14:textId="45BB7980"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3.2.2.</w:t>
      </w:r>
      <w:r>
        <w:rPr>
          <w:rFonts w:asciiTheme="minorHAnsi" w:eastAsiaTheme="minorEastAsia" w:hAnsiTheme="minorHAnsi" w:cstheme="minorBidi"/>
          <w:noProof/>
          <w:kern w:val="2"/>
          <w:sz w:val="22"/>
          <w:szCs w:val="22"/>
          <w14:ligatures w14:val="standardContextual"/>
        </w:rPr>
        <w:tab/>
      </w:r>
      <w:r>
        <w:rPr>
          <w:noProof/>
        </w:rPr>
        <w:t>Barley shoot growth responses to soil volume and neighbour density are largely interchangeable</w:t>
      </w:r>
      <w:r>
        <w:rPr>
          <w:noProof/>
        </w:rPr>
        <w:tab/>
      </w:r>
      <w:r>
        <w:rPr>
          <w:noProof/>
        </w:rPr>
        <w:fldChar w:fldCharType="begin"/>
      </w:r>
      <w:r>
        <w:rPr>
          <w:noProof/>
        </w:rPr>
        <w:instrText xml:space="preserve"> PAGEREF _Toc154331473 \h </w:instrText>
      </w:r>
      <w:r>
        <w:rPr>
          <w:noProof/>
        </w:rPr>
      </w:r>
      <w:r>
        <w:rPr>
          <w:noProof/>
        </w:rPr>
        <w:fldChar w:fldCharType="separate"/>
      </w:r>
      <w:r w:rsidR="004B7F70">
        <w:rPr>
          <w:noProof/>
        </w:rPr>
        <w:t>66</w:t>
      </w:r>
      <w:r>
        <w:rPr>
          <w:noProof/>
        </w:rPr>
        <w:fldChar w:fldCharType="end"/>
      </w:r>
    </w:p>
    <w:p w14:paraId="658A5491" w14:textId="2568704E"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3.2.3.</w:t>
      </w:r>
      <w:r>
        <w:rPr>
          <w:rFonts w:asciiTheme="minorHAnsi" w:eastAsiaTheme="minorEastAsia" w:hAnsiTheme="minorHAnsi" w:cstheme="minorBidi"/>
          <w:noProof/>
          <w:kern w:val="2"/>
          <w:sz w:val="22"/>
          <w:szCs w:val="22"/>
          <w14:ligatures w14:val="standardContextual"/>
        </w:rPr>
        <w:tab/>
      </w:r>
      <w:r>
        <w:rPr>
          <w:noProof/>
        </w:rPr>
        <w:t>Arabidopsis shoot growth responses to soil volume and neighbour density are largely interchangeable</w:t>
      </w:r>
      <w:r>
        <w:rPr>
          <w:noProof/>
        </w:rPr>
        <w:tab/>
      </w:r>
      <w:r>
        <w:rPr>
          <w:noProof/>
        </w:rPr>
        <w:fldChar w:fldCharType="begin"/>
      </w:r>
      <w:r>
        <w:rPr>
          <w:noProof/>
        </w:rPr>
        <w:instrText xml:space="preserve"> PAGEREF _Toc154331474 \h </w:instrText>
      </w:r>
      <w:r>
        <w:rPr>
          <w:noProof/>
        </w:rPr>
      </w:r>
      <w:r>
        <w:rPr>
          <w:noProof/>
        </w:rPr>
        <w:fldChar w:fldCharType="separate"/>
      </w:r>
      <w:r w:rsidR="004B7F70">
        <w:rPr>
          <w:noProof/>
        </w:rPr>
        <w:t>71</w:t>
      </w:r>
      <w:r>
        <w:rPr>
          <w:noProof/>
        </w:rPr>
        <w:fldChar w:fldCharType="end"/>
      </w:r>
    </w:p>
    <w:p w14:paraId="06DB3DD5" w14:textId="210A0372"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3.2.4.</w:t>
      </w:r>
      <w:r>
        <w:rPr>
          <w:rFonts w:asciiTheme="minorHAnsi" w:eastAsiaTheme="minorEastAsia" w:hAnsiTheme="minorHAnsi" w:cstheme="minorBidi"/>
          <w:noProof/>
          <w:kern w:val="2"/>
          <w:sz w:val="22"/>
          <w:szCs w:val="22"/>
          <w14:ligatures w14:val="standardContextual"/>
        </w:rPr>
        <w:tab/>
      </w:r>
      <w:r>
        <w:rPr>
          <w:noProof/>
        </w:rPr>
        <w:t>Pea shoot growth responses to soil volume and neighbour density are largely interchangeable</w:t>
      </w:r>
      <w:r>
        <w:rPr>
          <w:noProof/>
        </w:rPr>
        <w:tab/>
      </w:r>
      <w:r>
        <w:rPr>
          <w:noProof/>
        </w:rPr>
        <w:fldChar w:fldCharType="begin"/>
      </w:r>
      <w:r>
        <w:rPr>
          <w:noProof/>
        </w:rPr>
        <w:instrText xml:space="preserve"> PAGEREF _Toc154331475 \h </w:instrText>
      </w:r>
      <w:r>
        <w:rPr>
          <w:noProof/>
        </w:rPr>
      </w:r>
      <w:r>
        <w:rPr>
          <w:noProof/>
        </w:rPr>
        <w:fldChar w:fldCharType="separate"/>
      </w:r>
      <w:r w:rsidR="004B7F70">
        <w:rPr>
          <w:noProof/>
        </w:rPr>
        <w:t>76</w:t>
      </w:r>
      <w:r>
        <w:rPr>
          <w:noProof/>
        </w:rPr>
        <w:fldChar w:fldCharType="end"/>
      </w:r>
    </w:p>
    <w:p w14:paraId="23DFD139" w14:textId="73BE143F"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lastRenderedPageBreak/>
        <w:t>3.2.5.</w:t>
      </w:r>
      <w:r>
        <w:rPr>
          <w:rFonts w:asciiTheme="minorHAnsi" w:eastAsiaTheme="minorEastAsia" w:hAnsiTheme="minorHAnsi" w:cstheme="minorBidi"/>
          <w:noProof/>
          <w:kern w:val="2"/>
          <w:sz w:val="22"/>
          <w:szCs w:val="22"/>
          <w14:ligatures w14:val="standardContextual"/>
        </w:rPr>
        <w:tab/>
      </w:r>
      <w:r>
        <w:rPr>
          <w:noProof/>
        </w:rPr>
        <w:t>Interspecific responses to soil volume and neighbour density are similar among species</w:t>
      </w:r>
      <w:r>
        <w:rPr>
          <w:noProof/>
        </w:rPr>
        <w:tab/>
      </w:r>
      <w:r>
        <w:rPr>
          <w:noProof/>
        </w:rPr>
        <w:fldChar w:fldCharType="begin"/>
      </w:r>
      <w:r>
        <w:rPr>
          <w:noProof/>
        </w:rPr>
        <w:instrText xml:space="preserve"> PAGEREF _Toc154331476 \h </w:instrText>
      </w:r>
      <w:r>
        <w:rPr>
          <w:noProof/>
        </w:rPr>
      </w:r>
      <w:r>
        <w:rPr>
          <w:noProof/>
        </w:rPr>
        <w:fldChar w:fldCharType="separate"/>
      </w:r>
      <w:r w:rsidR="004B7F70">
        <w:rPr>
          <w:noProof/>
        </w:rPr>
        <w:t>79</w:t>
      </w:r>
      <w:r>
        <w:rPr>
          <w:noProof/>
        </w:rPr>
        <w:fldChar w:fldCharType="end"/>
      </w:r>
    </w:p>
    <w:p w14:paraId="5C6A3E10" w14:textId="65F0FCB1"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3.3.</w:t>
      </w:r>
      <w:r>
        <w:rPr>
          <w:rFonts w:asciiTheme="minorHAnsi" w:eastAsiaTheme="minorEastAsia" w:hAnsiTheme="minorHAnsi" w:cstheme="minorBidi"/>
          <w:noProof/>
          <w:kern w:val="2"/>
          <w:sz w:val="22"/>
          <w:szCs w:val="22"/>
          <w14:ligatures w14:val="standardContextual"/>
        </w:rPr>
        <w:tab/>
      </w:r>
      <w:r>
        <w:rPr>
          <w:noProof/>
        </w:rPr>
        <w:t>Barley intraspecific variation in soil volume response</w:t>
      </w:r>
      <w:r>
        <w:rPr>
          <w:noProof/>
        </w:rPr>
        <w:tab/>
      </w:r>
      <w:r>
        <w:rPr>
          <w:noProof/>
        </w:rPr>
        <w:fldChar w:fldCharType="begin"/>
      </w:r>
      <w:r>
        <w:rPr>
          <w:noProof/>
        </w:rPr>
        <w:instrText xml:space="preserve"> PAGEREF _Toc154331477 \h </w:instrText>
      </w:r>
      <w:r>
        <w:rPr>
          <w:noProof/>
        </w:rPr>
      </w:r>
      <w:r>
        <w:rPr>
          <w:noProof/>
        </w:rPr>
        <w:fldChar w:fldCharType="separate"/>
      </w:r>
      <w:r w:rsidR="004B7F70">
        <w:rPr>
          <w:noProof/>
        </w:rPr>
        <w:t>81</w:t>
      </w:r>
      <w:r>
        <w:rPr>
          <w:noProof/>
        </w:rPr>
        <w:fldChar w:fldCharType="end"/>
      </w:r>
    </w:p>
    <w:p w14:paraId="72DBDB27" w14:textId="4C9967F1"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3.3.1.</w:t>
      </w:r>
      <w:r>
        <w:rPr>
          <w:rFonts w:asciiTheme="minorHAnsi" w:eastAsiaTheme="minorEastAsia" w:hAnsiTheme="minorHAnsi" w:cstheme="minorBidi"/>
          <w:noProof/>
          <w:kern w:val="2"/>
          <w:sz w:val="22"/>
          <w:szCs w:val="22"/>
          <w14:ligatures w14:val="standardContextual"/>
        </w:rPr>
        <w:tab/>
      </w:r>
      <w:r>
        <w:rPr>
          <w:noProof/>
        </w:rPr>
        <w:t>Soil volume responses are highly variable in barley germplasm</w:t>
      </w:r>
      <w:r>
        <w:rPr>
          <w:noProof/>
        </w:rPr>
        <w:tab/>
      </w:r>
      <w:r>
        <w:rPr>
          <w:noProof/>
        </w:rPr>
        <w:fldChar w:fldCharType="begin"/>
      </w:r>
      <w:r>
        <w:rPr>
          <w:noProof/>
        </w:rPr>
        <w:instrText xml:space="preserve"> PAGEREF _Toc154331478 \h </w:instrText>
      </w:r>
      <w:r>
        <w:rPr>
          <w:noProof/>
        </w:rPr>
      </w:r>
      <w:r>
        <w:rPr>
          <w:noProof/>
        </w:rPr>
        <w:fldChar w:fldCharType="separate"/>
      </w:r>
      <w:r w:rsidR="004B7F70">
        <w:rPr>
          <w:noProof/>
        </w:rPr>
        <w:t>81</w:t>
      </w:r>
      <w:r>
        <w:rPr>
          <w:noProof/>
        </w:rPr>
        <w:fldChar w:fldCharType="end"/>
      </w:r>
    </w:p>
    <w:p w14:paraId="77736438" w14:textId="0187AB6C"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3.4.</w:t>
      </w:r>
      <w:r>
        <w:rPr>
          <w:rFonts w:asciiTheme="minorHAnsi" w:eastAsiaTheme="minorEastAsia" w:hAnsiTheme="minorHAnsi" w:cstheme="minorBidi"/>
          <w:noProof/>
          <w:kern w:val="2"/>
          <w:sz w:val="22"/>
          <w:szCs w:val="22"/>
          <w14:ligatures w14:val="standardContextual"/>
        </w:rPr>
        <w:tab/>
      </w:r>
      <w:r>
        <w:rPr>
          <w:noProof/>
        </w:rPr>
        <w:t>Response of root system architecture (RSA) to soil volume and neighbour density</w:t>
      </w:r>
      <w:r>
        <w:rPr>
          <w:noProof/>
        </w:rPr>
        <w:tab/>
      </w:r>
      <w:r>
        <w:rPr>
          <w:noProof/>
        </w:rPr>
        <w:fldChar w:fldCharType="begin"/>
      </w:r>
      <w:r>
        <w:rPr>
          <w:noProof/>
        </w:rPr>
        <w:instrText xml:space="preserve"> PAGEREF _Toc154331479 \h </w:instrText>
      </w:r>
      <w:r>
        <w:rPr>
          <w:noProof/>
        </w:rPr>
      </w:r>
      <w:r>
        <w:rPr>
          <w:noProof/>
        </w:rPr>
        <w:fldChar w:fldCharType="separate"/>
      </w:r>
      <w:r w:rsidR="004B7F70">
        <w:rPr>
          <w:noProof/>
        </w:rPr>
        <w:t>93</w:t>
      </w:r>
      <w:r>
        <w:rPr>
          <w:noProof/>
        </w:rPr>
        <w:fldChar w:fldCharType="end"/>
      </w:r>
    </w:p>
    <w:p w14:paraId="20D8BEB1" w14:textId="3163845E"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3.4.1.</w:t>
      </w:r>
      <w:r>
        <w:rPr>
          <w:rFonts w:asciiTheme="minorHAnsi" w:eastAsiaTheme="minorEastAsia" w:hAnsiTheme="minorHAnsi" w:cstheme="minorBidi"/>
          <w:noProof/>
          <w:kern w:val="2"/>
          <w:sz w:val="22"/>
          <w:szCs w:val="22"/>
          <w14:ligatures w14:val="standardContextual"/>
        </w:rPr>
        <w:tab/>
      </w:r>
      <w:r>
        <w:rPr>
          <w:noProof/>
        </w:rPr>
        <w:t>Root system growth response to soil volume in barley and wheat</w:t>
      </w:r>
      <w:r>
        <w:rPr>
          <w:noProof/>
        </w:rPr>
        <w:tab/>
      </w:r>
      <w:r>
        <w:rPr>
          <w:noProof/>
        </w:rPr>
        <w:fldChar w:fldCharType="begin"/>
      </w:r>
      <w:r>
        <w:rPr>
          <w:noProof/>
        </w:rPr>
        <w:instrText xml:space="preserve"> PAGEREF _Toc154331480 \h </w:instrText>
      </w:r>
      <w:r>
        <w:rPr>
          <w:noProof/>
        </w:rPr>
      </w:r>
      <w:r>
        <w:rPr>
          <w:noProof/>
        </w:rPr>
        <w:fldChar w:fldCharType="separate"/>
      </w:r>
      <w:r w:rsidR="004B7F70">
        <w:rPr>
          <w:noProof/>
        </w:rPr>
        <w:t>94</w:t>
      </w:r>
      <w:r>
        <w:rPr>
          <w:noProof/>
        </w:rPr>
        <w:fldChar w:fldCharType="end"/>
      </w:r>
    </w:p>
    <w:p w14:paraId="36185A01" w14:textId="2D010A1F"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3.4.2.</w:t>
      </w:r>
      <w:r>
        <w:rPr>
          <w:rFonts w:asciiTheme="minorHAnsi" w:eastAsiaTheme="minorEastAsia" w:hAnsiTheme="minorHAnsi" w:cstheme="minorBidi"/>
          <w:noProof/>
          <w:kern w:val="2"/>
          <w:sz w:val="22"/>
          <w:szCs w:val="22"/>
          <w14:ligatures w14:val="standardContextual"/>
        </w:rPr>
        <w:tab/>
      </w:r>
      <w:r>
        <w:rPr>
          <w:noProof/>
        </w:rPr>
        <w:t>Barley root system architecture in response to neighbouring plants</w:t>
      </w:r>
      <w:r>
        <w:rPr>
          <w:noProof/>
        </w:rPr>
        <w:tab/>
      </w:r>
      <w:r>
        <w:rPr>
          <w:noProof/>
        </w:rPr>
        <w:fldChar w:fldCharType="begin"/>
      </w:r>
      <w:r>
        <w:rPr>
          <w:noProof/>
        </w:rPr>
        <w:instrText xml:space="preserve"> PAGEREF _Toc154331481 \h </w:instrText>
      </w:r>
      <w:r>
        <w:rPr>
          <w:noProof/>
        </w:rPr>
      </w:r>
      <w:r>
        <w:rPr>
          <w:noProof/>
        </w:rPr>
        <w:fldChar w:fldCharType="separate"/>
      </w:r>
      <w:r w:rsidR="004B7F70">
        <w:rPr>
          <w:noProof/>
        </w:rPr>
        <w:t>103</w:t>
      </w:r>
      <w:r>
        <w:rPr>
          <w:noProof/>
        </w:rPr>
        <w:fldChar w:fldCharType="end"/>
      </w:r>
    </w:p>
    <w:p w14:paraId="5F4199B3" w14:textId="16D252A4"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3.4.3.</w:t>
      </w:r>
      <w:r>
        <w:rPr>
          <w:rFonts w:asciiTheme="minorHAnsi" w:eastAsiaTheme="minorEastAsia" w:hAnsiTheme="minorHAnsi" w:cstheme="minorBidi"/>
          <w:noProof/>
          <w:kern w:val="2"/>
          <w:sz w:val="22"/>
          <w:szCs w:val="22"/>
          <w14:ligatures w14:val="standardContextual"/>
        </w:rPr>
        <w:tab/>
      </w:r>
      <w:r>
        <w:rPr>
          <w:noProof/>
        </w:rPr>
        <w:t>Root density and shoot system size are uncoupled in barley</w:t>
      </w:r>
      <w:r>
        <w:rPr>
          <w:noProof/>
        </w:rPr>
        <w:tab/>
      </w:r>
      <w:r>
        <w:rPr>
          <w:noProof/>
        </w:rPr>
        <w:fldChar w:fldCharType="begin"/>
      </w:r>
      <w:r>
        <w:rPr>
          <w:noProof/>
        </w:rPr>
        <w:instrText xml:space="preserve"> PAGEREF _Toc154331482 \h </w:instrText>
      </w:r>
      <w:r>
        <w:rPr>
          <w:noProof/>
        </w:rPr>
      </w:r>
      <w:r>
        <w:rPr>
          <w:noProof/>
        </w:rPr>
        <w:fldChar w:fldCharType="separate"/>
      </w:r>
      <w:r w:rsidR="004B7F70">
        <w:rPr>
          <w:noProof/>
        </w:rPr>
        <w:t>108</w:t>
      </w:r>
      <w:r>
        <w:rPr>
          <w:noProof/>
        </w:rPr>
        <w:fldChar w:fldCharType="end"/>
      </w:r>
    </w:p>
    <w:p w14:paraId="72B250D9" w14:textId="61C44141"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3.4.4.</w:t>
      </w:r>
      <w:r>
        <w:rPr>
          <w:rFonts w:asciiTheme="minorHAnsi" w:eastAsiaTheme="minorEastAsia" w:hAnsiTheme="minorHAnsi" w:cstheme="minorBidi"/>
          <w:noProof/>
          <w:kern w:val="2"/>
          <w:sz w:val="22"/>
          <w:szCs w:val="22"/>
          <w14:ligatures w14:val="standardContextual"/>
        </w:rPr>
        <w:tab/>
      </w:r>
      <w:r>
        <w:rPr>
          <w:noProof/>
        </w:rPr>
        <w:t>Root system growth response in wheat landrace lines</w:t>
      </w:r>
      <w:r>
        <w:rPr>
          <w:noProof/>
        </w:rPr>
        <w:tab/>
      </w:r>
      <w:r>
        <w:rPr>
          <w:noProof/>
        </w:rPr>
        <w:fldChar w:fldCharType="begin"/>
      </w:r>
      <w:r>
        <w:rPr>
          <w:noProof/>
        </w:rPr>
        <w:instrText xml:space="preserve"> PAGEREF _Toc154331483 \h </w:instrText>
      </w:r>
      <w:r>
        <w:rPr>
          <w:noProof/>
        </w:rPr>
      </w:r>
      <w:r>
        <w:rPr>
          <w:noProof/>
        </w:rPr>
        <w:fldChar w:fldCharType="separate"/>
      </w:r>
      <w:r w:rsidR="004B7F70">
        <w:rPr>
          <w:noProof/>
        </w:rPr>
        <w:t>115</w:t>
      </w:r>
      <w:r>
        <w:rPr>
          <w:noProof/>
        </w:rPr>
        <w:fldChar w:fldCharType="end"/>
      </w:r>
    </w:p>
    <w:p w14:paraId="3DD49975" w14:textId="74860427"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3.5.</w:t>
      </w:r>
      <w:r>
        <w:rPr>
          <w:rFonts w:asciiTheme="minorHAnsi" w:eastAsiaTheme="minorEastAsia" w:hAnsiTheme="minorHAnsi" w:cstheme="minorBidi"/>
          <w:noProof/>
          <w:kern w:val="2"/>
          <w:sz w:val="22"/>
          <w:szCs w:val="22"/>
          <w14:ligatures w14:val="standardContextual"/>
        </w:rPr>
        <w:tab/>
      </w:r>
      <w:r>
        <w:rPr>
          <w:noProof/>
        </w:rPr>
        <w:t>Discussion</w:t>
      </w:r>
      <w:r>
        <w:rPr>
          <w:noProof/>
        </w:rPr>
        <w:tab/>
      </w:r>
      <w:r>
        <w:rPr>
          <w:noProof/>
        </w:rPr>
        <w:fldChar w:fldCharType="begin"/>
      </w:r>
      <w:r>
        <w:rPr>
          <w:noProof/>
        </w:rPr>
        <w:instrText xml:space="preserve"> PAGEREF _Toc154331484 \h </w:instrText>
      </w:r>
      <w:r>
        <w:rPr>
          <w:noProof/>
        </w:rPr>
      </w:r>
      <w:r>
        <w:rPr>
          <w:noProof/>
        </w:rPr>
        <w:fldChar w:fldCharType="separate"/>
      </w:r>
      <w:r w:rsidR="004B7F70">
        <w:rPr>
          <w:noProof/>
        </w:rPr>
        <w:t>124</w:t>
      </w:r>
      <w:r>
        <w:rPr>
          <w:noProof/>
        </w:rPr>
        <w:fldChar w:fldCharType="end"/>
      </w:r>
    </w:p>
    <w:p w14:paraId="200FE477" w14:textId="253C80C3" w:rsidR="00434F50" w:rsidRDefault="00434F50">
      <w:pPr>
        <w:pStyle w:val="TOC1"/>
        <w:tabs>
          <w:tab w:val="left" w:pos="1620"/>
        </w:tabs>
        <w:rPr>
          <w:rFonts w:asciiTheme="minorHAnsi" w:eastAsiaTheme="minorEastAsia" w:hAnsiTheme="minorHAnsi" w:cstheme="minorBidi"/>
          <w:b w:val="0"/>
          <w:noProof/>
          <w:kern w:val="2"/>
          <w:sz w:val="22"/>
          <w:szCs w:val="22"/>
          <w14:ligatures w14:val="standardContextual"/>
        </w:rPr>
      </w:pPr>
      <w:r>
        <w:rPr>
          <w:noProof/>
        </w:rPr>
        <w:t>Chapter 4</w:t>
      </w:r>
      <w:r>
        <w:rPr>
          <w:rFonts w:asciiTheme="minorHAnsi" w:eastAsiaTheme="minorEastAsia" w:hAnsiTheme="minorHAnsi" w:cstheme="minorBidi"/>
          <w:b w:val="0"/>
          <w:noProof/>
          <w:kern w:val="2"/>
          <w:sz w:val="22"/>
          <w:szCs w:val="22"/>
          <w14:ligatures w14:val="standardContextual"/>
        </w:rPr>
        <w:tab/>
      </w:r>
      <w:r>
        <w:rPr>
          <w:noProof/>
        </w:rPr>
        <w:t>Defining mechanisms for plant volume and neighbour perception</w:t>
      </w:r>
      <w:r>
        <w:rPr>
          <w:noProof/>
        </w:rPr>
        <w:tab/>
      </w:r>
      <w:r>
        <w:rPr>
          <w:noProof/>
        </w:rPr>
        <w:fldChar w:fldCharType="begin"/>
      </w:r>
      <w:r>
        <w:rPr>
          <w:noProof/>
        </w:rPr>
        <w:instrText xml:space="preserve"> PAGEREF _Toc154331485 \h </w:instrText>
      </w:r>
      <w:r>
        <w:rPr>
          <w:noProof/>
        </w:rPr>
      </w:r>
      <w:r>
        <w:rPr>
          <w:noProof/>
        </w:rPr>
        <w:fldChar w:fldCharType="separate"/>
      </w:r>
      <w:r w:rsidR="004B7F70">
        <w:rPr>
          <w:noProof/>
        </w:rPr>
        <w:t>128</w:t>
      </w:r>
      <w:r>
        <w:rPr>
          <w:noProof/>
        </w:rPr>
        <w:fldChar w:fldCharType="end"/>
      </w:r>
    </w:p>
    <w:p w14:paraId="1CBC5D3C" w14:textId="1E4FD811"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4.1.</w:t>
      </w:r>
      <w:r>
        <w:rPr>
          <w:rFonts w:asciiTheme="minorHAnsi" w:eastAsiaTheme="minorEastAsia" w:hAnsiTheme="minorHAnsi" w:cstheme="minorBidi"/>
          <w:noProof/>
          <w:kern w:val="2"/>
          <w:sz w:val="22"/>
          <w:szCs w:val="22"/>
          <w14:ligatures w14:val="standardContextual"/>
        </w:rPr>
        <w:tab/>
      </w:r>
      <w:r>
        <w:rPr>
          <w:noProof/>
        </w:rPr>
        <w:t>Introduction</w:t>
      </w:r>
      <w:r>
        <w:rPr>
          <w:noProof/>
        </w:rPr>
        <w:tab/>
      </w:r>
      <w:r>
        <w:rPr>
          <w:noProof/>
        </w:rPr>
        <w:fldChar w:fldCharType="begin"/>
      </w:r>
      <w:r>
        <w:rPr>
          <w:noProof/>
        </w:rPr>
        <w:instrText xml:space="preserve"> PAGEREF _Toc154331486 \h </w:instrText>
      </w:r>
      <w:r>
        <w:rPr>
          <w:noProof/>
        </w:rPr>
      </w:r>
      <w:r>
        <w:rPr>
          <w:noProof/>
        </w:rPr>
        <w:fldChar w:fldCharType="separate"/>
      </w:r>
      <w:r w:rsidR="004B7F70">
        <w:rPr>
          <w:noProof/>
        </w:rPr>
        <w:t>128</w:t>
      </w:r>
      <w:r>
        <w:rPr>
          <w:noProof/>
        </w:rPr>
        <w:fldChar w:fldCharType="end"/>
      </w:r>
    </w:p>
    <w:p w14:paraId="01517C86" w14:textId="1DBBCA9B"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4.2.</w:t>
      </w:r>
      <w:r>
        <w:rPr>
          <w:rFonts w:asciiTheme="minorHAnsi" w:eastAsiaTheme="minorEastAsia" w:hAnsiTheme="minorHAnsi" w:cstheme="minorBidi"/>
          <w:noProof/>
          <w:kern w:val="2"/>
          <w:sz w:val="22"/>
          <w:szCs w:val="22"/>
          <w14:ligatures w14:val="standardContextual"/>
        </w:rPr>
        <w:tab/>
      </w:r>
      <w:r>
        <w:rPr>
          <w:noProof/>
        </w:rPr>
        <w:t>Detection of neighbours occurs less than 24 hours after crowding</w:t>
      </w:r>
      <w:r>
        <w:rPr>
          <w:noProof/>
        </w:rPr>
        <w:tab/>
      </w:r>
      <w:r>
        <w:rPr>
          <w:noProof/>
        </w:rPr>
        <w:fldChar w:fldCharType="begin"/>
      </w:r>
      <w:r>
        <w:rPr>
          <w:noProof/>
        </w:rPr>
        <w:instrText xml:space="preserve"> PAGEREF _Toc154331487 \h </w:instrText>
      </w:r>
      <w:r>
        <w:rPr>
          <w:noProof/>
        </w:rPr>
      </w:r>
      <w:r>
        <w:rPr>
          <w:noProof/>
        </w:rPr>
        <w:fldChar w:fldCharType="separate"/>
      </w:r>
      <w:r w:rsidR="004B7F70">
        <w:rPr>
          <w:noProof/>
        </w:rPr>
        <w:t>129</w:t>
      </w:r>
      <w:r>
        <w:rPr>
          <w:noProof/>
        </w:rPr>
        <w:fldChar w:fldCharType="end"/>
      </w:r>
    </w:p>
    <w:p w14:paraId="2E22DD39" w14:textId="7FD9D99A"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4.2.1.</w:t>
      </w:r>
      <w:r>
        <w:rPr>
          <w:rFonts w:asciiTheme="minorHAnsi" w:eastAsiaTheme="minorEastAsia" w:hAnsiTheme="minorHAnsi" w:cstheme="minorBidi"/>
          <w:noProof/>
          <w:kern w:val="2"/>
          <w:sz w:val="22"/>
          <w:szCs w:val="22"/>
          <w14:ligatures w14:val="standardContextual"/>
        </w:rPr>
        <w:tab/>
      </w:r>
      <w:r>
        <w:rPr>
          <w:noProof/>
        </w:rPr>
        <w:t>Barley plants respond to crowding within 4 hours</w:t>
      </w:r>
      <w:r>
        <w:rPr>
          <w:noProof/>
        </w:rPr>
        <w:tab/>
      </w:r>
      <w:r>
        <w:rPr>
          <w:noProof/>
        </w:rPr>
        <w:fldChar w:fldCharType="begin"/>
      </w:r>
      <w:r>
        <w:rPr>
          <w:noProof/>
        </w:rPr>
        <w:instrText xml:space="preserve"> PAGEREF _Toc154331488 \h </w:instrText>
      </w:r>
      <w:r>
        <w:rPr>
          <w:noProof/>
        </w:rPr>
      </w:r>
      <w:r>
        <w:rPr>
          <w:noProof/>
        </w:rPr>
        <w:fldChar w:fldCharType="separate"/>
      </w:r>
      <w:r w:rsidR="004B7F70">
        <w:rPr>
          <w:noProof/>
        </w:rPr>
        <w:t>129</w:t>
      </w:r>
      <w:r>
        <w:rPr>
          <w:noProof/>
        </w:rPr>
        <w:fldChar w:fldCharType="end"/>
      </w:r>
    </w:p>
    <w:p w14:paraId="0A8DA48F" w14:textId="6E27426A"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lang w:eastAsia="en-US"/>
        </w:rPr>
        <w:t>4.2.2.</w:t>
      </w:r>
      <w:r>
        <w:rPr>
          <w:rFonts w:asciiTheme="minorHAnsi" w:eastAsiaTheme="minorEastAsia" w:hAnsiTheme="minorHAnsi" w:cstheme="minorBidi"/>
          <w:noProof/>
          <w:kern w:val="2"/>
          <w:sz w:val="22"/>
          <w:szCs w:val="22"/>
          <w14:ligatures w14:val="standardContextual"/>
        </w:rPr>
        <w:tab/>
      </w:r>
      <w:r>
        <w:rPr>
          <w:noProof/>
          <w:lang w:eastAsia="en-US"/>
        </w:rPr>
        <w:t>Barley responses to crowding are partially overlapping at 4- and 8-hour timepoints</w:t>
      </w:r>
      <w:r>
        <w:rPr>
          <w:noProof/>
        </w:rPr>
        <w:tab/>
      </w:r>
      <w:r>
        <w:rPr>
          <w:noProof/>
        </w:rPr>
        <w:fldChar w:fldCharType="begin"/>
      </w:r>
      <w:r>
        <w:rPr>
          <w:noProof/>
        </w:rPr>
        <w:instrText xml:space="preserve"> PAGEREF _Toc154331489 \h </w:instrText>
      </w:r>
      <w:r>
        <w:rPr>
          <w:noProof/>
        </w:rPr>
      </w:r>
      <w:r>
        <w:rPr>
          <w:noProof/>
        </w:rPr>
        <w:fldChar w:fldCharType="separate"/>
      </w:r>
      <w:r w:rsidR="004B7F70">
        <w:rPr>
          <w:noProof/>
        </w:rPr>
        <w:t>134</w:t>
      </w:r>
      <w:r>
        <w:rPr>
          <w:noProof/>
        </w:rPr>
        <w:fldChar w:fldCharType="end"/>
      </w:r>
    </w:p>
    <w:p w14:paraId="76EEC08C" w14:textId="72C23AD4"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4.2.3.</w:t>
      </w:r>
      <w:r>
        <w:rPr>
          <w:rFonts w:asciiTheme="minorHAnsi" w:eastAsiaTheme="minorEastAsia" w:hAnsiTheme="minorHAnsi" w:cstheme="minorBidi"/>
          <w:noProof/>
          <w:kern w:val="2"/>
          <w:sz w:val="22"/>
          <w:szCs w:val="22"/>
          <w14:ligatures w14:val="standardContextual"/>
        </w:rPr>
        <w:tab/>
      </w:r>
      <w:r>
        <w:rPr>
          <w:noProof/>
        </w:rPr>
        <w:t>Barley plants initiate a competitive response after neighbour detection</w:t>
      </w:r>
      <w:r>
        <w:rPr>
          <w:noProof/>
        </w:rPr>
        <w:tab/>
      </w:r>
      <w:r>
        <w:rPr>
          <w:noProof/>
        </w:rPr>
        <w:fldChar w:fldCharType="begin"/>
      </w:r>
      <w:r>
        <w:rPr>
          <w:noProof/>
        </w:rPr>
        <w:instrText xml:space="preserve"> PAGEREF _Toc154331490 \h </w:instrText>
      </w:r>
      <w:r>
        <w:rPr>
          <w:noProof/>
        </w:rPr>
      </w:r>
      <w:r>
        <w:rPr>
          <w:noProof/>
        </w:rPr>
        <w:fldChar w:fldCharType="separate"/>
      </w:r>
      <w:r w:rsidR="004B7F70">
        <w:rPr>
          <w:noProof/>
        </w:rPr>
        <w:t>135</w:t>
      </w:r>
      <w:r>
        <w:rPr>
          <w:noProof/>
        </w:rPr>
        <w:fldChar w:fldCharType="end"/>
      </w:r>
    </w:p>
    <w:p w14:paraId="405DC511" w14:textId="6144FAFE"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4.2.4.</w:t>
      </w:r>
      <w:r>
        <w:rPr>
          <w:rFonts w:asciiTheme="minorHAnsi" w:eastAsiaTheme="minorEastAsia" w:hAnsiTheme="minorHAnsi" w:cstheme="minorBidi"/>
          <w:noProof/>
          <w:kern w:val="2"/>
          <w:sz w:val="22"/>
          <w:szCs w:val="22"/>
          <w14:ligatures w14:val="standardContextual"/>
        </w:rPr>
        <w:tab/>
      </w:r>
      <w:r>
        <w:rPr>
          <w:noProof/>
        </w:rPr>
        <w:t>Other DEGs of potential interest</w:t>
      </w:r>
      <w:r>
        <w:rPr>
          <w:noProof/>
        </w:rPr>
        <w:tab/>
      </w:r>
      <w:r>
        <w:rPr>
          <w:noProof/>
        </w:rPr>
        <w:fldChar w:fldCharType="begin"/>
      </w:r>
      <w:r>
        <w:rPr>
          <w:noProof/>
        </w:rPr>
        <w:instrText xml:space="preserve"> PAGEREF _Toc154331491 \h </w:instrText>
      </w:r>
      <w:r>
        <w:rPr>
          <w:noProof/>
        </w:rPr>
      </w:r>
      <w:r>
        <w:rPr>
          <w:noProof/>
        </w:rPr>
        <w:fldChar w:fldCharType="separate"/>
      </w:r>
      <w:r w:rsidR="004B7F70">
        <w:rPr>
          <w:noProof/>
        </w:rPr>
        <w:t>140</w:t>
      </w:r>
      <w:r>
        <w:rPr>
          <w:noProof/>
        </w:rPr>
        <w:fldChar w:fldCharType="end"/>
      </w:r>
    </w:p>
    <w:p w14:paraId="685DE554" w14:textId="5CE117E3"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4.2.5.</w:t>
      </w:r>
      <w:r>
        <w:rPr>
          <w:rFonts w:asciiTheme="minorHAnsi" w:eastAsiaTheme="minorEastAsia" w:hAnsiTheme="minorHAnsi" w:cstheme="minorBidi"/>
          <w:noProof/>
          <w:kern w:val="2"/>
          <w:sz w:val="22"/>
          <w:szCs w:val="22"/>
          <w14:ligatures w14:val="standardContextual"/>
        </w:rPr>
        <w:tab/>
      </w:r>
      <w:r>
        <w:rPr>
          <w:noProof/>
        </w:rPr>
        <w:t>Resource foraging strategies are prioritised on perception of neighbours</w:t>
      </w:r>
      <w:r>
        <w:rPr>
          <w:noProof/>
        </w:rPr>
        <w:tab/>
      </w:r>
      <w:r>
        <w:rPr>
          <w:noProof/>
        </w:rPr>
        <w:fldChar w:fldCharType="begin"/>
      </w:r>
      <w:r>
        <w:rPr>
          <w:noProof/>
        </w:rPr>
        <w:instrText xml:space="preserve"> PAGEREF _Toc154331492 \h </w:instrText>
      </w:r>
      <w:r>
        <w:rPr>
          <w:noProof/>
        </w:rPr>
      </w:r>
      <w:r>
        <w:rPr>
          <w:noProof/>
        </w:rPr>
        <w:fldChar w:fldCharType="separate"/>
      </w:r>
      <w:r w:rsidR="004B7F70">
        <w:rPr>
          <w:noProof/>
        </w:rPr>
        <w:t>143</w:t>
      </w:r>
      <w:r>
        <w:rPr>
          <w:noProof/>
        </w:rPr>
        <w:fldChar w:fldCharType="end"/>
      </w:r>
    </w:p>
    <w:p w14:paraId="7533C4A5" w14:textId="35FF7D88"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4.3.</w:t>
      </w:r>
      <w:r>
        <w:rPr>
          <w:rFonts w:asciiTheme="minorHAnsi" w:eastAsiaTheme="minorEastAsia" w:hAnsiTheme="minorHAnsi" w:cstheme="minorBidi"/>
          <w:noProof/>
          <w:kern w:val="2"/>
          <w:sz w:val="22"/>
          <w:szCs w:val="22"/>
          <w14:ligatures w14:val="standardContextual"/>
        </w:rPr>
        <w:tab/>
      </w:r>
      <w:r>
        <w:rPr>
          <w:noProof/>
        </w:rPr>
        <w:t>Mechanisms of shoot and root response to soil volume</w:t>
      </w:r>
      <w:r>
        <w:rPr>
          <w:noProof/>
        </w:rPr>
        <w:tab/>
      </w:r>
      <w:r>
        <w:rPr>
          <w:noProof/>
        </w:rPr>
        <w:fldChar w:fldCharType="begin"/>
      </w:r>
      <w:r>
        <w:rPr>
          <w:noProof/>
        </w:rPr>
        <w:instrText xml:space="preserve"> PAGEREF _Toc154331493 \h </w:instrText>
      </w:r>
      <w:r>
        <w:rPr>
          <w:noProof/>
        </w:rPr>
      </w:r>
      <w:r>
        <w:rPr>
          <w:noProof/>
        </w:rPr>
        <w:fldChar w:fldCharType="separate"/>
      </w:r>
      <w:r w:rsidR="004B7F70">
        <w:rPr>
          <w:noProof/>
        </w:rPr>
        <w:t>144</w:t>
      </w:r>
      <w:r>
        <w:rPr>
          <w:noProof/>
        </w:rPr>
        <w:fldChar w:fldCharType="end"/>
      </w:r>
    </w:p>
    <w:p w14:paraId="5E0BD4D1" w14:textId="2BCD0212"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4.3.1.</w:t>
      </w:r>
      <w:r>
        <w:rPr>
          <w:rFonts w:asciiTheme="minorHAnsi" w:eastAsiaTheme="minorEastAsia" w:hAnsiTheme="minorHAnsi" w:cstheme="minorBidi"/>
          <w:noProof/>
          <w:kern w:val="2"/>
          <w:sz w:val="22"/>
          <w:szCs w:val="22"/>
          <w14:ligatures w14:val="standardContextual"/>
        </w:rPr>
        <w:tab/>
      </w:r>
      <w:r>
        <w:rPr>
          <w:noProof/>
        </w:rPr>
        <w:t>Shoot responses to soil volume occur early in life and are independent of nutrient and water availability</w:t>
      </w:r>
      <w:r>
        <w:rPr>
          <w:noProof/>
        </w:rPr>
        <w:tab/>
      </w:r>
      <w:r>
        <w:rPr>
          <w:noProof/>
        </w:rPr>
        <w:fldChar w:fldCharType="begin"/>
      </w:r>
      <w:r>
        <w:rPr>
          <w:noProof/>
        </w:rPr>
        <w:instrText xml:space="preserve"> PAGEREF _Toc154331494 \h </w:instrText>
      </w:r>
      <w:r>
        <w:rPr>
          <w:noProof/>
        </w:rPr>
      </w:r>
      <w:r>
        <w:rPr>
          <w:noProof/>
        </w:rPr>
        <w:fldChar w:fldCharType="separate"/>
      </w:r>
      <w:r w:rsidR="004B7F70">
        <w:rPr>
          <w:noProof/>
        </w:rPr>
        <w:t>144</w:t>
      </w:r>
      <w:r>
        <w:rPr>
          <w:noProof/>
        </w:rPr>
        <w:fldChar w:fldCharType="end"/>
      </w:r>
    </w:p>
    <w:p w14:paraId="06F03EE7" w14:textId="7861C6C8"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4.3.2.</w:t>
      </w:r>
      <w:r>
        <w:rPr>
          <w:rFonts w:asciiTheme="minorHAnsi" w:eastAsiaTheme="minorEastAsia" w:hAnsiTheme="minorHAnsi" w:cstheme="minorBidi"/>
          <w:noProof/>
          <w:kern w:val="2"/>
          <w:sz w:val="22"/>
          <w:szCs w:val="22"/>
          <w14:ligatures w14:val="standardContextual"/>
        </w:rPr>
        <w:tab/>
      </w:r>
      <w:r>
        <w:rPr>
          <w:noProof/>
        </w:rPr>
        <w:t>Soil volume growth responses show two distinct phases</w:t>
      </w:r>
      <w:r>
        <w:rPr>
          <w:noProof/>
        </w:rPr>
        <w:tab/>
      </w:r>
      <w:r>
        <w:rPr>
          <w:noProof/>
        </w:rPr>
        <w:fldChar w:fldCharType="begin"/>
      </w:r>
      <w:r>
        <w:rPr>
          <w:noProof/>
        </w:rPr>
        <w:instrText xml:space="preserve"> PAGEREF _Toc154331495 \h </w:instrText>
      </w:r>
      <w:r>
        <w:rPr>
          <w:noProof/>
        </w:rPr>
      </w:r>
      <w:r>
        <w:rPr>
          <w:noProof/>
        </w:rPr>
        <w:fldChar w:fldCharType="separate"/>
      </w:r>
      <w:r w:rsidR="004B7F70">
        <w:rPr>
          <w:noProof/>
        </w:rPr>
        <w:t>147</w:t>
      </w:r>
      <w:r>
        <w:rPr>
          <w:noProof/>
        </w:rPr>
        <w:fldChar w:fldCharType="end"/>
      </w:r>
    </w:p>
    <w:p w14:paraId="49A9E9C0" w14:textId="476CE49A"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4.3.3.</w:t>
      </w:r>
      <w:r>
        <w:rPr>
          <w:rFonts w:asciiTheme="minorHAnsi" w:eastAsiaTheme="minorEastAsia" w:hAnsiTheme="minorHAnsi" w:cstheme="minorBidi"/>
          <w:noProof/>
          <w:kern w:val="2"/>
          <w:sz w:val="22"/>
          <w:szCs w:val="22"/>
          <w14:ligatures w14:val="standardContextual"/>
        </w:rPr>
        <w:tab/>
      </w:r>
      <w:r>
        <w:rPr>
          <w:noProof/>
        </w:rPr>
        <w:t>Early growth responses to soil volume availability do not require mechanical impedance or increased root density</w:t>
      </w:r>
      <w:r>
        <w:rPr>
          <w:noProof/>
        </w:rPr>
        <w:tab/>
      </w:r>
      <w:r>
        <w:rPr>
          <w:noProof/>
        </w:rPr>
        <w:fldChar w:fldCharType="begin"/>
      </w:r>
      <w:r>
        <w:rPr>
          <w:noProof/>
        </w:rPr>
        <w:instrText xml:space="preserve"> PAGEREF _Toc154331496 \h </w:instrText>
      </w:r>
      <w:r>
        <w:rPr>
          <w:noProof/>
        </w:rPr>
      </w:r>
      <w:r>
        <w:rPr>
          <w:noProof/>
        </w:rPr>
        <w:fldChar w:fldCharType="separate"/>
      </w:r>
      <w:r w:rsidR="004B7F70">
        <w:rPr>
          <w:noProof/>
        </w:rPr>
        <w:t>152</w:t>
      </w:r>
      <w:r>
        <w:rPr>
          <w:noProof/>
        </w:rPr>
        <w:fldChar w:fldCharType="end"/>
      </w:r>
    </w:p>
    <w:p w14:paraId="16794FAE" w14:textId="60B7B382"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4.3.4.</w:t>
      </w:r>
      <w:r>
        <w:rPr>
          <w:rFonts w:asciiTheme="minorHAnsi" w:eastAsiaTheme="minorEastAsia" w:hAnsiTheme="minorHAnsi" w:cstheme="minorBidi"/>
          <w:noProof/>
          <w:kern w:val="2"/>
          <w:sz w:val="22"/>
          <w:szCs w:val="22"/>
          <w14:ligatures w14:val="standardContextual"/>
        </w:rPr>
        <w:tab/>
      </w:r>
      <w:r>
        <w:rPr>
          <w:noProof/>
        </w:rPr>
        <w:t>Late growth responses are likely due to root density</w:t>
      </w:r>
      <w:r>
        <w:rPr>
          <w:noProof/>
        </w:rPr>
        <w:tab/>
      </w:r>
      <w:r>
        <w:rPr>
          <w:noProof/>
        </w:rPr>
        <w:fldChar w:fldCharType="begin"/>
      </w:r>
      <w:r>
        <w:rPr>
          <w:noProof/>
        </w:rPr>
        <w:instrText xml:space="preserve"> PAGEREF _Toc154331497 \h </w:instrText>
      </w:r>
      <w:r>
        <w:rPr>
          <w:noProof/>
        </w:rPr>
      </w:r>
      <w:r>
        <w:rPr>
          <w:noProof/>
        </w:rPr>
        <w:fldChar w:fldCharType="separate"/>
      </w:r>
      <w:r w:rsidR="004B7F70">
        <w:rPr>
          <w:noProof/>
        </w:rPr>
        <w:t>156</w:t>
      </w:r>
      <w:r>
        <w:rPr>
          <w:noProof/>
        </w:rPr>
        <w:fldChar w:fldCharType="end"/>
      </w:r>
    </w:p>
    <w:p w14:paraId="46F29363" w14:textId="6388F366"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4.3.5.</w:t>
      </w:r>
      <w:r>
        <w:rPr>
          <w:rFonts w:asciiTheme="minorHAnsi" w:eastAsiaTheme="minorEastAsia" w:hAnsiTheme="minorHAnsi" w:cstheme="minorBidi"/>
          <w:noProof/>
          <w:kern w:val="2"/>
          <w:sz w:val="22"/>
          <w:szCs w:val="22"/>
          <w14:ligatures w14:val="standardContextual"/>
        </w:rPr>
        <w:tab/>
      </w:r>
      <w:r>
        <w:rPr>
          <w:noProof/>
        </w:rPr>
        <w:t>Late growth responses are exaggerated when roots are highly aggregated</w:t>
      </w:r>
      <w:r>
        <w:rPr>
          <w:noProof/>
        </w:rPr>
        <w:tab/>
      </w:r>
      <w:r>
        <w:rPr>
          <w:noProof/>
        </w:rPr>
        <w:fldChar w:fldCharType="begin"/>
      </w:r>
      <w:r>
        <w:rPr>
          <w:noProof/>
        </w:rPr>
        <w:instrText xml:space="preserve"> PAGEREF _Toc154331498 \h </w:instrText>
      </w:r>
      <w:r>
        <w:rPr>
          <w:noProof/>
        </w:rPr>
      </w:r>
      <w:r>
        <w:rPr>
          <w:noProof/>
        </w:rPr>
        <w:fldChar w:fldCharType="separate"/>
      </w:r>
      <w:r w:rsidR="004B7F70">
        <w:rPr>
          <w:noProof/>
        </w:rPr>
        <w:t>157</w:t>
      </w:r>
      <w:r>
        <w:rPr>
          <w:noProof/>
        </w:rPr>
        <w:fldChar w:fldCharType="end"/>
      </w:r>
    </w:p>
    <w:p w14:paraId="630D1A40" w14:textId="34C54C4D"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lastRenderedPageBreak/>
        <w:t>4.3.6.</w:t>
      </w:r>
      <w:r>
        <w:rPr>
          <w:rFonts w:asciiTheme="minorHAnsi" w:eastAsiaTheme="minorEastAsia" w:hAnsiTheme="minorHAnsi" w:cstheme="minorBidi"/>
          <w:noProof/>
          <w:kern w:val="2"/>
          <w:sz w:val="22"/>
          <w:szCs w:val="22"/>
          <w14:ligatures w14:val="standardContextual"/>
        </w:rPr>
        <w:tab/>
      </w:r>
      <w:r>
        <w:rPr>
          <w:noProof/>
        </w:rPr>
        <w:t>Root density responses are perceived locally and affect root growth allocation</w:t>
      </w:r>
      <w:r>
        <w:rPr>
          <w:noProof/>
        </w:rPr>
        <w:tab/>
      </w:r>
      <w:r>
        <w:rPr>
          <w:noProof/>
        </w:rPr>
        <w:fldChar w:fldCharType="begin"/>
      </w:r>
      <w:r>
        <w:rPr>
          <w:noProof/>
        </w:rPr>
        <w:instrText xml:space="preserve"> PAGEREF _Toc154331499 \h </w:instrText>
      </w:r>
      <w:r>
        <w:rPr>
          <w:noProof/>
        </w:rPr>
      </w:r>
      <w:r>
        <w:rPr>
          <w:noProof/>
        </w:rPr>
        <w:fldChar w:fldCharType="separate"/>
      </w:r>
      <w:r w:rsidR="004B7F70">
        <w:rPr>
          <w:noProof/>
        </w:rPr>
        <w:t>163</w:t>
      </w:r>
      <w:r>
        <w:rPr>
          <w:noProof/>
        </w:rPr>
        <w:fldChar w:fldCharType="end"/>
      </w:r>
    </w:p>
    <w:p w14:paraId="08B4E890" w14:textId="5C4EB0C9"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4.3.7.</w:t>
      </w:r>
      <w:r>
        <w:rPr>
          <w:rFonts w:asciiTheme="minorHAnsi" w:eastAsiaTheme="minorEastAsia" w:hAnsiTheme="minorHAnsi" w:cstheme="minorBidi"/>
          <w:noProof/>
          <w:kern w:val="2"/>
          <w:sz w:val="22"/>
          <w:szCs w:val="22"/>
          <w14:ligatures w14:val="standardContextual"/>
        </w:rPr>
        <w:tab/>
      </w:r>
      <w:r>
        <w:rPr>
          <w:noProof/>
        </w:rPr>
        <w:t>The root exuded signal in the first phase cannot fully explain early responses to volume</w:t>
      </w:r>
      <w:r>
        <w:rPr>
          <w:noProof/>
        </w:rPr>
        <w:tab/>
      </w:r>
      <w:r>
        <w:rPr>
          <w:noProof/>
        </w:rPr>
        <w:fldChar w:fldCharType="begin"/>
      </w:r>
      <w:r>
        <w:rPr>
          <w:noProof/>
        </w:rPr>
        <w:instrText xml:space="preserve"> PAGEREF _Toc154331500 \h </w:instrText>
      </w:r>
      <w:r>
        <w:rPr>
          <w:noProof/>
        </w:rPr>
      </w:r>
      <w:r>
        <w:rPr>
          <w:noProof/>
        </w:rPr>
        <w:fldChar w:fldCharType="separate"/>
      </w:r>
      <w:r w:rsidR="004B7F70">
        <w:rPr>
          <w:noProof/>
        </w:rPr>
        <w:t>168</w:t>
      </w:r>
      <w:r>
        <w:rPr>
          <w:noProof/>
        </w:rPr>
        <w:fldChar w:fldCharType="end"/>
      </w:r>
    </w:p>
    <w:p w14:paraId="1F4A9197" w14:textId="4090A0B5"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4.4.</w:t>
      </w:r>
      <w:r>
        <w:rPr>
          <w:rFonts w:asciiTheme="minorHAnsi" w:eastAsiaTheme="minorEastAsia" w:hAnsiTheme="minorHAnsi" w:cstheme="minorBidi"/>
          <w:noProof/>
          <w:kern w:val="2"/>
          <w:sz w:val="22"/>
          <w:szCs w:val="22"/>
          <w14:ligatures w14:val="standardContextual"/>
        </w:rPr>
        <w:tab/>
      </w:r>
      <w:r>
        <w:rPr>
          <w:noProof/>
        </w:rPr>
        <w:t>Discussion</w:t>
      </w:r>
      <w:r>
        <w:rPr>
          <w:noProof/>
        </w:rPr>
        <w:tab/>
      </w:r>
      <w:r>
        <w:rPr>
          <w:noProof/>
        </w:rPr>
        <w:fldChar w:fldCharType="begin"/>
      </w:r>
      <w:r>
        <w:rPr>
          <w:noProof/>
        </w:rPr>
        <w:instrText xml:space="preserve"> PAGEREF _Toc154331501 \h </w:instrText>
      </w:r>
      <w:r>
        <w:rPr>
          <w:noProof/>
        </w:rPr>
      </w:r>
      <w:r>
        <w:rPr>
          <w:noProof/>
        </w:rPr>
        <w:fldChar w:fldCharType="separate"/>
      </w:r>
      <w:r w:rsidR="004B7F70">
        <w:rPr>
          <w:noProof/>
        </w:rPr>
        <w:t>172</w:t>
      </w:r>
      <w:r>
        <w:rPr>
          <w:noProof/>
        </w:rPr>
        <w:fldChar w:fldCharType="end"/>
      </w:r>
    </w:p>
    <w:p w14:paraId="0AC006F4" w14:textId="4180148B" w:rsidR="00434F50" w:rsidRDefault="00434F50">
      <w:pPr>
        <w:pStyle w:val="TOC1"/>
        <w:tabs>
          <w:tab w:val="left" w:pos="1620"/>
        </w:tabs>
        <w:rPr>
          <w:rFonts w:asciiTheme="minorHAnsi" w:eastAsiaTheme="minorEastAsia" w:hAnsiTheme="minorHAnsi" w:cstheme="minorBidi"/>
          <w:b w:val="0"/>
          <w:noProof/>
          <w:kern w:val="2"/>
          <w:sz w:val="22"/>
          <w:szCs w:val="22"/>
          <w14:ligatures w14:val="standardContextual"/>
        </w:rPr>
      </w:pPr>
      <w:r>
        <w:rPr>
          <w:noProof/>
        </w:rPr>
        <w:t>Chapter 5</w:t>
      </w:r>
      <w:r>
        <w:rPr>
          <w:rFonts w:asciiTheme="minorHAnsi" w:eastAsiaTheme="minorEastAsia" w:hAnsiTheme="minorHAnsi" w:cstheme="minorBidi"/>
          <w:b w:val="0"/>
          <w:noProof/>
          <w:kern w:val="2"/>
          <w:sz w:val="22"/>
          <w:szCs w:val="22"/>
          <w14:ligatures w14:val="standardContextual"/>
        </w:rPr>
        <w:tab/>
      </w:r>
      <w:r>
        <w:rPr>
          <w:noProof/>
        </w:rPr>
        <w:t>Strigolactone as a root exuded signal for neighbour and volume detection</w:t>
      </w:r>
      <w:r>
        <w:rPr>
          <w:noProof/>
        </w:rPr>
        <w:tab/>
      </w:r>
      <w:r>
        <w:rPr>
          <w:noProof/>
        </w:rPr>
        <w:fldChar w:fldCharType="begin"/>
      </w:r>
      <w:r>
        <w:rPr>
          <w:noProof/>
        </w:rPr>
        <w:instrText xml:space="preserve"> PAGEREF _Toc154331502 \h </w:instrText>
      </w:r>
      <w:r>
        <w:rPr>
          <w:noProof/>
        </w:rPr>
      </w:r>
      <w:r>
        <w:rPr>
          <w:noProof/>
        </w:rPr>
        <w:fldChar w:fldCharType="separate"/>
      </w:r>
      <w:r w:rsidR="004B7F70">
        <w:rPr>
          <w:noProof/>
        </w:rPr>
        <w:t>181</w:t>
      </w:r>
      <w:r>
        <w:rPr>
          <w:noProof/>
        </w:rPr>
        <w:fldChar w:fldCharType="end"/>
      </w:r>
    </w:p>
    <w:p w14:paraId="03D781DB" w14:textId="5E1BE34F"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5.1.</w:t>
      </w:r>
      <w:r>
        <w:rPr>
          <w:rFonts w:asciiTheme="minorHAnsi" w:eastAsiaTheme="minorEastAsia" w:hAnsiTheme="minorHAnsi" w:cstheme="minorBidi"/>
          <w:noProof/>
          <w:kern w:val="2"/>
          <w:sz w:val="22"/>
          <w:szCs w:val="22"/>
          <w14:ligatures w14:val="standardContextual"/>
        </w:rPr>
        <w:tab/>
      </w:r>
      <w:r>
        <w:rPr>
          <w:noProof/>
        </w:rPr>
        <w:t>Introduction</w:t>
      </w:r>
      <w:r>
        <w:rPr>
          <w:noProof/>
        </w:rPr>
        <w:tab/>
      </w:r>
      <w:r>
        <w:rPr>
          <w:noProof/>
        </w:rPr>
        <w:fldChar w:fldCharType="begin"/>
      </w:r>
      <w:r>
        <w:rPr>
          <w:noProof/>
        </w:rPr>
        <w:instrText xml:space="preserve"> PAGEREF _Toc154331503 \h </w:instrText>
      </w:r>
      <w:r>
        <w:rPr>
          <w:noProof/>
        </w:rPr>
      </w:r>
      <w:r>
        <w:rPr>
          <w:noProof/>
        </w:rPr>
        <w:fldChar w:fldCharType="separate"/>
      </w:r>
      <w:r w:rsidR="004B7F70">
        <w:rPr>
          <w:noProof/>
        </w:rPr>
        <w:t>181</w:t>
      </w:r>
      <w:r>
        <w:rPr>
          <w:noProof/>
        </w:rPr>
        <w:fldChar w:fldCharType="end"/>
      </w:r>
    </w:p>
    <w:p w14:paraId="7D9D5F69" w14:textId="78648062"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5.2.</w:t>
      </w:r>
      <w:r>
        <w:rPr>
          <w:rFonts w:asciiTheme="minorHAnsi" w:eastAsiaTheme="minorEastAsia" w:hAnsiTheme="minorHAnsi" w:cstheme="minorBidi"/>
          <w:noProof/>
          <w:kern w:val="2"/>
          <w:sz w:val="22"/>
          <w:szCs w:val="22"/>
          <w14:ligatures w14:val="standardContextual"/>
        </w:rPr>
        <w:tab/>
      </w:r>
      <w:r>
        <w:rPr>
          <w:noProof/>
        </w:rPr>
        <w:t>Environmental strigolactone is required for early neighbour and soil volume detection</w:t>
      </w:r>
      <w:r>
        <w:rPr>
          <w:noProof/>
        </w:rPr>
        <w:tab/>
      </w:r>
      <w:r>
        <w:rPr>
          <w:noProof/>
        </w:rPr>
        <w:fldChar w:fldCharType="begin"/>
      </w:r>
      <w:r>
        <w:rPr>
          <w:noProof/>
        </w:rPr>
        <w:instrText xml:space="preserve"> PAGEREF _Toc154331504 \h </w:instrText>
      </w:r>
      <w:r>
        <w:rPr>
          <w:noProof/>
        </w:rPr>
      </w:r>
      <w:r>
        <w:rPr>
          <w:noProof/>
        </w:rPr>
        <w:fldChar w:fldCharType="separate"/>
      </w:r>
      <w:r w:rsidR="004B7F70">
        <w:rPr>
          <w:noProof/>
        </w:rPr>
        <w:t>183</w:t>
      </w:r>
      <w:r>
        <w:rPr>
          <w:noProof/>
        </w:rPr>
        <w:fldChar w:fldCharType="end"/>
      </w:r>
    </w:p>
    <w:p w14:paraId="19622978" w14:textId="4838539E"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5.2.1.</w:t>
      </w:r>
      <w:r>
        <w:rPr>
          <w:rFonts w:asciiTheme="minorHAnsi" w:eastAsiaTheme="minorEastAsia" w:hAnsiTheme="minorHAnsi" w:cstheme="minorBidi"/>
          <w:noProof/>
          <w:kern w:val="2"/>
          <w:sz w:val="22"/>
          <w:szCs w:val="22"/>
          <w14:ligatures w14:val="standardContextual"/>
        </w:rPr>
        <w:tab/>
      </w:r>
      <w:r>
        <w:rPr>
          <w:noProof/>
        </w:rPr>
        <w:t>Strigolactone mutants lack early neighbour-induced shoot growth responses</w:t>
      </w:r>
      <w:r>
        <w:rPr>
          <w:noProof/>
        </w:rPr>
        <w:tab/>
      </w:r>
      <w:r>
        <w:rPr>
          <w:noProof/>
        </w:rPr>
        <w:fldChar w:fldCharType="begin"/>
      </w:r>
      <w:r>
        <w:rPr>
          <w:noProof/>
        </w:rPr>
        <w:instrText xml:space="preserve"> PAGEREF _Toc154331505 \h </w:instrText>
      </w:r>
      <w:r>
        <w:rPr>
          <w:noProof/>
        </w:rPr>
      </w:r>
      <w:r>
        <w:rPr>
          <w:noProof/>
        </w:rPr>
        <w:fldChar w:fldCharType="separate"/>
      </w:r>
      <w:r w:rsidR="004B7F70">
        <w:rPr>
          <w:noProof/>
        </w:rPr>
        <w:t>183</w:t>
      </w:r>
      <w:r>
        <w:rPr>
          <w:noProof/>
        </w:rPr>
        <w:fldChar w:fldCharType="end"/>
      </w:r>
    </w:p>
    <w:p w14:paraId="65DDB0D7" w14:textId="1CB6AB60"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5.2.2.</w:t>
      </w:r>
      <w:r>
        <w:rPr>
          <w:rFonts w:asciiTheme="minorHAnsi" w:eastAsiaTheme="minorEastAsia" w:hAnsiTheme="minorHAnsi" w:cstheme="minorBidi"/>
          <w:noProof/>
          <w:kern w:val="2"/>
          <w:sz w:val="22"/>
          <w:szCs w:val="22"/>
          <w14:ligatures w14:val="standardContextual"/>
        </w:rPr>
        <w:tab/>
      </w:r>
      <w:r>
        <w:rPr>
          <w:noProof/>
        </w:rPr>
        <w:t>Strigolactone exudates released early in life can be taken up by neighbouring plants</w:t>
      </w:r>
      <w:r>
        <w:rPr>
          <w:noProof/>
        </w:rPr>
        <w:tab/>
      </w:r>
      <w:r>
        <w:rPr>
          <w:noProof/>
        </w:rPr>
        <w:fldChar w:fldCharType="begin"/>
      </w:r>
      <w:r>
        <w:rPr>
          <w:noProof/>
        </w:rPr>
        <w:instrText xml:space="preserve"> PAGEREF _Toc154331506 \h </w:instrText>
      </w:r>
      <w:r>
        <w:rPr>
          <w:noProof/>
        </w:rPr>
      </w:r>
      <w:r>
        <w:rPr>
          <w:noProof/>
        </w:rPr>
        <w:fldChar w:fldCharType="separate"/>
      </w:r>
      <w:r w:rsidR="004B7F70">
        <w:rPr>
          <w:noProof/>
        </w:rPr>
        <w:t>186</w:t>
      </w:r>
      <w:r>
        <w:rPr>
          <w:noProof/>
        </w:rPr>
        <w:fldChar w:fldCharType="end"/>
      </w:r>
    </w:p>
    <w:p w14:paraId="04D6168E" w14:textId="7605EDAF"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5.2.3.</w:t>
      </w:r>
      <w:r>
        <w:rPr>
          <w:rFonts w:asciiTheme="minorHAnsi" w:eastAsiaTheme="minorEastAsia" w:hAnsiTheme="minorHAnsi" w:cstheme="minorBidi"/>
          <w:noProof/>
          <w:kern w:val="2"/>
          <w:sz w:val="22"/>
          <w:szCs w:val="22"/>
          <w14:ligatures w14:val="standardContextual"/>
        </w:rPr>
        <w:tab/>
      </w:r>
      <w:r>
        <w:rPr>
          <w:noProof/>
        </w:rPr>
        <w:t>Detection of neighbouring plants early in the life cycle requires exudation of strigolactones</w:t>
      </w:r>
      <w:r>
        <w:rPr>
          <w:noProof/>
        </w:rPr>
        <w:tab/>
      </w:r>
      <w:r>
        <w:rPr>
          <w:noProof/>
        </w:rPr>
        <w:fldChar w:fldCharType="begin"/>
      </w:r>
      <w:r>
        <w:rPr>
          <w:noProof/>
        </w:rPr>
        <w:instrText xml:space="preserve"> PAGEREF _Toc154331507 \h </w:instrText>
      </w:r>
      <w:r>
        <w:rPr>
          <w:noProof/>
        </w:rPr>
      </w:r>
      <w:r>
        <w:rPr>
          <w:noProof/>
        </w:rPr>
        <w:fldChar w:fldCharType="separate"/>
      </w:r>
      <w:r w:rsidR="004B7F70">
        <w:rPr>
          <w:noProof/>
        </w:rPr>
        <w:t>188</w:t>
      </w:r>
      <w:r>
        <w:rPr>
          <w:noProof/>
        </w:rPr>
        <w:fldChar w:fldCharType="end"/>
      </w:r>
    </w:p>
    <w:p w14:paraId="242BEF06" w14:textId="2627A925"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5.2.4.</w:t>
      </w:r>
      <w:r>
        <w:rPr>
          <w:rFonts w:asciiTheme="minorHAnsi" w:eastAsiaTheme="minorEastAsia" w:hAnsiTheme="minorHAnsi" w:cstheme="minorBidi"/>
          <w:noProof/>
          <w:kern w:val="2"/>
          <w:sz w:val="22"/>
          <w:szCs w:val="22"/>
          <w14:ligatures w14:val="standardContextual"/>
        </w:rPr>
        <w:tab/>
      </w:r>
      <w:r>
        <w:rPr>
          <w:noProof/>
        </w:rPr>
        <w:t>Strigolactone biosynthesis and subsequent exudation is required for early soil volume responses</w:t>
      </w:r>
      <w:r>
        <w:rPr>
          <w:noProof/>
        </w:rPr>
        <w:tab/>
      </w:r>
      <w:r>
        <w:rPr>
          <w:noProof/>
        </w:rPr>
        <w:fldChar w:fldCharType="begin"/>
      </w:r>
      <w:r>
        <w:rPr>
          <w:noProof/>
        </w:rPr>
        <w:instrText xml:space="preserve"> PAGEREF _Toc154331508 \h </w:instrText>
      </w:r>
      <w:r>
        <w:rPr>
          <w:noProof/>
        </w:rPr>
      </w:r>
      <w:r>
        <w:rPr>
          <w:noProof/>
        </w:rPr>
        <w:fldChar w:fldCharType="separate"/>
      </w:r>
      <w:r w:rsidR="004B7F70">
        <w:rPr>
          <w:noProof/>
        </w:rPr>
        <w:t>194</w:t>
      </w:r>
      <w:r>
        <w:rPr>
          <w:noProof/>
        </w:rPr>
        <w:fldChar w:fldCharType="end"/>
      </w:r>
    </w:p>
    <w:p w14:paraId="447D7DD0" w14:textId="7E8AAAE3"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5.2.5.</w:t>
      </w:r>
      <w:r>
        <w:rPr>
          <w:rFonts w:asciiTheme="minorHAnsi" w:eastAsiaTheme="minorEastAsia" w:hAnsiTheme="minorHAnsi" w:cstheme="minorBidi"/>
          <w:noProof/>
          <w:kern w:val="2"/>
          <w:sz w:val="22"/>
          <w:szCs w:val="22"/>
          <w14:ligatures w14:val="standardContextual"/>
        </w:rPr>
        <w:tab/>
      </w:r>
      <w:r>
        <w:rPr>
          <w:noProof/>
        </w:rPr>
        <w:t>Strigolactones exuded into the belowground environment influence neighbour detection and soil volume sensing</w:t>
      </w:r>
      <w:r>
        <w:rPr>
          <w:noProof/>
        </w:rPr>
        <w:tab/>
      </w:r>
      <w:r>
        <w:rPr>
          <w:noProof/>
        </w:rPr>
        <w:fldChar w:fldCharType="begin"/>
      </w:r>
      <w:r>
        <w:rPr>
          <w:noProof/>
        </w:rPr>
        <w:instrText xml:space="preserve"> PAGEREF _Toc154331509 \h </w:instrText>
      </w:r>
      <w:r>
        <w:rPr>
          <w:noProof/>
        </w:rPr>
      </w:r>
      <w:r>
        <w:rPr>
          <w:noProof/>
        </w:rPr>
        <w:fldChar w:fldCharType="separate"/>
      </w:r>
      <w:r w:rsidR="004B7F70">
        <w:rPr>
          <w:noProof/>
        </w:rPr>
        <w:t>196</w:t>
      </w:r>
      <w:r>
        <w:rPr>
          <w:noProof/>
        </w:rPr>
        <w:fldChar w:fldCharType="end"/>
      </w:r>
    </w:p>
    <w:p w14:paraId="1D507D17" w14:textId="0545CA88"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5.3.</w:t>
      </w:r>
      <w:r>
        <w:rPr>
          <w:rFonts w:asciiTheme="minorHAnsi" w:eastAsiaTheme="minorEastAsia" w:hAnsiTheme="minorHAnsi" w:cstheme="minorBidi"/>
          <w:noProof/>
          <w:kern w:val="2"/>
          <w:sz w:val="22"/>
          <w:szCs w:val="22"/>
          <w14:ligatures w14:val="standardContextual"/>
        </w:rPr>
        <w:tab/>
      </w:r>
      <w:r>
        <w:rPr>
          <w:noProof/>
        </w:rPr>
        <w:t>A PDR transporter could act as a strigolactone importer</w:t>
      </w:r>
      <w:r>
        <w:rPr>
          <w:noProof/>
        </w:rPr>
        <w:tab/>
      </w:r>
      <w:r>
        <w:rPr>
          <w:noProof/>
        </w:rPr>
        <w:fldChar w:fldCharType="begin"/>
      </w:r>
      <w:r>
        <w:rPr>
          <w:noProof/>
        </w:rPr>
        <w:instrText xml:space="preserve"> PAGEREF _Toc154331510 \h </w:instrText>
      </w:r>
      <w:r>
        <w:rPr>
          <w:noProof/>
        </w:rPr>
      </w:r>
      <w:r>
        <w:rPr>
          <w:noProof/>
        </w:rPr>
        <w:fldChar w:fldCharType="separate"/>
      </w:r>
      <w:r w:rsidR="004B7F70">
        <w:rPr>
          <w:noProof/>
        </w:rPr>
        <w:t>197</w:t>
      </w:r>
      <w:r>
        <w:rPr>
          <w:noProof/>
        </w:rPr>
        <w:fldChar w:fldCharType="end"/>
      </w:r>
    </w:p>
    <w:p w14:paraId="33DB9DBE" w14:textId="3E8BB41C" w:rsidR="00434F50" w:rsidRDefault="00434F50">
      <w:pPr>
        <w:pStyle w:val="TOC3"/>
        <w:tabs>
          <w:tab w:val="left" w:pos="2160"/>
        </w:tabs>
        <w:rPr>
          <w:rFonts w:asciiTheme="minorHAnsi" w:eastAsiaTheme="minorEastAsia" w:hAnsiTheme="minorHAnsi" w:cstheme="minorBidi"/>
          <w:noProof/>
          <w:kern w:val="2"/>
          <w:sz w:val="22"/>
          <w:szCs w:val="22"/>
          <w14:ligatures w14:val="standardContextual"/>
        </w:rPr>
      </w:pPr>
      <w:r>
        <w:rPr>
          <w:noProof/>
        </w:rPr>
        <w:t>5.3.1.</w:t>
      </w:r>
      <w:r>
        <w:rPr>
          <w:rFonts w:asciiTheme="minorHAnsi" w:eastAsiaTheme="minorEastAsia" w:hAnsiTheme="minorHAnsi" w:cstheme="minorBidi"/>
          <w:noProof/>
          <w:kern w:val="2"/>
          <w:sz w:val="22"/>
          <w:szCs w:val="22"/>
          <w14:ligatures w14:val="standardContextual"/>
        </w:rPr>
        <w:tab/>
      </w:r>
      <w:r>
        <w:rPr>
          <w:noProof/>
        </w:rPr>
        <w:t>PDR10 could act as the strigolactone importer in Arabidopsis</w:t>
      </w:r>
      <w:r>
        <w:rPr>
          <w:noProof/>
        </w:rPr>
        <w:tab/>
      </w:r>
      <w:r>
        <w:rPr>
          <w:noProof/>
        </w:rPr>
        <w:fldChar w:fldCharType="begin"/>
      </w:r>
      <w:r>
        <w:rPr>
          <w:noProof/>
        </w:rPr>
        <w:instrText xml:space="preserve"> PAGEREF _Toc154331511 \h </w:instrText>
      </w:r>
      <w:r>
        <w:rPr>
          <w:noProof/>
        </w:rPr>
      </w:r>
      <w:r>
        <w:rPr>
          <w:noProof/>
        </w:rPr>
        <w:fldChar w:fldCharType="separate"/>
      </w:r>
      <w:r w:rsidR="004B7F70">
        <w:rPr>
          <w:noProof/>
        </w:rPr>
        <w:t>198</w:t>
      </w:r>
      <w:r>
        <w:rPr>
          <w:noProof/>
        </w:rPr>
        <w:fldChar w:fldCharType="end"/>
      </w:r>
    </w:p>
    <w:p w14:paraId="0B3F5952" w14:textId="050DC415" w:rsidR="00434F50" w:rsidRDefault="00434F50">
      <w:pPr>
        <w:pStyle w:val="TOC2"/>
        <w:tabs>
          <w:tab w:val="left" w:pos="1620"/>
        </w:tabs>
        <w:rPr>
          <w:rFonts w:asciiTheme="minorHAnsi" w:eastAsiaTheme="minorEastAsia" w:hAnsiTheme="minorHAnsi" w:cstheme="minorBidi"/>
          <w:noProof/>
          <w:kern w:val="2"/>
          <w:sz w:val="22"/>
          <w:szCs w:val="22"/>
          <w14:ligatures w14:val="standardContextual"/>
        </w:rPr>
      </w:pPr>
      <w:r>
        <w:rPr>
          <w:noProof/>
        </w:rPr>
        <w:t>5.4.</w:t>
      </w:r>
      <w:r>
        <w:rPr>
          <w:rFonts w:asciiTheme="minorHAnsi" w:eastAsiaTheme="minorEastAsia" w:hAnsiTheme="minorHAnsi" w:cstheme="minorBidi"/>
          <w:noProof/>
          <w:kern w:val="2"/>
          <w:sz w:val="22"/>
          <w:szCs w:val="22"/>
          <w14:ligatures w14:val="standardContextual"/>
        </w:rPr>
        <w:tab/>
      </w:r>
      <w:r>
        <w:rPr>
          <w:noProof/>
        </w:rPr>
        <w:t>Discussion</w:t>
      </w:r>
      <w:r>
        <w:rPr>
          <w:noProof/>
        </w:rPr>
        <w:tab/>
      </w:r>
      <w:r>
        <w:rPr>
          <w:noProof/>
        </w:rPr>
        <w:fldChar w:fldCharType="begin"/>
      </w:r>
      <w:r>
        <w:rPr>
          <w:noProof/>
        </w:rPr>
        <w:instrText xml:space="preserve"> PAGEREF _Toc154331512 \h </w:instrText>
      </w:r>
      <w:r>
        <w:rPr>
          <w:noProof/>
        </w:rPr>
      </w:r>
      <w:r>
        <w:rPr>
          <w:noProof/>
        </w:rPr>
        <w:fldChar w:fldCharType="separate"/>
      </w:r>
      <w:r w:rsidR="004B7F70">
        <w:rPr>
          <w:noProof/>
        </w:rPr>
        <w:t>202</w:t>
      </w:r>
      <w:r>
        <w:rPr>
          <w:noProof/>
        </w:rPr>
        <w:fldChar w:fldCharType="end"/>
      </w:r>
    </w:p>
    <w:p w14:paraId="1852435B" w14:textId="284C2DD1" w:rsidR="00434F50" w:rsidRDefault="00434F50">
      <w:pPr>
        <w:pStyle w:val="TOC1"/>
        <w:tabs>
          <w:tab w:val="left" w:pos="1620"/>
        </w:tabs>
        <w:rPr>
          <w:rFonts w:asciiTheme="minorHAnsi" w:eastAsiaTheme="minorEastAsia" w:hAnsiTheme="minorHAnsi" w:cstheme="minorBidi"/>
          <w:b w:val="0"/>
          <w:noProof/>
          <w:kern w:val="2"/>
          <w:sz w:val="22"/>
          <w:szCs w:val="22"/>
          <w14:ligatures w14:val="standardContextual"/>
        </w:rPr>
      </w:pPr>
      <w:r>
        <w:rPr>
          <w:noProof/>
        </w:rPr>
        <w:t>Chapter 6</w:t>
      </w:r>
      <w:r>
        <w:rPr>
          <w:rFonts w:asciiTheme="minorHAnsi" w:eastAsiaTheme="minorEastAsia" w:hAnsiTheme="minorHAnsi" w:cstheme="minorBidi"/>
          <w:b w:val="0"/>
          <w:noProof/>
          <w:kern w:val="2"/>
          <w:sz w:val="22"/>
          <w:szCs w:val="22"/>
          <w14:ligatures w14:val="standardContextual"/>
        </w:rPr>
        <w:tab/>
      </w:r>
      <w:r>
        <w:rPr>
          <w:noProof/>
        </w:rPr>
        <w:t>General Discussion</w:t>
      </w:r>
      <w:r>
        <w:rPr>
          <w:noProof/>
        </w:rPr>
        <w:tab/>
      </w:r>
      <w:r>
        <w:rPr>
          <w:noProof/>
        </w:rPr>
        <w:fldChar w:fldCharType="begin"/>
      </w:r>
      <w:r>
        <w:rPr>
          <w:noProof/>
        </w:rPr>
        <w:instrText xml:space="preserve"> PAGEREF _Toc154331513 \h </w:instrText>
      </w:r>
      <w:r>
        <w:rPr>
          <w:noProof/>
        </w:rPr>
      </w:r>
      <w:r>
        <w:rPr>
          <w:noProof/>
        </w:rPr>
        <w:fldChar w:fldCharType="separate"/>
      </w:r>
      <w:r w:rsidR="004B7F70">
        <w:rPr>
          <w:noProof/>
        </w:rPr>
        <w:t>206</w:t>
      </w:r>
      <w:r>
        <w:rPr>
          <w:noProof/>
        </w:rPr>
        <w:fldChar w:fldCharType="end"/>
      </w:r>
    </w:p>
    <w:p w14:paraId="26EEC61D" w14:textId="7B6F7295" w:rsidR="00434F50" w:rsidRDefault="00434F50">
      <w:pPr>
        <w:pStyle w:val="TOC1"/>
        <w:rPr>
          <w:rFonts w:asciiTheme="minorHAnsi" w:eastAsiaTheme="minorEastAsia" w:hAnsiTheme="minorHAnsi" w:cstheme="minorBidi"/>
          <w:b w:val="0"/>
          <w:noProof/>
          <w:kern w:val="2"/>
          <w:sz w:val="22"/>
          <w:szCs w:val="22"/>
          <w14:ligatures w14:val="standardContextual"/>
        </w:rPr>
      </w:pPr>
      <w:r>
        <w:rPr>
          <w:noProof/>
        </w:rPr>
        <w:t>Bibliography</w:t>
      </w:r>
      <w:r>
        <w:rPr>
          <w:noProof/>
        </w:rPr>
        <w:tab/>
      </w:r>
      <w:r>
        <w:rPr>
          <w:noProof/>
        </w:rPr>
        <w:fldChar w:fldCharType="begin"/>
      </w:r>
      <w:r>
        <w:rPr>
          <w:noProof/>
        </w:rPr>
        <w:instrText xml:space="preserve"> PAGEREF _Toc154331514 \h </w:instrText>
      </w:r>
      <w:r>
        <w:rPr>
          <w:noProof/>
        </w:rPr>
      </w:r>
      <w:r>
        <w:rPr>
          <w:noProof/>
        </w:rPr>
        <w:fldChar w:fldCharType="separate"/>
      </w:r>
      <w:r w:rsidR="004B7F70">
        <w:rPr>
          <w:noProof/>
        </w:rPr>
        <w:t>216</w:t>
      </w:r>
      <w:r>
        <w:rPr>
          <w:noProof/>
        </w:rPr>
        <w:fldChar w:fldCharType="end"/>
      </w:r>
    </w:p>
    <w:p w14:paraId="57257DE5" w14:textId="31330806" w:rsidR="00687AEF" w:rsidRDefault="00687AEF">
      <w:r>
        <w:fldChar w:fldCharType="end"/>
      </w:r>
    </w:p>
    <w:p w14:paraId="21A34F1B" w14:textId="77777777" w:rsidR="002509CB" w:rsidRDefault="002509CB"/>
    <w:p w14:paraId="32A30950" w14:textId="77777777" w:rsidR="002509CB" w:rsidRDefault="002509CB"/>
    <w:p w14:paraId="63EAC5BC" w14:textId="77777777" w:rsidR="002509CB" w:rsidRDefault="002509CB"/>
    <w:p w14:paraId="2ECEAF57" w14:textId="77777777" w:rsidR="002509CB" w:rsidRDefault="002509CB"/>
    <w:p w14:paraId="39B6F6F7" w14:textId="77777777" w:rsidR="002509CB" w:rsidRDefault="002509CB"/>
    <w:p w14:paraId="5FEFD64A" w14:textId="77777777" w:rsidR="002509CB" w:rsidRDefault="002509CB"/>
    <w:p w14:paraId="6A08B4BC" w14:textId="77777777" w:rsidR="002509CB" w:rsidRDefault="002509CB"/>
    <w:p w14:paraId="545B93F4" w14:textId="6A1FAC5F" w:rsidR="00C271FF" w:rsidRDefault="00C271FF" w:rsidP="00F3071B">
      <w:pPr>
        <w:pStyle w:val="Heading1"/>
        <w:numPr>
          <w:ilvl w:val="0"/>
          <w:numId w:val="0"/>
        </w:numPr>
      </w:pPr>
      <w:bookmarkStart w:id="4" w:name="_Toc154331417"/>
      <w:r>
        <w:lastRenderedPageBreak/>
        <w:t>List of Tables</w:t>
      </w:r>
      <w:bookmarkEnd w:id="4"/>
    </w:p>
    <w:p w14:paraId="7F7E2D67" w14:textId="22A78519" w:rsidR="00434F50" w:rsidRDefault="00D96A61">
      <w:pPr>
        <w:pStyle w:val="TableofFigures"/>
        <w:rPr>
          <w:rFonts w:asciiTheme="minorHAnsi" w:eastAsiaTheme="minorEastAsia" w:hAnsiTheme="minorHAnsi" w:cstheme="minorBidi"/>
          <w:b w:val="0"/>
          <w:noProof/>
          <w:kern w:val="2"/>
          <w:szCs w:val="22"/>
          <w14:ligatures w14:val="standardContextual"/>
        </w:rPr>
      </w:pPr>
      <w:r>
        <w:fldChar w:fldCharType="begin"/>
      </w:r>
      <w:r>
        <w:instrText xml:space="preserve"> TOC \h \z \c "Table" </w:instrText>
      </w:r>
      <w:r>
        <w:fldChar w:fldCharType="separate"/>
      </w:r>
      <w:hyperlink w:anchor="_Toc154331515" w:history="1">
        <w:r w:rsidR="00434F50" w:rsidRPr="00750AD0">
          <w:rPr>
            <w:rStyle w:val="Hyperlink"/>
            <w:noProof/>
          </w:rPr>
          <w:t xml:space="preserve">Table 2.1 </w:t>
        </w:r>
        <w:r w:rsidR="00434F50" w:rsidRPr="00750AD0">
          <w:rPr>
            <w:rStyle w:val="Hyperlink"/>
            <w:i/>
            <w:iCs/>
            <w:noProof/>
          </w:rPr>
          <w:t>Arabidopsis thaliana</w:t>
        </w:r>
        <w:r w:rsidR="00434F50" w:rsidRPr="00750AD0">
          <w:rPr>
            <w:rStyle w:val="Hyperlink"/>
            <w:noProof/>
          </w:rPr>
          <w:t xml:space="preserve"> Salts (ATS)</w:t>
        </w:r>
        <w:r w:rsidR="00434F50">
          <w:rPr>
            <w:noProof/>
            <w:webHidden/>
          </w:rPr>
          <w:tab/>
        </w:r>
        <w:r w:rsidR="00434F50">
          <w:rPr>
            <w:noProof/>
            <w:webHidden/>
          </w:rPr>
          <w:fldChar w:fldCharType="begin"/>
        </w:r>
        <w:r w:rsidR="00434F50">
          <w:rPr>
            <w:noProof/>
            <w:webHidden/>
          </w:rPr>
          <w:instrText xml:space="preserve"> PAGEREF _Toc154331515 \h </w:instrText>
        </w:r>
        <w:r w:rsidR="00434F50">
          <w:rPr>
            <w:noProof/>
            <w:webHidden/>
          </w:rPr>
        </w:r>
        <w:r w:rsidR="00434F50">
          <w:rPr>
            <w:noProof/>
            <w:webHidden/>
          </w:rPr>
          <w:fldChar w:fldCharType="separate"/>
        </w:r>
        <w:r w:rsidR="004B7F70">
          <w:rPr>
            <w:noProof/>
            <w:webHidden/>
          </w:rPr>
          <w:t>30</w:t>
        </w:r>
        <w:r w:rsidR="00434F50">
          <w:rPr>
            <w:noProof/>
            <w:webHidden/>
          </w:rPr>
          <w:fldChar w:fldCharType="end"/>
        </w:r>
      </w:hyperlink>
    </w:p>
    <w:p w14:paraId="26A0D55C" w14:textId="0429984A" w:rsidR="00434F50" w:rsidRDefault="00434F50">
      <w:pPr>
        <w:pStyle w:val="TableofFigures"/>
        <w:rPr>
          <w:rFonts w:asciiTheme="minorHAnsi" w:eastAsiaTheme="minorEastAsia" w:hAnsiTheme="minorHAnsi" w:cstheme="minorBidi"/>
          <w:b w:val="0"/>
          <w:noProof/>
          <w:kern w:val="2"/>
          <w:szCs w:val="22"/>
          <w14:ligatures w14:val="standardContextual"/>
        </w:rPr>
      </w:pPr>
      <w:hyperlink w:anchor="_Toc154331516" w:history="1">
        <w:r w:rsidRPr="00750AD0">
          <w:rPr>
            <w:rStyle w:val="Hyperlink"/>
            <w:noProof/>
          </w:rPr>
          <w:t>Table 2.2 Barley germplasm using in the soil volume phenotyping screen</w:t>
        </w:r>
        <w:r>
          <w:rPr>
            <w:noProof/>
            <w:webHidden/>
          </w:rPr>
          <w:tab/>
        </w:r>
        <w:r>
          <w:rPr>
            <w:noProof/>
            <w:webHidden/>
          </w:rPr>
          <w:fldChar w:fldCharType="begin"/>
        </w:r>
        <w:r>
          <w:rPr>
            <w:noProof/>
            <w:webHidden/>
          </w:rPr>
          <w:instrText xml:space="preserve"> PAGEREF _Toc154331516 \h </w:instrText>
        </w:r>
        <w:r>
          <w:rPr>
            <w:noProof/>
            <w:webHidden/>
          </w:rPr>
        </w:r>
        <w:r>
          <w:rPr>
            <w:noProof/>
            <w:webHidden/>
          </w:rPr>
          <w:fldChar w:fldCharType="separate"/>
        </w:r>
        <w:r w:rsidR="004B7F70">
          <w:rPr>
            <w:noProof/>
            <w:webHidden/>
          </w:rPr>
          <w:t>47</w:t>
        </w:r>
        <w:r>
          <w:rPr>
            <w:noProof/>
            <w:webHidden/>
          </w:rPr>
          <w:fldChar w:fldCharType="end"/>
        </w:r>
      </w:hyperlink>
    </w:p>
    <w:p w14:paraId="0325F787" w14:textId="5DD1C720" w:rsidR="00434F50" w:rsidRDefault="00434F50">
      <w:pPr>
        <w:pStyle w:val="TableofFigures"/>
        <w:rPr>
          <w:rFonts w:asciiTheme="minorHAnsi" w:eastAsiaTheme="minorEastAsia" w:hAnsiTheme="minorHAnsi" w:cstheme="minorBidi"/>
          <w:b w:val="0"/>
          <w:noProof/>
          <w:kern w:val="2"/>
          <w:szCs w:val="22"/>
          <w14:ligatures w14:val="standardContextual"/>
        </w:rPr>
      </w:pPr>
      <w:hyperlink w:anchor="_Toc154331517" w:history="1">
        <w:r w:rsidRPr="00750AD0">
          <w:rPr>
            <w:rStyle w:val="Hyperlink"/>
            <w:noProof/>
          </w:rPr>
          <w:t xml:space="preserve">Table 2.3 </w:t>
        </w:r>
        <w:r w:rsidRPr="00750AD0">
          <w:rPr>
            <w:rStyle w:val="Hyperlink"/>
            <w:i/>
            <w:iCs/>
            <w:noProof/>
          </w:rPr>
          <w:t>Pisum sativum</w:t>
        </w:r>
        <w:r w:rsidRPr="00750AD0">
          <w:rPr>
            <w:rStyle w:val="Hyperlink"/>
            <w:noProof/>
          </w:rPr>
          <w:t xml:space="preserve"> genotypes</w:t>
        </w:r>
        <w:r>
          <w:rPr>
            <w:noProof/>
            <w:webHidden/>
          </w:rPr>
          <w:tab/>
        </w:r>
        <w:r>
          <w:rPr>
            <w:noProof/>
            <w:webHidden/>
          </w:rPr>
          <w:fldChar w:fldCharType="begin"/>
        </w:r>
        <w:r>
          <w:rPr>
            <w:noProof/>
            <w:webHidden/>
          </w:rPr>
          <w:instrText xml:space="preserve"> PAGEREF _Toc154331517 \h </w:instrText>
        </w:r>
        <w:r>
          <w:rPr>
            <w:noProof/>
            <w:webHidden/>
          </w:rPr>
        </w:r>
        <w:r>
          <w:rPr>
            <w:noProof/>
            <w:webHidden/>
          </w:rPr>
          <w:fldChar w:fldCharType="separate"/>
        </w:r>
        <w:r w:rsidR="004B7F70">
          <w:rPr>
            <w:noProof/>
            <w:webHidden/>
          </w:rPr>
          <w:t>48</w:t>
        </w:r>
        <w:r>
          <w:rPr>
            <w:noProof/>
            <w:webHidden/>
          </w:rPr>
          <w:fldChar w:fldCharType="end"/>
        </w:r>
      </w:hyperlink>
    </w:p>
    <w:p w14:paraId="6295A5FF" w14:textId="13DEFD4C" w:rsidR="00434F50" w:rsidRDefault="00434F50">
      <w:pPr>
        <w:pStyle w:val="TableofFigures"/>
        <w:rPr>
          <w:rFonts w:asciiTheme="minorHAnsi" w:eastAsiaTheme="minorEastAsia" w:hAnsiTheme="minorHAnsi" w:cstheme="minorBidi"/>
          <w:b w:val="0"/>
          <w:noProof/>
          <w:kern w:val="2"/>
          <w:szCs w:val="22"/>
          <w14:ligatures w14:val="standardContextual"/>
        </w:rPr>
      </w:pPr>
      <w:hyperlink w:anchor="_Toc154331518" w:history="1">
        <w:r w:rsidRPr="00750AD0">
          <w:rPr>
            <w:rStyle w:val="Hyperlink"/>
            <w:noProof/>
          </w:rPr>
          <w:t xml:space="preserve">Table 2.4 </w:t>
        </w:r>
        <w:r w:rsidRPr="00750AD0">
          <w:rPr>
            <w:rStyle w:val="Hyperlink"/>
            <w:i/>
            <w:iCs/>
            <w:noProof/>
          </w:rPr>
          <w:t>Arabidopsis thaliana</w:t>
        </w:r>
        <w:r w:rsidRPr="00750AD0">
          <w:rPr>
            <w:rStyle w:val="Hyperlink"/>
            <w:noProof/>
          </w:rPr>
          <w:t xml:space="preserve"> genotypes</w:t>
        </w:r>
        <w:r>
          <w:rPr>
            <w:noProof/>
            <w:webHidden/>
          </w:rPr>
          <w:tab/>
        </w:r>
        <w:r>
          <w:rPr>
            <w:noProof/>
            <w:webHidden/>
          </w:rPr>
          <w:fldChar w:fldCharType="begin"/>
        </w:r>
        <w:r>
          <w:rPr>
            <w:noProof/>
            <w:webHidden/>
          </w:rPr>
          <w:instrText xml:space="preserve"> PAGEREF _Toc154331518 \h </w:instrText>
        </w:r>
        <w:r>
          <w:rPr>
            <w:noProof/>
            <w:webHidden/>
          </w:rPr>
        </w:r>
        <w:r>
          <w:rPr>
            <w:noProof/>
            <w:webHidden/>
          </w:rPr>
          <w:fldChar w:fldCharType="separate"/>
        </w:r>
        <w:r w:rsidR="004B7F70">
          <w:rPr>
            <w:noProof/>
            <w:webHidden/>
          </w:rPr>
          <w:t>49</w:t>
        </w:r>
        <w:r>
          <w:rPr>
            <w:noProof/>
            <w:webHidden/>
          </w:rPr>
          <w:fldChar w:fldCharType="end"/>
        </w:r>
      </w:hyperlink>
    </w:p>
    <w:p w14:paraId="220E0B12" w14:textId="0839EE13" w:rsidR="00434F50" w:rsidRDefault="00434F50">
      <w:pPr>
        <w:pStyle w:val="TableofFigures"/>
        <w:rPr>
          <w:rFonts w:asciiTheme="minorHAnsi" w:eastAsiaTheme="minorEastAsia" w:hAnsiTheme="minorHAnsi" w:cstheme="minorBidi"/>
          <w:b w:val="0"/>
          <w:noProof/>
          <w:kern w:val="2"/>
          <w:szCs w:val="22"/>
          <w14:ligatures w14:val="standardContextual"/>
        </w:rPr>
      </w:pPr>
      <w:hyperlink w:anchor="_Toc154331519" w:history="1">
        <w:r w:rsidRPr="00750AD0">
          <w:rPr>
            <w:rStyle w:val="Hyperlink"/>
            <w:noProof/>
          </w:rPr>
          <w:t xml:space="preserve">Table 2.5 </w:t>
        </w:r>
        <w:r w:rsidRPr="00750AD0">
          <w:rPr>
            <w:rStyle w:val="Hyperlink"/>
            <w:i/>
            <w:iCs/>
            <w:noProof/>
          </w:rPr>
          <w:t>Arabidopsis thaliana</w:t>
        </w:r>
        <w:r w:rsidRPr="00750AD0">
          <w:rPr>
            <w:rStyle w:val="Hyperlink"/>
            <w:noProof/>
          </w:rPr>
          <w:t xml:space="preserve"> PDR genotyping primers</w:t>
        </w:r>
        <w:r>
          <w:rPr>
            <w:noProof/>
            <w:webHidden/>
          </w:rPr>
          <w:tab/>
        </w:r>
        <w:r>
          <w:rPr>
            <w:noProof/>
            <w:webHidden/>
          </w:rPr>
          <w:fldChar w:fldCharType="begin"/>
        </w:r>
        <w:r>
          <w:rPr>
            <w:noProof/>
            <w:webHidden/>
          </w:rPr>
          <w:instrText xml:space="preserve"> PAGEREF _Toc154331519 \h </w:instrText>
        </w:r>
        <w:r>
          <w:rPr>
            <w:noProof/>
            <w:webHidden/>
          </w:rPr>
        </w:r>
        <w:r>
          <w:rPr>
            <w:noProof/>
            <w:webHidden/>
          </w:rPr>
          <w:fldChar w:fldCharType="separate"/>
        </w:r>
        <w:r w:rsidR="004B7F70">
          <w:rPr>
            <w:noProof/>
            <w:webHidden/>
          </w:rPr>
          <w:t>50</w:t>
        </w:r>
        <w:r>
          <w:rPr>
            <w:noProof/>
            <w:webHidden/>
          </w:rPr>
          <w:fldChar w:fldCharType="end"/>
        </w:r>
      </w:hyperlink>
    </w:p>
    <w:p w14:paraId="0FCB7D72" w14:textId="0D617665" w:rsidR="00434F50" w:rsidRDefault="00434F50">
      <w:pPr>
        <w:pStyle w:val="TableofFigures"/>
        <w:rPr>
          <w:rFonts w:asciiTheme="minorHAnsi" w:eastAsiaTheme="minorEastAsia" w:hAnsiTheme="minorHAnsi" w:cstheme="minorBidi"/>
          <w:b w:val="0"/>
          <w:noProof/>
          <w:kern w:val="2"/>
          <w:szCs w:val="22"/>
          <w14:ligatures w14:val="standardContextual"/>
        </w:rPr>
      </w:pPr>
      <w:hyperlink w:anchor="_Toc154331520" w:history="1">
        <w:r w:rsidRPr="00750AD0">
          <w:rPr>
            <w:rStyle w:val="Hyperlink"/>
            <w:noProof/>
          </w:rPr>
          <w:t>Table 2.6 Example gDNA genotyping volumes for PCR</w:t>
        </w:r>
        <w:r>
          <w:rPr>
            <w:noProof/>
            <w:webHidden/>
          </w:rPr>
          <w:tab/>
        </w:r>
        <w:r>
          <w:rPr>
            <w:noProof/>
            <w:webHidden/>
          </w:rPr>
          <w:fldChar w:fldCharType="begin"/>
        </w:r>
        <w:r>
          <w:rPr>
            <w:noProof/>
            <w:webHidden/>
          </w:rPr>
          <w:instrText xml:space="preserve"> PAGEREF _Toc154331520 \h </w:instrText>
        </w:r>
        <w:r>
          <w:rPr>
            <w:noProof/>
            <w:webHidden/>
          </w:rPr>
        </w:r>
        <w:r>
          <w:rPr>
            <w:noProof/>
            <w:webHidden/>
          </w:rPr>
          <w:fldChar w:fldCharType="separate"/>
        </w:r>
        <w:r w:rsidR="004B7F70">
          <w:rPr>
            <w:noProof/>
            <w:webHidden/>
          </w:rPr>
          <w:t>51</w:t>
        </w:r>
        <w:r>
          <w:rPr>
            <w:noProof/>
            <w:webHidden/>
          </w:rPr>
          <w:fldChar w:fldCharType="end"/>
        </w:r>
      </w:hyperlink>
    </w:p>
    <w:p w14:paraId="0C9831F8" w14:textId="1380FF5A" w:rsidR="00434F50" w:rsidRDefault="00434F50">
      <w:pPr>
        <w:pStyle w:val="TableofFigures"/>
        <w:rPr>
          <w:rFonts w:asciiTheme="minorHAnsi" w:eastAsiaTheme="minorEastAsia" w:hAnsiTheme="minorHAnsi" w:cstheme="minorBidi"/>
          <w:b w:val="0"/>
          <w:noProof/>
          <w:kern w:val="2"/>
          <w:szCs w:val="22"/>
          <w14:ligatures w14:val="standardContextual"/>
        </w:rPr>
      </w:pPr>
      <w:hyperlink w:anchor="_Toc154331521" w:history="1">
        <w:r w:rsidRPr="00750AD0">
          <w:rPr>
            <w:rStyle w:val="Hyperlink"/>
            <w:noProof/>
          </w:rPr>
          <w:t>Table 2.7 Example PCR for genotyping</w:t>
        </w:r>
        <w:r>
          <w:rPr>
            <w:noProof/>
            <w:webHidden/>
          </w:rPr>
          <w:tab/>
        </w:r>
        <w:r>
          <w:rPr>
            <w:noProof/>
            <w:webHidden/>
          </w:rPr>
          <w:fldChar w:fldCharType="begin"/>
        </w:r>
        <w:r>
          <w:rPr>
            <w:noProof/>
            <w:webHidden/>
          </w:rPr>
          <w:instrText xml:space="preserve"> PAGEREF _Toc154331521 \h </w:instrText>
        </w:r>
        <w:r>
          <w:rPr>
            <w:noProof/>
            <w:webHidden/>
          </w:rPr>
        </w:r>
        <w:r>
          <w:rPr>
            <w:noProof/>
            <w:webHidden/>
          </w:rPr>
          <w:fldChar w:fldCharType="separate"/>
        </w:r>
        <w:r w:rsidR="004B7F70">
          <w:rPr>
            <w:noProof/>
            <w:webHidden/>
          </w:rPr>
          <w:t>51</w:t>
        </w:r>
        <w:r>
          <w:rPr>
            <w:noProof/>
            <w:webHidden/>
          </w:rPr>
          <w:fldChar w:fldCharType="end"/>
        </w:r>
      </w:hyperlink>
    </w:p>
    <w:p w14:paraId="45C1A95F" w14:textId="241412BA" w:rsidR="00434F50" w:rsidRDefault="00434F50">
      <w:pPr>
        <w:pStyle w:val="TableofFigures"/>
        <w:rPr>
          <w:rFonts w:asciiTheme="minorHAnsi" w:eastAsiaTheme="minorEastAsia" w:hAnsiTheme="minorHAnsi" w:cstheme="minorBidi"/>
          <w:b w:val="0"/>
          <w:noProof/>
          <w:kern w:val="2"/>
          <w:szCs w:val="22"/>
          <w14:ligatures w14:val="standardContextual"/>
        </w:rPr>
      </w:pPr>
      <w:hyperlink w:anchor="_Toc154331522" w:history="1">
        <w:r w:rsidRPr="00750AD0">
          <w:rPr>
            <w:rStyle w:val="Hyperlink"/>
            <w:noProof/>
          </w:rPr>
          <w:t>Table 2.8 RNAseq sample sequencing</w:t>
        </w:r>
        <w:r>
          <w:rPr>
            <w:noProof/>
            <w:webHidden/>
          </w:rPr>
          <w:tab/>
        </w:r>
        <w:r>
          <w:rPr>
            <w:noProof/>
            <w:webHidden/>
          </w:rPr>
          <w:fldChar w:fldCharType="begin"/>
        </w:r>
        <w:r>
          <w:rPr>
            <w:noProof/>
            <w:webHidden/>
          </w:rPr>
          <w:instrText xml:space="preserve"> PAGEREF _Toc154331522 \h </w:instrText>
        </w:r>
        <w:r>
          <w:rPr>
            <w:noProof/>
            <w:webHidden/>
          </w:rPr>
        </w:r>
        <w:r>
          <w:rPr>
            <w:noProof/>
            <w:webHidden/>
          </w:rPr>
          <w:fldChar w:fldCharType="separate"/>
        </w:r>
        <w:r w:rsidR="004B7F70">
          <w:rPr>
            <w:noProof/>
            <w:webHidden/>
          </w:rPr>
          <w:t>54</w:t>
        </w:r>
        <w:r>
          <w:rPr>
            <w:noProof/>
            <w:webHidden/>
          </w:rPr>
          <w:fldChar w:fldCharType="end"/>
        </w:r>
      </w:hyperlink>
    </w:p>
    <w:p w14:paraId="318B76C8" w14:textId="15BAB838" w:rsidR="00434F50" w:rsidRDefault="00434F50">
      <w:pPr>
        <w:pStyle w:val="TableofFigures"/>
        <w:rPr>
          <w:rFonts w:asciiTheme="minorHAnsi" w:eastAsiaTheme="minorEastAsia" w:hAnsiTheme="minorHAnsi" w:cstheme="minorBidi"/>
          <w:b w:val="0"/>
          <w:noProof/>
          <w:kern w:val="2"/>
          <w:szCs w:val="22"/>
          <w14:ligatures w14:val="standardContextual"/>
        </w:rPr>
      </w:pPr>
      <w:hyperlink w:anchor="_Toc154331523" w:history="1">
        <w:r w:rsidRPr="00750AD0">
          <w:rPr>
            <w:rStyle w:val="Hyperlink"/>
            <w:noProof/>
          </w:rPr>
          <w:t>Table 2.9 RNA seq mapping of sequence reads to the barley genome</w:t>
        </w:r>
        <w:r>
          <w:rPr>
            <w:noProof/>
            <w:webHidden/>
          </w:rPr>
          <w:tab/>
        </w:r>
        <w:r>
          <w:rPr>
            <w:noProof/>
            <w:webHidden/>
          </w:rPr>
          <w:fldChar w:fldCharType="begin"/>
        </w:r>
        <w:r>
          <w:rPr>
            <w:noProof/>
            <w:webHidden/>
          </w:rPr>
          <w:instrText xml:space="preserve"> PAGEREF _Toc154331523 \h </w:instrText>
        </w:r>
        <w:r>
          <w:rPr>
            <w:noProof/>
            <w:webHidden/>
          </w:rPr>
        </w:r>
        <w:r>
          <w:rPr>
            <w:noProof/>
            <w:webHidden/>
          </w:rPr>
          <w:fldChar w:fldCharType="separate"/>
        </w:r>
        <w:r w:rsidR="004B7F70">
          <w:rPr>
            <w:noProof/>
            <w:webHidden/>
          </w:rPr>
          <w:t>55</w:t>
        </w:r>
        <w:r>
          <w:rPr>
            <w:noProof/>
            <w:webHidden/>
          </w:rPr>
          <w:fldChar w:fldCharType="end"/>
        </w:r>
      </w:hyperlink>
    </w:p>
    <w:p w14:paraId="4E58A541" w14:textId="4547963C" w:rsidR="00434F50" w:rsidRDefault="00434F50">
      <w:pPr>
        <w:pStyle w:val="TableofFigures"/>
        <w:rPr>
          <w:rFonts w:asciiTheme="minorHAnsi" w:eastAsiaTheme="minorEastAsia" w:hAnsiTheme="minorHAnsi" w:cstheme="minorBidi"/>
          <w:b w:val="0"/>
          <w:noProof/>
          <w:kern w:val="2"/>
          <w:szCs w:val="22"/>
          <w14:ligatures w14:val="standardContextual"/>
        </w:rPr>
      </w:pPr>
      <w:hyperlink w:anchor="_Toc154331524" w:history="1">
        <w:r w:rsidRPr="00750AD0">
          <w:rPr>
            <w:rStyle w:val="Hyperlink"/>
            <w:noProof/>
          </w:rPr>
          <w:t>Table 3.1 Information regarding the lines with the highest and lowest sensitivity to soil volume</w:t>
        </w:r>
        <w:r>
          <w:rPr>
            <w:noProof/>
            <w:webHidden/>
          </w:rPr>
          <w:tab/>
        </w:r>
        <w:r>
          <w:rPr>
            <w:noProof/>
            <w:webHidden/>
          </w:rPr>
          <w:fldChar w:fldCharType="begin"/>
        </w:r>
        <w:r>
          <w:rPr>
            <w:noProof/>
            <w:webHidden/>
          </w:rPr>
          <w:instrText xml:space="preserve"> PAGEREF _Toc154331524 \h </w:instrText>
        </w:r>
        <w:r>
          <w:rPr>
            <w:noProof/>
            <w:webHidden/>
          </w:rPr>
        </w:r>
        <w:r>
          <w:rPr>
            <w:noProof/>
            <w:webHidden/>
          </w:rPr>
          <w:fldChar w:fldCharType="separate"/>
        </w:r>
        <w:r w:rsidR="004B7F70">
          <w:rPr>
            <w:noProof/>
            <w:webHidden/>
          </w:rPr>
          <w:t>90</w:t>
        </w:r>
        <w:r>
          <w:rPr>
            <w:noProof/>
            <w:webHidden/>
          </w:rPr>
          <w:fldChar w:fldCharType="end"/>
        </w:r>
      </w:hyperlink>
    </w:p>
    <w:p w14:paraId="59B74543" w14:textId="39C89D35" w:rsidR="002820A4" w:rsidRDefault="00D96A61" w:rsidP="00D96A61">
      <w:pPr>
        <w:pStyle w:val="ListofTables"/>
      </w:pPr>
      <w:r>
        <w:fldChar w:fldCharType="end"/>
      </w:r>
    </w:p>
    <w:p w14:paraId="66E90F8D" w14:textId="7A04C31B" w:rsidR="00687AEF" w:rsidRDefault="00C45CBF" w:rsidP="00C45CBF">
      <w:pPr>
        <w:pStyle w:val="Heading1"/>
        <w:pageBreakBefore/>
        <w:numPr>
          <w:ilvl w:val="0"/>
          <w:numId w:val="0"/>
        </w:numPr>
        <w:tabs>
          <w:tab w:val="left" w:pos="2858"/>
          <w:tab w:val="center" w:pos="4081"/>
        </w:tabs>
        <w:jc w:val="left"/>
      </w:pPr>
      <w:r>
        <w:lastRenderedPageBreak/>
        <w:tab/>
      </w:r>
      <w:r>
        <w:tab/>
      </w:r>
      <w:bookmarkStart w:id="5" w:name="_Toc154331418"/>
      <w:r w:rsidR="00067E30">
        <w:t xml:space="preserve">List of </w:t>
      </w:r>
      <w:r w:rsidR="00687AEF">
        <w:t>Figures</w:t>
      </w:r>
      <w:bookmarkEnd w:id="5"/>
    </w:p>
    <w:p w14:paraId="58F2C865" w14:textId="5B41453F" w:rsidR="00056A7F" w:rsidRDefault="00D96A61">
      <w:pPr>
        <w:pStyle w:val="TableofFigures"/>
        <w:rPr>
          <w:rFonts w:asciiTheme="minorHAnsi" w:eastAsiaTheme="minorEastAsia" w:hAnsiTheme="minorHAnsi" w:cstheme="minorBidi"/>
          <w:b w:val="0"/>
          <w:noProof/>
          <w:kern w:val="2"/>
          <w:szCs w:val="22"/>
          <w14:ligatures w14:val="standardContextual"/>
        </w:rPr>
      </w:pPr>
      <w:r>
        <w:fldChar w:fldCharType="begin"/>
      </w:r>
      <w:r>
        <w:instrText xml:space="preserve"> TOC \h \z \c "Figure" </w:instrText>
      </w:r>
      <w:r>
        <w:fldChar w:fldCharType="separate"/>
      </w:r>
      <w:hyperlink w:anchor="_Toc154331525" w:history="1">
        <w:r w:rsidR="00056A7F" w:rsidRPr="00DA7627">
          <w:rPr>
            <w:rStyle w:val="Hyperlink"/>
            <w:noProof/>
          </w:rPr>
          <w:t>Figure 1.1 Strigolactone biosynthesis pathway</w:t>
        </w:r>
        <w:r w:rsidR="00056A7F">
          <w:rPr>
            <w:noProof/>
            <w:webHidden/>
          </w:rPr>
          <w:tab/>
        </w:r>
        <w:r w:rsidR="00056A7F">
          <w:rPr>
            <w:noProof/>
            <w:webHidden/>
          </w:rPr>
          <w:fldChar w:fldCharType="begin"/>
        </w:r>
        <w:r w:rsidR="00056A7F">
          <w:rPr>
            <w:noProof/>
            <w:webHidden/>
          </w:rPr>
          <w:instrText xml:space="preserve"> PAGEREF _Toc154331525 \h </w:instrText>
        </w:r>
        <w:r w:rsidR="00056A7F">
          <w:rPr>
            <w:noProof/>
            <w:webHidden/>
          </w:rPr>
        </w:r>
        <w:r w:rsidR="00056A7F">
          <w:rPr>
            <w:noProof/>
            <w:webHidden/>
          </w:rPr>
          <w:fldChar w:fldCharType="separate"/>
        </w:r>
        <w:r w:rsidR="004B7F70">
          <w:rPr>
            <w:noProof/>
            <w:webHidden/>
          </w:rPr>
          <w:t>21</w:t>
        </w:r>
        <w:r w:rsidR="00056A7F">
          <w:rPr>
            <w:noProof/>
            <w:webHidden/>
          </w:rPr>
          <w:fldChar w:fldCharType="end"/>
        </w:r>
      </w:hyperlink>
    </w:p>
    <w:p w14:paraId="74FEA760" w14:textId="119EC98F"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26" w:history="1">
        <w:r w:rsidRPr="00DA7627">
          <w:rPr>
            <w:rStyle w:val="Hyperlink"/>
            <w:noProof/>
          </w:rPr>
          <w:t>Figure 1.2 Strigolactone signalling pathway</w:t>
        </w:r>
        <w:r>
          <w:rPr>
            <w:noProof/>
            <w:webHidden/>
          </w:rPr>
          <w:tab/>
        </w:r>
        <w:r>
          <w:rPr>
            <w:noProof/>
            <w:webHidden/>
          </w:rPr>
          <w:fldChar w:fldCharType="begin"/>
        </w:r>
        <w:r>
          <w:rPr>
            <w:noProof/>
            <w:webHidden/>
          </w:rPr>
          <w:instrText xml:space="preserve"> PAGEREF _Toc154331526 \h </w:instrText>
        </w:r>
        <w:r>
          <w:rPr>
            <w:noProof/>
            <w:webHidden/>
          </w:rPr>
        </w:r>
        <w:r>
          <w:rPr>
            <w:noProof/>
            <w:webHidden/>
          </w:rPr>
          <w:fldChar w:fldCharType="separate"/>
        </w:r>
        <w:r w:rsidR="004B7F70">
          <w:rPr>
            <w:noProof/>
            <w:webHidden/>
          </w:rPr>
          <w:t>24</w:t>
        </w:r>
        <w:r>
          <w:rPr>
            <w:noProof/>
            <w:webHidden/>
          </w:rPr>
          <w:fldChar w:fldCharType="end"/>
        </w:r>
      </w:hyperlink>
    </w:p>
    <w:p w14:paraId="68680229" w14:textId="0CE78761"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27" w:history="1">
        <w:r w:rsidRPr="00DA7627">
          <w:rPr>
            <w:rStyle w:val="Hyperlink"/>
            <w:noProof/>
          </w:rPr>
          <w:t>Figure 2.1 Cartoons depicting rhizoboxes</w:t>
        </w:r>
        <w:r>
          <w:rPr>
            <w:noProof/>
            <w:webHidden/>
          </w:rPr>
          <w:tab/>
        </w:r>
        <w:r>
          <w:rPr>
            <w:noProof/>
            <w:webHidden/>
          </w:rPr>
          <w:fldChar w:fldCharType="begin"/>
        </w:r>
        <w:r>
          <w:rPr>
            <w:noProof/>
            <w:webHidden/>
          </w:rPr>
          <w:instrText xml:space="preserve"> PAGEREF _Toc154331527 \h </w:instrText>
        </w:r>
        <w:r>
          <w:rPr>
            <w:noProof/>
            <w:webHidden/>
          </w:rPr>
        </w:r>
        <w:r>
          <w:rPr>
            <w:noProof/>
            <w:webHidden/>
          </w:rPr>
          <w:fldChar w:fldCharType="separate"/>
        </w:r>
        <w:r w:rsidR="004B7F70">
          <w:rPr>
            <w:noProof/>
            <w:webHidden/>
          </w:rPr>
          <w:t>32</w:t>
        </w:r>
        <w:r>
          <w:rPr>
            <w:noProof/>
            <w:webHidden/>
          </w:rPr>
          <w:fldChar w:fldCharType="end"/>
        </w:r>
      </w:hyperlink>
    </w:p>
    <w:p w14:paraId="7927DB7F" w14:textId="48914757"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28" w:history="1">
        <w:r w:rsidRPr="00DA7627">
          <w:rPr>
            <w:rStyle w:val="Hyperlink"/>
            <w:noProof/>
          </w:rPr>
          <w:t>Figure 2.2 Formation of mesh bags</w:t>
        </w:r>
        <w:r>
          <w:rPr>
            <w:noProof/>
            <w:webHidden/>
          </w:rPr>
          <w:tab/>
        </w:r>
        <w:r>
          <w:rPr>
            <w:noProof/>
            <w:webHidden/>
          </w:rPr>
          <w:fldChar w:fldCharType="begin"/>
        </w:r>
        <w:r>
          <w:rPr>
            <w:noProof/>
            <w:webHidden/>
          </w:rPr>
          <w:instrText xml:space="preserve"> PAGEREF _Toc154331528 \h </w:instrText>
        </w:r>
        <w:r>
          <w:rPr>
            <w:noProof/>
            <w:webHidden/>
          </w:rPr>
        </w:r>
        <w:r>
          <w:rPr>
            <w:noProof/>
            <w:webHidden/>
          </w:rPr>
          <w:fldChar w:fldCharType="separate"/>
        </w:r>
        <w:r w:rsidR="004B7F70">
          <w:rPr>
            <w:noProof/>
            <w:webHidden/>
          </w:rPr>
          <w:t>35</w:t>
        </w:r>
        <w:r>
          <w:rPr>
            <w:noProof/>
            <w:webHidden/>
          </w:rPr>
          <w:fldChar w:fldCharType="end"/>
        </w:r>
      </w:hyperlink>
    </w:p>
    <w:p w14:paraId="091C99F7" w14:textId="027BFD04"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29" w:history="1">
        <w:r w:rsidRPr="00DA7627">
          <w:rPr>
            <w:rStyle w:val="Hyperlink"/>
            <w:noProof/>
          </w:rPr>
          <w:t>Figure 2.3 Diagram indicating spikelets on a wheat ear</w:t>
        </w:r>
        <w:r>
          <w:rPr>
            <w:noProof/>
            <w:webHidden/>
          </w:rPr>
          <w:tab/>
        </w:r>
        <w:r>
          <w:rPr>
            <w:noProof/>
            <w:webHidden/>
          </w:rPr>
          <w:fldChar w:fldCharType="begin"/>
        </w:r>
        <w:r>
          <w:rPr>
            <w:noProof/>
            <w:webHidden/>
          </w:rPr>
          <w:instrText xml:space="preserve"> PAGEREF _Toc154331529 \h </w:instrText>
        </w:r>
        <w:r>
          <w:rPr>
            <w:noProof/>
            <w:webHidden/>
          </w:rPr>
        </w:r>
        <w:r>
          <w:rPr>
            <w:noProof/>
            <w:webHidden/>
          </w:rPr>
          <w:fldChar w:fldCharType="separate"/>
        </w:r>
        <w:r w:rsidR="004B7F70">
          <w:rPr>
            <w:noProof/>
            <w:webHidden/>
          </w:rPr>
          <w:t>36</w:t>
        </w:r>
        <w:r>
          <w:rPr>
            <w:noProof/>
            <w:webHidden/>
          </w:rPr>
          <w:fldChar w:fldCharType="end"/>
        </w:r>
      </w:hyperlink>
    </w:p>
    <w:p w14:paraId="294B51E7" w14:textId="2A6F661E"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30" w:history="1">
        <w:r w:rsidRPr="00DA7627">
          <w:rPr>
            <w:rStyle w:val="Hyperlink"/>
            <w:noProof/>
          </w:rPr>
          <w:t>Figure 2.4 Root system architecture of wheat and barley</w:t>
        </w:r>
        <w:r>
          <w:rPr>
            <w:noProof/>
            <w:webHidden/>
          </w:rPr>
          <w:tab/>
        </w:r>
        <w:r>
          <w:rPr>
            <w:noProof/>
            <w:webHidden/>
          </w:rPr>
          <w:fldChar w:fldCharType="begin"/>
        </w:r>
        <w:r>
          <w:rPr>
            <w:noProof/>
            <w:webHidden/>
          </w:rPr>
          <w:instrText xml:space="preserve"> PAGEREF _Toc154331530 \h </w:instrText>
        </w:r>
        <w:r>
          <w:rPr>
            <w:noProof/>
            <w:webHidden/>
          </w:rPr>
        </w:r>
        <w:r>
          <w:rPr>
            <w:noProof/>
            <w:webHidden/>
          </w:rPr>
          <w:fldChar w:fldCharType="separate"/>
        </w:r>
        <w:r w:rsidR="004B7F70">
          <w:rPr>
            <w:noProof/>
            <w:webHidden/>
          </w:rPr>
          <w:t>37</w:t>
        </w:r>
        <w:r>
          <w:rPr>
            <w:noProof/>
            <w:webHidden/>
          </w:rPr>
          <w:fldChar w:fldCharType="end"/>
        </w:r>
      </w:hyperlink>
    </w:p>
    <w:p w14:paraId="4991D519" w14:textId="2A3A75A4"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31" w:history="1">
        <w:r w:rsidRPr="00DA7627">
          <w:rPr>
            <w:rStyle w:val="Hyperlink"/>
            <w:noProof/>
          </w:rPr>
          <w:t>Figure 2.5 Root density assessment</w:t>
        </w:r>
        <w:r>
          <w:rPr>
            <w:noProof/>
            <w:webHidden/>
          </w:rPr>
          <w:tab/>
        </w:r>
        <w:r>
          <w:rPr>
            <w:noProof/>
            <w:webHidden/>
          </w:rPr>
          <w:fldChar w:fldCharType="begin"/>
        </w:r>
        <w:r>
          <w:rPr>
            <w:noProof/>
            <w:webHidden/>
          </w:rPr>
          <w:instrText xml:space="preserve"> PAGEREF _Toc154331531 \h </w:instrText>
        </w:r>
        <w:r>
          <w:rPr>
            <w:noProof/>
            <w:webHidden/>
          </w:rPr>
        </w:r>
        <w:r>
          <w:rPr>
            <w:noProof/>
            <w:webHidden/>
          </w:rPr>
          <w:fldChar w:fldCharType="separate"/>
        </w:r>
        <w:r w:rsidR="004B7F70">
          <w:rPr>
            <w:noProof/>
            <w:webHidden/>
          </w:rPr>
          <w:t>38</w:t>
        </w:r>
        <w:r>
          <w:rPr>
            <w:noProof/>
            <w:webHidden/>
          </w:rPr>
          <w:fldChar w:fldCharType="end"/>
        </w:r>
      </w:hyperlink>
    </w:p>
    <w:p w14:paraId="7AA8F32D" w14:textId="1D395DF0"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32" w:history="1">
        <w:r w:rsidRPr="00DA7627">
          <w:rPr>
            <w:rStyle w:val="Hyperlink"/>
            <w:noProof/>
          </w:rPr>
          <w:t>Figure 2.6 Cartoon of the experimental setup used for RNAseq</w:t>
        </w:r>
        <w:r>
          <w:rPr>
            <w:noProof/>
            <w:webHidden/>
          </w:rPr>
          <w:tab/>
        </w:r>
        <w:r>
          <w:rPr>
            <w:noProof/>
            <w:webHidden/>
          </w:rPr>
          <w:fldChar w:fldCharType="begin"/>
        </w:r>
        <w:r>
          <w:rPr>
            <w:noProof/>
            <w:webHidden/>
          </w:rPr>
          <w:instrText xml:space="preserve"> PAGEREF _Toc154331532 \h </w:instrText>
        </w:r>
        <w:r>
          <w:rPr>
            <w:noProof/>
            <w:webHidden/>
          </w:rPr>
        </w:r>
        <w:r>
          <w:rPr>
            <w:noProof/>
            <w:webHidden/>
          </w:rPr>
          <w:fldChar w:fldCharType="separate"/>
        </w:r>
        <w:r w:rsidR="004B7F70">
          <w:rPr>
            <w:noProof/>
            <w:webHidden/>
          </w:rPr>
          <w:t>52</w:t>
        </w:r>
        <w:r>
          <w:rPr>
            <w:noProof/>
            <w:webHidden/>
          </w:rPr>
          <w:fldChar w:fldCharType="end"/>
        </w:r>
      </w:hyperlink>
    </w:p>
    <w:p w14:paraId="3E85F00C" w14:textId="67BF8484"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33" w:history="1">
        <w:r w:rsidRPr="00DA7627">
          <w:rPr>
            <w:rStyle w:val="Hyperlink"/>
            <w:noProof/>
          </w:rPr>
          <w:t>Figure 2.7 Raw and normalised expression values</w:t>
        </w:r>
        <w:r>
          <w:rPr>
            <w:noProof/>
            <w:webHidden/>
          </w:rPr>
          <w:tab/>
        </w:r>
        <w:r>
          <w:rPr>
            <w:noProof/>
            <w:webHidden/>
          </w:rPr>
          <w:fldChar w:fldCharType="begin"/>
        </w:r>
        <w:r>
          <w:rPr>
            <w:noProof/>
            <w:webHidden/>
          </w:rPr>
          <w:instrText xml:space="preserve"> PAGEREF _Toc154331533 \h </w:instrText>
        </w:r>
        <w:r>
          <w:rPr>
            <w:noProof/>
            <w:webHidden/>
          </w:rPr>
        </w:r>
        <w:r>
          <w:rPr>
            <w:noProof/>
            <w:webHidden/>
          </w:rPr>
          <w:fldChar w:fldCharType="separate"/>
        </w:r>
        <w:r w:rsidR="004B7F70">
          <w:rPr>
            <w:noProof/>
            <w:webHidden/>
          </w:rPr>
          <w:t>56</w:t>
        </w:r>
        <w:r>
          <w:rPr>
            <w:noProof/>
            <w:webHidden/>
          </w:rPr>
          <w:fldChar w:fldCharType="end"/>
        </w:r>
      </w:hyperlink>
    </w:p>
    <w:p w14:paraId="3356C903" w14:textId="28A685E7"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34" w:history="1">
        <w:r w:rsidRPr="00DA7627">
          <w:rPr>
            <w:rStyle w:val="Hyperlink"/>
            <w:noProof/>
          </w:rPr>
          <w:t>Figure 2.8 Distance between samples</w:t>
        </w:r>
        <w:r>
          <w:rPr>
            <w:noProof/>
            <w:webHidden/>
          </w:rPr>
          <w:tab/>
        </w:r>
        <w:r>
          <w:rPr>
            <w:noProof/>
            <w:webHidden/>
          </w:rPr>
          <w:fldChar w:fldCharType="begin"/>
        </w:r>
        <w:r>
          <w:rPr>
            <w:noProof/>
            <w:webHidden/>
          </w:rPr>
          <w:instrText xml:space="preserve"> PAGEREF _Toc154331534 \h </w:instrText>
        </w:r>
        <w:r>
          <w:rPr>
            <w:noProof/>
            <w:webHidden/>
          </w:rPr>
        </w:r>
        <w:r>
          <w:rPr>
            <w:noProof/>
            <w:webHidden/>
          </w:rPr>
          <w:fldChar w:fldCharType="separate"/>
        </w:r>
        <w:r w:rsidR="004B7F70">
          <w:rPr>
            <w:noProof/>
            <w:webHidden/>
          </w:rPr>
          <w:t>57</w:t>
        </w:r>
        <w:r>
          <w:rPr>
            <w:noProof/>
            <w:webHidden/>
          </w:rPr>
          <w:fldChar w:fldCharType="end"/>
        </w:r>
      </w:hyperlink>
    </w:p>
    <w:p w14:paraId="236A4AF6" w14:textId="1D43A92D"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35" w:history="1">
        <w:r w:rsidRPr="00DA7627">
          <w:rPr>
            <w:rStyle w:val="Hyperlink"/>
            <w:noProof/>
          </w:rPr>
          <w:t>Figure 3.1 Shoot biomass is strongly influenced by soil volume and neighbour density</w:t>
        </w:r>
        <w:r>
          <w:rPr>
            <w:noProof/>
            <w:webHidden/>
          </w:rPr>
          <w:tab/>
        </w:r>
        <w:r>
          <w:rPr>
            <w:noProof/>
            <w:webHidden/>
          </w:rPr>
          <w:fldChar w:fldCharType="begin"/>
        </w:r>
        <w:r>
          <w:rPr>
            <w:noProof/>
            <w:webHidden/>
          </w:rPr>
          <w:instrText xml:space="preserve"> PAGEREF _Toc154331535 \h </w:instrText>
        </w:r>
        <w:r>
          <w:rPr>
            <w:noProof/>
            <w:webHidden/>
          </w:rPr>
        </w:r>
        <w:r>
          <w:rPr>
            <w:noProof/>
            <w:webHidden/>
          </w:rPr>
          <w:fldChar w:fldCharType="separate"/>
        </w:r>
        <w:r w:rsidR="004B7F70">
          <w:rPr>
            <w:noProof/>
            <w:webHidden/>
          </w:rPr>
          <w:t>63</w:t>
        </w:r>
        <w:r>
          <w:rPr>
            <w:noProof/>
            <w:webHidden/>
          </w:rPr>
          <w:fldChar w:fldCharType="end"/>
        </w:r>
      </w:hyperlink>
    </w:p>
    <w:p w14:paraId="3FCA9529" w14:textId="5BE0EC0D"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36" w:history="1">
        <w:r w:rsidRPr="00DA7627">
          <w:rPr>
            <w:rStyle w:val="Hyperlink"/>
            <w:noProof/>
          </w:rPr>
          <w:t>Figure 3.2 Tillering is influenced by soil volume and neighbour density in wheat</w:t>
        </w:r>
        <w:r>
          <w:rPr>
            <w:noProof/>
            <w:webHidden/>
          </w:rPr>
          <w:tab/>
        </w:r>
        <w:r>
          <w:rPr>
            <w:noProof/>
            <w:webHidden/>
          </w:rPr>
          <w:fldChar w:fldCharType="begin"/>
        </w:r>
        <w:r>
          <w:rPr>
            <w:noProof/>
            <w:webHidden/>
          </w:rPr>
          <w:instrText xml:space="preserve"> PAGEREF _Toc154331536 \h </w:instrText>
        </w:r>
        <w:r>
          <w:rPr>
            <w:noProof/>
            <w:webHidden/>
          </w:rPr>
        </w:r>
        <w:r>
          <w:rPr>
            <w:noProof/>
            <w:webHidden/>
          </w:rPr>
          <w:fldChar w:fldCharType="separate"/>
        </w:r>
        <w:r w:rsidR="004B7F70">
          <w:rPr>
            <w:noProof/>
            <w:webHidden/>
          </w:rPr>
          <w:t>64</w:t>
        </w:r>
        <w:r>
          <w:rPr>
            <w:noProof/>
            <w:webHidden/>
          </w:rPr>
          <w:fldChar w:fldCharType="end"/>
        </w:r>
      </w:hyperlink>
    </w:p>
    <w:p w14:paraId="59C91EE8" w14:textId="6A9F4B74"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37" w:history="1">
        <w:r w:rsidRPr="00DA7627">
          <w:rPr>
            <w:rStyle w:val="Hyperlink"/>
            <w:noProof/>
          </w:rPr>
          <w:t>Figure 3.3 Reproductive traits in wheat are influenced by soil volume and neighbour density</w:t>
        </w:r>
        <w:r>
          <w:rPr>
            <w:noProof/>
            <w:webHidden/>
          </w:rPr>
          <w:tab/>
        </w:r>
        <w:r>
          <w:rPr>
            <w:noProof/>
            <w:webHidden/>
          </w:rPr>
          <w:fldChar w:fldCharType="begin"/>
        </w:r>
        <w:r>
          <w:rPr>
            <w:noProof/>
            <w:webHidden/>
          </w:rPr>
          <w:instrText xml:space="preserve"> PAGEREF _Toc154331537 \h </w:instrText>
        </w:r>
        <w:r>
          <w:rPr>
            <w:noProof/>
            <w:webHidden/>
          </w:rPr>
        </w:r>
        <w:r>
          <w:rPr>
            <w:noProof/>
            <w:webHidden/>
          </w:rPr>
          <w:fldChar w:fldCharType="separate"/>
        </w:r>
        <w:r w:rsidR="004B7F70">
          <w:rPr>
            <w:noProof/>
            <w:webHidden/>
          </w:rPr>
          <w:t>66</w:t>
        </w:r>
        <w:r>
          <w:rPr>
            <w:noProof/>
            <w:webHidden/>
          </w:rPr>
          <w:fldChar w:fldCharType="end"/>
        </w:r>
      </w:hyperlink>
    </w:p>
    <w:p w14:paraId="13B3A265" w14:textId="3A240C8D"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38" w:history="1">
        <w:r w:rsidRPr="00DA7627">
          <w:rPr>
            <w:rStyle w:val="Hyperlink"/>
            <w:noProof/>
          </w:rPr>
          <w:t>Figure 3.4 Shoot biomass of barley plants is influenced by soil volume and neighbour density</w:t>
        </w:r>
        <w:r>
          <w:rPr>
            <w:noProof/>
            <w:webHidden/>
          </w:rPr>
          <w:tab/>
        </w:r>
        <w:r>
          <w:rPr>
            <w:noProof/>
            <w:webHidden/>
          </w:rPr>
          <w:fldChar w:fldCharType="begin"/>
        </w:r>
        <w:r>
          <w:rPr>
            <w:noProof/>
            <w:webHidden/>
          </w:rPr>
          <w:instrText xml:space="preserve"> PAGEREF _Toc154331538 \h </w:instrText>
        </w:r>
        <w:r>
          <w:rPr>
            <w:noProof/>
            <w:webHidden/>
          </w:rPr>
        </w:r>
        <w:r>
          <w:rPr>
            <w:noProof/>
            <w:webHidden/>
          </w:rPr>
          <w:fldChar w:fldCharType="separate"/>
        </w:r>
        <w:r w:rsidR="004B7F70">
          <w:rPr>
            <w:noProof/>
            <w:webHidden/>
          </w:rPr>
          <w:t>68</w:t>
        </w:r>
        <w:r>
          <w:rPr>
            <w:noProof/>
            <w:webHidden/>
          </w:rPr>
          <w:fldChar w:fldCharType="end"/>
        </w:r>
      </w:hyperlink>
    </w:p>
    <w:p w14:paraId="6D69B6AF" w14:textId="398ACA35"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39" w:history="1">
        <w:r w:rsidRPr="00DA7627">
          <w:rPr>
            <w:rStyle w:val="Hyperlink"/>
            <w:noProof/>
          </w:rPr>
          <w:t>Figure 3.5 Tiller number in barley is influenced by soil volume and neighbour density</w:t>
        </w:r>
        <w:r>
          <w:rPr>
            <w:noProof/>
            <w:webHidden/>
          </w:rPr>
          <w:tab/>
        </w:r>
        <w:r>
          <w:rPr>
            <w:noProof/>
            <w:webHidden/>
          </w:rPr>
          <w:fldChar w:fldCharType="begin"/>
        </w:r>
        <w:r>
          <w:rPr>
            <w:noProof/>
            <w:webHidden/>
          </w:rPr>
          <w:instrText xml:space="preserve"> PAGEREF _Toc154331539 \h </w:instrText>
        </w:r>
        <w:r>
          <w:rPr>
            <w:noProof/>
            <w:webHidden/>
          </w:rPr>
        </w:r>
        <w:r>
          <w:rPr>
            <w:noProof/>
            <w:webHidden/>
          </w:rPr>
          <w:fldChar w:fldCharType="separate"/>
        </w:r>
        <w:r w:rsidR="004B7F70">
          <w:rPr>
            <w:noProof/>
            <w:webHidden/>
          </w:rPr>
          <w:t>69</w:t>
        </w:r>
        <w:r>
          <w:rPr>
            <w:noProof/>
            <w:webHidden/>
          </w:rPr>
          <w:fldChar w:fldCharType="end"/>
        </w:r>
      </w:hyperlink>
    </w:p>
    <w:p w14:paraId="0B92480C" w14:textId="63817BE3"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40" w:history="1">
        <w:r w:rsidRPr="00DA7627">
          <w:rPr>
            <w:rStyle w:val="Hyperlink"/>
            <w:noProof/>
          </w:rPr>
          <w:t>Figure 3.6 Shoot biomass of Arabidopsis plants is larger in uncrowded scenarios and when a larger soil volume is available</w:t>
        </w:r>
        <w:r>
          <w:rPr>
            <w:noProof/>
            <w:webHidden/>
          </w:rPr>
          <w:tab/>
        </w:r>
        <w:r>
          <w:rPr>
            <w:noProof/>
            <w:webHidden/>
          </w:rPr>
          <w:fldChar w:fldCharType="begin"/>
        </w:r>
        <w:r>
          <w:rPr>
            <w:noProof/>
            <w:webHidden/>
          </w:rPr>
          <w:instrText xml:space="preserve"> PAGEREF _Toc154331540 \h </w:instrText>
        </w:r>
        <w:r>
          <w:rPr>
            <w:noProof/>
            <w:webHidden/>
          </w:rPr>
        </w:r>
        <w:r>
          <w:rPr>
            <w:noProof/>
            <w:webHidden/>
          </w:rPr>
          <w:fldChar w:fldCharType="separate"/>
        </w:r>
        <w:r w:rsidR="004B7F70">
          <w:rPr>
            <w:noProof/>
            <w:webHidden/>
          </w:rPr>
          <w:t>73</w:t>
        </w:r>
        <w:r>
          <w:rPr>
            <w:noProof/>
            <w:webHidden/>
          </w:rPr>
          <w:fldChar w:fldCharType="end"/>
        </w:r>
      </w:hyperlink>
    </w:p>
    <w:p w14:paraId="05E29A34" w14:textId="71E708D4"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41" w:history="1">
        <w:r w:rsidRPr="00DA7627">
          <w:rPr>
            <w:rStyle w:val="Hyperlink"/>
            <w:noProof/>
          </w:rPr>
          <w:t>Figure 3.7 Shoot branch number in Arabidopsis plants is elevated when plants are grown singly and in larger soil volumes</w:t>
        </w:r>
        <w:r>
          <w:rPr>
            <w:noProof/>
            <w:webHidden/>
          </w:rPr>
          <w:tab/>
        </w:r>
        <w:r>
          <w:rPr>
            <w:noProof/>
            <w:webHidden/>
          </w:rPr>
          <w:fldChar w:fldCharType="begin"/>
        </w:r>
        <w:r>
          <w:rPr>
            <w:noProof/>
            <w:webHidden/>
          </w:rPr>
          <w:instrText xml:space="preserve"> PAGEREF _Toc154331541 \h </w:instrText>
        </w:r>
        <w:r>
          <w:rPr>
            <w:noProof/>
            <w:webHidden/>
          </w:rPr>
        </w:r>
        <w:r>
          <w:rPr>
            <w:noProof/>
            <w:webHidden/>
          </w:rPr>
          <w:fldChar w:fldCharType="separate"/>
        </w:r>
        <w:r w:rsidR="004B7F70">
          <w:rPr>
            <w:noProof/>
            <w:webHidden/>
          </w:rPr>
          <w:t>74</w:t>
        </w:r>
        <w:r>
          <w:rPr>
            <w:noProof/>
            <w:webHidden/>
          </w:rPr>
          <w:fldChar w:fldCharType="end"/>
        </w:r>
      </w:hyperlink>
    </w:p>
    <w:p w14:paraId="614265F3" w14:textId="12F03C9E"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42" w:history="1">
        <w:r w:rsidRPr="00DA7627">
          <w:rPr>
            <w:rStyle w:val="Hyperlink"/>
            <w:noProof/>
          </w:rPr>
          <w:t>Figure 3.8 Silique number is affected by soil volume and neighbour density</w:t>
        </w:r>
        <w:r>
          <w:rPr>
            <w:noProof/>
            <w:webHidden/>
          </w:rPr>
          <w:tab/>
        </w:r>
        <w:r>
          <w:rPr>
            <w:noProof/>
            <w:webHidden/>
          </w:rPr>
          <w:fldChar w:fldCharType="begin"/>
        </w:r>
        <w:r>
          <w:rPr>
            <w:noProof/>
            <w:webHidden/>
          </w:rPr>
          <w:instrText xml:space="preserve"> PAGEREF _Toc154331542 \h </w:instrText>
        </w:r>
        <w:r>
          <w:rPr>
            <w:noProof/>
            <w:webHidden/>
          </w:rPr>
        </w:r>
        <w:r>
          <w:rPr>
            <w:noProof/>
            <w:webHidden/>
          </w:rPr>
          <w:fldChar w:fldCharType="separate"/>
        </w:r>
        <w:r w:rsidR="004B7F70">
          <w:rPr>
            <w:noProof/>
            <w:webHidden/>
          </w:rPr>
          <w:t>75</w:t>
        </w:r>
        <w:r>
          <w:rPr>
            <w:noProof/>
            <w:webHidden/>
          </w:rPr>
          <w:fldChar w:fldCharType="end"/>
        </w:r>
      </w:hyperlink>
    </w:p>
    <w:p w14:paraId="4B4E09CC" w14:textId="5C768036"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43" w:history="1">
        <w:r w:rsidRPr="00DA7627">
          <w:rPr>
            <w:rStyle w:val="Hyperlink"/>
            <w:noProof/>
          </w:rPr>
          <w:t>Figure 3.9 Shoot biomass in pea is influenced by root based crowding and soil volume</w:t>
        </w:r>
        <w:r>
          <w:rPr>
            <w:noProof/>
            <w:webHidden/>
          </w:rPr>
          <w:tab/>
        </w:r>
        <w:r>
          <w:rPr>
            <w:noProof/>
            <w:webHidden/>
          </w:rPr>
          <w:fldChar w:fldCharType="begin"/>
        </w:r>
        <w:r>
          <w:rPr>
            <w:noProof/>
            <w:webHidden/>
          </w:rPr>
          <w:instrText xml:space="preserve"> PAGEREF _Toc154331543 \h </w:instrText>
        </w:r>
        <w:r>
          <w:rPr>
            <w:noProof/>
            <w:webHidden/>
          </w:rPr>
        </w:r>
        <w:r>
          <w:rPr>
            <w:noProof/>
            <w:webHidden/>
          </w:rPr>
          <w:fldChar w:fldCharType="separate"/>
        </w:r>
        <w:r w:rsidR="004B7F70">
          <w:rPr>
            <w:noProof/>
            <w:webHidden/>
          </w:rPr>
          <w:t>77</w:t>
        </w:r>
        <w:r>
          <w:rPr>
            <w:noProof/>
            <w:webHidden/>
          </w:rPr>
          <w:fldChar w:fldCharType="end"/>
        </w:r>
      </w:hyperlink>
    </w:p>
    <w:p w14:paraId="0BDAADE1" w14:textId="22C84A27"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44" w:history="1">
        <w:r w:rsidRPr="00DA7627">
          <w:rPr>
            <w:rStyle w:val="Hyperlink"/>
            <w:noProof/>
          </w:rPr>
          <w:t>Figure 3.10 Shoot branching is influenced by soil volume and root based crowding in pea</w:t>
        </w:r>
        <w:r>
          <w:rPr>
            <w:noProof/>
            <w:webHidden/>
          </w:rPr>
          <w:tab/>
        </w:r>
        <w:r>
          <w:rPr>
            <w:noProof/>
            <w:webHidden/>
          </w:rPr>
          <w:fldChar w:fldCharType="begin"/>
        </w:r>
        <w:r>
          <w:rPr>
            <w:noProof/>
            <w:webHidden/>
          </w:rPr>
          <w:instrText xml:space="preserve"> PAGEREF _Toc154331544 \h </w:instrText>
        </w:r>
        <w:r>
          <w:rPr>
            <w:noProof/>
            <w:webHidden/>
          </w:rPr>
        </w:r>
        <w:r>
          <w:rPr>
            <w:noProof/>
            <w:webHidden/>
          </w:rPr>
          <w:fldChar w:fldCharType="separate"/>
        </w:r>
        <w:r w:rsidR="004B7F70">
          <w:rPr>
            <w:noProof/>
            <w:webHidden/>
          </w:rPr>
          <w:t>78</w:t>
        </w:r>
        <w:r>
          <w:rPr>
            <w:noProof/>
            <w:webHidden/>
          </w:rPr>
          <w:fldChar w:fldCharType="end"/>
        </w:r>
      </w:hyperlink>
    </w:p>
    <w:p w14:paraId="5F4D5140" w14:textId="180BA639"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45" w:history="1">
        <w:r w:rsidRPr="00DA7627">
          <w:rPr>
            <w:rStyle w:val="Hyperlink"/>
            <w:noProof/>
          </w:rPr>
          <w:t>Figure 3.11 Modern varieties are more plastic in their response to soil volume availability than traditional and advanced lines</w:t>
        </w:r>
        <w:r>
          <w:rPr>
            <w:noProof/>
            <w:webHidden/>
          </w:rPr>
          <w:tab/>
        </w:r>
        <w:r>
          <w:rPr>
            <w:noProof/>
            <w:webHidden/>
          </w:rPr>
          <w:fldChar w:fldCharType="begin"/>
        </w:r>
        <w:r>
          <w:rPr>
            <w:noProof/>
            <w:webHidden/>
          </w:rPr>
          <w:instrText xml:space="preserve"> PAGEREF _Toc154331545 \h </w:instrText>
        </w:r>
        <w:r>
          <w:rPr>
            <w:noProof/>
            <w:webHidden/>
          </w:rPr>
        </w:r>
        <w:r>
          <w:rPr>
            <w:noProof/>
            <w:webHidden/>
          </w:rPr>
          <w:fldChar w:fldCharType="separate"/>
        </w:r>
        <w:r w:rsidR="004B7F70">
          <w:rPr>
            <w:noProof/>
            <w:webHidden/>
          </w:rPr>
          <w:t>84</w:t>
        </w:r>
        <w:r>
          <w:rPr>
            <w:noProof/>
            <w:webHidden/>
          </w:rPr>
          <w:fldChar w:fldCharType="end"/>
        </w:r>
      </w:hyperlink>
    </w:p>
    <w:p w14:paraId="3432ED27" w14:textId="71FCC757"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46" w:history="1">
        <w:r w:rsidRPr="00DA7627">
          <w:rPr>
            <w:rStyle w:val="Hyperlink"/>
            <w:noProof/>
          </w:rPr>
          <w:t>Figure 3.12 Peak tiller number varies greatly across barley lines</w:t>
        </w:r>
        <w:r>
          <w:rPr>
            <w:noProof/>
            <w:webHidden/>
          </w:rPr>
          <w:tab/>
        </w:r>
        <w:r>
          <w:rPr>
            <w:noProof/>
            <w:webHidden/>
          </w:rPr>
          <w:fldChar w:fldCharType="begin"/>
        </w:r>
        <w:r>
          <w:rPr>
            <w:noProof/>
            <w:webHidden/>
          </w:rPr>
          <w:instrText xml:space="preserve"> PAGEREF _Toc154331546 \h </w:instrText>
        </w:r>
        <w:r>
          <w:rPr>
            <w:noProof/>
            <w:webHidden/>
          </w:rPr>
        </w:r>
        <w:r>
          <w:rPr>
            <w:noProof/>
            <w:webHidden/>
          </w:rPr>
          <w:fldChar w:fldCharType="separate"/>
        </w:r>
        <w:r w:rsidR="004B7F70">
          <w:rPr>
            <w:noProof/>
            <w:webHidden/>
          </w:rPr>
          <w:t>85</w:t>
        </w:r>
        <w:r>
          <w:rPr>
            <w:noProof/>
            <w:webHidden/>
          </w:rPr>
          <w:fldChar w:fldCharType="end"/>
        </w:r>
      </w:hyperlink>
    </w:p>
    <w:p w14:paraId="20C0B009" w14:textId="68155E0C"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47" w:history="1">
        <w:r w:rsidRPr="00DA7627">
          <w:rPr>
            <w:rStyle w:val="Hyperlink"/>
            <w:noProof/>
          </w:rPr>
          <w:t>Figure 3.13 Shoot biomass varies greatly across barley lines</w:t>
        </w:r>
        <w:r>
          <w:rPr>
            <w:noProof/>
            <w:webHidden/>
          </w:rPr>
          <w:tab/>
        </w:r>
        <w:r>
          <w:rPr>
            <w:noProof/>
            <w:webHidden/>
          </w:rPr>
          <w:fldChar w:fldCharType="begin"/>
        </w:r>
        <w:r>
          <w:rPr>
            <w:noProof/>
            <w:webHidden/>
          </w:rPr>
          <w:instrText xml:space="preserve"> PAGEREF _Toc154331547 \h </w:instrText>
        </w:r>
        <w:r>
          <w:rPr>
            <w:noProof/>
            <w:webHidden/>
          </w:rPr>
        </w:r>
        <w:r>
          <w:rPr>
            <w:noProof/>
            <w:webHidden/>
          </w:rPr>
          <w:fldChar w:fldCharType="separate"/>
        </w:r>
        <w:r w:rsidR="004B7F70">
          <w:rPr>
            <w:noProof/>
            <w:webHidden/>
          </w:rPr>
          <w:t>86</w:t>
        </w:r>
        <w:r>
          <w:rPr>
            <w:noProof/>
            <w:webHidden/>
          </w:rPr>
          <w:fldChar w:fldCharType="end"/>
        </w:r>
      </w:hyperlink>
    </w:p>
    <w:p w14:paraId="1B2E0BF5" w14:textId="418480AB"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48" w:history="1">
        <w:r w:rsidRPr="00DA7627">
          <w:rPr>
            <w:rStyle w:val="Hyperlink"/>
            <w:noProof/>
          </w:rPr>
          <w:t>Figure 3.14 Sensitivity to soil volume is varied across spring barley lines and is reflected in tiller production</w:t>
        </w:r>
        <w:r>
          <w:rPr>
            <w:noProof/>
            <w:webHidden/>
          </w:rPr>
          <w:tab/>
        </w:r>
        <w:r>
          <w:rPr>
            <w:noProof/>
            <w:webHidden/>
          </w:rPr>
          <w:fldChar w:fldCharType="begin"/>
        </w:r>
        <w:r>
          <w:rPr>
            <w:noProof/>
            <w:webHidden/>
          </w:rPr>
          <w:instrText xml:space="preserve"> PAGEREF _Toc154331548 \h </w:instrText>
        </w:r>
        <w:r>
          <w:rPr>
            <w:noProof/>
            <w:webHidden/>
          </w:rPr>
        </w:r>
        <w:r>
          <w:rPr>
            <w:noProof/>
            <w:webHidden/>
          </w:rPr>
          <w:fldChar w:fldCharType="separate"/>
        </w:r>
        <w:r w:rsidR="004B7F70">
          <w:rPr>
            <w:noProof/>
            <w:webHidden/>
          </w:rPr>
          <w:t>87</w:t>
        </w:r>
        <w:r>
          <w:rPr>
            <w:noProof/>
            <w:webHidden/>
          </w:rPr>
          <w:fldChar w:fldCharType="end"/>
        </w:r>
      </w:hyperlink>
    </w:p>
    <w:p w14:paraId="508D82CE" w14:textId="70C70E41"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49" w:history="1">
        <w:r w:rsidRPr="00DA7627">
          <w:rPr>
            <w:rStyle w:val="Hyperlink"/>
            <w:noProof/>
          </w:rPr>
          <w:t>Figure 3.15 Shoot system size varies greatly across spring barley lines in response to soil volume availability</w:t>
        </w:r>
        <w:r>
          <w:rPr>
            <w:noProof/>
            <w:webHidden/>
          </w:rPr>
          <w:tab/>
        </w:r>
        <w:r>
          <w:rPr>
            <w:noProof/>
            <w:webHidden/>
          </w:rPr>
          <w:fldChar w:fldCharType="begin"/>
        </w:r>
        <w:r>
          <w:rPr>
            <w:noProof/>
            <w:webHidden/>
          </w:rPr>
          <w:instrText xml:space="preserve"> PAGEREF _Toc154331549 \h </w:instrText>
        </w:r>
        <w:r>
          <w:rPr>
            <w:noProof/>
            <w:webHidden/>
          </w:rPr>
        </w:r>
        <w:r>
          <w:rPr>
            <w:noProof/>
            <w:webHidden/>
          </w:rPr>
          <w:fldChar w:fldCharType="separate"/>
        </w:r>
        <w:r w:rsidR="004B7F70">
          <w:rPr>
            <w:noProof/>
            <w:webHidden/>
          </w:rPr>
          <w:t>89</w:t>
        </w:r>
        <w:r>
          <w:rPr>
            <w:noProof/>
            <w:webHidden/>
          </w:rPr>
          <w:fldChar w:fldCharType="end"/>
        </w:r>
      </w:hyperlink>
    </w:p>
    <w:p w14:paraId="5FDFF9A4" w14:textId="43178D89"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50" w:history="1">
        <w:r w:rsidRPr="00DA7627">
          <w:rPr>
            <w:rStyle w:val="Hyperlink"/>
            <w:noProof/>
          </w:rPr>
          <w:t>Figure 3.16 Allocation of shoot biomass in response to soil volume in 6 spring barley lines</w:t>
        </w:r>
        <w:r>
          <w:rPr>
            <w:noProof/>
            <w:webHidden/>
          </w:rPr>
          <w:tab/>
        </w:r>
        <w:r>
          <w:rPr>
            <w:noProof/>
            <w:webHidden/>
          </w:rPr>
          <w:fldChar w:fldCharType="begin"/>
        </w:r>
        <w:r>
          <w:rPr>
            <w:noProof/>
            <w:webHidden/>
          </w:rPr>
          <w:instrText xml:space="preserve"> PAGEREF _Toc154331550 \h </w:instrText>
        </w:r>
        <w:r>
          <w:rPr>
            <w:noProof/>
            <w:webHidden/>
          </w:rPr>
        </w:r>
        <w:r>
          <w:rPr>
            <w:noProof/>
            <w:webHidden/>
          </w:rPr>
          <w:fldChar w:fldCharType="separate"/>
        </w:r>
        <w:r w:rsidR="004B7F70">
          <w:rPr>
            <w:noProof/>
            <w:webHidden/>
          </w:rPr>
          <w:t>91</w:t>
        </w:r>
        <w:r>
          <w:rPr>
            <w:noProof/>
            <w:webHidden/>
          </w:rPr>
          <w:fldChar w:fldCharType="end"/>
        </w:r>
      </w:hyperlink>
    </w:p>
    <w:p w14:paraId="2E78FC7E" w14:textId="2FAE33EC"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51" w:history="1">
        <w:r w:rsidRPr="00DA7627">
          <w:rPr>
            <w:rStyle w:val="Hyperlink"/>
            <w:noProof/>
          </w:rPr>
          <w:t>Figure 3.17 Tiller number production varies in spring barley lines</w:t>
        </w:r>
        <w:r>
          <w:rPr>
            <w:noProof/>
            <w:webHidden/>
          </w:rPr>
          <w:tab/>
        </w:r>
        <w:r>
          <w:rPr>
            <w:noProof/>
            <w:webHidden/>
          </w:rPr>
          <w:fldChar w:fldCharType="begin"/>
        </w:r>
        <w:r>
          <w:rPr>
            <w:noProof/>
            <w:webHidden/>
          </w:rPr>
          <w:instrText xml:space="preserve"> PAGEREF _Toc154331551 \h </w:instrText>
        </w:r>
        <w:r>
          <w:rPr>
            <w:noProof/>
            <w:webHidden/>
          </w:rPr>
        </w:r>
        <w:r>
          <w:rPr>
            <w:noProof/>
            <w:webHidden/>
          </w:rPr>
          <w:fldChar w:fldCharType="separate"/>
        </w:r>
        <w:r w:rsidR="004B7F70">
          <w:rPr>
            <w:noProof/>
            <w:webHidden/>
          </w:rPr>
          <w:t>92</w:t>
        </w:r>
        <w:r>
          <w:rPr>
            <w:noProof/>
            <w:webHidden/>
          </w:rPr>
          <w:fldChar w:fldCharType="end"/>
        </w:r>
      </w:hyperlink>
    </w:p>
    <w:p w14:paraId="727B4789" w14:textId="387DCA45"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52" w:history="1">
        <w:r w:rsidRPr="00DA7627">
          <w:rPr>
            <w:rStyle w:val="Hyperlink"/>
            <w:noProof/>
          </w:rPr>
          <w:t>Figure 3.18 Root density increases faster in small soil volumes</w:t>
        </w:r>
        <w:r>
          <w:rPr>
            <w:noProof/>
            <w:webHidden/>
          </w:rPr>
          <w:tab/>
        </w:r>
        <w:r>
          <w:rPr>
            <w:noProof/>
            <w:webHidden/>
          </w:rPr>
          <w:fldChar w:fldCharType="begin"/>
        </w:r>
        <w:r>
          <w:rPr>
            <w:noProof/>
            <w:webHidden/>
          </w:rPr>
          <w:instrText xml:space="preserve"> PAGEREF _Toc154331552 \h </w:instrText>
        </w:r>
        <w:r>
          <w:rPr>
            <w:noProof/>
            <w:webHidden/>
          </w:rPr>
        </w:r>
        <w:r>
          <w:rPr>
            <w:noProof/>
            <w:webHidden/>
          </w:rPr>
          <w:fldChar w:fldCharType="separate"/>
        </w:r>
        <w:r w:rsidR="004B7F70">
          <w:rPr>
            <w:noProof/>
            <w:webHidden/>
          </w:rPr>
          <w:t>97</w:t>
        </w:r>
        <w:r>
          <w:rPr>
            <w:noProof/>
            <w:webHidden/>
          </w:rPr>
          <w:fldChar w:fldCharType="end"/>
        </w:r>
      </w:hyperlink>
    </w:p>
    <w:p w14:paraId="7E7443D5" w14:textId="51DE28BF"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53" w:history="1">
        <w:r w:rsidRPr="00DA7627">
          <w:rPr>
            <w:rStyle w:val="Hyperlink"/>
            <w:noProof/>
          </w:rPr>
          <w:t>Figure 3.19 Total root number and length differs between soil volumes within the first 3 weeks post germination</w:t>
        </w:r>
        <w:r>
          <w:rPr>
            <w:noProof/>
            <w:webHidden/>
          </w:rPr>
          <w:tab/>
        </w:r>
        <w:r>
          <w:rPr>
            <w:noProof/>
            <w:webHidden/>
          </w:rPr>
          <w:fldChar w:fldCharType="begin"/>
        </w:r>
        <w:r>
          <w:rPr>
            <w:noProof/>
            <w:webHidden/>
          </w:rPr>
          <w:instrText xml:space="preserve"> PAGEREF _Toc154331553 \h </w:instrText>
        </w:r>
        <w:r>
          <w:rPr>
            <w:noProof/>
            <w:webHidden/>
          </w:rPr>
        </w:r>
        <w:r>
          <w:rPr>
            <w:noProof/>
            <w:webHidden/>
          </w:rPr>
          <w:fldChar w:fldCharType="separate"/>
        </w:r>
        <w:r w:rsidR="004B7F70">
          <w:rPr>
            <w:noProof/>
            <w:webHidden/>
          </w:rPr>
          <w:t>99</w:t>
        </w:r>
        <w:r>
          <w:rPr>
            <w:noProof/>
            <w:webHidden/>
          </w:rPr>
          <w:fldChar w:fldCharType="end"/>
        </w:r>
      </w:hyperlink>
    </w:p>
    <w:p w14:paraId="4D5B4654" w14:textId="45C10C58"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54" w:history="1">
        <w:r w:rsidRPr="00DA7627">
          <w:rPr>
            <w:rStyle w:val="Hyperlink"/>
            <w:noProof/>
          </w:rPr>
          <w:t>Figure 3.20 Seminal root growth in wheat and barley is not affected by soil volume</w:t>
        </w:r>
        <w:r>
          <w:rPr>
            <w:noProof/>
            <w:webHidden/>
          </w:rPr>
          <w:tab/>
        </w:r>
        <w:r>
          <w:rPr>
            <w:noProof/>
            <w:webHidden/>
          </w:rPr>
          <w:fldChar w:fldCharType="begin"/>
        </w:r>
        <w:r>
          <w:rPr>
            <w:noProof/>
            <w:webHidden/>
          </w:rPr>
          <w:instrText xml:space="preserve"> PAGEREF _Toc154331554 \h </w:instrText>
        </w:r>
        <w:r>
          <w:rPr>
            <w:noProof/>
            <w:webHidden/>
          </w:rPr>
        </w:r>
        <w:r>
          <w:rPr>
            <w:noProof/>
            <w:webHidden/>
          </w:rPr>
          <w:fldChar w:fldCharType="separate"/>
        </w:r>
        <w:r w:rsidR="004B7F70">
          <w:rPr>
            <w:noProof/>
            <w:webHidden/>
          </w:rPr>
          <w:t>100</w:t>
        </w:r>
        <w:r>
          <w:rPr>
            <w:noProof/>
            <w:webHidden/>
          </w:rPr>
          <w:fldChar w:fldCharType="end"/>
        </w:r>
      </w:hyperlink>
    </w:p>
    <w:p w14:paraId="41A5D969" w14:textId="0EAD9027"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55" w:history="1">
        <w:r w:rsidRPr="00DA7627">
          <w:rPr>
            <w:rStyle w:val="Hyperlink"/>
            <w:noProof/>
          </w:rPr>
          <w:t>Figure 3.21 Barley and wheat produce more and longer lateral roots in small soil volumes compared to large soil volumes</w:t>
        </w:r>
        <w:r>
          <w:rPr>
            <w:noProof/>
            <w:webHidden/>
          </w:rPr>
          <w:tab/>
        </w:r>
        <w:r>
          <w:rPr>
            <w:noProof/>
            <w:webHidden/>
          </w:rPr>
          <w:fldChar w:fldCharType="begin"/>
        </w:r>
        <w:r>
          <w:rPr>
            <w:noProof/>
            <w:webHidden/>
          </w:rPr>
          <w:instrText xml:space="preserve"> PAGEREF _Toc154331555 \h </w:instrText>
        </w:r>
        <w:r>
          <w:rPr>
            <w:noProof/>
            <w:webHidden/>
          </w:rPr>
        </w:r>
        <w:r>
          <w:rPr>
            <w:noProof/>
            <w:webHidden/>
          </w:rPr>
          <w:fldChar w:fldCharType="separate"/>
        </w:r>
        <w:r w:rsidR="004B7F70">
          <w:rPr>
            <w:noProof/>
            <w:webHidden/>
          </w:rPr>
          <w:t>101</w:t>
        </w:r>
        <w:r>
          <w:rPr>
            <w:noProof/>
            <w:webHidden/>
          </w:rPr>
          <w:fldChar w:fldCharType="end"/>
        </w:r>
      </w:hyperlink>
    </w:p>
    <w:p w14:paraId="12926345" w14:textId="4A50E3AA"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56" w:history="1">
        <w:r w:rsidRPr="00DA7627">
          <w:rPr>
            <w:rStyle w:val="Hyperlink"/>
            <w:noProof/>
          </w:rPr>
          <w:t>Figure 3.22 Soil volume effects are present in shoot systems of plants grown in rhizoboxes</w:t>
        </w:r>
        <w:r>
          <w:rPr>
            <w:noProof/>
            <w:webHidden/>
          </w:rPr>
          <w:tab/>
        </w:r>
        <w:r>
          <w:rPr>
            <w:noProof/>
            <w:webHidden/>
          </w:rPr>
          <w:fldChar w:fldCharType="begin"/>
        </w:r>
        <w:r>
          <w:rPr>
            <w:noProof/>
            <w:webHidden/>
          </w:rPr>
          <w:instrText xml:space="preserve"> PAGEREF _Toc154331556 \h </w:instrText>
        </w:r>
        <w:r>
          <w:rPr>
            <w:noProof/>
            <w:webHidden/>
          </w:rPr>
        </w:r>
        <w:r>
          <w:rPr>
            <w:noProof/>
            <w:webHidden/>
          </w:rPr>
          <w:fldChar w:fldCharType="separate"/>
        </w:r>
        <w:r w:rsidR="004B7F70">
          <w:rPr>
            <w:noProof/>
            <w:webHidden/>
          </w:rPr>
          <w:t>102</w:t>
        </w:r>
        <w:r>
          <w:rPr>
            <w:noProof/>
            <w:webHidden/>
          </w:rPr>
          <w:fldChar w:fldCharType="end"/>
        </w:r>
      </w:hyperlink>
    </w:p>
    <w:p w14:paraId="14F7048B" w14:textId="19667FA2"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57" w:history="1">
        <w:r w:rsidRPr="00DA7627">
          <w:rPr>
            <w:rStyle w:val="Hyperlink"/>
            <w:noProof/>
          </w:rPr>
          <w:t>Figure 3.23 Barley roots in crowded and uncrowded rhizoboxes</w:t>
        </w:r>
        <w:r>
          <w:rPr>
            <w:noProof/>
            <w:webHidden/>
          </w:rPr>
          <w:tab/>
        </w:r>
        <w:r>
          <w:rPr>
            <w:noProof/>
            <w:webHidden/>
          </w:rPr>
          <w:fldChar w:fldCharType="begin"/>
        </w:r>
        <w:r>
          <w:rPr>
            <w:noProof/>
            <w:webHidden/>
          </w:rPr>
          <w:instrText xml:space="preserve"> PAGEREF _Toc154331557 \h </w:instrText>
        </w:r>
        <w:r>
          <w:rPr>
            <w:noProof/>
            <w:webHidden/>
          </w:rPr>
        </w:r>
        <w:r>
          <w:rPr>
            <w:noProof/>
            <w:webHidden/>
          </w:rPr>
          <w:fldChar w:fldCharType="separate"/>
        </w:r>
        <w:r w:rsidR="004B7F70">
          <w:rPr>
            <w:noProof/>
            <w:webHidden/>
          </w:rPr>
          <w:t>104</w:t>
        </w:r>
        <w:r>
          <w:rPr>
            <w:noProof/>
            <w:webHidden/>
          </w:rPr>
          <w:fldChar w:fldCharType="end"/>
        </w:r>
      </w:hyperlink>
    </w:p>
    <w:p w14:paraId="6375FDFE" w14:textId="53372D4F"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58" w:history="1">
        <w:r w:rsidRPr="00DA7627">
          <w:rPr>
            <w:rStyle w:val="Hyperlink"/>
            <w:noProof/>
          </w:rPr>
          <w:t>Figure 3.24 Barley root production continues regardless of crowding treatment</w:t>
        </w:r>
        <w:r>
          <w:rPr>
            <w:noProof/>
            <w:webHidden/>
          </w:rPr>
          <w:tab/>
        </w:r>
        <w:r>
          <w:rPr>
            <w:noProof/>
            <w:webHidden/>
          </w:rPr>
          <w:fldChar w:fldCharType="begin"/>
        </w:r>
        <w:r>
          <w:rPr>
            <w:noProof/>
            <w:webHidden/>
          </w:rPr>
          <w:instrText xml:space="preserve"> PAGEREF _Toc154331558 \h </w:instrText>
        </w:r>
        <w:r>
          <w:rPr>
            <w:noProof/>
            <w:webHidden/>
          </w:rPr>
        </w:r>
        <w:r>
          <w:rPr>
            <w:noProof/>
            <w:webHidden/>
          </w:rPr>
          <w:fldChar w:fldCharType="separate"/>
        </w:r>
        <w:r w:rsidR="004B7F70">
          <w:rPr>
            <w:noProof/>
            <w:webHidden/>
          </w:rPr>
          <w:t>105</w:t>
        </w:r>
        <w:r>
          <w:rPr>
            <w:noProof/>
            <w:webHidden/>
          </w:rPr>
          <w:fldChar w:fldCharType="end"/>
        </w:r>
      </w:hyperlink>
    </w:p>
    <w:p w14:paraId="409DEDA3" w14:textId="416BD453"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59" w:history="1">
        <w:r w:rsidRPr="00DA7627">
          <w:rPr>
            <w:rStyle w:val="Hyperlink"/>
            <w:noProof/>
          </w:rPr>
          <w:t>Figure 3.25 Barley roots overlap when grown with other barley plants</w:t>
        </w:r>
        <w:r>
          <w:rPr>
            <w:noProof/>
            <w:webHidden/>
          </w:rPr>
          <w:tab/>
        </w:r>
        <w:r>
          <w:rPr>
            <w:noProof/>
            <w:webHidden/>
          </w:rPr>
          <w:fldChar w:fldCharType="begin"/>
        </w:r>
        <w:r>
          <w:rPr>
            <w:noProof/>
            <w:webHidden/>
          </w:rPr>
          <w:instrText xml:space="preserve"> PAGEREF _Toc154331559 \h </w:instrText>
        </w:r>
        <w:r>
          <w:rPr>
            <w:noProof/>
            <w:webHidden/>
          </w:rPr>
        </w:r>
        <w:r>
          <w:rPr>
            <w:noProof/>
            <w:webHidden/>
          </w:rPr>
          <w:fldChar w:fldCharType="separate"/>
        </w:r>
        <w:r w:rsidR="004B7F70">
          <w:rPr>
            <w:noProof/>
            <w:webHidden/>
          </w:rPr>
          <w:t>106</w:t>
        </w:r>
        <w:r>
          <w:rPr>
            <w:noProof/>
            <w:webHidden/>
          </w:rPr>
          <w:fldChar w:fldCharType="end"/>
        </w:r>
      </w:hyperlink>
    </w:p>
    <w:p w14:paraId="05B2636E" w14:textId="58B3A2F6"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60" w:history="1">
        <w:r w:rsidRPr="00DA7627">
          <w:rPr>
            <w:rStyle w:val="Hyperlink"/>
            <w:noProof/>
          </w:rPr>
          <w:t>Figure 3.26 Crowded barley plants produce fewer tillers and shoot biomass per plant than uncrowded plants</w:t>
        </w:r>
        <w:r>
          <w:rPr>
            <w:noProof/>
            <w:webHidden/>
          </w:rPr>
          <w:tab/>
        </w:r>
        <w:r>
          <w:rPr>
            <w:noProof/>
            <w:webHidden/>
          </w:rPr>
          <w:fldChar w:fldCharType="begin"/>
        </w:r>
        <w:r>
          <w:rPr>
            <w:noProof/>
            <w:webHidden/>
          </w:rPr>
          <w:instrText xml:space="preserve"> PAGEREF _Toc154331560 \h </w:instrText>
        </w:r>
        <w:r>
          <w:rPr>
            <w:noProof/>
            <w:webHidden/>
          </w:rPr>
        </w:r>
        <w:r>
          <w:rPr>
            <w:noProof/>
            <w:webHidden/>
          </w:rPr>
          <w:fldChar w:fldCharType="separate"/>
        </w:r>
        <w:r w:rsidR="004B7F70">
          <w:rPr>
            <w:noProof/>
            <w:webHidden/>
          </w:rPr>
          <w:t>107</w:t>
        </w:r>
        <w:r>
          <w:rPr>
            <w:noProof/>
            <w:webHidden/>
          </w:rPr>
          <w:fldChar w:fldCharType="end"/>
        </w:r>
      </w:hyperlink>
    </w:p>
    <w:p w14:paraId="279D24F1" w14:textId="02ACC4FE"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61" w:history="1">
        <w:r w:rsidRPr="00DA7627">
          <w:rPr>
            <w:rStyle w:val="Hyperlink"/>
            <w:noProof/>
          </w:rPr>
          <w:t>Figure 3.27 Root density is variable across spring barley lines</w:t>
        </w:r>
        <w:r>
          <w:rPr>
            <w:noProof/>
            <w:webHidden/>
          </w:rPr>
          <w:tab/>
        </w:r>
        <w:r>
          <w:rPr>
            <w:noProof/>
            <w:webHidden/>
          </w:rPr>
          <w:fldChar w:fldCharType="begin"/>
        </w:r>
        <w:r>
          <w:rPr>
            <w:noProof/>
            <w:webHidden/>
          </w:rPr>
          <w:instrText xml:space="preserve"> PAGEREF _Toc154331561 \h </w:instrText>
        </w:r>
        <w:r>
          <w:rPr>
            <w:noProof/>
            <w:webHidden/>
          </w:rPr>
        </w:r>
        <w:r>
          <w:rPr>
            <w:noProof/>
            <w:webHidden/>
          </w:rPr>
          <w:fldChar w:fldCharType="separate"/>
        </w:r>
        <w:r w:rsidR="004B7F70">
          <w:rPr>
            <w:noProof/>
            <w:webHidden/>
          </w:rPr>
          <w:t>110</w:t>
        </w:r>
        <w:r>
          <w:rPr>
            <w:noProof/>
            <w:webHidden/>
          </w:rPr>
          <w:fldChar w:fldCharType="end"/>
        </w:r>
      </w:hyperlink>
    </w:p>
    <w:p w14:paraId="529EEAF2" w14:textId="69C93CB2"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62" w:history="1">
        <w:r w:rsidRPr="00DA7627">
          <w:rPr>
            <w:rStyle w:val="Hyperlink"/>
            <w:noProof/>
          </w:rPr>
          <w:t>Figure 3.28 Low and high sensitivity spring barley lines grown in rhizoboxes tiller in a similar manner to those grown in pots</w:t>
        </w:r>
        <w:r>
          <w:rPr>
            <w:noProof/>
            <w:webHidden/>
          </w:rPr>
          <w:tab/>
        </w:r>
        <w:r>
          <w:rPr>
            <w:noProof/>
            <w:webHidden/>
          </w:rPr>
          <w:fldChar w:fldCharType="begin"/>
        </w:r>
        <w:r>
          <w:rPr>
            <w:noProof/>
            <w:webHidden/>
          </w:rPr>
          <w:instrText xml:space="preserve"> PAGEREF _Toc154331562 \h </w:instrText>
        </w:r>
        <w:r>
          <w:rPr>
            <w:noProof/>
            <w:webHidden/>
          </w:rPr>
        </w:r>
        <w:r>
          <w:rPr>
            <w:noProof/>
            <w:webHidden/>
          </w:rPr>
          <w:fldChar w:fldCharType="separate"/>
        </w:r>
        <w:r w:rsidR="004B7F70">
          <w:rPr>
            <w:noProof/>
            <w:webHidden/>
          </w:rPr>
          <w:t>111</w:t>
        </w:r>
        <w:r>
          <w:rPr>
            <w:noProof/>
            <w:webHidden/>
          </w:rPr>
          <w:fldChar w:fldCharType="end"/>
        </w:r>
      </w:hyperlink>
    </w:p>
    <w:p w14:paraId="35A82500" w14:textId="3DC82CB6"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63" w:history="1">
        <w:r w:rsidRPr="00DA7627">
          <w:rPr>
            <w:rStyle w:val="Hyperlink"/>
            <w:noProof/>
          </w:rPr>
          <w:t>Figure 3.29 Root and shoot system size are unlinked in barley</w:t>
        </w:r>
        <w:r>
          <w:rPr>
            <w:noProof/>
            <w:webHidden/>
          </w:rPr>
          <w:tab/>
        </w:r>
        <w:r>
          <w:rPr>
            <w:noProof/>
            <w:webHidden/>
          </w:rPr>
          <w:fldChar w:fldCharType="begin"/>
        </w:r>
        <w:r>
          <w:rPr>
            <w:noProof/>
            <w:webHidden/>
          </w:rPr>
          <w:instrText xml:space="preserve"> PAGEREF _Toc154331563 \h </w:instrText>
        </w:r>
        <w:r>
          <w:rPr>
            <w:noProof/>
            <w:webHidden/>
          </w:rPr>
        </w:r>
        <w:r>
          <w:rPr>
            <w:noProof/>
            <w:webHidden/>
          </w:rPr>
          <w:fldChar w:fldCharType="separate"/>
        </w:r>
        <w:r w:rsidR="004B7F70">
          <w:rPr>
            <w:noProof/>
            <w:webHidden/>
          </w:rPr>
          <w:t>112</w:t>
        </w:r>
        <w:r>
          <w:rPr>
            <w:noProof/>
            <w:webHidden/>
          </w:rPr>
          <w:fldChar w:fldCharType="end"/>
        </w:r>
      </w:hyperlink>
    </w:p>
    <w:p w14:paraId="0EA037BC" w14:textId="0D5B684A"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64" w:history="1">
        <w:r w:rsidRPr="00DA7627">
          <w:rPr>
            <w:rStyle w:val="Hyperlink"/>
            <w:noProof/>
          </w:rPr>
          <w:t>Figure 3.30 Root length and root number is generally elevated in small soil volumes in barley lines</w:t>
        </w:r>
        <w:r>
          <w:rPr>
            <w:noProof/>
            <w:webHidden/>
          </w:rPr>
          <w:tab/>
        </w:r>
        <w:r>
          <w:rPr>
            <w:noProof/>
            <w:webHidden/>
          </w:rPr>
          <w:fldChar w:fldCharType="begin"/>
        </w:r>
        <w:r>
          <w:rPr>
            <w:noProof/>
            <w:webHidden/>
          </w:rPr>
          <w:instrText xml:space="preserve"> PAGEREF _Toc154331564 \h </w:instrText>
        </w:r>
        <w:r>
          <w:rPr>
            <w:noProof/>
            <w:webHidden/>
          </w:rPr>
        </w:r>
        <w:r>
          <w:rPr>
            <w:noProof/>
            <w:webHidden/>
          </w:rPr>
          <w:fldChar w:fldCharType="separate"/>
        </w:r>
        <w:r w:rsidR="004B7F70">
          <w:rPr>
            <w:noProof/>
            <w:webHidden/>
          </w:rPr>
          <w:t>114</w:t>
        </w:r>
        <w:r>
          <w:rPr>
            <w:noProof/>
            <w:webHidden/>
          </w:rPr>
          <w:fldChar w:fldCharType="end"/>
        </w:r>
      </w:hyperlink>
    </w:p>
    <w:p w14:paraId="3386ECC2" w14:textId="0C757785"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65" w:history="1">
        <w:r w:rsidRPr="00DA7627">
          <w:rPr>
            <w:rStyle w:val="Hyperlink"/>
            <w:noProof/>
          </w:rPr>
          <w:t>Figure 3.31 Root density is predictive of shoot system size in wheat</w:t>
        </w:r>
        <w:r>
          <w:rPr>
            <w:noProof/>
            <w:webHidden/>
          </w:rPr>
          <w:tab/>
        </w:r>
        <w:r>
          <w:rPr>
            <w:noProof/>
            <w:webHidden/>
          </w:rPr>
          <w:fldChar w:fldCharType="begin"/>
        </w:r>
        <w:r>
          <w:rPr>
            <w:noProof/>
            <w:webHidden/>
          </w:rPr>
          <w:instrText xml:space="preserve"> PAGEREF _Toc154331565 \h </w:instrText>
        </w:r>
        <w:r>
          <w:rPr>
            <w:noProof/>
            <w:webHidden/>
          </w:rPr>
        </w:r>
        <w:r>
          <w:rPr>
            <w:noProof/>
            <w:webHidden/>
          </w:rPr>
          <w:fldChar w:fldCharType="separate"/>
        </w:r>
        <w:r w:rsidR="004B7F70">
          <w:rPr>
            <w:noProof/>
            <w:webHidden/>
          </w:rPr>
          <w:t>117</w:t>
        </w:r>
        <w:r>
          <w:rPr>
            <w:noProof/>
            <w:webHidden/>
          </w:rPr>
          <w:fldChar w:fldCharType="end"/>
        </w:r>
      </w:hyperlink>
    </w:p>
    <w:p w14:paraId="5A359090" w14:textId="1654DCB1"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66" w:history="1">
        <w:r w:rsidRPr="00DA7627">
          <w:rPr>
            <w:rStyle w:val="Hyperlink"/>
            <w:noProof/>
          </w:rPr>
          <w:t>Figure 3.32 Shoot biomass and tiller number varies in wheat lines</w:t>
        </w:r>
        <w:r>
          <w:rPr>
            <w:noProof/>
            <w:webHidden/>
          </w:rPr>
          <w:tab/>
        </w:r>
        <w:r>
          <w:rPr>
            <w:noProof/>
            <w:webHidden/>
          </w:rPr>
          <w:fldChar w:fldCharType="begin"/>
        </w:r>
        <w:r>
          <w:rPr>
            <w:noProof/>
            <w:webHidden/>
          </w:rPr>
          <w:instrText xml:space="preserve"> PAGEREF _Toc154331566 \h </w:instrText>
        </w:r>
        <w:r>
          <w:rPr>
            <w:noProof/>
            <w:webHidden/>
          </w:rPr>
        </w:r>
        <w:r>
          <w:rPr>
            <w:noProof/>
            <w:webHidden/>
          </w:rPr>
          <w:fldChar w:fldCharType="separate"/>
        </w:r>
        <w:r w:rsidR="004B7F70">
          <w:rPr>
            <w:noProof/>
            <w:webHidden/>
          </w:rPr>
          <w:t>119</w:t>
        </w:r>
        <w:r>
          <w:rPr>
            <w:noProof/>
            <w:webHidden/>
          </w:rPr>
          <w:fldChar w:fldCharType="end"/>
        </w:r>
      </w:hyperlink>
    </w:p>
    <w:p w14:paraId="53F7C618" w14:textId="1DE4755B"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67" w:history="1">
        <w:r w:rsidRPr="00DA7627">
          <w:rPr>
            <w:rStyle w:val="Hyperlink"/>
            <w:noProof/>
          </w:rPr>
          <w:t>Figure 3.33 Root density varies across wheat lines</w:t>
        </w:r>
        <w:r>
          <w:rPr>
            <w:noProof/>
            <w:webHidden/>
          </w:rPr>
          <w:tab/>
        </w:r>
        <w:r>
          <w:rPr>
            <w:noProof/>
            <w:webHidden/>
          </w:rPr>
          <w:fldChar w:fldCharType="begin"/>
        </w:r>
        <w:r>
          <w:rPr>
            <w:noProof/>
            <w:webHidden/>
          </w:rPr>
          <w:instrText xml:space="preserve"> PAGEREF _Toc154331567 \h </w:instrText>
        </w:r>
        <w:r>
          <w:rPr>
            <w:noProof/>
            <w:webHidden/>
          </w:rPr>
        </w:r>
        <w:r>
          <w:rPr>
            <w:noProof/>
            <w:webHidden/>
          </w:rPr>
          <w:fldChar w:fldCharType="separate"/>
        </w:r>
        <w:r w:rsidR="004B7F70">
          <w:rPr>
            <w:noProof/>
            <w:webHidden/>
          </w:rPr>
          <w:t>121</w:t>
        </w:r>
        <w:r>
          <w:rPr>
            <w:noProof/>
            <w:webHidden/>
          </w:rPr>
          <w:fldChar w:fldCharType="end"/>
        </w:r>
      </w:hyperlink>
    </w:p>
    <w:p w14:paraId="63776221" w14:textId="4C007FE1"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68" w:history="1">
        <w:r w:rsidRPr="00DA7627">
          <w:rPr>
            <w:rStyle w:val="Hyperlink"/>
            <w:noProof/>
          </w:rPr>
          <w:t>Figure 3.34 Root length and number are not influenced by angle of root emergence in wheat</w:t>
        </w:r>
        <w:r>
          <w:rPr>
            <w:noProof/>
            <w:webHidden/>
          </w:rPr>
          <w:tab/>
        </w:r>
        <w:r>
          <w:rPr>
            <w:noProof/>
            <w:webHidden/>
          </w:rPr>
          <w:fldChar w:fldCharType="begin"/>
        </w:r>
        <w:r>
          <w:rPr>
            <w:noProof/>
            <w:webHidden/>
          </w:rPr>
          <w:instrText xml:space="preserve"> PAGEREF _Toc154331568 \h </w:instrText>
        </w:r>
        <w:r>
          <w:rPr>
            <w:noProof/>
            <w:webHidden/>
          </w:rPr>
        </w:r>
        <w:r>
          <w:rPr>
            <w:noProof/>
            <w:webHidden/>
          </w:rPr>
          <w:fldChar w:fldCharType="separate"/>
        </w:r>
        <w:r w:rsidR="004B7F70">
          <w:rPr>
            <w:noProof/>
            <w:webHidden/>
          </w:rPr>
          <w:t>123</w:t>
        </w:r>
        <w:r>
          <w:rPr>
            <w:noProof/>
            <w:webHidden/>
          </w:rPr>
          <w:fldChar w:fldCharType="end"/>
        </w:r>
      </w:hyperlink>
    </w:p>
    <w:p w14:paraId="75FC7CE7" w14:textId="2F334984"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69" w:history="1">
        <w:r w:rsidRPr="00DA7627">
          <w:rPr>
            <w:rStyle w:val="Hyperlink"/>
            <w:noProof/>
          </w:rPr>
          <w:t>Figure 4.1 Volcano plots of differentially expressed genes at 4- and 8- hours post crowding</w:t>
        </w:r>
        <w:r>
          <w:rPr>
            <w:noProof/>
            <w:webHidden/>
          </w:rPr>
          <w:tab/>
        </w:r>
        <w:r>
          <w:rPr>
            <w:noProof/>
            <w:webHidden/>
          </w:rPr>
          <w:fldChar w:fldCharType="begin"/>
        </w:r>
        <w:r>
          <w:rPr>
            <w:noProof/>
            <w:webHidden/>
          </w:rPr>
          <w:instrText xml:space="preserve"> PAGEREF _Toc154331569 \h </w:instrText>
        </w:r>
        <w:r>
          <w:rPr>
            <w:noProof/>
            <w:webHidden/>
          </w:rPr>
        </w:r>
        <w:r>
          <w:rPr>
            <w:noProof/>
            <w:webHidden/>
          </w:rPr>
          <w:fldChar w:fldCharType="separate"/>
        </w:r>
        <w:r w:rsidR="004B7F70">
          <w:rPr>
            <w:noProof/>
            <w:webHidden/>
          </w:rPr>
          <w:t>132</w:t>
        </w:r>
        <w:r>
          <w:rPr>
            <w:noProof/>
            <w:webHidden/>
          </w:rPr>
          <w:fldChar w:fldCharType="end"/>
        </w:r>
      </w:hyperlink>
    </w:p>
    <w:p w14:paraId="72509FDA" w14:textId="314BA8F6"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70" w:history="1">
        <w:r w:rsidRPr="00DA7627">
          <w:rPr>
            <w:rStyle w:val="Hyperlink"/>
            <w:noProof/>
          </w:rPr>
          <w:t>Figure 4.2 Biological process GO terms at 4 and 8 hours post crowding</w:t>
        </w:r>
        <w:r>
          <w:rPr>
            <w:noProof/>
            <w:webHidden/>
          </w:rPr>
          <w:tab/>
        </w:r>
        <w:r>
          <w:rPr>
            <w:noProof/>
            <w:webHidden/>
          </w:rPr>
          <w:fldChar w:fldCharType="begin"/>
        </w:r>
        <w:r>
          <w:rPr>
            <w:noProof/>
            <w:webHidden/>
          </w:rPr>
          <w:instrText xml:space="preserve"> PAGEREF _Toc154331570 \h </w:instrText>
        </w:r>
        <w:r>
          <w:rPr>
            <w:noProof/>
            <w:webHidden/>
          </w:rPr>
        </w:r>
        <w:r>
          <w:rPr>
            <w:noProof/>
            <w:webHidden/>
          </w:rPr>
          <w:fldChar w:fldCharType="separate"/>
        </w:r>
        <w:r w:rsidR="004B7F70">
          <w:rPr>
            <w:noProof/>
            <w:webHidden/>
          </w:rPr>
          <w:t>133</w:t>
        </w:r>
        <w:r>
          <w:rPr>
            <w:noProof/>
            <w:webHidden/>
          </w:rPr>
          <w:fldChar w:fldCharType="end"/>
        </w:r>
      </w:hyperlink>
    </w:p>
    <w:p w14:paraId="1A116ACE" w14:textId="446F896B"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71" w:history="1">
        <w:r w:rsidRPr="00DA7627">
          <w:rPr>
            <w:rStyle w:val="Hyperlink"/>
            <w:noProof/>
          </w:rPr>
          <w:t>Figure 4.3 Overlap of differentially expressed genes at 4- and 8-hours post crowding</w:t>
        </w:r>
        <w:r>
          <w:rPr>
            <w:noProof/>
            <w:webHidden/>
          </w:rPr>
          <w:tab/>
        </w:r>
        <w:r>
          <w:rPr>
            <w:noProof/>
            <w:webHidden/>
          </w:rPr>
          <w:fldChar w:fldCharType="begin"/>
        </w:r>
        <w:r>
          <w:rPr>
            <w:noProof/>
            <w:webHidden/>
          </w:rPr>
          <w:instrText xml:space="preserve"> PAGEREF _Toc154331571 \h </w:instrText>
        </w:r>
        <w:r>
          <w:rPr>
            <w:noProof/>
            <w:webHidden/>
          </w:rPr>
        </w:r>
        <w:r>
          <w:rPr>
            <w:noProof/>
            <w:webHidden/>
          </w:rPr>
          <w:fldChar w:fldCharType="separate"/>
        </w:r>
        <w:r w:rsidR="004B7F70">
          <w:rPr>
            <w:noProof/>
            <w:webHidden/>
          </w:rPr>
          <w:t>134</w:t>
        </w:r>
        <w:r>
          <w:rPr>
            <w:noProof/>
            <w:webHidden/>
          </w:rPr>
          <w:fldChar w:fldCharType="end"/>
        </w:r>
      </w:hyperlink>
    </w:p>
    <w:p w14:paraId="293B1703" w14:textId="0845EA2A"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72" w:history="1">
        <w:r w:rsidRPr="00DA7627">
          <w:rPr>
            <w:rStyle w:val="Hyperlink"/>
            <w:noProof/>
          </w:rPr>
          <w:t xml:space="preserve">Figure 4.4 Root based plant crowding affects </w:t>
        </w:r>
        <w:r w:rsidRPr="00DA7627">
          <w:rPr>
            <w:rStyle w:val="Hyperlink"/>
            <w:i/>
            <w:iCs/>
            <w:noProof/>
          </w:rPr>
          <w:t>NRT1/2</w:t>
        </w:r>
        <w:r w:rsidRPr="00DA7627">
          <w:rPr>
            <w:rStyle w:val="Hyperlink"/>
            <w:noProof/>
          </w:rPr>
          <w:t xml:space="preserve"> and </w:t>
        </w:r>
        <w:r w:rsidRPr="00DA7627">
          <w:rPr>
            <w:rStyle w:val="Hyperlink"/>
            <w:i/>
            <w:iCs/>
            <w:noProof/>
          </w:rPr>
          <w:t>RHD6</w:t>
        </w:r>
        <w:r w:rsidRPr="00DA7627">
          <w:rPr>
            <w:rStyle w:val="Hyperlink"/>
            <w:noProof/>
          </w:rPr>
          <w:t xml:space="preserve"> expression in the root</w:t>
        </w:r>
        <w:r>
          <w:rPr>
            <w:noProof/>
            <w:webHidden/>
          </w:rPr>
          <w:tab/>
        </w:r>
        <w:r>
          <w:rPr>
            <w:noProof/>
            <w:webHidden/>
          </w:rPr>
          <w:fldChar w:fldCharType="begin"/>
        </w:r>
        <w:r>
          <w:rPr>
            <w:noProof/>
            <w:webHidden/>
          </w:rPr>
          <w:instrText xml:space="preserve"> PAGEREF _Toc154331572 \h </w:instrText>
        </w:r>
        <w:r>
          <w:rPr>
            <w:noProof/>
            <w:webHidden/>
          </w:rPr>
        </w:r>
        <w:r>
          <w:rPr>
            <w:noProof/>
            <w:webHidden/>
          </w:rPr>
          <w:fldChar w:fldCharType="separate"/>
        </w:r>
        <w:r w:rsidR="004B7F70">
          <w:rPr>
            <w:noProof/>
            <w:webHidden/>
          </w:rPr>
          <w:t>139</w:t>
        </w:r>
        <w:r>
          <w:rPr>
            <w:noProof/>
            <w:webHidden/>
          </w:rPr>
          <w:fldChar w:fldCharType="end"/>
        </w:r>
      </w:hyperlink>
    </w:p>
    <w:p w14:paraId="5AEE8E14" w14:textId="760DD698"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73" w:history="1">
        <w:r w:rsidRPr="00DA7627">
          <w:rPr>
            <w:rStyle w:val="Hyperlink"/>
            <w:noProof/>
          </w:rPr>
          <w:t xml:space="preserve">Figure 4.5 Root based plant crowding affects </w:t>
        </w:r>
        <w:r w:rsidRPr="00DA7627">
          <w:rPr>
            <w:rStyle w:val="Hyperlink"/>
            <w:i/>
            <w:iCs/>
            <w:noProof/>
          </w:rPr>
          <w:t>CEP</w:t>
        </w:r>
        <w:r w:rsidRPr="00DA7627">
          <w:rPr>
            <w:rStyle w:val="Hyperlink"/>
            <w:noProof/>
          </w:rPr>
          <w:t xml:space="preserve"> and </w:t>
        </w:r>
        <w:r w:rsidRPr="00DA7627">
          <w:rPr>
            <w:rStyle w:val="Hyperlink"/>
            <w:i/>
            <w:iCs/>
            <w:noProof/>
          </w:rPr>
          <w:t>UGT85A1</w:t>
        </w:r>
        <w:r w:rsidRPr="00DA7627">
          <w:rPr>
            <w:rStyle w:val="Hyperlink"/>
            <w:noProof/>
          </w:rPr>
          <w:t xml:space="preserve"> expression in the root</w:t>
        </w:r>
        <w:r>
          <w:rPr>
            <w:noProof/>
            <w:webHidden/>
          </w:rPr>
          <w:tab/>
        </w:r>
        <w:r>
          <w:rPr>
            <w:noProof/>
            <w:webHidden/>
          </w:rPr>
          <w:fldChar w:fldCharType="begin"/>
        </w:r>
        <w:r>
          <w:rPr>
            <w:noProof/>
            <w:webHidden/>
          </w:rPr>
          <w:instrText xml:space="preserve"> PAGEREF _Toc154331573 \h </w:instrText>
        </w:r>
        <w:r>
          <w:rPr>
            <w:noProof/>
            <w:webHidden/>
          </w:rPr>
        </w:r>
        <w:r>
          <w:rPr>
            <w:noProof/>
            <w:webHidden/>
          </w:rPr>
          <w:fldChar w:fldCharType="separate"/>
        </w:r>
        <w:r w:rsidR="004B7F70">
          <w:rPr>
            <w:noProof/>
            <w:webHidden/>
          </w:rPr>
          <w:t>142</w:t>
        </w:r>
        <w:r>
          <w:rPr>
            <w:noProof/>
            <w:webHidden/>
          </w:rPr>
          <w:fldChar w:fldCharType="end"/>
        </w:r>
      </w:hyperlink>
    </w:p>
    <w:p w14:paraId="0CCD73C1" w14:textId="57BDDAC6"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74" w:history="1">
        <w:r w:rsidRPr="00DA7627">
          <w:rPr>
            <w:rStyle w:val="Hyperlink"/>
            <w:noProof/>
          </w:rPr>
          <w:t>Figure 4.6 Soil volume influences tiller number in wheat</w:t>
        </w:r>
        <w:r>
          <w:rPr>
            <w:noProof/>
            <w:webHidden/>
          </w:rPr>
          <w:tab/>
        </w:r>
        <w:r>
          <w:rPr>
            <w:noProof/>
            <w:webHidden/>
          </w:rPr>
          <w:fldChar w:fldCharType="begin"/>
        </w:r>
        <w:r>
          <w:rPr>
            <w:noProof/>
            <w:webHidden/>
          </w:rPr>
          <w:instrText xml:space="preserve"> PAGEREF _Toc154331574 \h </w:instrText>
        </w:r>
        <w:r>
          <w:rPr>
            <w:noProof/>
            <w:webHidden/>
          </w:rPr>
        </w:r>
        <w:r>
          <w:rPr>
            <w:noProof/>
            <w:webHidden/>
          </w:rPr>
          <w:fldChar w:fldCharType="separate"/>
        </w:r>
        <w:r w:rsidR="004B7F70">
          <w:rPr>
            <w:noProof/>
            <w:webHidden/>
          </w:rPr>
          <w:t>146</w:t>
        </w:r>
        <w:r>
          <w:rPr>
            <w:noProof/>
            <w:webHidden/>
          </w:rPr>
          <w:fldChar w:fldCharType="end"/>
        </w:r>
      </w:hyperlink>
    </w:p>
    <w:p w14:paraId="40DE6876" w14:textId="001752D1"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75" w:history="1">
        <w:r w:rsidRPr="00DA7627">
          <w:rPr>
            <w:rStyle w:val="Hyperlink"/>
            <w:noProof/>
          </w:rPr>
          <w:t>Figure 4.7 Soil volume effects occur in 2 phases</w:t>
        </w:r>
        <w:r>
          <w:rPr>
            <w:noProof/>
            <w:webHidden/>
          </w:rPr>
          <w:tab/>
        </w:r>
        <w:r>
          <w:rPr>
            <w:noProof/>
            <w:webHidden/>
          </w:rPr>
          <w:fldChar w:fldCharType="begin"/>
        </w:r>
        <w:r>
          <w:rPr>
            <w:noProof/>
            <w:webHidden/>
          </w:rPr>
          <w:instrText xml:space="preserve"> PAGEREF _Toc154331575 \h </w:instrText>
        </w:r>
        <w:r>
          <w:rPr>
            <w:noProof/>
            <w:webHidden/>
          </w:rPr>
        </w:r>
        <w:r>
          <w:rPr>
            <w:noProof/>
            <w:webHidden/>
          </w:rPr>
          <w:fldChar w:fldCharType="separate"/>
        </w:r>
        <w:r w:rsidR="004B7F70">
          <w:rPr>
            <w:noProof/>
            <w:webHidden/>
          </w:rPr>
          <w:t>150</w:t>
        </w:r>
        <w:r>
          <w:rPr>
            <w:noProof/>
            <w:webHidden/>
          </w:rPr>
          <w:fldChar w:fldCharType="end"/>
        </w:r>
      </w:hyperlink>
    </w:p>
    <w:p w14:paraId="2F5A5D4C" w14:textId="7A07DBB8"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76" w:history="1">
        <w:r w:rsidRPr="00DA7627">
          <w:rPr>
            <w:rStyle w:val="Hyperlink"/>
            <w:noProof/>
          </w:rPr>
          <w:t>Figure 4.8 Shoot biomass reflects available chemical volume</w:t>
        </w:r>
        <w:r>
          <w:rPr>
            <w:noProof/>
            <w:webHidden/>
          </w:rPr>
          <w:tab/>
        </w:r>
        <w:r>
          <w:rPr>
            <w:noProof/>
            <w:webHidden/>
          </w:rPr>
          <w:fldChar w:fldCharType="begin"/>
        </w:r>
        <w:r>
          <w:rPr>
            <w:noProof/>
            <w:webHidden/>
          </w:rPr>
          <w:instrText xml:space="preserve"> PAGEREF _Toc154331576 \h </w:instrText>
        </w:r>
        <w:r>
          <w:rPr>
            <w:noProof/>
            <w:webHidden/>
          </w:rPr>
        </w:r>
        <w:r>
          <w:rPr>
            <w:noProof/>
            <w:webHidden/>
          </w:rPr>
          <w:fldChar w:fldCharType="separate"/>
        </w:r>
        <w:r w:rsidR="004B7F70">
          <w:rPr>
            <w:noProof/>
            <w:webHidden/>
          </w:rPr>
          <w:t>151</w:t>
        </w:r>
        <w:r>
          <w:rPr>
            <w:noProof/>
            <w:webHidden/>
          </w:rPr>
          <w:fldChar w:fldCharType="end"/>
        </w:r>
      </w:hyperlink>
    </w:p>
    <w:p w14:paraId="38B9EBB3" w14:textId="7EA42522"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77" w:history="1">
        <w:r w:rsidRPr="00DA7627">
          <w:rPr>
            <w:rStyle w:val="Hyperlink"/>
            <w:noProof/>
          </w:rPr>
          <w:t>Figure 4.9 Substrate volume sensing is not due to a mechanical factor</w:t>
        </w:r>
        <w:r>
          <w:rPr>
            <w:noProof/>
            <w:webHidden/>
          </w:rPr>
          <w:tab/>
        </w:r>
        <w:r>
          <w:rPr>
            <w:noProof/>
            <w:webHidden/>
          </w:rPr>
          <w:fldChar w:fldCharType="begin"/>
        </w:r>
        <w:r>
          <w:rPr>
            <w:noProof/>
            <w:webHidden/>
          </w:rPr>
          <w:instrText xml:space="preserve"> PAGEREF _Toc154331577 \h </w:instrText>
        </w:r>
        <w:r>
          <w:rPr>
            <w:noProof/>
            <w:webHidden/>
          </w:rPr>
        </w:r>
        <w:r>
          <w:rPr>
            <w:noProof/>
            <w:webHidden/>
          </w:rPr>
          <w:fldChar w:fldCharType="separate"/>
        </w:r>
        <w:r w:rsidR="004B7F70">
          <w:rPr>
            <w:noProof/>
            <w:webHidden/>
          </w:rPr>
          <w:t>154</w:t>
        </w:r>
        <w:r>
          <w:rPr>
            <w:noProof/>
            <w:webHidden/>
          </w:rPr>
          <w:fldChar w:fldCharType="end"/>
        </w:r>
      </w:hyperlink>
    </w:p>
    <w:p w14:paraId="4F94099E" w14:textId="57351867"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78" w:history="1">
        <w:r w:rsidRPr="00DA7627">
          <w:rPr>
            <w:rStyle w:val="Hyperlink"/>
            <w:noProof/>
          </w:rPr>
          <w:t>Figure 4.10 Root density is not involved in early responses to substrate volume</w:t>
        </w:r>
        <w:r>
          <w:rPr>
            <w:noProof/>
            <w:webHidden/>
          </w:rPr>
          <w:tab/>
        </w:r>
        <w:r>
          <w:rPr>
            <w:noProof/>
            <w:webHidden/>
          </w:rPr>
          <w:fldChar w:fldCharType="begin"/>
        </w:r>
        <w:r>
          <w:rPr>
            <w:noProof/>
            <w:webHidden/>
          </w:rPr>
          <w:instrText xml:space="preserve"> PAGEREF _Toc154331578 \h </w:instrText>
        </w:r>
        <w:r>
          <w:rPr>
            <w:noProof/>
            <w:webHidden/>
          </w:rPr>
        </w:r>
        <w:r>
          <w:rPr>
            <w:noProof/>
            <w:webHidden/>
          </w:rPr>
          <w:fldChar w:fldCharType="separate"/>
        </w:r>
        <w:r w:rsidR="004B7F70">
          <w:rPr>
            <w:noProof/>
            <w:webHidden/>
          </w:rPr>
          <w:t>155</w:t>
        </w:r>
        <w:r>
          <w:rPr>
            <w:noProof/>
            <w:webHidden/>
          </w:rPr>
          <w:fldChar w:fldCharType="end"/>
        </w:r>
      </w:hyperlink>
    </w:p>
    <w:p w14:paraId="7D41D932" w14:textId="3A4A9645"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79" w:history="1">
        <w:r w:rsidRPr="00DA7627">
          <w:rPr>
            <w:rStyle w:val="Hyperlink"/>
            <w:noProof/>
          </w:rPr>
          <w:t>Figure 4.11 Container shape influences shoot growth</w:t>
        </w:r>
        <w:r>
          <w:rPr>
            <w:noProof/>
            <w:webHidden/>
          </w:rPr>
          <w:tab/>
        </w:r>
        <w:r>
          <w:rPr>
            <w:noProof/>
            <w:webHidden/>
          </w:rPr>
          <w:fldChar w:fldCharType="begin"/>
        </w:r>
        <w:r>
          <w:rPr>
            <w:noProof/>
            <w:webHidden/>
          </w:rPr>
          <w:instrText xml:space="preserve"> PAGEREF _Toc154331579 \h </w:instrText>
        </w:r>
        <w:r>
          <w:rPr>
            <w:noProof/>
            <w:webHidden/>
          </w:rPr>
        </w:r>
        <w:r>
          <w:rPr>
            <w:noProof/>
            <w:webHidden/>
          </w:rPr>
          <w:fldChar w:fldCharType="separate"/>
        </w:r>
        <w:r w:rsidR="004B7F70">
          <w:rPr>
            <w:noProof/>
            <w:webHidden/>
          </w:rPr>
          <w:t>159</w:t>
        </w:r>
        <w:r>
          <w:rPr>
            <w:noProof/>
            <w:webHidden/>
          </w:rPr>
          <w:fldChar w:fldCharType="end"/>
        </w:r>
      </w:hyperlink>
    </w:p>
    <w:p w14:paraId="62365B75" w14:textId="23040C37"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80" w:history="1">
        <w:r w:rsidRPr="00DA7627">
          <w:rPr>
            <w:rStyle w:val="Hyperlink"/>
            <w:noProof/>
          </w:rPr>
          <w:t>Figure 4.12 Container shape influences the shoot system later in life</w:t>
        </w:r>
        <w:r>
          <w:rPr>
            <w:noProof/>
            <w:webHidden/>
          </w:rPr>
          <w:tab/>
        </w:r>
        <w:r>
          <w:rPr>
            <w:noProof/>
            <w:webHidden/>
          </w:rPr>
          <w:fldChar w:fldCharType="begin"/>
        </w:r>
        <w:r>
          <w:rPr>
            <w:noProof/>
            <w:webHidden/>
          </w:rPr>
          <w:instrText xml:space="preserve"> PAGEREF _Toc154331580 \h </w:instrText>
        </w:r>
        <w:r>
          <w:rPr>
            <w:noProof/>
            <w:webHidden/>
          </w:rPr>
        </w:r>
        <w:r>
          <w:rPr>
            <w:noProof/>
            <w:webHidden/>
          </w:rPr>
          <w:fldChar w:fldCharType="separate"/>
        </w:r>
        <w:r w:rsidR="004B7F70">
          <w:rPr>
            <w:noProof/>
            <w:webHidden/>
          </w:rPr>
          <w:t>161</w:t>
        </w:r>
        <w:r>
          <w:rPr>
            <w:noProof/>
            <w:webHidden/>
          </w:rPr>
          <w:fldChar w:fldCharType="end"/>
        </w:r>
      </w:hyperlink>
    </w:p>
    <w:p w14:paraId="5A5F80ED" w14:textId="7DB445B9"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81" w:history="1">
        <w:r w:rsidRPr="00DA7627">
          <w:rPr>
            <w:rStyle w:val="Hyperlink"/>
            <w:noProof/>
          </w:rPr>
          <w:t>Figure 4.13 Root density results in shoot growth inhibition</w:t>
        </w:r>
        <w:r>
          <w:rPr>
            <w:noProof/>
            <w:webHidden/>
          </w:rPr>
          <w:tab/>
        </w:r>
        <w:r>
          <w:rPr>
            <w:noProof/>
            <w:webHidden/>
          </w:rPr>
          <w:fldChar w:fldCharType="begin"/>
        </w:r>
        <w:r>
          <w:rPr>
            <w:noProof/>
            <w:webHidden/>
          </w:rPr>
          <w:instrText xml:space="preserve"> PAGEREF _Toc154331581 \h </w:instrText>
        </w:r>
        <w:r>
          <w:rPr>
            <w:noProof/>
            <w:webHidden/>
          </w:rPr>
        </w:r>
        <w:r>
          <w:rPr>
            <w:noProof/>
            <w:webHidden/>
          </w:rPr>
          <w:fldChar w:fldCharType="separate"/>
        </w:r>
        <w:r w:rsidR="004B7F70">
          <w:rPr>
            <w:noProof/>
            <w:webHidden/>
          </w:rPr>
          <w:t>165</w:t>
        </w:r>
        <w:r>
          <w:rPr>
            <w:noProof/>
            <w:webHidden/>
          </w:rPr>
          <w:fldChar w:fldCharType="end"/>
        </w:r>
      </w:hyperlink>
    </w:p>
    <w:p w14:paraId="1CE1F3BE" w14:textId="47D07BCA"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82" w:history="1">
        <w:r w:rsidRPr="00DA7627">
          <w:rPr>
            <w:rStyle w:val="Hyperlink"/>
            <w:noProof/>
          </w:rPr>
          <w:t>Figure 4.14 Root density affects root growth allocation</w:t>
        </w:r>
        <w:r>
          <w:rPr>
            <w:noProof/>
            <w:webHidden/>
          </w:rPr>
          <w:tab/>
        </w:r>
        <w:r>
          <w:rPr>
            <w:noProof/>
            <w:webHidden/>
          </w:rPr>
          <w:fldChar w:fldCharType="begin"/>
        </w:r>
        <w:r>
          <w:rPr>
            <w:noProof/>
            <w:webHidden/>
          </w:rPr>
          <w:instrText xml:space="preserve"> PAGEREF _Toc154331582 \h </w:instrText>
        </w:r>
        <w:r>
          <w:rPr>
            <w:noProof/>
            <w:webHidden/>
          </w:rPr>
        </w:r>
        <w:r>
          <w:rPr>
            <w:noProof/>
            <w:webHidden/>
          </w:rPr>
          <w:fldChar w:fldCharType="separate"/>
        </w:r>
        <w:r w:rsidR="004B7F70">
          <w:rPr>
            <w:noProof/>
            <w:webHidden/>
          </w:rPr>
          <w:t>167</w:t>
        </w:r>
        <w:r>
          <w:rPr>
            <w:noProof/>
            <w:webHidden/>
          </w:rPr>
          <w:fldChar w:fldCharType="end"/>
        </w:r>
      </w:hyperlink>
    </w:p>
    <w:p w14:paraId="23508C3A" w14:textId="7326CEE2"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83" w:history="1">
        <w:r w:rsidRPr="00DA7627">
          <w:rPr>
            <w:rStyle w:val="Hyperlink"/>
            <w:noProof/>
          </w:rPr>
          <w:t>Figure 4.15 Substrate volume limitation can occur in hydroponic scenarios</w:t>
        </w:r>
        <w:r>
          <w:rPr>
            <w:noProof/>
            <w:webHidden/>
          </w:rPr>
          <w:tab/>
        </w:r>
        <w:r>
          <w:rPr>
            <w:noProof/>
            <w:webHidden/>
          </w:rPr>
          <w:fldChar w:fldCharType="begin"/>
        </w:r>
        <w:r>
          <w:rPr>
            <w:noProof/>
            <w:webHidden/>
          </w:rPr>
          <w:instrText xml:space="preserve"> PAGEREF _Toc154331583 \h </w:instrText>
        </w:r>
        <w:r>
          <w:rPr>
            <w:noProof/>
            <w:webHidden/>
          </w:rPr>
        </w:r>
        <w:r>
          <w:rPr>
            <w:noProof/>
            <w:webHidden/>
          </w:rPr>
          <w:fldChar w:fldCharType="separate"/>
        </w:r>
        <w:r w:rsidR="004B7F70">
          <w:rPr>
            <w:noProof/>
            <w:webHidden/>
          </w:rPr>
          <w:t>170</w:t>
        </w:r>
        <w:r>
          <w:rPr>
            <w:noProof/>
            <w:webHidden/>
          </w:rPr>
          <w:fldChar w:fldCharType="end"/>
        </w:r>
      </w:hyperlink>
    </w:p>
    <w:p w14:paraId="64205C7E" w14:textId="32224030"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84" w:history="1">
        <w:r w:rsidRPr="00DA7627">
          <w:rPr>
            <w:rStyle w:val="Hyperlink"/>
            <w:noProof/>
          </w:rPr>
          <w:t>Figure 4.16 Shoot and root biomass increase less in root enclosed conditions</w:t>
        </w:r>
        <w:r>
          <w:rPr>
            <w:noProof/>
            <w:webHidden/>
          </w:rPr>
          <w:tab/>
        </w:r>
        <w:r>
          <w:rPr>
            <w:noProof/>
            <w:webHidden/>
          </w:rPr>
          <w:fldChar w:fldCharType="begin"/>
        </w:r>
        <w:r>
          <w:rPr>
            <w:noProof/>
            <w:webHidden/>
          </w:rPr>
          <w:instrText xml:space="preserve"> PAGEREF _Toc154331584 \h </w:instrText>
        </w:r>
        <w:r>
          <w:rPr>
            <w:noProof/>
            <w:webHidden/>
          </w:rPr>
        </w:r>
        <w:r>
          <w:rPr>
            <w:noProof/>
            <w:webHidden/>
          </w:rPr>
          <w:fldChar w:fldCharType="separate"/>
        </w:r>
        <w:r w:rsidR="004B7F70">
          <w:rPr>
            <w:noProof/>
            <w:webHidden/>
          </w:rPr>
          <w:t>171</w:t>
        </w:r>
        <w:r>
          <w:rPr>
            <w:noProof/>
            <w:webHidden/>
          </w:rPr>
          <w:fldChar w:fldCharType="end"/>
        </w:r>
      </w:hyperlink>
    </w:p>
    <w:p w14:paraId="48893C4B" w14:textId="5208CA3F"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85" w:history="1">
        <w:r w:rsidRPr="00DA7627">
          <w:rPr>
            <w:rStyle w:val="Hyperlink"/>
            <w:noProof/>
          </w:rPr>
          <w:t>Figure 4.17 The substrate volume sensing signal (SVS) is used to detect available space early in plant growth</w:t>
        </w:r>
        <w:r>
          <w:rPr>
            <w:noProof/>
            <w:webHidden/>
          </w:rPr>
          <w:tab/>
        </w:r>
        <w:r>
          <w:rPr>
            <w:noProof/>
            <w:webHidden/>
          </w:rPr>
          <w:fldChar w:fldCharType="begin"/>
        </w:r>
        <w:r>
          <w:rPr>
            <w:noProof/>
            <w:webHidden/>
          </w:rPr>
          <w:instrText xml:space="preserve"> PAGEREF _Toc154331585 \h </w:instrText>
        </w:r>
        <w:r>
          <w:rPr>
            <w:noProof/>
            <w:webHidden/>
          </w:rPr>
        </w:r>
        <w:r>
          <w:rPr>
            <w:noProof/>
            <w:webHidden/>
          </w:rPr>
          <w:fldChar w:fldCharType="separate"/>
        </w:r>
        <w:r w:rsidR="004B7F70">
          <w:rPr>
            <w:noProof/>
            <w:webHidden/>
          </w:rPr>
          <w:t>174</w:t>
        </w:r>
        <w:r>
          <w:rPr>
            <w:noProof/>
            <w:webHidden/>
          </w:rPr>
          <w:fldChar w:fldCharType="end"/>
        </w:r>
      </w:hyperlink>
    </w:p>
    <w:p w14:paraId="53DAE003" w14:textId="6028EC01"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86" w:history="1">
        <w:r w:rsidRPr="00DA7627">
          <w:rPr>
            <w:rStyle w:val="Hyperlink"/>
            <w:noProof/>
          </w:rPr>
          <w:t>Figure 4.18 The concentration of the root density signal (RDS) increases faster during root aggregation, inhibiting shoot growth</w:t>
        </w:r>
        <w:r>
          <w:rPr>
            <w:noProof/>
            <w:webHidden/>
          </w:rPr>
          <w:tab/>
        </w:r>
        <w:r>
          <w:rPr>
            <w:noProof/>
            <w:webHidden/>
          </w:rPr>
          <w:fldChar w:fldCharType="begin"/>
        </w:r>
        <w:r>
          <w:rPr>
            <w:noProof/>
            <w:webHidden/>
          </w:rPr>
          <w:instrText xml:space="preserve"> PAGEREF _Toc154331586 \h </w:instrText>
        </w:r>
        <w:r>
          <w:rPr>
            <w:noProof/>
            <w:webHidden/>
          </w:rPr>
        </w:r>
        <w:r>
          <w:rPr>
            <w:noProof/>
            <w:webHidden/>
          </w:rPr>
          <w:fldChar w:fldCharType="separate"/>
        </w:r>
        <w:r w:rsidR="004B7F70">
          <w:rPr>
            <w:noProof/>
            <w:webHidden/>
          </w:rPr>
          <w:t>177</w:t>
        </w:r>
        <w:r>
          <w:rPr>
            <w:noProof/>
            <w:webHidden/>
          </w:rPr>
          <w:fldChar w:fldCharType="end"/>
        </w:r>
      </w:hyperlink>
    </w:p>
    <w:p w14:paraId="0ED0B9F8" w14:textId="295B6F58"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87" w:history="1">
        <w:r w:rsidRPr="00DA7627">
          <w:rPr>
            <w:rStyle w:val="Hyperlink"/>
            <w:noProof/>
          </w:rPr>
          <w:t>Figure 4.19 The root density signal (RDS) inhibits root growth locally with global shoot and root growth consequences</w:t>
        </w:r>
        <w:r>
          <w:rPr>
            <w:noProof/>
            <w:webHidden/>
          </w:rPr>
          <w:tab/>
        </w:r>
        <w:r>
          <w:rPr>
            <w:noProof/>
            <w:webHidden/>
          </w:rPr>
          <w:fldChar w:fldCharType="begin"/>
        </w:r>
        <w:r>
          <w:rPr>
            <w:noProof/>
            <w:webHidden/>
          </w:rPr>
          <w:instrText xml:space="preserve"> PAGEREF _Toc154331587 \h </w:instrText>
        </w:r>
        <w:r>
          <w:rPr>
            <w:noProof/>
            <w:webHidden/>
          </w:rPr>
        </w:r>
        <w:r>
          <w:rPr>
            <w:noProof/>
            <w:webHidden/>
          </w:rPr>
          <w:fldChar w:fldCharType="separate"/>
        </w:r>
        <w:r w:rsidR="004B7F70">
          <w:rPr>
            <w:noProof/>
            <w:webHidden/>
          </w:rPr>
          <w:t>178</w:t>
        </w:r>
        <w:r>
          <w:rPr>
            <w:noProof/>
            <w:webHidden/>
          </w:rPr>
          <w:fldChar w:fldCharType="end"/>
        </w:r>
      </w:hyperlink>
    </w:p>
    <w:p w14:paraId="787B21A1" w14:textId="1BF0A028"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88" w:history="1">
        <w:r w:rsidRPr="00DA7627">
          <w:rPr>
            <w:rStyle w:val="Hyperlink"/>
            <w:noProof/>
          </w:rPr>
          <w:t xml:space="preserve"> Figure 5.1 Exuded strigolactones (SL) influence the shoot branching of neighbours</w:t>
        </w:r>
        <w:r>
          <w:rPr>
            <w:noProof/>
            <w:webHidden/>
          </w:rPr>
          <w:tab/>
        </w:r>
        <w:r>
          <w:rPr>
            <w:noProof/>
            <w:webHidden/>
          </w:rPr>
          <w:fldChar w:fldCharType="begin"/>
        </w:r>
        <w:r>
          <w:rPr>
            <w:noProof/>
            <w:webHidden/>
          </w:rPr>
          <w:instrText xml:space="preserve"> PAGEREF _Toc154331588 \h </w:instrText>
        </w:r>
        <w:r>
          <w:rPr>
            <w:noProof/>
            <w:webHidden/>
          </w:rPr>
        </w:r>
        <w:r>
          <w:rPr>
            <w:noProof/>
            <w:webHidden/>
          </w:rPr>
          <w:fldChar w:fldCharType="separate"/>
        </w:r>
        <w:r w:rsidR="004B7F70">
          <w:rPr>
            <w:noProof/>
            <w:webHidden/>
          </w:rPr>
          <w:t>185</w:t>
        </w:r>
        <w:r>
          <w:rPr>
            <w:noProof/>
            <w:webHidden/>
          </w:rPr>
          <w:fldChar w:fldCharType="end"/>
        </w:r>
      </w:hyperlink>
    </w:p>
    <w:p w14:paraId="26C602B8" w14:textId="318757E7"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89" w:history="1">
        <w:r w:rsidRPr="00DA7627">
          <w:rPr>
            <w:rStyle w:val="Hyperlink"/>
            <w:noProof/>
          </w:rPr>
          <w:t>Figure 5.2 Strigolactones exuded from wildtype plants is present in roots of strigolactone synthesis mutants when crowded together</w:t>
        </w:r>
        <w:r>
          <w:rPr>
            <w:noProof/>
            <w:webHidden/>
          </w:rPr>
          <w:tab/>
        </w:r>
        <w:r>
          <w:rPr>
            <w:noProof/>
            <w:webHidden/>
          </w:rPr>
          <w:fldChar w:fldCharType="begin"/>
        </w:r>
        <w:r>
          <w:rPr>
            <w:noProof/>
            <w:webHidden/>
          </w:rPr>
          <w:instrText xml:space="preserve"> PAGEREF _Toc154331589 \h </w:instrText>
        </w:r>
        <w:r>
          <w:rPr>
            <w:noProof/>
            <w:webHidden/>
          </w:rPr>
        </w:r>
        <w:r>
          <w:rPr>
            <w:noProof/>
            <w:webHidden/>
          </w:rPr>
          <w:fldChar w:fldCharType="separate"/>
        </w:r>
        <w:r w:rsidR="004B7F70">
          <w:rPr>
            <w:noProof/>
            <w:webHidden/>
          </w:rPr>
          <w:t>188</w:t>
        </w:r>
        <w:r>
          <w:rPr>
            <w:noProof/>
            <w:webHidden/>
          </w:rPr>
          <w:fldChar w:fldCharType="end"/>
        </w:r>
      </w:hyperlink>
    </w:p>
    <w:p w14:paraId="15630F9C" w14:textId="3CE1418C"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90" w:history="1">
        <w:r w:rsidRPr="00DA7627">
          <w:rPr>
            <w:rStyle w:val="Hyperlink"/>
            <w:noProof/>
          </w:rPr>
          <w:t>Figure 5.3 Strigolactones exuded by neighbouring plants inhibit other plants in the environment</w:t>
        </w:r>
        <w:r>
          <w:rPr>
            <w:noProof/>
            <w:webHidden/>
          </w:rPr>
          <w:tab/>
        </w:r>
        <w:r>
          <w:rPr>
            <w:noProof/>
            <w:webHidden/>
          </w:rPr>
          <w:fldChar w:fldCharType="begin"/>
        </w:r>
        <w:r>
          <w:rPr>
            <w:noProof/>
            <w:webHidden/>
          </w:rPr>
          <w:instrText xml:space="preserve"> PAGEREF _Toc154331590 \h </w:instrText>
        </w:r>
        <w:r>
          <w:rPr>
            <w:noProof/>
            <w:webHidden/>
          </w:rPr>
        </w:r>
        <w:r>
          <w:rPr>
            <w:noProof/>
            <w:webHidden/>
          </w:rPr>
          <w:fldChar w:fldCharType="separate"/>
        </w:r>
        <w:r w:rsidR="004B7F70">
          <w:rPr>
            <w:noProof/>
            <w:webHidden/>
          </w:rPr>
          <w:t>191</w:t>
        </w:r>
        <w:r>
          <w:rPr>
            <w:noProof/>
            <w:webHidden/>
          </w:rPr>
          <w:fldChar w:fldCharType="end"/>
        </w:r>
      </w:hyperlink>
    </w:p>
    <w:p w14:paraId="145A8115" w14:textId="15582AFA"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91" w:history="1">
        <w:r w:rsidRPr="00DA7627">
          <w:rPr>
            <w:rStyle w:val="Hyperlink"/>
            <w:noProof/>
          </w:rPr>
          <w:t>Figure 5.4 Strigolactones exuded by neighbouring plants causes shoot-based inhibition of other plants in the environment</w:t>
        </w:r>
        <w:r>
          <w:rPr>
            <w:noProof/>
            <w:webHidden/>
          </w:rPr>
          <w:tab/>
        </w:r>
        <w:r>
          <w:rPr>
            <w:noProof/>
            <w:webHidden/>
          </w:rPr>
          <w:fldChar w:fldCharType="begin"/>
        </w:r>
        <w:r>
          <w:rPr>
            <w:noProof/>
            <w:webHidden/>
          </w:rPr>
          <w:instrText xml:space="preserve"> PAGEREF _Toc154331591 \h </w:instrText>
        </w:r>
        <w:r>
          <w:rPr>
            <w:noProof/>
            <w:webHidden/>
          </w:rPr>
        </w:r>
        <w:r>
          <w:rPr>
            <w:noProof/>
            <w:webHidden/>
          </w:rPr>
          <w:fldChar w:fldCharType="separate"/>
        </w:r>
        <w:r w:rsidR="004B7F70">
          <w:rPr>
            <w:noProof/>
            <w:webHidden/>
          </w:rPr>
          <w:t>193</w:t>
        </w:r>
        <w:r>
          <w:rPr>
            <w:noProof/>
            <w:webHidden/>
          </w:rPr>
          <w:fldChar w:fldCharType="end"/>
        </w:r>
      </w:hyperlink>
    </w:p>
    <w:p w14:paraId="6F16B8F3" w14:textId="201896A4"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92" w:history="1">
        <w:r w:rsidRPr="00DA7627">
          <w:rPr>
            <w:rStyle w:val="Hyperlink"/>
            <w:noProof/>
          </w:rPr>
          <w:t>Figure 5.5 Detection of soil volume early in life requires strigolactone exudation</w:t>
        </w:r>
        <w:r>
          <w:rPr>
            <w:noProof/>
            <w:webHidden/>
          </w:rPr>
          <w:tab/>
        </w:r>
        <w:r>
          <w:rPr>
            <w:noProof/>
            <w:webHidden/>
          </w:rPr>
          <w:fldChar w:fldCharType="begin"/>
        </w:r>
        <w:r>
          <w:rPr>
            <w:noProof/>
            <w:webHidden/>
          </w:rPr>
          <w:instrText xml:space="preserve"> PAGEREF _Toc154331592 \h </w:instrText>
        </w:r>
        <w:r>
          <w:rPr>
            <w:noProof/>
            <w:webHidden/>
          </w:rPr>
        </w:r>
        <w:r>
          <w:rPr>
            <w:noProof/>
            <w:webHidden/>
          </w:rPr>
          <w:fldChar w:fldCharType="separate"/>
        </w:r>
        <w:r w:rsidR="004B7F70">
          <w:rPr>
            <w:noProof/>
            <w:webHidden/>
          </w:rPr>
          <w:t>196</w:t>
        </w:r>
        <w:r>
          <w:rPr>
            <w:noProof/>
            <w:webHidden/>
          </w:rPr>
          <w:fldChar w:fldCharType="end"/>
        </w:r>
      </w:hyperlink>
    </w:p>
    <w:p w14:paraId="55C23691" w14:textId="492042DB"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93" w:history="1">
        <w:r w:rsidRPr="00DA7627">
          <w:rPr>
            <w:rStyle w:val="Hyperlink"/>
            <w:noProof/>
          </w:rPr>
          <w:t xml:space="preserve">Figure 5.6 Primary root length of </w:t>
        </w:r>
        <w:r w:rsidRPr="00DA7627">
          <w:rPr>
            <w:rStyle w:val="Hyperlink"/>
            <w:i/>
            <w:iCs/>
            <w:noProof/>
          </w:rPr>
          <w:t>pdr10</w:t>
        </w:r>
        <w:r w:rsidRPr="00DA7627">
          <w:rPr>
            <w:rStyle w:val="Hyperlink"/>
            <w:noProof/>
          </w:rPr>
          <w:t xml:space="preserve"> is unchanged with the addition of GR24</w:t>
        </w:r>
        <w:r>
          <w:rPr>
            <w:noProof/>
            <w:webHidden/>
          </w:rPr>
          <w:tab/>
        </w:r>
        <w:r>
          <w:rPr>
            <w:noProof/>
            <w:webHidden/>
          </w:rPr>
          <w:fldChar w:fldCharType="begin"/>
        </w:r>
        <w:r>
          <w:rPr>
            <w:noProof/>
            <w:webHidden/>
          </w:rPr>
          <w:instrText xml:space="preserve"> PAGEREF _Toc154331593 \h </w:instrText>
        </w:r>
        <w:r>
          <w:rPr>
            <w:noProof/>
            <w:webHidden/>
          </w:rPr>
        </w:r>
        <w:r>
          <w:rPr>
            <w:noProof/>
            <w:webHidden/>
          </w:rPr>
          <w:fldChar w:fldCharType="separate"/>
        </w:r>
        <w:r w:rsidR="004B7F70">
          <w:rPr>
            <w:noProof/>
            <w:webHidden/>
          </w:rPr>
          <w:t>200</w:t>
        </w:r>
        <w:r>
          <w:rPr>
            <w:noProof/>
            <w:webHidden/>
          </w:rPr>
          <w:fldChar w:fldCharType="end"/>
        </w:r>
      </w:hyperlink>
    </w:p>
    <w:p w14:paraId="16B42EEC" w14:textId="398ADE17" w:rsidR="00056A7F" w:rsidRDefault="00056A7F">
      <w:pPr>
        <w:pStyle w:val="TableofFigures"/>
        <w:rPr>
          <w:rFonts w:asciiTheme="minorHAnsi" w:eastAsiaTheme="minorEastAsia" w:hAnsiTheme="minorHAnsi" w:cstheme="minorBidi"/>
          <w:b w:val="0"/>
          <w:noProof/>
          <w:kern w:val="2"/>
          <w:szCs w:val="22"/>
          <w14:ligatures w14:val="standardContextual"/>
        </w:rPr>
      </w:pPr>
      <w:hyperlink w:anchor="_Toc154331594" w:history="1">
        <w:r w:rsidRPr="00DA7627">
          <w:rPr>
            <w:rStyle w:val="Hyperlink"/>
            <w:noProof/>
          </w:rPr>
          <w:t xml:space="preserve">Figure 5.7 Lateral root number of </w:t>
        </w:r>
        <w:r w:rsidRPr="00DA7627">
          <w:rPr>
            <w:rStyle w:val="Hyperlink"/>
            <w:i/>
            <w:iCs/>
            <w:noProof/>
          </w:rPr>
          <w:t>pdr10</w:t>
        </w:r>
        <w:r w:rsidRPr="00DA7627">
          <w:rPr>
            <w:rStyle w:val="Hyperlink"/>
            <w:noProof/>
          </w:rPr>
          <w:t xml:space="preserve"> is unchanged with the addition of GR24</w:t>
        </w:r>
        <w:r>
          <w:rPr>
            <w:noProof/>
            <w:webHidden/>
          </w:rPr>
          <w:tab/>
        </w:r>
        <w:r>
          <w:rPr>
            <w:noProof/>
            <w:webHidden/>
          </w:rPr>
          <w:fldChar w:fldCharType="begin"/>
        </w:r>
        <w:r>
          <w:rPr>
            <w:noProof/>
            <w:webHidden/>
          </w:rPr>
          <w:instrText xml:space="preserve"> PAGEREF _Toc154331594 \h </w:instrText>
        </w:r>
        <w:r>
          <w:rPr>
            <w:noProof/>
            <w:webHidden/>
          </w:rPr>
        </w:r>
        <w:r>
          <w:rPr>
            <w:noProof/>
            <w:webHidden/>
          </w:rPr>
          <w:fldChar w:fldCharType="separate"/>
        </w:r>
        <w:r w:rsidR="004B7F70">
          <w:rPr>
            <w:noProof/>
            <w:webHidden/>
          </w:rPr>
          <w:t>201</w:t>
        </w:r>
        <w:r>
          <w:rPr>
            <w:noProof/>
            <w:webHidden/>
          </w:rPr>
          <w:fldChar w:fldCharType="end"/>
        </w:r>
      </w:hyperlink>
    </w:p>
    <w:p w14:paraId="4981042B" w14:textId="1978C9D6" w:rsidR="002509CB" w:rsidRDefault="00D96A61" w:rsidP="00411546">
      <w:pPr>
        <w:pStyle w:val="Heading1"/>
        <w:keepNext w:val="0"/>
        <w:numPr>
          <w:ilvl w:val="0"/>
          <w:numId w:val="0"/>
        </w:numPr>
        <w:jc w:val="both"/>
      </w:pPr>
      <w:r>
        <w:rPr>
          <w:sz w:val="22"/>
        </w:rPr>
        <w:fldChar w:fldCharType="end"/>
      </w:r>
    </w:p>
    <w:p w14:paraId="2B99D4E9" w14:textId="77777777" w:rsidR="00122158" w:rsidRDefault="00122158" w:rsidP="00411546">
      <w:pPr>
        <w:pStyle w:val="Heading1"/>
        <w:keepNext w:val="0"/>
        <w:numPr>
          <w:ilvl w:val="0"/>
          <w:numId w:val="0"/>
        </w:numPr>
        <w:jc w:val="both"/>
      </w:pPr>
    </w:p>
    <w:p w14:paraId="23EAF3CB" w14:textId="77777777" w:rsidR="00E74085" w:rsidRDefault="00E74085" w:rsidP="004B7DFB">
      <w:pPr>
        <w:pStyle w:val="Heading1"/>
        <w:numPr>
          <w:ilvl w:val="0"/>
          <w:numId w:val="0"/>
        </w:numPr>
        <w:sectPr w:rsidR="00E74085" w:rsidSect="001D7B34">
          <w:headerReference w:type="default" r:id="rId11"/>
          <w:footnotePr>
            <w:numRestart w:val="eachSect"/>
          </w:footnotePr>
          <w:pgSz w:w="11906" w:h="16838"/>
          <w:pgMar w:top="1440" w:right="1296" w:bottom="1152" w:left="2448" w:header="720" w:footer="720" w:gutter="0"/>
          <w:pgNumType w:fmt="lowerRoman" w:start="1"/>
          <w:cols w:space="720"/>
        </w:sectPr>
      </w:pPr>
    </w:p>
    <w:p w14:paraId="26BE5335" w14:textId="09981CE9" w:rsidR="004B7DFB" w:rsidRDefault="004B7DFB" w:rsidP="004B7DFB">
      <w:pPr>
        <w:pStyle w:val="Heading1"/>
        <w:numPr>
          <w:ilvl w:val="0"/>
          <w:numId w:val="0"/>
        </w:numPr>
        <w:rPr>
          <w:sz w:val="22"/>
        </w:rPr>
      </w:pPr>
      <w:bookmarkStart w:id="6" w:name="_Toc154331419"/>
      <w:r>
        <w:lastRenderedPageBreak/>
        <w:t>List of Abbreviations</w:t>
      </w:r>
      <w:bookmarkEnd w:id="6"/>
    </w:p>
    <w:tbl>
      <w:tblPr>
        <w:tblW w:w="8505" w:type="dxa"/>
        <w:tblLook w:val="04A0" w:firstRow="1" w:lastRow="0" w:firstColumn="1" w:lastColumn="0" w:noHBand="0" w:noVBand="1"/>
      </w:tblPr>
      <w:tblGrid>
        <w:gridCol w:w="2221"/>
        <w:gridCol w:w="6284"/>
      </w:tblGrid>
      <w:tr w:rsidR="004B7DFB" w:rsidRPr="004B77F8" w14:paraId="4C6F2FE3" w14:textId="77777777" w:rsidTr="00CE5E93">
        <w:trPr>
          <w:trHeight w:val="249"/>
        </w:trPr>
        <w:tc>
          <w:tcPr>
            <w:tcW w:w="2221" w:type="dxa"/>
            <w:tcBorders>
              <w:top w:val="nil"/>
              <w:left w:val="nil"/>
              <w:bottom w:val="nil"/>
              <w:right w:val="nil"/>
            </w:tcBorders>
            <w:shd w:val="clear" w:color="auto" w:fill="auto"/>
            <w:noWrap/>
            <w:hideMark/>
          </w:tcPr>
          <w:p w14:paraId="5C80FEF8" w14:textId="77777777" w:rsidR="004B7DFB" w:rsidRPr="004B77F8" w:rsidRDefault="004B7DFB" w:rsidP="00CE5E93">
            <w:pPr>
              <w:spacing w:line="360" w:lineRule="auto"/>
              <w:jc w:val="left"/>
            </w:pPr>
            <w:r w:rsidRPr="004B77F8">
              <w:t>µL / mL / L</w:t>
            </w:r>
          </w:p>
        </w:tc>
        <w:tc>
          <w:tcPr>
            <w:tcW w:w="6284" w:type="dxa"/>
            <w:tcBorders>
              <w:top w:val="nil"/>
              <w:left w:val="nil"/>
              <w:bottom w:val="nil"/>
              <w:right w:val="nil"/>
            </w:tcBorders>
            <w:shd w:val="clear" w:color="auto" w:fill="auto"/>
            <w:noWrap/>
            <w:hideMark/>
          </w:tcPr>
          <w:p w14:paraId="5BC26A27" w14:textId="77777777" w:rsidR="004B7DFB" w:rsidRPr="004B77F8" w:rsidRDefault="004B7DFB" w:rsidP="00CE5E93">
            <w:pPr>
              <w:spacing w:line="360" w:lineRule="auto"/>
              <w:jc w:val="left"/>
            </w:pPr>
            <w:r w:rsidRPr="004B77F8">
              <w:t xml:space="preserve">micro- / milli- / litre </w:t>
            </w:r>
          </w:p>
        </w:tc>
      </w:tr>
      <w:tr w:rsidR="004B7DFB" w:rsidRPr="004B77F8" w14:paraId="753B947C" w14:textId="77777777" w:rsidTr="00CE5E93">
        <w:trPr>
          <w:trHeight w:val="249"/>
        </w:trPr>
        <w:tc>
          <w:tcPr>
            <w:tcW w:w="2221" w:type="dxa"/>
            <w:tcBorders>
              <w:top w:val="nil"/>
              <w:left w:val="nil"/>
              <w:bottom w:val="nil"/>
              <w:right w:val="nil"/>
            </w:tcBorders>
            <w:shd w:val="clear" w:color="auto" w:fill="auto"/>
            <w:noWrap/>
            <w:hideMark/>
          </w:tcPr>
          <w:p w14:paraId="608CE982" w14:textId="77777777" w:rsidR="004B7DFB" w:rsidRPr="004B77F8" w:rsidRDefault="004B7DFB" w:rsidP="00CE5E93">
            <w:pPr>
              <w:spacing w:line="360" w:lineRule="auto"/>
              <w:jc w:val="left"/>
            </w:pPr>
            <w:r w:rsidRPr="004B77F8">
              <w:t>µmol / µM</w:t>
            </w:r>
          </w:p>
        </w:tc>
        <w:tc>
          <w:tcPr>
            <w:tcW w:w="6284" w:type="dxa"/>
            <w:tcBorders>
              <w:top w:val="nil"/>
              <w:left w:val="nil"/>
              <w:bottom w:val="nil"/>
              <w:right w:val="nil"/>
            </w:tcBorders>
            <w:shd w:val="clear" w:color="auto" w:fill="auto"/>
            <w:noWrap/>
            <w:hideMark/>
          </w:tcPr>
          <w:p w14:paraId="18E71C76" w14:textId="77777777" w:rsidR="004B7DFB" w:rsidRPr="004B77F8" w:rsidRDefault="004B7DFB" w:rsidP="00CE5E93">
            <w:pPr>
              <w:spacing w:line="360" w:lineRule="auto"/>
              <w:jc w:val="left"/>
            </w:pPr>
            <w:r w:rsidRPr="004B77F8">
              <w:t>micromolar</w:t>
            </w:r>
          </w:p>
        </w:tc>
      </w:tr>
      <w:tr w:rsidR="004B7DFB" w:rsidRPr="004B77F8" w14:paraId="288573F3" w14:textId="77777777" w:rsidTr="00CE5E93">
        <w:trPr>
          <w:trHeight w:val="249"/>
        </w:trPr>
        <w:tc>
          <w:tcPr>
            <w:tcW w:w="2221" w:type="dxa"/>
            <w:tcBorders>
              <w:top w:val="nil"/>
              <w:left w:val="nil"/>
              <w:bottom w:val="nil"/>
              <w:right w:val="nil"/>
            </w:tcBorders>
            <w:shd w:val="clear" w:color="auto" w:fill="auto"/>
            <w:noWrap/>
          </w:tcPr>
          <w:p w14:paraId="09BC4D0A" w14:textId="77777777" w:rsidR="004B7DFB" w:rsidRPr="004B77F8" w:rsidRDefault="004B7DFB" w:rsidP="00CE5E93">
            <w:pPr>
              <w:spacing w:line="360" w:lineRule="auto"/>
              <w:jc w:val="left"/>
            </w:pPr>
            <w:r>
              <w:t>1 plant per pot</w:t>
            </w:r>
          </w:p>
        </w:tc>
        <w:tc>
          <w:tcPr>
            <w:tcW w:w="6284" w:type="dxa"/>
            <w:tcBorders>
              <w:top w:val="nil"/>
              <w:left w:val="nil"/>
              <w:bottom w:val="nil"/>
              <w:right w:val="nil"/>
            </w:tcBorders>
            <w:shd w:val="clear" w:color="auto" w:fill="auto"/>
            <w:noWrap/>
          </w:tcPr>
          <w:p w14:paraId="17E43301" w14:textId="77777777" w:rsidR="004B7DFB" w:rsidRPr="004B77F8" w:rsidRDefault="004B7DFB" w:rsidP="00CE5E93">
            <w:pPr>
              <w:spacing w:line="360" w:lineRule="auto"/>
              <w:jc w:val="left"/>
            </w:pPr>
            <w:r>
              <w:t>1/pot</w:t>
            </w:r>
          </w:p>
        </w:tc>
      </w:tr>
      <w:tr w:rsidR="004B7DFB" w:rsidRPr="004B77F8" w14:paraId="02A8FB82" w14:textId="77777777" w:rsidTr="00CE5E93">
        <w:trPr>
          <w:trHeight w:val="249"/>
        </w:trPr>
        <w:tc>
          <w:tcPr>
            <w:tcW w:w="2221" w:type="dxa"/>
            <w:tcBorders>
              <w:top w:val="nil"/>
              <w:left w:val="nil"/>
              <w:bottom w:val="nil"/>
              <w:right w:val="nil"/>
            </w:tcBorders>
            <w:shd w:val="clear" w:color="auto" w:fill="auto"/>
            <w:noWrap/>
          </w:tcPr>
          <w:p w14:paraId="22BDE8CD" w14:textId="77777777" w:rsidR="004B7DFB" w:rsidRPr="004B77F8" w:rsidRDefault="004B7DFB" w:rsidP="00CE5E93">
            <w:pPr>
              <w:spacing w:line="360" w:lineRule="auto"/>
              <w:jc w:val="left"/>
            </w:pPr>
            <w:r>
              <w:t>4 plants per pot</w:t>
            </w:r>
          </w:p>
        </w:tc>
        <w:tc>
          <w:tcPr>
            <w:tcW w:w="6284" w:type="dxa"/>
            <w:tcBorders>
              <w:top w:val="nil"/>
              <w:left w:val="nil"/>
              <w:bottom w:val="nil"/>
              <w:right w:val="nil"/>
            </w:tcBorders>
            <w:shd w:val="clear" w:color="auto" w:fill="auto"/>
            <w:noWrap/>
          </w:tcPr>
          <w:p w14:paraId="6A98CACD" w14:textId="77777777" w:rsidR="004B7DFB" w:rsidRPr="004B77F8" w:rsidRDefault="004B7DFB" w:rsidP="00CE5E93">
            <w:pPr>
              <w:spacing w:line="360" w:lineRule="auto"/>
              <w:jc w:val="left"/>
            </w:pPr>
            <w:r>
              <w:t>4/pot</w:t>
            </w:r>
          </w:p>
        </w:tc>
      </w:tr>
      <w:tr w:rsidR="004B7DFB" w:rsidRPr="004B77F8" w14:paraId="3CE6ABA2" w14:textId="77777777" w:rsidTr="00CE5E93">
        <w:trPr>
          <w:trHeight w:val="249"/>
        </w:trPr>
        <w:tc>
          <w:tcPr>
            <w:tcW w:w="2221" w:type="dxa"/>
            <w:tcBorders>
              <w:top w:val="nil"/>
              <w:left w:val="nil"/>
              <w:bottom w:val="nil"/>
              <w:right w:val="nil"/>
            </w:tcBorders>
            <w:shd w:val="clear" w:color="auto" w:fill="auto"/>
            <w:noWrap/>
            <w:hideMark/>
          </w:tcPr>
          <w:p w14:paraId="27C56652" w14:textId="77777777" w:rsidR="004B7DFB" w:rsidRPr="004B77F8" w:rsidRDefault="004B7DFB" w:rsidP="00CE5E93">
            <w:pPr>
              <w:spacing w:line="360" w:lineRule="auto"/>
              <w:jc w:val="left"/>
            </w:pPr>
            <w:r w:rsidRPr="004B77F8">
              <w:t>ANOVA</w:t>
            </w:r>
          </w:p>
        </w:tc>
        <w:tc>
          <w:tcPr>
            <w:tcW w:w="6284" w:type="dxa"/>
            <w:tcBorders>
              <w:top w:val="nil"/>
              <w:left w:val="nil"/>
              <w:bottom w:val="nil"/>
              <w:right w:val="nil"/>
            </w:tcBorders>
            <w:shd w:val="clear" w:color="auto" w:fill="auto"/>
            <w:noWrap/>
            <w:hideMark/>
          </w:tcPr>
          <w:p w14:paraId="5AF32531" w14:textId="77777777" w:rsidR="004B7DFB" w:rsidRPr="004B77F8" w:rsidRDefault="004B7DFB" w:rsidP="00CE5E93">
            <w:pPr>
              <w:spacing w:line="360" w:lineRule="auto"/>
              <w:jc w:val="left"/>
            </w:pPr>
            <w:r w:rsidRPr="004B77F8">
              <w:t>analysis of variance</w:t>
            </w:r>
          </w:p>
        </w:tc>
      </w:tr>
      <w:tr w:rsidR="004B7DFB" w:rsidRPr="004B77F8" w14:paraId="7EB02135" w14:textId="77777777" w:rsidTr="00CE5E93">
        <w:trPr>
          <w:trHeight w:val="249"/>
        </w:trPr>
        <w:tc>
          <w:tcPr>
            <w:tcW w:w="2221" w:type="dxa"/>
            <w:tcBorders>
              <w:top w:val="nil"/>
              <w:left w:val="nil"/>
              <w:bottom w:val="nil"/>
              <w:right w:val="nil"/>
            </w:tcBorders>
            <w:shd w:val="clear" w:color="auto" w:fill="auto"/>
            <w:noWrap/>
          </w:tcPr>
          <w:p w14:paraId="78532FBA" w14:textId="77777777" w:rsidR="004B7DFB" w:rsidRPr="004B77F8" w:rsidRDefault="004B7DFB" w:rsidP="00CE5E93">
            <w:pPr>
              <w:spacing w:line="360" w:lineRule="auto"/>
              <w:jc w:val="left"/>
            </w:pPr>
            <w:r>
              <w:t>Arabidopsis</w:t>
            </w:r>
          </w:p>
        </w:tc>
        <w:tc>
          <w:tcPr>
            <w:tcW w:w="6284" w:type="dxa"/>
            <w:tcBorders>
              <w:top w:val="nil"/>
              <w:left w:val="nil"/>
              <w:bottom w:val="nil"/>
              <w:right w:val="nil"/>
            </w:tcBorders>
            <w:shd w:val="clear" w:color="auto" w:fill="auto"/>
            <w:noWrap/>
          </w:tcPr>
          <w:p w14:paraId="2A5AF685" w14:textId="0383719D" w:rsidR="004B7DFB" w:rsidRPr="002A4253" w:rsidRDefault="004B7DFB" w:rsidP="00CE5E93">
            <w:pPr>
              <w:spacing w:line="360" w:lineRule="auto"/>
              <w:jc w:val="left"/>
              <w:rPr>
                <w:i/>
                <w:iCs/>
              </w:rPr>
            </w:pPr>
            <w:r w:rsidRPr="002A4253">
              <w:rPr>
                <w:i/>
                <w:iCs/>
              </w:rPr>
              <w:t>Arabidopsis thaliana</w:t>
            </w:r>
          </w:p>
        </w:tc>
      </w:tr>
      <w:tr w:rsidR="004B7DFB" w:rsidRPr="004B77F8" w14:paraId="66B88CFF" w14:textId="77777777" w:rsidTr="00CE5E93">
        <w:trPr>
          <w:trHeight w:val="249"/>
        </w:trPr>
        <w:tc>
          <w:tcPr>
            <w:tcW w:w="2221" w:type="dxa"/>
            <w:tcBorders>
              <w:top w:val="nil"/>
              <w:left w:val="nil"/>
              <w:bottom w:val="nil"/>
              <w:right w:val="nil"/>
            </w:tcBorders>
            <w:shd w:val="clear" w:color="auto" w:fill="auto"/>
            <w:noWrap/>
          </w:tcPr>
          <w:p w14:paraId="45F6E6BD" w14:textId="77777777" w:rsidR="004B7DFB" w:rsidRPr="004B77F8" w:rsidRDefault="004B7DFB" w:rsidP="00CE5E93">
            <w:pPr>
              <w:spacing w:line="360" w:lineRule="auto"/>
              <w:jc w:val="left"/>
            </w:pPr>
            <w:r w:rsidRPr="004B77F8">
              <w:t>ATS</w:t>
            </w:r>
          </w:p>
        </w:tc>
        <w:tc>
          <w:tcPr>
            <w:tcW w:w="6284" w:type="dxa"/>
            <w:tcBorders>
              <w:top w:val="nil"/>
              <w:left w:val="nil"/>
              <w:bottom w:val="nil"/>
              <w:right w:val="nil"/>
            </w:tcBorders>
            <w:shd w:val="clear" w:color="auto" w:fill="auto"/>
            <w:noWrap/>
          </w:tcPr>
          <w:p w14:paraId="2BFEBD7F" w14:textId="77777777" w:rsidR="004B7DFB" w:rsidRPr="004B77F8" w:rsidRDefault="004B7DFB" w:rsidP="00CE5E93">
            <w:pPr>
              <w:spacing w:line="360" w:lineRule="auto"/>
              <w:jc w:val="left"/>
            </w:pPr>
            <w:r w:rsidRPr="004B77F8">
              <w:t>Arabidopsis thaliana salts</w:t>
            </w:r>
          </w:p>
        </w:tc>
      </w:tr>
      <w:tr w:rsidR="004B7DFB" w:rsidRPr="004B77F8" w14:paraId="2175B7F6" w14:textId="77777777" w:rsidTr="00CE5E93">
        <w:trPr>
          <w:trHeight w:val="249"/>
        </w:trPr>
        <w:tc>
          <w:tcPr>
            <w:tcW w:w="2221" w:type="dxa"/>
            <w:tcBorders>
              <w:top w:val="nil"/>
              <w:left w:val="nil"/>
              <w:bottom w:val="nil"/>
              <w:right w:val="nil"/>
            </w:tcBorders>
            <w:shd w:val="clear" w:color="auto" w:fill="auto"/>
            <w:noWrap/>
          </w:tcPr>
          <w:p w14:paraId="51060700" w14:textId="77777777" w:rsidR="004B7DFB" w:rsidRPr="004B77F8" w:rsidRDefault="004B7DFB" w:rsidP="00CE5E93">
            <w:pPr>
              <w:spacing w:line="360" w:lineRule="auto"/>
              <w:jc w:val="left"/>
            </w:pPr>
            <w:r>
              <w:t>Barley</w:t>
            </w:r>
          </w:p>
        </w:tc>
        <w:tc>
          <w:tcPr>
            <w:tcW w:w="6284" w:type="dxa"/>
            <w:tcBorders>
              <w:top w:val="nil"/>
              <w:left w:val="nil"/>
              <w:bottom w:val="nil"/>
              <w:right w:val="nil"/>
            </w:tcBorders>
            <w:shd w:val="clear" w:color="auto" w:fill="auto"/>
            <w:noWrap/>
          </w:tcPr>
          <w:p w14:paraId="6F476835" w14:textId="77777777" w:rsidR="004B7DFB" w:rsidRPr="001B56C9" w:rsidRDefault="004B7DFB" w:rsidP="00CE5E93">
            <w:pPr>
              <w:spacing w:line="360" w:lineRule="auto"/>
              <w:jc w:val="left"/>
              <w:rPr>
                <w:i/>
                <w:iCs/>
              </w:rPr>
            </w:pPr>
            <w:r w:rsidRPr="001B56C9">
              <w:rPr>
                <w:i/>
                <w:iCs/>
              </w:rPr>
              <w:t>Hordeum vulgare</w:t>
            </w:r>
          </w:p>
        </w:tc>
      </w:tr>
      <w:tr w:rsidR="004B7DFB" w:rsidRPr="004B77F8" w14:paraId="7A1C68B8" w14:textId="77777777" w:rsidTr="00CE5E93">
        <w:trPr>
          <w:trHeight w:val="249"/>
        </w:trPr>
        <w:tc>
          <w:tcPr>
            <w:tcW w:w="2221" w:type="dxa"/>
            <w:tcBorders>
              <w:top w:val="nil"/>
              <w:left w:val="nil"/>
              <w:bottom w:val="nil"/>
              <w:right w:val="nil"/>
            </w:tcBorders>
            <w:shd w:val="clear" w:color="auto" w:fill="auto"/>
            <w:noWrap/>
          </w:tcPr>
          <w:p w14:paraId="3C1F11D6" w14:textId="77777777" w:rsidR="004B7DFB" w:rsidRDefault="004B7DFB" w:rsidP="00CE5E93">
            <w:pPr>
              <w:spacing w:line="360" w:lineRule="auto"/>
              <w:jc w:val="left"/>
            </w:pPr>
            <w:r>
              <w:t>CCD7 / 8</w:t>
            </w:r>
          </w:p>
        </w:tc>
        <w:tc>
          <w:tcPr>
            <w:tcW w:w="6284" w:type="dxa"/>
            <w:tcBorders>
              <w:top w:val="nil"/>
              <w:left w:val="nil"/>
              <w:bottom w:val="nil"/>
              <w:right w:val="nil"/>
            </w:tcBorders>
            <w:shd w:val="clear" w:color="auto" w:fill="auto"/>
            <w:noWrap/>
          </w:tcPr>
          <w:p w14:paraId="0EFC24CC" w14:textId="77777777" w:rsidR="004B7DFB" w:rsidRDefault="004B7DFB" w:rsidP="00CE5E93">
            <w:pPr>
              <w:spacing w:line="360" w:lineRule="auto"/>
              <w:jc w:val="left"/>
            </w:pPr>
            <w:r>
              <w:t>CAROTENOID CLEAVAGE DIOXYGENASE7 / 8</w:t>
            </w:r>
          </w:p>
        </w:tc>
      </w:tr>
      <w:tr w:rsidR="004B7DFB" w:rsidRPr="004B77F8" w14:paraId="5791747D" w14:textId="77777777" w:rsidTr="00CE5E93">
        <w:trPr>
          <w:trHeight w:val="249"/>
        </w:trPr>
        <w:tc>
          <w:tcPr>
            <w:tcW w:w="2221" w:type="dxa"/>
            <w:tcBorders>
              <w:top w:val="nil"/>
              <w:left w:val="nil"/>
              <w:bottom w:val="nil"/>
              <w:right w:val="nil"/>
            </w:tcBorders>
            <w:shd w:val="clear" w:color="auto" w:fill="auto"/>
            <w:noWrap/>
          </w:tcPr>
          <w:p w14:paraId="2EEA470B" w14:textId="77777777" w:rsidR="004B7DFB" w:rsidRDefault="004B7DFB" w:rsidP="00CE5E93">
            <w:pPr>
              <w:spacing w:line="360" w:lineRule="auto"/>
              <w:jc w:val="left"/>
            </w:pPr>
            <w:r>
              <w:t xml:space="preserve">CEP(s) 1/2/3 </w:t>
            </w:r>
          </w:p>
        </w:tc>
        <w:tc>
          <w:tcPr>
            <w:tcW w:w="6284" w:type="dxa"/>
            <w:tcBorders>
              <w:top w:val="nil"/>
              <w:left w:val="nil"/>
              <w:bottom w:val="nil"/>
              <w:right w:val="nil"/>
            </w:tcBorders>
            <w:shd w:val="clear" w:color="auto" w:fill="auto"/>
            <w:noWrap/>
          </w:tcPr>
          <w:p w14:paraId="6CB42F8F" w14:textId="77777777" w:rsidR="004B7DFB" w:rsidRDefault="004B7DFB" w:rsidP="00CE5E93">
            <w:pPr>
              <w:spacing w:line="360" w:lineRule="auto"/>
              <w:jc w:val="left"/>
            </w:pPr>
            <w:r w:rsidRPr="00F45CDA">
              <w:t>C-TERMINALLY ENCODED PEPTIDEs</w:t>
            </w:r>
          </w:p>
        </w:tc>
      </w:tr>
      <w:tr w:rsidR="004B7DFB" w:rsidRPr="004B77F8" w14:paraId="2F3C1AE1" w14:textId="77777777" w:rsidTr="00CE5E93">
        <w:trPr>
          <w:trHeight w:val="249"/>
        </w:trPr>
        <w:tc>
          <w:tcPr>
            <w:tcW w:w="2221" w:type="dxa"/>
            <w:tcBorders>
              <w:top w:val="nil"/>
              <w:left w:val="nil"/>
              <w:bottom w:val="nil"/>
              <w:right w:val="nil"/>
            </w:tcBorders>
            <w:shd w:val="clear" w:color="auto" w:fill="auto"/>
            <w:noWrap/>
          </w:tcPr>
          <w:p w14:paraId="022EBCDA" w14:textId="77777777" w:rsidR="004B7DFB" w:rsidRDefault="004B7DFB" w:rsidP="00CE5E93">
            <w:pPr>
              <w:spacing w:line="360" w:lineRule="auto"/>
              <w:jc w:val="left"/>
            </w:pPr>
            <w:r>
              <w:t>CEPR(s)</w:t>
            </w:r>
          </w:p>
        </w:tc>
        <w:tc>
          <w:tcPr>
            <w:tcW w:w="6284" w:type="dxa"/>
            <w:tcBorders>
              <w:top w:val="nil"/>
              <w:left w:val="nil"/>
              <w:bottom w:val="nil"/>
              <w:right w:val="nil"/>
            </w:tcBorders>
            <w:shd w:val="clear" w:color="auto" w:fill="auto"/>
            <w:noWrap/>
          </w:tcPr>
          <w:p w14:paraId="560F97B7" w14:textId="77777777" w:rsidR="004B7DFB" w:rsidRPr="00F45CDA" w:rsidRDefault="004B7DFB" w:rsidP="00CE5E93">
            <w:pPr>
              <w:spacing w:line="360" w:lineRule="auto"/>
              <w:jc w:val="left"/>
            </w:pPr>
            <w:r w:rsidRPr="00314339">
              <w:t>CEP RECEPTORS</w:t>
            </w:r>
          </w:p>
        </w:tc>
      </w:tr>
      <w:tr w:rsidR="004B7DFB" w:rsidRPr="004B77F8" w14:paraId="2DC5FD33" w14:textId="77777777" w:rsidTr="00CE5E93">
        <w:trPr>
          <w:trHeight w:val="249"/>
        </w:trPr>
        <w:tc>
          <w:tcPr>
            <w:tcW w:w="2221" w:type="dxa"/>
            <w:tcBorders>
              <w:top w:val="nil"/>
              <w:left w:val="nil"/>
              <w:bottom w:val="nil"/>
              <w:right w:val="nil"/>
            </w:tcBorders>
            <w:shd w:val="clear" w:color="auto" w:fill="auto"/>
            <w:noWrap/>
            <w:hideMark/>
          </w:tcPr>
          <w:p w14:paraId="2FDFFA96" w14:textId="77777777" w:rsidR="004B7DFB" w:rsidRPr="004B77F8" w:rsidRDefault="004B7DFB" w:rsidP="00CE5E93">
            <w:pPr>
              <w:spacing w:line="360" w:lineRule="auto"/>
              <w:jc w:val="left"/>
            </w:pPr>
            <w:r w:rsidRPr="004B77F8">
              <w:t>Col</w:t>
            </w:r>
          </w:p>
        </w:tc>
        <w:tc>
          <w:tcPr>
            <w:tcW w:w="6284" w:type="dxa"/>
            <w:tcBorders>
              <w:top w:val="nil"/>
              <w:left w:val="nil"/>
              <w:bottom w:val="nil"/>
              <w:right w:val="nil"/>
            </w:tcBorders>
            <w:shd w:val="clear" w:color="auto" w:fill="auto"/>
            <w:noWrap/>
            <w:hideMark/>
          </w:tcPr>
          <w:p w14:paraId="3E9D25F5" w14:textId="77777777" w:rsidR="004B7DFB" w:rsidRPr="004B77F8" w:rsidRDefault="004B7DFB" w:rsidP="00CE5E93">
            <w:pPr>
              <w:spacing w:line="360" w:lineRule="auto"/>
              <w:jc w:val="left"/>
            </w:pPr>
            <w:r w:rsidRPr="004B77F8">
              <w:t>Columbia</w:t>
            </w:r>
          </w:p>
        </w:tc>
      </w:tr>
      <w:tr w:rsidR="004B7DFB" w:rsidRPr="004B77F8" w14:paraId="4508983F" w14:textId="77777777" w:rsidTr="00CE5E93">
        <w:trPr>
          <w:trHeight w:val="249"/>
        </w:trPr>
        <w:tc>
          <w:tcPr>
            <w:tcW w:w="2221" w:type="dxa"/>
            <w:tcBorders>
              <w:top w:val="nil"/>
              <w:left w:val="nil"/>
              <w:bottom w:val="nil"/>
              <w:right w:val="nil"/>
            </w:tcBorders>
            <w:shd w:val="clear" w:color="auto" w:fill="auto"/>
            <w:noWrap/>
          </w:tcPr>
          <w:p w14:paraId="1F8F5529" w14:textId="77777777" w:rsidR="004B7DFB" w:rsidRPr="004B77F8" w:rsidRDefault="004B7DFB" w:rsidP="00CE5E93">
            <w:pPr>
              <w:spacing w:line="360" w:lineRule="auto"/>
              <w:jc w:val="left"/>
            </w:pPr>
            <w:r>
              <w:t>Cv</w:t>
            </w:r>
          </w:p>
        </w:tc>
        <w:tc>
          <w:tcPr>
            <w:tcW w:w="6284" w:type="dxa"/>
            <w:tcBorders>
              <w:top w:val="nil"/>
              <w:left w:val="nil"/>
              <w:bottom w:val="nil"/>
              <w:right w:val="nil"/>
            </w:tcBorders>
            <w:shd w:val="clear" w:color="auto" w:fill="auto"/>
            <w:noWrap/>
          </w:tcPr>
          <w:p w14:paraId="58C2D23F" w14:textId="77777777" w:rsidR="004B7DFB" w:rsidRPr="004B77F8" w:rsidRDefault="004B7DFB" w:rsidP="00CE5E93">
            <w:pPr>
              <w:spacing w:line="360" w:lineRule="auto"/>
              <w:jc w:val="left"/>
            </w:pPr>
            <w:r>
              <w:t>Cultivar</w:t>
            </w:r>
          </w:p>
        </w:tc>
      </w:tr>
      <w:tr w:rsidR="004B7DFB" w:rsidRPr="004B77F8" w14:paraId="4BDA2CC3" w14:textId="77777777" w:rsidTr="00CE5E93">
        <w:trPr>
          <w:trHeight w:val="249"/>
        </w:trPr>
        <w:tc>
          <w:tcPr>
            <w:tcW w:w="2221" w:type="dxa"/>
            <w:tcBorders>
              <w:top w:val="nil"/>
              <w:left w:val="nil"/>
              <w:bottom w:val="nil"/>
              <w:right w:val="nil"/>
            </w:tcBorders>
            <w:shd w:val="clear" w:color="auto" w:fill="auto"/>
            <w:noWrap/>
          </w:tcPr>
          <w:p w14:paraId="75C58F29" w14:textId="77777777" w:rsidR="004B7DFB" w:rsidRPr="004B77F8" w:rsidRDefault="004B7DFB" w:rsidP="00CE5E93">
            <w:pPr>
              <w:spacing w:line="360" w:lineRule="auto"/>
              <w:jc w:val="left"/>
            </w:pPr>
            <w:r w:rsidRPr="004B77F8">
              <w:t>d</w:t>
            </w:r>
          </w:p>
        </w:tc>
        <w:tc>
          <w:tcPr>
            <w:tcW w:w="6284" w:type="dxa"/>
            <w:tcBorders>
              <w:top w:val="nil"/>
              <w:left w:val="nil"/>
              <w:bottom w:val="nil"/>
              <w:right w:val="nil"/>
            </w:tcBorders>
            <w:shd w:val="clear" w:color="auto" w:fill="auto"/>
            <w:noWrap/>
          </w:tcPr>
          <w:p w14:paraId="371215C6" w14:textId="77777777" w:rsidR="004B7DFB" w:rsidRPr="004B77F8" w:rsidRDefault="004B7DFB" w:rsidP="00CE5E93">
            <w:pPr>
              <w:spacing w:line="360" w:lineRule="auto"/>
              <w:jc w:val="left"/>
            </w:pPr>
            <w:r w:rsidRPr="004B77F8">
              <w:t>day(s)</w:t>
            </w:r>
          </w:p>
        </w:tc>
      </w:tr>
      <w:tr w:rsidR="004B7DFB" w:rsidRPr="004B77F8" w14:paraId="77F1F5AB" w14:textId="77777777" w:rsidTr="00CE5E93">
        <w:trPr>
          <w:trHeight w:val="249"/>
        </w:trPr>
        <w:tc>
          <w:tcPr>
            <w:tcW w:w="2221" w:type="dxa"/>
            <w:tcBorders>
              <w:top w:val="nil"/>
              <w:left w:val="nil"/>
              <w:bottom w:val="nil"/>
              <w:right w:val="nil"/>
            </w:tcBorders>
            <w:shd w:val="clear" w:color="auto" w:fill="auto"/>
            <w:noWrap/>
          </w:tcPr>
          <w:p w14:paraId="0BF41AE5" w14:textId="77777777" w:rsidR="004B7DFB" w:rsidRDefault="004B7DFB" w:rsidP="00CE5E93">
            <w:pPr>
              <w:spacing w:line="360" w:lineRule="auto"/>
              <w:jc w:val="left"/>
            </w:pPr>
            <w:r>
              <w:t>D14 / 27</w:t>
            </w:r>
          </w:p>
        </w:tc>
        <w:tc>
          <w:tcPr>
            <w:tcW w:w="6284" w:type="dxa"/>
            <w:tcBorders>
              <w:top w:val="nil"/>
              <w:left w:val="nil"/>
              <w:bottom w:val="nil"/>
              <w:right w:val="nil"/>
            </w:tcBorders>
            <w:shd w:val="clear" w:color="auto" w:fill="auto"/>
            <w:noWrap/>
          </w:tcPr>
          <w:p w14:paraId="2EB885CE" w14:textId="77777777" w:rsidR="004B7DFB" w:rsidRDefault="004B7DFB" w:rsidP="00CE5E93">
            <w:pPr>
              <w:spacing w:line="360" w:lineRule="auto"/>
              <w:jc w:val="left"/>
            </w:pPr>
            <w:r>
              <w:t>DWARF14 / 27</w:t>
            </w:r>
          </w:p>
        </w:tc>
      </w:tr>
      <w:tr w:rsidR="004B7DFB" w:rsidRPr="004B77F8" w14:paraId="6A78CDB5" w14:textId="77777777" w:rsidTr="00CE5E93">
        <w:trPr>
          <w:trHeight w:val="249"/>
        </w:trPr>
        <w:tc>
          <w:tcPr>
            <w:tcW w:w="2221" w:type="dxa"/>
            <w:tcBorders>
              <w:top w:val="nil"/>
              <w:left w:val="nil"/>
              <w:bottom w:val="nil"/>
              <w:right w:val="nil"/>
            </w:tcBorders>
            <w:shd w:val="clear" w:color="auto" w:fill="auto"/>
            <w:noWrap/>
          </w:tcPr>
          <w:p w14:paraId="186A860D" w14:textId="77777777" w:rsidR="004B7DFB" w:rsidRDefault="004B7DFB" w:rsidP="00CE5E93">
            <w:pPr>
              <w:spacing w:line="360" w:lineRule="auto"/>
              <w:jc w:val="left"/>
            </w:pPr>
            <w:r>
              <w:t>DEGs</w:t>
            </w:r>
          </w:p>
        </w:tc>
        <w:tc>
          <w:tcPr>
            <w:tcW w:w="6284" w:type="dxa"/>
            <w:tcBorders>
              <w:top w:val="nil"/>
              <w:left w:val="nil"/>
              <w:bottom w:val="nil"/>
              <w:right w:val="nil"/>
            </w:tcBorders>
            <w:shd w:val="clear" w:color="auto" w:fill="auto"/>
            <w:noWrap/>
          </w:tcPr>
          <w:p w14:paraId="49A56DF9" w14:textId="77777777" w:rsidR="004B7DFB" w:rsidRDefault="004B7DFB" w:rsidP="00CE5E93">
            <w:pPr>
              <w:spacing w:line="360" w:lineRule="auto"/>
              <w:jc w:val="left"/>
            </w:pPr>
            <w:r>
              <w:t>Differentially Expressed Genes</w:t>
            </w:r>
          </w:p>
        </w:tc>
      </w:tr>
      <w:tr w:rsidR="004B7DFB" w:rsidRPr="004B77F8" w14:paraId="152FF846" w14:textId="77777777" w:rsidTr="00CE5E93">
        <w:trPr>
          <w:trHeight w:val="249"/>
        </w:trPr>
        <w:tc>
          <w:tcPr>
            <w:tcW w:w="2221" w:type="dxa"/>
            <w:tcBorders>
              <w:top w:val="nil"/>
              <w:left w:val="nil"/>
              <w:bottom w:val="nil"/>
              <w:right w:val="nil"/>
            </w:tcBorders>
            <w:shd w:val="clear" w:color="auto" w:fill="auto"/>
            <w:noWrap/>
          </w:tcPr>
          <w:p w14:paraId="37789A4E" w14:textId="77777777" w:rsidR="004B7DFB" w:rsidRDefault="004B7DFB" w:rsidP="00CE5E93">
            <w:pPr>
              <w:spacing w:line="360" w:lineRule="auto"/>
              <w:jc w:val="left"/>
            </w:pPr>
            <w:r>
              <w:t>FC</w:t>
            </w:r>
          </w:p>
        </w:tc>
        <w:tc>
          <w:tcPr>
            <w:tcW w:w="6284" w:type="dxa"/>
            <w:tcBorders>
              <w:top w:val="nil"/>
              <w:left w:val="nil"/>
              <w:bottom w:val="nil"/>
              <w:right w:val="nil"/>
            </w:tcBorders>
            <w:shd w:val="clear" w:color="auto" w:fill="auto"/>
            <w:noWrap/>
          </w:tcPr>
          <w:p w14:paraId="28C47E5A" w14:textId="77777777" w:rsidR="004B7DFB" w:rsidRDefault="004B7DFB" w:rsidP="00CE5E93">
            <w:pPr>
              <w:spacing w:line="360" w:lineRule="auto"/>
              <w:jc w:val="left"/>
            </w:pPr>
            <w:r>
              <w:t>Fold change</w:t>
            </w:r>
          </w:p>
        </w:tc>
      </w:tr>
      <w:tr w:rsidR="004B7DFB" w:rsidRPr="004B77F8" w14:paraId="123990F7" w14:textId="77777777" w:rsidTr="00CE5E93">
        <w:trPr>
          <w:trHeight w:val="249"/>
        </w:trPr>
        <w:tc>
          <w:tcPr>
            <w:tcW w:w="2221" w:type="dxa"/>
            <w:tcBorders>
              <w:top w:val="nil"/>
              <w:left w:val="nil"/>
              <w:bottom w:val="nil"/>
              <w:right w:val="nil"/>
            </w:tcBorders>
            <w:shd w:val="clear" w:color="auto" w:fill="auto"/>
            <w:noWrap/>
          </w:tcPr>
          <w:p w14:paraId="6DA26AE5" w14:textId="77777777" w:rsidR="004B7DFB" w:rsidRDefault="004B7DFB" w:rsidP="00CE5E93">
            <w:pPr>
              <w:spacing w:line="360" w:lineRule="auto"/>
              <w:jc w:val="left"/>
            </w:pPr>
            <w:r>
              <w:t>GO</w:t>
            </w:r>
          </w:p>
        </w:tc>
        <w:tc>
          <w:tcPr>
            <w:tcW w:w="6284" w:type="dxa"/>
            <w:tcBorders>
              <w:top w:val="nil"/>
              <w:left w:val="nil"/>
              <w:bottom w:val="nil"/>
              <w:right w:val="nil"/>
            </w:tcBorders>
            <w:shd w:val="clear" w:color="auto" w:fill="auto"/>
            <w:noWrap/>
          </w:tcPr>
          <w:p w14:paraId="0AEBC6E2" w14:textId="77777777" w:rsidR="004B7DFB" w:rsidRDefault="004B7DFB" w:rsidP="00CE5E93">
            <w:pPr>
              <w:spacing w:line="360" w:lineRule="auto"/>
              <w:jc w:val="left"/>
            </w:pPr>
            <w:r>
              <w:t>Gene Ontology</w:t>
            </w:r>
          </w:p>
        </w:tc>
      </w:tr>
      <w:tr w:rsidR="004B7DFB" w:rsidRPr="004B77F8" w14:paraId="311D0889" w14:textId="77777777" w:rsidTr="00CE5E93">
        <w:trPr>
          <w:trHeight w:val="249"/>
        </w:trPr>
        <w:tc>
          <w:tcPr>
            <w:tcW w:w="2221" w:type="dxa"/>
            <w:tcBorders>
              <w:top w:val="nil"/>
              <w:left w:val="nil"/>
              <w:bottom w:val="nil"/>
              <w:right w:val="nil"/>
            </w:tcBorders>
            <w:shd w:val="clear" w:color="auto" w:fill="auto"/>
            <w:noWrap/>
            <w:hideMark/>
          </w:tcPr>
          <w:p w14:paraId="457B046F" w14:textId="77777777" w:rsidR="004B7DFB" w:rsidRPr="004B77F8" w:rsidRDefault="004B7DFB" w:rsidP="00CE5E93">
            <w:pPr>
              <w:spacing w:line="360" w:lineRule="auto"/>
              <w:jc w:val="left"/>
            </w:pPr>
            <w:r w:rsidRPr="004B77F8">
              <w:t>h</w:t>
            </w:r>
            <w:r>
              <w:t>rs</w:t>
            </w:r>
          </w:p>
        </w:tc>
        <w:tc>
          <w:tcPr>
            <w:tcW w:w="6284" w:type="dxa"/>
            <w:tcBorders>
              <w:top w:val="nil"/>
              <w:left w:val="nil"/>
              <w:bottom w:val="nil"/>
              <w:right w:val="nil"/>
            </w:tcBorders>
            <w:shd w:val="clear" w:color="auto" w:fill="auto"/>
            <w:noWrap/>
            <w:hideMark/>
          </w:tcPr>
          <w:p w14:paraId="1B65F2B7" w14:textId="77777777" w:rsidR="004B7DFB" w:rsidRPr="004B77F8" w:rsidRDefault="004B7DFB" w:rsidP="00CE5E93">
            <w:pPr>
              <w:spacing w:line="360" w:lineRule="auto"/>
              <w:jc w:val="left"/>
            </w:pPr>
            <w:r w:rsidRPr="004B77F8">
              <w:t>hour(s)</w:t>
            </w:r>
          </w:p>
        </w:tc>
      </w:tr>
      <w:tr w:rsidR="004B7DFB" w:rsidRPr="004B77F8" w14:paraId="6DCAE188" w14:textId="77777777" w:rsidTr="00CE5E93">
        <w:trPr>
          <w:trHeight w:val="249"/>
        </w:trPr>
        <w:tc>
          <w:tcPr>
            <w:tcW w:w="2221" w:type="dxa"/>
            <w:tcBorders>
              <w:top w:val="nil"/>
              <w:left w:val="nil"/>
              <w:bottom w:val="nil"/>
              <w:right w:val="nil"/>
            </w:tcBorders>
            <w:shd w:val="clear" w:color="auto" w:fill="auto"/>
            <w:noWrap/>
          </w:tcPr>
          <w:p w14:paraId="41DD3022" w14:textId="77777777" w:rsidR="004B7DFB" w:rsidRPr="004B77F8" w:rsidRDefault="004B7DFB" w:rsidP="00CE5E93">
            <w:pPr>
              <w:spacing w:line="360" w:lineRule="auto"/>
              <w:jc w:val="left"/>
            </w:pPr>
            <w:r w:rsidRPr="004B77F8">
              <w:t>M</w:t>
            </w:r>
          </w:p>
        </w:tc>
        <w:tc>
          <w:tcPr>
            <w:tcW w:w="6284" w:type="dxa"/>
            <w:tcBorders>
              <w:top w:val="nil"/>
              <w:left w:val="nil"/>
              <w:bottom w:val="nil"/>
              <w:right w:val="nil"/>
            </w:tcBorders>
            <w:shd w:val="clear" w:color="auto" w:fill="auto"/>
            <w:noWrap/>
          </w:tcPr>
          <w:p w14:paraId="5D8C6350" w14:textId="47F08E6A" w:rsidR="004B7DFB" w:rsidRPr="004B77F8" w:rsidRDefault="004B7DFB" w:rsidP="00CE5E93">
            <w:pPr>
              <w:spacing w:line="360" w:lineRule="auto"/>
              <w:jc w:val="left"/>
            </w:pPr>
            <w:r w:rsidRPr="00AA5297">
              <w:t>mol</w:t>
            </w:r>
            <w:r w:rsidR="00423721" w:rsidRPr="00AA5297">
              <w:t>arity</w:t>
            </w:r>
          </w:p>
        </w:tc>
      </w:tr>
      <w:tr w:rsidR="004B7DFB" w:rsidRPr="004B77F8" w14:paraId="557ECE3C" w14:textId="77777777" w:rsidTr="00CE5E93">
        <w:trPr>
          <w:trHeight w:val="249"/>
        </w:trPr>
        <w:tc>
          <w:tcPr>
            <w:tcW w:w="2221" w:type="dxa"/>
            <w:tcBorders>
              <w:top w:val="nil"/>
              <w:left w:val="nil"/>
              <w:bottom w:val="nil"/>
              <w:right w:val="nil"/>
            </w:tcBorders>
            <w:shd w:val="clear" w:color="auto" w:fill="auto"/>
            <w:noWrap/>
            <w:hideMark/>
          </w:tcPr>
          <w:p w14:paraId="1B3B06B6" w14:textId="77777777" w:rsidR="004B7DFB" w:rsidRPr="004B77F8" w:rsidRDefault="004B7DFB" w:rsidP="00CE5E93">
            <w:pPr>
              <w:spacing w:line="360" w:lineRule="auto"/>
              <w:jc w:val="left"/>
            </w:pPr>
            <w:r>
              <w:t>MAX</w:t>
            </w:r>
          </w:p>
        </w:tc>
        <w:tc>
          <w:tcPr>
            <w:tcW w:w="6284" w:type="dxa"/>
            <w:tcBorders>
              <w:top w:val="nil"/>
              <w:left w:val="nil"/>
              <w:bottom w:val="nil"/>
              <w:right w:val="nil"/>
            </w:tcBorders>
            <w:shd w:val="clear" w:color="auto" w:fill="auto"/>
            <w:noWrap/>
            <w:hideMark/>
          </w:tcPr>
          <w:p w14:paraId="427D2199" w14:textId="77777777" w:rsidR="004B7DFB" w:rsidRPr="004B77F8" w:rsidRDefault="004B7DFB" w:rsidP="00CE5E93">
            <w:pPr>
              <w:spacing w:line="360" w:lineRule="auto"/>
              <w:jc w:val="left"/>
            </w:pPr>
            <w:r>
              <w:t>MORE AXILLARY GROWTH</w:t>
            </w:r>
          </w:p>
        </w:tc>
      </w:tr>
      <w:tr w:rsidR="004B7DFB" w:rsidRPr="004B77F8" w14:paraId="302C7C46" w14:textId="77777777" w:rsidTr="00CE5E93">
        <w:trPr>
          <w:trHeight w:val="249"/>
        </w:trPr>
        <w:tc>
          <w:tcPr>
            <w:tcW w:w="2221" w:type="dxa"/>
            <w:tcBorders>
              <w:top w:val="nil"/>
              <w:left w:val="nil"/>
              <w:bottom w:val="nil"/>
              <w:right w:val="nil"/>
            </w:tcBorders>
            <w:shd w:val="clear" w:color="auto" w:fill="auto"/>
            <w:noWrap/>
            <w:hideMark/>
          </w:tcPr>
          <w:p w14:paraId="7CBAC3F6" w14:textId="77777777" w:rsidR="004B7DFB" w:rsidRPr="004B77F8" w:rsidRDefault="004B7DFB" w:rsidP="00CE5E93">
            <w:pPr>
              <w:spacing w:line="360" w:lineRule="auto"/>
              <w:jc w:val="left"/>
            </w:pPr>
            <w:r w:rsidRPr="004B77F8">
              <w:t>n</w:t>
            </w:r>
          </w:p>
        </w:tc>
        <w:tc>
          <w:tcPr>
            <w:tcW w:w="6284" w:type="dxa"/>
            <w:tcBorders>
              <w:top w:val="nil"/>
              <w:left w:val="nil"/>
              <w:bottom w:val="nil"/>
              <w:right w:val="nil"/>
            </w:tcBorders>
            <w:shd w:val="clear" w:color="auto" w:fill="auto"/>
            <w:noWrap/>
            <w:hideMark/>
          </w:tcPr>
          <w:p w14:paraId="23FCB15A" w14:textId="77777777" w:rsidR="004B7DFB" w:rsidRPr="004B77F8" w:rsidRDefault="004B7DFB" w:rsidP="00CE5E93">
            <w:pPr>
              <w:spacing w:line="360" w:lineRule="auto"/>
              <w:jc w:val="left"/>
            </w:pPr>
            <w:r w:rsidRPr="004B77F8">
              <w:t>number (of samples)</w:t>
            </w:r>
          </w:p>
        </w:tc>
      </w:tr>
      <w:tr w:rsidR="004B7DFB" w:rsidRPr="004B77F8" w14:paraId="1C864B07" w14:textId="77777777" w:rsidTr="00CE5E93">
        <w:trPr>
          <w:trHeight w:val="249"/>
        </w:trPr>
        <w:tc>
          <w:tcPr>
            <w:tcW w:w="2221" w:type="dxa"/>
            <w:tcBorders>
              <w:top w:val="nil"/>
              <w:left w:val="nil"/>
              <w:bottom w:val="nil"/>
              <w:right w:val="nil"/>
            </w:tcBorders>
            <w:shd w:val="clear" w:color="auto" w:fill="auto"/>
            <w:noWrap/>
          </w:tcPr>
          <w:p w14:paraId="35A85436" w14:textId="77777777" w:rsidR="004B7DFB" w:rsidRPr="004B77F8" w:rsidRDefault="004B7DFB" w:rsidP="00CE5E93">
            <w:pPr>
              <w:spacing w:line="360" w:lineRule="auto"/>
              <w:jc w:val="left"/>
            </w:pPr>
            <w:r>
              <w:t>NRT1.5/ 1.8/ 2.1/ 2.2/ 2.4)</w:t>
            </w:r>
          </w:p>
        </w:tc>
        <w:tc>
          <w:tcPr>
            <w:tcW w:w="6284" w:type="dxa"/>
            <w:tcBorders>
              <w:top w:val="nil"/>
              <w:left w:val="nil"/>
              <w:bottom w:val="nil"/>
              <w:right w:val="nil"/>
            </w:tcBorders>
            <w:shd w:val="clear" w:color="auto" w:fill="auto"/>
            <w:noWrap/>
          </w:tcPr>
          <w:p w14:paraId="15B359BC" w14:textId="5B1085A3" w:rsidR="004B7DFB" w:rsidRPr="00636783" w:rsidRDefault="00CB2317" w:rsidP="00CE5E93">
            <w:pPr>
              <w:spacing w:line="360" w:lineRule="auto"/>
              <w:jc w:val="left"/>
            </w:pPr>
            <w:r w:rsidRPr="00636783">
              <w:t>NITRATE TRANSPORTER</w:t>
            </w:r>
            <w:r w:rsidR="00360E34" w:rsidRPr="00636783">
              <w:t xml:space="preserve"> genes</w:t>
            </w:r>
          </w:p>
        </w:tc>
      </w:tr>
      <w:tr w:rsidR="004B7DFB" w:rsidRPr="004B77F8" w14:paraId="58C1FFB0" w14:textId="77777777" w:rsidTr="00CE5E93">
        <w:trPr>
          <w:trHeight w:val="249"/>
        </w:trPr>
        <w:tc>
          <w:tcPr>
            <w:tcW w:w="2221" w:type="dxa"/>
            <w:tcBorders>
              <w:top w:val="nil"/>
              <w:left w:val="nil"/>
              <w:bottom w:val="nil"/>
              <w:right w:val="nil"/>
            </w:tcBorders>
            <w:shd w:val="clear" w:color="auto" w:fill="auto"/>
            <w:noWrap/>
            <w:hideMark/>
          </w:tcPr>
          <w:p w14:paraId="66F91B31" w14:textId="77777777" w:rsidR="004B7DFB" w:rsidRPr="004B77F8" w:rsidRDefault="004B7DFB" w:rsidP="00CE5E93">
            <w:pPr>
              <w:spacing w:line="360" w:lineRule="auto"/>
              <w:jc w:val="left"/>
            </w:pPr>
            <w:r w:rsidRPr="004B77F8">
              <w:lastRenderedPageBreak/>
              <w:t>n.s.</w:t>
            </w:r>
          </w:p>
        </w:tc>
        <w:tc>
          <w:tcPr>
            <w:tcW w:w="6284" w:type="dxa"/>
            <w:tcBorders>
              <w:top w:val="nil"/>
              <w:left w:val="nil"/>
              <w:bottom w:val="nil"/>
              <w:right w:val="nil"/>
            </w:tcBorders>
            <w:shd w:val="clear" w:color="auto" w:fill="auto"/>
            <w:noWrap/>
            <w:hideMark/>
          </w:tcPr>
          <w:p w14:paraId="7D9503DC" w14:textId="77777777" w:rsidR="004B7DFB" w:rsidRPr="004B77F8" w:rsidRDefault="004B7DFB" w:rsidP="00CE5E93">
            <w:pPr>
              <w:spacing w:line="360" w:lineRule="auto"/>
              <w:jc w:val="left"/>
            </w:pPr>
            <w:r w:rsidRPr="004B77F8">
              <w:t>non-significant</w:t>
            </w:r>
          </w:p>
        </w:tc>
      </w:tr>
      <w:tr w:rsidR="004B7DFB" w:rsidRPr="004B77F8" w14:paraId="6C066758" w14:textId="77777777" w:rsidTr="00CE5E93">
        <w:trPr>
          <w:trHeight w:val="249"/>
        </w:trPr>
        <w:tc>
          <w:tcPr>
            <w:tcW w:w="2221" w:type="dxa"/>
            <w:tcBorders>
              <w:top w:val="nil"/>
              <w:left w:val="nil"/>
              <w:bottom w:val="nil"/>
              <w:right w:val="nil"/>
            </w:tcBorders>
            <w:shd w:val="clear" w:color="auto" w:fill="auto"/>
            <w:noWrap/>
          </w:tcPr>
          <w:p w14:paraId="257AEB04" w14:textId="77777777" w:rsidR="004B7DFB" w:rsidRPr="004B77F8" w:rsidRDefault="004B7DFB" w:rsidP="00CE5E93">
            <w:pPr>
              <w:spacing w:line="360" w:lineRule="auto"/>
              <w:jc w:val="left"/>
            </w:pPr>
            <w:r w:rsidRPr="004B77F8">
              <w:t>mm / cm</w:t>
            </w:r>
          </w:p>
        </w:tc>
        <w:tc>
          <w:tcPr>
            <w:tcW w:w="6284" w:type="dxa"/>
            <w:tcBorders>
              <w:top w:val="nil"/>
              <w:left w:val="nil"/>
              <w:bottom w:val="nil"/>
              <w:right w:val="nil"/>
            </w:tcBorders>
            <w:shd w:val="clear" w:color="auto" w:fill="auto"/>
            <w:noWrap/>
          </w:tcPr>
          <w:p w14:paraId="7796B764" w14:textId="77777777" w:rsidR="004B7DFB" w:rsidRPr="004B77F8" w:rsidRDefault="004B7DFB" w:rsidP="00CE5E93">
            <w:pPr>
              <w:spacing w:line="360" w:lineRule="auto"/>
              <w:jc w:val="left"/>
            </w:pPr>
            <w:r w:rsidRPr="004B77F8">
              <w:t>milli- / centi</w:t>
            </w:r>
            <w:r>
              <w:t>-</w:t>
            </w:r>
            <w:r w:rsidRPr="004B77F8">
              <w:t>metre</w:t>
            </w:r>
          </w:p>
        </w:tc>
      </w:tr>
      <w:tr w:rsidR="004B7DFB" w:rsidRPr="004B77F8" w14:paraId="0AAD6F39" w14:textId="77777777" w:rsidTr="00CE5E93">
        <w:trPr>
          <w:trHeight w:val="249"/>
        </w:trPr>
        <w:tc>
          <w:tcPr>
            <w:tcW w:w="2221" w:type="dxa"/>
            <w:tcBorders>
              <w:top w:val="nil"/>
              <w:left w:val="nil"/>
              <w:bottom w:val="nil"/>
              <w:right w:val="nil"/>
            </w:tcBorders>
            <w:shd w:val="clear" w:color="auto" w:fill="auto"/>
            <w:noWrap/>
            <w:hideMark/>
          </w:tcPr>
          <w:p w14:paraId="4CB78A16" w14:textId="77777777" w:rsidR="004B7DFB" w:rsidRPr="004B77F8" w:rsidRDefault="004B7DFB" w:rsidP="00CE5E93">
            <w:pPr>
              <w:spacing w:line="360" w:lineRule="auto"/>
              <w:jc w:val="left"/>
            </w:pPr>
            <w:r w:rsidRPr="004B77F8">
              <w:t>ºC</w:t>
            </w:r>
          </w:p>
        </w:tc>
        <w:tc>
          <w:tcPr>
            <w:tcW w:w="6284" w:type="dxa"/>
            <w:tcBorders>
              <w:top w:val="nil"/>
              <w:left w:val="nil"/>
              <w:bottom w:val="nil"/>
              <w:right w:val="nil"/>
            </w:tcBorders>
            <w:shd w:val="clear" w:color="auto" w:fill="auto"/>
            <w:noWrap/>
            <w:hideMark/>
          </w:tcPr>
          <w:p w14:paraId="38395638" w14:textId="1AFFA8AF" w:rsidR="004B7DFB" w:rsidRPr="004B77F8" w:rsidRDefault="004B7DFB" w:rsidP="00CE5E93">
            <w:pPr>
              <w:spacing w:line="360" w:lineRule="auto"/>
              <w:jc w:val="left"/>
            </w:pPr>
            <w:r w:rsidRPr="004B77F8">
              <w:t xml:space="preserve">degrees </w:t>
            </w:r>
            <w:r w:rsidR="00855AE8" w:rsidRPr="004B77F8">
              <w:t>Celsius</w:t>
            </w:r>
            <w:r w:rsidRPr="004B77F8">
              <w:t xml:space="preserve"> </w:t>
            </w:r>
          </w:p>
        </w:tc>
      </w:tr>
      <w:tr w:rsidR="004B7DFB" w:rsidRPr="004B77F8" w14:paraId="770F7E1C" w14:textId="77777777" w:rsidTr="00CE5E93">
        <w:trPr>
          <w:trHeight w:val="249"/>
        </w:trPr>
        <w:tc>
          <w:tcPr>
            <w:tcW w:w="2221" w:type="dxa"/>
            <w:tcBorders>
              <w:top w:val="nil"/>
              <w:left w:val="nil"/>
              <w:bottom w:val="nil"/>
              <w:right w:val="nil"/>
            </w:tcBorders>
            <w:shd w:val="clear" w:color="auto" w:fill="auto"/>
            <w:noWrap/>
          </w:tcPr>
          <w:p w14:paraId="2F9C0F3C" w14:textId="77777777" w:rsidR="004B7DFB" w:rsidRPr="004B77F8" w:rsidRDefault="004B7DFB" w:rsidP="00CE5E93">
            <w:pPr>
              <w:spacing w:line="360" w:lineRule="auto"/>
              <w:jc w:val="left"/>
            </w:pPr>
            <w:r>
              <w:t>PDR</w:t>
            </w:r>
          </w:p>
        </w:tc>
        <w:tc>
          <w:tcPr>
            <w:tcW w:w="6284" w:type="dxa"/>
            <w:tcBorders>
              <w:top w:val="nil"/>
              <w:left w:val="nil"/>
              <w:bottom w:val="nil"/>
              <w:right w:val="nil"/>
            </w:tcBorders>
            <w:shd w:val="clear" w:color="auto" w:fill="auto"/>
            <w:noWrap/>
          </w:tcPr>
          <w:p w14:paraId="110139B5" w14:textId="77777777" w:rsidR="004B7DFB" w:rsidRPr="004B77F8" w:rsidRDefault="004B7DFB" w:rsidP="00CE5E93">
            <w:pPr>
              <w:spacing w:line="360" w:lineRule="auto"/>
              <w:jc w:val="left"/>
            </w:pPr>
            <w:r>
              <w:t>PLEIOTROPIC DRUG RESISTANCE</w:t>
            </w:r>
          </w:p>
        </w:tc>
      </w:tr>
      <w:tr w:rsidR="004B7DFB" w:rsidRPr="004B77F8" w14:paraId="1B4E9141" w14:textId="77777777" w:rsidTr="00CE5E93">
        <w:trPr>
          <w:trHeight w:val="249"/>
        </w:trPr>
        <w:tc>
          <w:tcPr>
            <w:tcW w:w="2221" w:type="dxa"/>
            <w:tcBorders>
              <w:top w:val="nil"/>
              <w:left w:val="nil"/>
              <w:bottom w:val="nil"/>
              <w:right w:val="nil"/>
            </w:tcBorders>
            <w:shd w:val="clear" w:color="auto" w:fill="auto"/>
            <w:noWrap/>
          </w:tcPr>
          <w:p w14:paraId="28660291" w14:textId="77777777" w:rsidR="004B7DFB" w:rsidRDefault="004B7DFB" w:rsidP="00CE5E93">
            <w:pPr>
              <w:spacing w:line="360" w:lineRule="auto"/>
              <w:jc w:val="left"/>
            </w:pPr>
            <w:r>
              <w:t>Pea</w:t>
            </w:r>
          </w:p>
        </w:tc>
        <w:tc>
          <w:tcPr>
            <w:tcW w:w="6284" w:type="dxa"/>
            <w:tcBorders>
              <w:top w:val="nil"/>
              <w:left w:val="nil"/>
              <w:bottom w:val="nil"/>
              <w:right w:val="nil"/>
            </w:tcBorders>
            <w:shd w:val="clear" w:color="auto" w:fill="auto"/>
            <w:noWrap/>
          </w:tcPr>
          <w:p w14:paraId="6C7D3B08" w14:textId="77777777" w:rsidR="004B7DFB" w:rsidRPr="00F60CE0" w:rsidRDefault="004B7DFB" w:rsidP="00CE5E93">
            <w:pPr>
              <w:spacing w:line="360" w:lineRule="auto"/>
              <w:jc w:val="left"/>
              <w:rPr>
                <w:i/>
                <w:iCs/>
              </w:rPr>
            </w:pPr>
            <w:r w:rsidRPr="00F60CE0">
              <w:rPr>
                <w:i/>
                <w:iCs/>
              </w:rPr>
              <w:t>Pisum sativum</w:t>
            </w:r>
          </w:p>
        </w:tc>
      </w:tr>
      <w:tr w:rsidR="004B7DFB" w:rsidRPr="004B77F8" w14:paraId="30EA9C4F" w14:textId="77777777" w:rsidTr="00CE5E93">
        <w:trPr>
          <w:trHeight w:val="249"/>
        </w:trPr>
        <w:tc>
          <w:tcPr>
            <w:tcW w:w="2221" w:type="dxa"/>
            <w:tcBorders>
              <w:top w:val="nil"/>
              <w:left w:val="nil"/>
              <w:bottom w:val="nil"/>
              <w:right w:val="nil"/>
            </w:tcBorders>
            <w:shd w:val="clear" w:color="auto" w:fill="auto"/>
            <w:noWrap/>
            <w:hideMark/>
          </w:tcPr>
          <w:p w14:paraId="30271B18" w14:textId="77777777" w:rsidR="004B7DFB" w:rsidRPr="004B77F8" w:rsidRDefault="004B7DFB" w:rsidP="00CE5E93">
            <w:pPr>
              <w:spacing w:line="360" w:lineRule="auto"/>
              <w:jc w:val="left"/>
            </w:pPr>
            <w:r w:rsidRPr="004B77F8">
              <w:t>µg / mg / g</w:t>
            </w:r>
          </w:p>
        </w:tc>
        <w:tc>
          <w:tcPr>
            <w:tcW w:w="6284" w:type="dxa"/>
            <w:tcBorders>
              <w:top w:val="nil"/>
              <w:left w:val="nil"/>
              <w:bottom w:val="nil"/>
              <w:right w:val="nil"/>
            </w:tcBorders>
            <w:shd w:val="clear" w:color="auto" w:fill="auto"/>
            <w:noWrap/>
            <w:hideMark/>
          </w:tcPr>
          <w:p w14:paraId="67472F33" w14:textId="77777777" w:rsidR="004B7DFB" w:rsidRPr="004B77F8" w:rsidRDefault="004B7DFB" w:rsidP="00CE5E93">
            <w:pPr>
              <w:spacing w:line="360" w:lineRule="auto"/>
              <w:jc w:val="left"/>
            </w:pPr>
            <w:r w:rsidRPr="004B77F8">
              <w:t>micro- / milli- / gram</w:t>
            </w:r>
          </w:p>
        </w:tc>
      </w:tr>
      <w:tr w:rsidR="004B7DFB" w:rsidRPr="004B77F8" w14:paraId="2653400B" w14:textId="77777777" w:rsidTr="00CE5E93">
        <w:trPr>
          <w:trHeight w:val="249"/>
        </w:trPr>
        <w:tc>
          <w:tcPr>
            <w:tcW w:w="2221" w:type="dxa"/>
            <w:tcBorders>
              <w:top w:val="nil"/>
              <w:left w:val="nil"/>
              <w:bottom w:val="nil"/>
              <w:right w:val="nil"/>
            </w:tcBorders>
            <w:shd w:val="clear" w:color="auto" w:fill="auto"/>
            <w:noWrap/>
          </w:tcPr>
          <w:p w14:paraId="337B41F1" w14:textId="77777777" w:rsidR="004B7DFB" w:rsidRPr="004B77F8" w:rsidRDefault="004B7DFB" w:rsidP="00CE5E93">
            <w:pPr>
              <w:spacing w:line="360" w:lineRule="auto"/>
              <w:jc w:val="left"/>
            </w:pPr>
            <w:r>
              <w:t>Ramous</w:t>
            </w:r>
          </w:p>
        </w:tc>
        <w:tc>
          <w:tcPr>
            <w:tcW w:w="6284" w:type="dxa"/>
            <w:tcBorders>
              <w:top w:val="nil"/>
              <w:left w:val="nil"/>
              <w:bottom w:val="nil"/>
              <w:right w:val="nil"/>
            </w:tcBorders>
            <w:shd w:val="clear" w:color="auto" w:fill="auto"/>
            <w:noWrap/>
          </w:tcPr>
          <w:p w14:paraId="1A9D79B8" w14:textId="77777777" w:rsidR="004B7DFB" w:rsidRPr="004B77F8" w:rsidRDefault="004B7DFB" w:rsidP="00CE5E93">
            <w:pPr>
              <w:spacing w:line="360" w:lineRule="auto"/>
              <w:jc w:val="left"/>
            </w:pPr>
            <w:r>
              <w:t>rms</w:t>
            </w:r>
          </w:p>
        </w:tc>
      </w:tr>
      <w:tr w:rsidR="004B7DFB" w:rsidRPr="004B77F8" w14:paraId="288330FA" w14:textId="77777777" w:rsidTr="00CE5E93">
        <w:trPr>
          <w:trHeight w:val="249"/>
        </w:trPr>
        <w:tc>
          <w:tcPr>
            <w:tcW w:w="2221" w:type="dxa"/>
            <w:tcBorders>
              <w:top w:val="nil"/>
              <w:left w:val="nil"/>
              <w:bottom w:val="nil"/>
              <w:right w:val="nil"/>
            </w:tcBorders>
            <w:shd w:val="clear" w:color="auto" w:fill="auto"/>
            <w:noWrap/>
          </w:tcPr>
          <w:p w14:paraId="62CCA250" w14:textId="77777777" w:rsidR="004B7DFB" w:rsidRDefault="004B7DFB" w:rsidP="00CE5E93">
            <w:pPr>
              <w:spacing w:line="360" w:lineRule="auto"/>
              <w:jc w:val="left"/>
            </w:pPr>
            <w:r>
              <w:t>RDS</w:t>
            </w:r>
          </w:p>
        </w:tc>
        <w:tc>
          <w:tcPr>
            <w:tcW w:w="6284" w:type="dxa"/>
            <w:tcBorders>
              <w:top w:val="nil"/>
              <w:left w:val="nil"/>
              <w:bottom w:val="nil"/>
              <w:right w:val="nil"/>
            </w:tcBorders>
            <w:shd w:val="clear" w:color="auto" w:fill="auto"/>
            <w:noWrap/>
          </w:tcPr>
          <w:p w14:paraId="5F7BB95E" w14:textId="158B0971" w:rsidR="004B7DFB" w:rsidRDefault="004B7DFB" w:rsidP="00CE5E93">
            <w:pPr>
              <w:spacing w:line="360" w:lineRule="auto"/>
              <w:jc w:val="left"/>
            </w:pPr>
            <w:r>
              <w:t>Root Density Sen</w:t>
            </w:r>
            <w:r w:rsidR="00403D8C">
              <w:t>s</w:t>
            </w:r>
            <w:r>
              <w:t>ing Signal</w:t>
            </w:r>
          </w:p>
        </w:tc>
      </w:tr>
      <w:tr w:rsidR="004B7DFB" w:rsidRPr="004B77F8" w14:paraId="7DDBBCFB" w14:textId="77777777" w:rsidTr="00CE5E93">
        <w:trPr>
          <w:trHeight w:val="249"/>
        </w:trPr>
        <w:tc>
          <w:tcPr>
            <w:tcW w:w="2221" w:type="dxa"/>
            <w:tcBorders>
              <w:top w:val="nil"/>
              <w:left w:val="nil"/>
              <w:bottom w:val="nil"/>
              <w:right w:val="nil"/>
            </w:tcBorders>
            <w:shd w:val="clear" w:color="auto" w:fill="auto"/>
            <w:noWrap/>
          </w:tcPr>
          <w:p w14:paraId="4BFABAE4" w14:textId="77777777" w:rsidR="004B7DFB" w:rsidRDefault="004B7DFB" w:rsidP="00CE5E93">
            <w:pPr>
              <w:spacing w:line="360" w:lineRule="auto"/>
              <w:jc w:val="left"/>
            </w:pPr>
            <w:r>
              <w:t>RD Score</w:t>
            </w:r>
          </w:p>
        </w:tc>
        <w:tc>
          <w:tcPr>
            <w:tcW w:w="6284" w:type="dxa"/>
            <w:tcBorders>
              <w:top w:val="nil"/>
              <w:left w:val="nil"/>
              <w:bottom w:val="nil"/>
              <w:right w:val="nil"/>
            </w:tcBorders>
            <w:shd w:val="clear" w:color="auto" w:fill="auto"/>
            <w:noWrap/>
          </w:tcPr>
          <w:p w14:paraId="6CE08F06" w14:textId="77777777" w:rsidR="004B7DFB" w:rsidRDefault="004B7DFB" w:rsidP="00CE5E93">
            <w:pPr>
              <w:spacing w:line="360" w:lineRule="auto"/>
              <w:jc w:val="left"/>
            </w:pPr>
            <w:r>
              <w:t>Root Density Score</w:t>
            </w:r>
          </w:p>
        </w:tc>
      </w:tr>
      <w:tr w:rsidR="004B7DFB" w:rsidRPr="004B77F8" w14:paraId="6F1B2D9C" w14:textId="77777777" w:rsidTr="00CE5E93">
        <w:trPr>
          <w:trHeight w:val="249"/>
        </w:trPr>
        <w:tc>
          <w:tcPr>
            <w:tcW w:w="2221" w:type="dxa"/>
            <w:tcBorders>
              <w:top w:val="nil"/>
              <w:left w:val="nil"/>
              <w:bottom w:val="nil"/>
              <w:right w:val="nil"/>
            </w:tcBorders>
            <w:shd w:val="clear" w:color="auto" w:fill="auto"/>
            <w:noWrap/>
          </w:tcPr>
          <w:p w14:paraId="71EDE749" w14:textId="77777777" w:rsidR="004B7DFB" w:rsidRDefault="004B7DFB" w:rsidP="00CE5E93">
            <w:pPr>
              <w:spacing w:line="360" w:lineRule="auto"/>
              <w:jc w:val="left"/>
            </w:pPr>
            <w:r>
              <w:t>RHD6</w:t>
            </w:r>
          </w:p>
        </w:tc>
        <w:tc>
          <w:tcPr>
            <w:tcW w:w="6284" w:type="dxa"/>
            <w:tcBorders>
              <w:top w:val="nil"/>
              <w:left w:val="nil"/>
              <w:bottom w:val="nil"/>
              <w:right w:val="nil"/>
            </w:tcBorders>
            <w:shd w:val="clear" w:color="auto" w:fill="auto"/>
            <w:noWrap/>
          </w:tcPr>
          <w:p w14:paraId="4ECED055" w14:textId="77777777" w:rsidR="004B7DFB" w:rsidRDefault="004B7DFB" w:rsidP="00CE5E93">
            <w:pPr>
              <w:spacing w:line="360" w:lineRule="auto"/>
              <w:jc w:val="left"/>
            </w:pPr>
            <w:r>
              <w:t>ROOT HAIR DEFECTIVE LIKE 6</w:t>
            </w:r>
          </w:p>
        </w:tc>
      </w:tr>
      <w:tr w:rsidR="004B7DFB" w:rsidRPr="004B77F8" w14:paraId="710F4F97" w14:textId="77777777" w:rsidTr="00CE5E93">
        <w:trPr>
          <w:trHeight w:val="249"/>
        </w:trPr>
        <w:tc>
          <w:tcPr>
            <w:tcW w:w="2221" w:type="dxa"/>
            <w:tcBorders>
              <w:top w:val="nil"/>
              <w:left w:val="nil"/>
              <w:bottom w:val="nil"/>
              <w:right w:val="nil"/>
            </w:tcBorders>
            <w:shd w:val="clear" w:color="auto" w:fill="auto"/>
            <w:noWrap/>
          </w:tcPr>
          <w:p w14:paraId="00B1A69F" w14:textId="77777777" w:rsidR="004B7DFB" w:rsidRDefault="004B7DFB" w:rsidP="00CE5E93">
            <w:pPr>
              <w:spacing w:line="360" w:lineRule="auto"/>
              <w:jc w:val="left"/>
            </w:pPr>
            <w:r>
              <w:t>RNAseq</w:t>
            </w:r>
          </w:p>
        </w:tc>
        <w:tc>
          <w:tcPr>
            <w:tcW w:w="6284" w:type="dxa"/>
            <w:tcBorders>
              <w:top w:val="nil"/>
              <w:left w:val="nil"/>
              <w:bottom w:val="nil"/>
              <w:right w:val="nil"/>
            </w:tcBorders>
            <w:shd w:val="clear" w:color="auto" w:fill="auto"/>
            <w:noWrap/>
          </w:tcPr>
          <w:p w14:paraId="3A51D96F" w14:textId="77777777" w:rsidR="004B7DFB" w:rsidRDefault="004B7DFB" w:rsidP="00CE5E93">
            <w:pPr>
              <w:spacing w:line="360" w:lineRule="auto"/>
              <w:jc w:val="left"/>
            </w:pPr>
            <w:r>
              <w:t>RNA sequencing</w:t>
            </w:r>
          </w:p>
        </w:tc>
      </w:tr>
      <w:tr w:rsidR="004B7DFB" w:rsidRPr="004B77F8" w14:paraId="03591641" w14:textId="77777777" w:rsidTr="00CE5E93">
        <w:trPr>
          <w:trHeight w:val="249"/>
        </w:trPr>
        <w:tc>
          <w:tcPr>
            <w:tcW w:w="2221" w:type="dxa"/>
            <w:tcBorders>
              <w:top w:val="nil"/>
              <w:left w:val="nil"/>
              <w:bottom w:val="nil"/>
              <w:right w:val="nil"/>
            </w:tcBorders>
            <w:shd w:val="clear" w:color="auto" w:fill="auto"/>
            <w:noWrap/>
            <w:hideMark/>
          </w:tcPr>
          <w:p w14:paraId="736D381B" w14:textId="77777777" w:rsidR="004B7DFB" w:rsidRPr="00825D6E" w:rsidRDefault="004B7DFB" w:rsidP="00CE5E93">
            <w:pPr>
              <w:spacing w:line="360" w:lineRule="auto"/>
              <w:jc w:val="left"/>
            </w:pPr>
            <w:r>
              <w:t>RSA</w:t>
            </w:r>
          </w:p>
        </w:tc>
        <w:tc>
          <w:tcPr>
            <w:tcW w:w="6284" w:type="dxa"/>
            <w:tcBorders>
              <w:top w:val="nil"/>
              <w:left w:val="nil"/>
              <w:bottom w:val="nil"/>
              <w:right w:val="nil"/>
            </w:tcBorders>
            <w:shd w:val="clear" w:color="auto" w:fill="auto"/>
            <w:noWrap/>
            <w:hideMark/>
          </w:tcPr>
          <w:p w14:paraId="400E6583" w14:textId="77777777" w:rsidR="004B7DFB" w:rsidRPr="004B77F8" w:rsidRDefault="004B7DFB" w:rsidP="00CE5E93">
            <w:pPr>
              <w:spacing w:line="360" w:lineRule="auto"/>
              <w:jc w:val="left"/>
            </w:pPr>
            <w:r>
              <w:t>root system architecture</w:t>
            </w:r>
          </w:p>
        </w:tc>
      </w:tr>
      <w:tr w:rsidR="004B7DFB" w:rsidRPr="004B77F8" w14:paraId="080E4DBC" w14:textId="77777777" w:rsidTr="00CE5E93">
        <w:trPr>
          <w:trHeight w:val="249"/>
        </w:trPr>
        <w:tc>
          <w:tcPr>
            <w:tcW w:w="2221" w:type="dxa"/>
            <w:tcBorders>
              <w:top w:val="nil"/>
              <w:left w:val="nil"/>
              <w:bottom w:val="nil"/>
              <w:right w:val="nil"/>
            </w:tcBorders>
            <w:shd w:val="clear" w:color="auto" w:fill="auto"/>
            <w:noWrap/>
          </w:tcPr>
          <w:p w14:paraId="0BB76FEB" w14:textId="77777777" w:rsidR="004B7DFB" w:rsidRDefault="004B7DFB" w:rsidP="00CE5E93">
            <w:pPr>
              <w:spacing w:line="360" w:lineRule="auto"/>
              <w:jc w:val="left"/>
            </w:pPr>
            <w:r>
              <w:t>RSL1</w:t>
            </w:r>
          </w:p>
        </w:tc>
        <w:tc>
          <w:tcPr>
            <w:tcW w:w="6284" w:type="dxa"/>
            <w:tcBorders>
              <w:top w:val="nil"/>
              <w:left w:val="nil"/>
              <w:bottom w:val="nil"/>
              <w:right w:val="nil"/>
            </w:tcBorders>
            <w:shd w:val="clear" w:color="auto" w:fill="auto"/>
            <w:noWrap/>
          </w:tcPr>
          <w:p w14:paraId="174D359C" w14:textId="77777777" w:rsidR="004B7DFB" w:rsidRDefault="004B7DFB" w:rsidP="00CE5E93">
            <w:pPr>
              <w:spacing w:line="360" w:lineRule="auto"/>
              <w:jc w:val="left"/>
            </w:pPr>
            <w:r w:rsidRPr="00B340AB">
              <w:t>ROOT HAIR DEFECTIVE6 LIKE1</w:t>
            </w:r>
          </w:p>
        </w:tc>
      </w:tr>
      <w:tr w:rsidR="004B7DFB" w:rsidRPr="004B77F8" w14:paraId="60C99144" w14:textId="77777777" w:rsidTr="00CE5E93">
        <w:trPr>
          <w:trHeight w:val="249"/>
        </w:trPr>
        <w:tc>
          <w:tcPr>
            <w:tcW w:w="2221" w:type="dxa"/>
            <w:tcBorders>
              <w:top w:val="nil"/>
              <w:left w:val="nil"/>
              <w:bottom w:val="nil"/>
              <w:right w:val="nil"/>
            </w:tcBorders>
            <w:shd w:val="clear" w:color="auto" w:fill="auto"/>
            <w:noWrap/>
          </w:tcPr>
          <w:p w14:paraId="27C8D148" w14:textId="77777777" w:rsidR="004B7DFB" w:rsidRPr="004B77F8" w:rsidRDefault="004B7DFB" w:rsidP="00CE5E93">
            <w:pPr>
              <w:spacing w:line="360" w:lineRule="auto"/>
              <w:jc w:val="left"/>
            </w:pPr>
            <w:r w:rsidRPr="4B8B8E01">
              <w:t>s.e.m.</w:t>
            </w:r>
          </w:p>
        </w:tc>
        <w:tc>
          <w:tcPr>
            <w:tcW w:w="6284" w:type="dxa"/>
            <w:tcBorders>
              <w:top w:val="nil"/>
              <w:left w:val="nil"/>
              <w:bottom w:val="nil"/>
              <w:right w:val="nil"/>
            </w:tcBorders>
            <w:shd w:val="clear" w:color="auto" w:fill="auto"/>
            <w:noWrap/>
          </w:tcPr>
          <w:p w14:paraId="5E118288" w14:textId="77777777" w:rsidR="004B7DFB" w:rsidRPr="004B77F8" w:rsidRDefault="004B7DFB" w:rsidP="00CE5E93">
            <w:pPr>
              <w:spacing w:line="360" w:lineRule="auto"/>
              <w:jc w:val="left"/>
            </w:pPr>
            <w:r>
              <w:t xml:space="preserve">standard error of </w:t>
            </w:r>
            <w:r w:rsidRPr="004B77F8">
              <w:t>mean</w:t>
            </w:r>
          </w:p>
        </w:tc>
      </w:tr>
      <w:tr w:rsidR="004B7DFB" w:rsidRPr="004B77F8" w14:paraId="061FE9AB" w14:textId="77777777" w:rsidTr="00CE5E93">
        <w:trPr>
          <w:trHeight w:val="249"/>
        </w:trPr>
        <w:tc>
          <w:tcPr>
            <w:tcW w:w="2221" w:type="dxa"/>
            <w:tcBorders>
              <w:top w:val="nil"/>
              <w:left w:val="nil"/>
              <w:bottom w:val="nil"/>
              <w:right w:val="nil"/>
            </w:tcBorders>
            <w:shd w:val="clear" w:color="auto" w:fill="auto"/>
            <w:noWrap/>
          </w:tcPr>
          <w:p w14:paraId="2FD6D331" w14:textId="77777777" w:rsidR="004B7DFB" w:rsidRPr="004B77F8" w:rsidRDefault="004B7DFB" w:rsidP="00CE5E93">
            <w:pPr>
              <w:spacing w:line="360" w:lineRule="auto"/>
              <w:jc w:val="left"/>
            </w:pPr>
            <w:r>
              <w:t>SL(s)</w:t>
            </w:r>
          </w:p>
        </w:tc>
        <w:tc>
          <w:tcPr>
            <w:tcW w:w="6284" w:type="dxa"/>
            <w:tcBorders>
              <w:top w:val="nil"/>
              <w:left w:val="nil"/>
              <w:bottom w:val="nil"/>
              <w:right w:val="nil"/>
            </w:tcBorders>
            <w:shd w:val="clear" w:color="auto" w:fill="auto"/>
            <w:noWrap/>
          </w:tcPr>
          <w:p w14:paraId="5F70D172" w14:textId="77777777" w:rsidR="004B7DFB" w:rsidRPr="004B77F8" w:rsidRDefault="004B7DFB" w:rsidP="00CE5E93">
            <w:pPr>
              <w:spacing w:line="360" w:lineRule="auto"/>
              <w:jc w:val="left"/>
            </w:pPr>
            <w:r>
              <w:t>Strigolactone(s)</w:t>
            </w:r>
          </w:p>
        </w:tc>
      </w:tr>
      <w:tr w:rsidR="004B7DFB" w:rsidRPr="004B77F8" w14:paraId="3CCE652A" w14:textId="77777777" w:rsidTr="00CE5E93">
        <w:trPr>
          <w:trHeight w:val="249"/>
        </w:trPr>
        <w:tc>
          <w:tcPr>
            <w:tcW w:w="2221" w:type="dxa"/>
            <w:tcBorders>
              <w:top w:val="nil"/>
              <w:left w:val="nil"/>
              <w:bottom w:val="nil"/>
              <w:right w:val="nil"/>
            </w:tcBorders>
            <w:shd w:val="clear" w:color="auto" w:fill="auto"/>
            <w:noWrap/>
          </w:tcPr>
          <w:p w14:paraId="11540424" w14:textId="77777777" w:rsidR="004B7DFB" w:rsidRPr="004B77F8" w:rsidRDefault="004B7DFB" w:rsidP="00CE5E93">
            <w:pPr>
              <w:spacing w:line="360" w:lineRule="auto"/>
              <w:jc w:val="left"/>
            </w:pPr>
            <w:r>
              <w:t>SMXL</w:t>
            </w:r>
          </w:p>
        </w:tc>
        <w:tc>
          <w:tcPr>
            <w:tcW w:w="6284" w:type="dxa"/>
            <w:tcBorders>
              <w:top w:val="nil"/>
              <w:left w:val="nil"/>
              <w:bottom w:val="nil"/>
              <w:right w:val="nil"/>
            </w:tcBorders>
            <w:shd w:val="clear" w:color="auto" w:fill="auto"/>
            <w:noWrap/>
          </w:tcPr>
          <w:p w14:paraId="5F2F8356" w14:textId="77777777" w:rsidR="004B7DFB" w:rsidRPr="004B77F8" w:rsidRDefault="004B7DFB" w:rsidP="00CE5E93">
            <w:pPr>
              <w:spacing w:line="360" w:lineRule="auto"/>
              <w:jc w:val="left"/>
            </w:pPr>
            <w:r>
              <w:t>SMAX-LIKE</w:t>
            </w:r>
          </w:p>
        </w:tc>
      </w:tr>
      <w:tr w:rsidR="004B7DFB" w:rsidRPr="004B77F8" w14:paraId="712BB63D" w14:textId="77777777" w:rsidTr="00CE5E93">
        <w:trPr>
          <w:trHeight w:val="249"/>
        </w:trPr>
        <w:tc>
          <w:tcPr>
            <w:tcW w:w="2221" w:type="dxa"/>
            <w:tcBorders>
              <w:top w:val="nil"/>
              <w:left w:val="nil"/>
              <w:bottom w:val="nil"/>
              <w:right w:val="nil"/>
            </w:tcBorders>
            <w:shd w:val="clear" w:color="auto" w:fill="auto"/>
            <w:noWrap/>
          </w:tcPr>
          <w:p w14:paraId="550BDDD0" w14:textId="77777777" w:rsidR="004B7DFB" w:rsidRDefault="004B7DFB" w:rsidP="00CE5E93">
            <w:pPr>
              <w:spacing w:line="360" w:lineRule="auto"/>
              <w:jc w:val="left"/>
            </w:pPr>
            <w:r>
              <w:t>SVS</w:t>
            </w:r>
          </w:p>
        </w:tc>
        <w:tc>
          <w:tcPr>
            <w:tcW w:w="6284" w:type="dxa"/>
            <w:tcBorders>
              <w:top w:val="nil"/>
              <w:left w:val="nil"/>
              <w:bottom w:val="nil"/>
              <w:right w:val="nil"/>
            </w:tcBorders>
            <w:shd w:val="clear" w:color="auto" w:fill="auto"/>
            <w:noWrap/>
          </w:tcPr>
          <w:p w14:paraId="4349616F" w14:textId="77777777" w:rsidR="004B7DFB" w:rsidRDefault="004B7DFB" w:rsidP="00CE5E93">
            <w:pPr>
              <w:spacing w:line="360" w:lineRule="auto"/>
              <w:jc w:val="left"/>
            </w:pPr>
            <w:r>
              <w:t>Soil Volume Sensing Signal</w:t>
            </w:r>
          </w:p>
        </w:tc>
      </w:tr>
      <w:tr w:rsidR="004B7DFB" w:rsidRPr="004B77F8" w14:paraId="5131DEF1" w14:textId="77777777" w:rsidTr="00CE5E93">
        <w:trPr>
          <w:trHeight w:val="249"/>
        </w:trPr>
        <w:tc>
          <w:tcPr>
            <w:tcW w:w="2221" w:type="dxa"/>
            <w:tcBorders>
              <w:top w:val="nil"/>
              <w:left w:val="nil"/>
              <w:bottom w:val="nil"/>
              <w:right w:val="nil"/>
            </w:tcBorders>
            <w:shd w:val="clear" w:color="auto" w:fill="auto"/>
            <w:noWrap/>
          </w:tcPr>
          <w:p w14:paraId="365FA67E" w14:textId="69C68435" w:rsidR="004B7DFB" w:rsidRDefault="004B7DFB" w:rsidP="00CE5E93">
            <w:pPr>
              <w:spacing w:line="360" w:lineRule="auto"/>
              <w:jc w:val="left"/>
            </w:pPr>
            <w:r>
              <w:t>t-test</w:t>
            </w:r>
          </w:p>
        </w:tc>
        <w:tc>
          <w:tcPr>
            <w:tcW w:w="6284" w:type="dxa"/>
            <w:tcBorders>
              <w:top w:val="nil"/>
              <w:left w:val="nil"/>
              <w:bottom w:val="nil"/>
              <w:right w:val="nil"/>
            </w:tcBorders>
            <w:shd w:val="clear" w:color="auto" w:fill="auto"/>
            <w:noWrap/>
          </w:tcPr>
          <w:p w14:paraId="0E82F65C" w14:textId="3BC029D4" w:rsidR="004B7DFB" w:rsidRDefault="004B7DFB" w:rsidP="00CE5E93">
            <w:pPr>
              <w:spacing w:line="360" w:lineRule="auto"/>
              <w:jc w:val="left"/>
            </w:pPr>
            <w:r>
              <w:t>Independent samples t test</w:t>
            </w:r>
          </w:p>
        </w:tc>
      </w:tr>
      <w:tr w:rsidR="004B7DFB" w:rsidRPr="004B77F8" w14:paraId="49B15162" w14:textId="77777777" w:rsidTr="00CE5E93">
        <w:trPr>
          <w:trHeight w:val="249"/>
        </w:trPr>
        <w:tc>
          <w:tcPr>
            <w:tcW w:w="2221" w:type="dxa"/>
            <w:tcBorders>
              <w:top w:val="nil"/>
              <w:left w:val="nil"/>
              <w:bottom w:val="nil"/>
              <w:right w:val="nil"/>
            </w:tcBorders>
            <w:shd w:val="clear" w:color="auto" w:fill="auto"/>
            <w:noWrap/>
          </w:tcPr>
          <w:p w14:paraId="34FB36F9" w14:textId="77777777" w:rsidR="004B7DFB" w:rsidRDefault="004B7DFB" w:rsidP="00CE5E93">
            <w:pPr>
              <w:spacing w:line="360" w:lineRule="auto"/>
              <w:jc w:val="left"/>
            </w:pPr>
            <w:r w:rsidRPr="00805D53">
              <w:rPr>
                <w:i/>
                <w:iCs/>
              </w:rPr>
              <w:t>t</w:t>
            </w:r>
            <w:r>
              <w:t>Z</w:t>
            </w:r>
          </w:p>
        </w:tc>
        <w:tc>
          <w:tcPr>
            <w:tcW w:w="6284" w:type="dxa"/>
            <w:tcBorders>
              <w:top w:val="nil"/>
              <w:left w:val="nil"/>
              <w:bottom w:val="nil"/>
              <w:right w:val="nil"/>
            </w:tcBorders>
            <w:shd w:val="clear" w:color="auto" w:fill="auto"/>
            <w:noWrap/>
          </w:tcPr>
          <w:p w14:paraId="2478CF31" w14:textId="77777777" w:rsidR="004B7DFB" w:rsidRDefault="004B7DFB" w:rsidP="00CE5E93">
            <w:pPr>
              <w:spacing w:line="360" w:lineRule="auto"/>
              <w:jc w:val="left"/>
            </w:pPr>
            <w:r w:rsidRPr="00D43203">
              <w:rPr>
                <w:rFonts w:cs="Times New Roman"/>
                <w:bCs/>
                <w:i/>
                <w:iCs/>
              </w:rPr>
              <w:t>trans</w:t>
            </w:r>
            <w:r w:rsidRPr="00D43203">
              <w:rPr>
                <w:rFonts w:cs="Times New Roman"/>
                <w:bCs/>
              </w:rPr>
              <w:t>-zeatin</w:t>
            </w:r>
          </w:p>
        </w:tc>
      </w:tr>
      <w:tr w:rsidR="004B7DFB" w:rsidRPr="004B77F8" w14:paraId="30D3CEB2" w14:textId="77777777" w:rsidTr="00CE5E93">
        <w:trPr>
          <w:trHeight w:val="249"/>
        </w:trPr>
        <w:tc>
          <w:tcPr>
            <w:tcW w:w="2221" w:type="dxa"/>
            <w:tcBorders>
              <w:top w:val="nil"/>
              <w:left w:val="nil"/>
              <w:bottom w:val="nil"/>
              <w:right w:val="nil"/>
            </w:tcBorders>
            <w:shd w:val="clear" w:color="auto" w:fill="auto"/>
            <w:noWrap/>
          </w:tcPr>
          <w:p w14:paraId="328BFA7D" w14:textId="77777777" w:rsidR="004B7DFB" w:rsidRDefault="004B7DFB" w:rsidP="00CE5E93">
            <w:pPr>
              <w:spacing w:line="360" w:lineRule="auto"/>
              <w:jc w:val="left"/>
            </w:pPr>
            <w:r>
              <w:t>Wheat</w:t>
            </w:r>
          </w:p>
        </w:tc>
        <w:tc>
          <w:tcPr>
            <w:tcW w:w="6284" w:type="dxa"/>
            <w:tcBorders>
              <w:top w:val="nil"/>
              <w:left w:val="nil"/>
              <w:bottom w:val="nil"/>
              <w:right w:val="nil"/>
            </w:tcBorders>
            <w:shd w:val="clear" w:color="auto" w:fill="auto"/>
            <w:noWrap/>
          </w:tcPr>
          <w:p w14:paraId="3F1557BD" w14:textId="77777777" w:rsidR="004B7DFB" w:rsidRPr="00EB2D36" w:rsidRDefault="004B7DFB" w:rsidP="00CE5E93">
            <w:pPr>
              <w:spacing w:line="360" w:lineRule="auto"/>
              <w:jc w:val="left"/>
              <w:rPr>
                <w:i/>
                <w:iCs/>
              </w:rPr>
            </w:pPr>
            <w:r w:rsidRPr="00EB2D36">
              <w:rPr>
                <w:i/>
                <w:iCs/>
              </w:rPr>
              <w:t>Triticum aestivum</w:t>
            </w:r>
          </w:p>
        </w:tc>
      </w:tr>
      <w:tr w:rsidR="004B7DFB" w:rsidRPr="004B77F8" w14:paraId="694A3490" w14:textId="77777777" w:rsidTr="00CE5E93">
        <w:trPr>
          <w:trHeight w:val="249"/>
        </w:trPr>
        <w:tc>
          <w:tcPr>
            <w:tcW w:w="2221" w:type="dxa"/>
            <w:tcBorders>
              <w:top w:val="nil"/>
              <w:left w:val="nil"/>
              <w:bottom w:val="nil"/>
              <w:right w:val="nil"/>
            </w:tcBorders>
            <w:shd w:val="clear" w:color="auto" w:fill="auto"/>
            <w:noWrap/>
          </w:tcPr>
          <w:p w14:paraId="48AD3EC2" w14:textId="77777777" w:rsidR="004B7DFB" w:rsidRDefault="004B7DFB" w:rsidP="00CE5E93">
            <w:pPr>
              <w:spacing w:line="360" w:lineRule="auto"/>
              <w:jc w:val="left"/>
            </w:pPr>
            <w:r w:rsidRPr="00BE7627">
              <w:t>UGT85A1</w:t>
            </w:r>
          </w:p>
        </w:tc>
        <w:tc>
          <w:tcPr>
            <w:tcW w:w="6284" w:type="dxa"/>
            <w:tcBorders>
              <w:top w:val="nil"/>
              <w:left w:val="nil"/>
              <w:bottom w:val="nil"/>
              <w:right w:val="nil"/>
            </w:tcBorders>
            <w:shd w:val="clear" w:color="auto" w:fill="auto"/>
            <w:noWrap/>
          </w:tcPr>
          <w:p w14:paraId="394D65E1" w14:textId="77777777" w:rsidR="004B7DFB" w:rsidRPr="00BE7627" w:rsidRDefault="004B7DFB" w:rsidP="00CE5E93">
            <w:pPr>
              <w:spacing w:line="360" w:lineRule="auto"/>
              <w:jc w:val="left"/>
            </w:pPr>
            <w:r w:rsidRPr="00D43203">
              <w:rPr>
                <w:rFonts w:cs="Times New Roman"/>
                <w:bCs/>
              </w:rPr>
              <w:t>UDP-GLYCOSYLTRANSFERASE</w:t>
            </w:r>
            <w:r>
              <w:rPr>
                <w:rFonts w:cs="Times New Roman"/>
                <w:bCs/>
              </w:rPr>
              <w:t>85 A1</w:t>
            </w:r>
          </w:p>
        </w:tc>
      </w:tr>
      <w:tr w:rsidR="004B7DFB" w:rsidRPr="004B77F8" w14:paraId="4FE19293" w14:textId="77777777" w:rsidTr="00CE5E93">
        <w:trPr>
          <w:trHeight w:val="249"/>
        </w:trPr>
        <w:tc>
          <w:tcPr>
            <w:tcW w:w="2221" w:type="dxa"/>
            <w:tcBorders>
              <w:top w:val="nil"/>
              <w:left w:val="nil"/>
              <w:bottom w:val="nil"/>
              <w:right w:val="nil"/>
            </w:tcBorders>
            <w:shd w:val="clear" w:color="auto" w:fill="auto"/>
            <w:noWrap/>
            <w:hideMark/>
          </w:tcPr>
          <w:p w14:paraId="5ECF719F" w14:textId="77777777" w:rsidR="004B7DFB" w:rsidRPr="004B77F8" w:rsidRDefault="004B7DFB" w:rsidP="00CE5E93">
            <w:pPr>
              <w:spacing w:line="360" w:lineRule="auto"/>
              <w:jc w:val="left"/>
            </w:pPr>
            <w:r w:rsidRPr="004B77F8">
              <w:t>UK</w:t>
            </w:r>
          </w:p>
        </w:tc>
        <w:tc>
          <w:tcPr>
            <w:tcW w:w="6284" w:type="dxa"/>
            <w:tcBorders>
              <w:top w:val="nil"/>
              <w:left w:val="nil"/>
              <w:bottom w:val="nil"/>
              <w:right w:val="nil"/>
            </w:tcBorders>
            <w:shd w:val="clear" w:color="auto" w:fill="auto"/>
            <w:noWrap/>
            <w:hideMark/>
          </w:tcPr>
          <w:p w14:paraId="5746BD86" w14:textId="77777777" w:rsidR="004B7DFB" w:rsidRPr="004B77F8" w:rsidRDefault="004B7DFB" w:rsidP="00CE5E93">
            <w:pPr>
              <w:spacing w:line="360" w:lineRule="auto"/>
              <w:jc w:val="left"/>
            </w:pPr>
            <w:r w:rsidRPr="004B77F8">
              <w:t>United Kingdom</w:t>
            </w:r>
          </w:p>
        </w:tc>
      </w:tr>
      <w:tr w:rsidR="004B7DFB" w:rsidRPr="004B77F8" w14:paraId="68E76BD0" w14:textId="77777777" w:rsidTr="00CE5E93">
        <w:trPr>
          <w:trHeight w:val="249"/>
        </w:trPr>
        <w:tc>
          <w:tcPr>
            <w:tcW w:w="2221" w:type="dxa"/>
            <w:tcBorders>
              <w:top w:val="nil"/>
              <w:left w:val="nil"/>
              <w:bottom w:val="nil"/>
              <w:right w:val="nil"/>
            </w:tcBorders>
            <w:shd w:val="clear" w:color="auto" w:fill="auto"/>
            <w:noWrap/>
            <w:hideMark/>
          </w:tcPr>
          <w:p w14:paraId="1BC0E387" w14:textId="77777777" w:rsidR="004B7DFB" w:rsidRPr="004B77F8" w:rsidRDefault="004B7DFB" w:rsidP="00CE5E93">
            <w:pPr>
              <w:spacing w:line="360" w:lineRule="auto"/>
              <w:jc w:val="left"/>
            </w:pPr>
            <w:r w:rsidRPr="004B77F8">
              <w:t>var.</w:t>
            </w:r>
          </w:p>
        </w:tc>
        <w:tc>
          <w:tcPr>
            <w:tcW w:w="6284" w:type="dxa"/>
            <w:tcBorders>
              <w:top w:val="nil"/>
              <w:left w:val="nil"/>
              <w:bottom w:val="nil"/>
              <w:right w:val="nil"/>
            </w:tcBorders>
            <w:shd w:val="clear" w:color="auto" w:fill="auto"/>
            <w:noWrap/>
            <w:hideMark/>
          </w:tcPr>
          <w:p w14:paraId="51E56884" w14:textId="77777777" w:rsidR="004B7DFB" w:rsidRPr="004B77F8" w:rsidRDefault="004B7DFB" w:rsidP="00CE5E93">
            <w:pPr>
              <w:spacing w:line="360" w:lineRule="auto"/>
              <w:jc w:val="left"/>
            </w:pPr>
            <w:r w:rsidRPr="004B77F8">
              <w:t>variety</w:t>
            </w:r>
          </w:p>
        </w:tc>
      </w:tr>
    </w:tbl>
    <w:p w14:paraId="681BD556" w14:textId="77777777" w:rsidR="004B7DFB" w:rsidRPr="004B7DFB" w:rsidRDefault="004B7DFB" w:rsidP="004B7DFB"/>
    <w:p w14:paraId="13E39D82" w14:textId="6E8AD385" w:rsidR="000D5DFF" w:rsidRDefault="000D5DFF" w:rsidP="00743E4C">
      <w:pPr>
        <w:pStyle w:val="Heading2"/>
        <w:numPr>
          <w:ilvl w:val="0"/>
          <w:numId w:val="0"/>
        </w:numPr>
        <w:rPr>
          <w:rStyle w:val="FollowedHyperlink"/>
          <w:color w:val="auto"/>
          <w:u w:val="none"/>
        </w:rPr>
      </w:pPr>
    </w:p>
    <w:p w14:paraId="7C054291" w14:textId="77777777" w:rsidR="007E3B7C" w:rsidRPr="007E3B7C" w:rsidRDefault="007E3B7C" w:rsidP="007E3B7C"/>
    <w:p w14:paraId="399A738A" w14:textId="5D211AD2" w:rsidR="00AC0576" w:rsidRDefault="00F3071B" w:rsidP="00375187">
      <w:pPr>
        <w:pStyle w:val="Heading1"/>
        <w:keepNext w:val="0"/>
        <w:pageBreakBefore/>
      </w:pPr>
      <w:bookmarkStart w:id="7" w:name="_Toc154331420"/>
      <w:r>
        <w:lastRenderedPageBreak/>
        <w:t>Introduction</w:t>
      </w:r>
      <w:bookmarkEnd w:id="7"/>
    </w:p>
    <w:p w14:paraId="55D911A6" w14:textId="77777777" w:rsidR="00836C2F" w:rsidRPr="00836C2F" w:rsidRDefault="00836C2F" w:rsidP="008A6DEE">
      <w:pPr>
        <w:pStyle w:val="Heading1"/>
        <w:keepNext w:val="0"/>
        <w:numPr>
          <w:ilvl w:val="0"/>
          <w:numId w:val="0"/>
        </w:numPr>
        <w:jc w:val="left"/>
      </w:pPr>
    </w:p>
    <w:p w14:paraId="06609B0C" w14:textId="7E05CA8F" w:rsidR="009F4578" w:rsidRDefault="00EC23E7" w:rsidP="00743E4C">
      <w:pPr>
        <w:pStyle w:val="Heading2"/>
      </w:pPr>
      <w:bookmarkStart w:id="8" w:name="_Toc154331421"/>
      <w:r w:rsidRPr="00EC23E7">
        <w:t>The environment and plant growth</w:t>
      </w:r>
      <w:bookmarkEnd w:id="8"/>
    </w:p>
    <w:p w14:paraId="087FA773" w14:textId="743F5AD1" w:rsidR="00EC23E7" w:rsidRDefault="00EC23E7" w:rsidP="00EC23E7">
      <w:pPr>
        <w:spacing w:line="480" w:lineRule="auto"/>
        <w:rPr>
          <w:szCs w:val="24"/>
        </w:rPr>
      </w:pPr>
      <w:r w:rsidRPr="004670BA">
        <w:rPr>
          <w:szCs w:val="24"/>
        </w:rPr>
        <w:t xml:space="preserve">Due to their sessile growth habit, plant survival </w:t>
      </w:r>
      <w:r>
        <w:rPr>
          <w:szCs w:val="24"/>
        </w:rPr>
        <w:t xml:space="preserve">is </w:t>
      </w:r>
      <w:r w:rsidRPr="004670BA">
        <w:rPr>
          <w:szCs w:val="24"/>
        </w:rPr>
        <w:t>depend</w:t>
      </w:r>
      <w:r>
        <w:rPr>
          <w:szCs w:val="24"/>
        </w:rPr>
        <w:t>ent</w:t>
      </w:r>
      <w:r w:rsidRPr="004670BA">
        <w:rPr>
          <w:szCs w:val="24"/>
        </w:rPr>
        <w:t xml:space="preserve"> on the</w:t>
      </w:r>
      <w:r w:rsidR="00216FCF">
        <w:rPr>
          <w:szCs w:val="24"/>
        </w:rPr>
        <w:t>ir</w:t>
      </w:r>
      <w:r w:rsidRPr="004670BA">
        <w:rPr>
          <w:szCs w:val="24"/>
        </w:rPr>
        <w:t xml:space="preserve"> ability to carefully coordinate their growth in response to environmental stimuli</w:t>
      </w:r>
      <w:r>
        <w:rPr>
          <w:szCs w:val="24"/>
        </w:rPr>
        <w:t>. In higher plants, the growth and development of their shoot system architecture</w:t>
      </w:r>
      <w:r w:rsidR="0027611F">
        <w:rPr>
          <w:szCs w:val="24"/>
        </w:rPr>
        <w:t>;</w:t>
      </w:r>
      <w:r>
        <w:rPr>
          <w:szCs w:val="24"/>
        </w:rPr>
        <w:t xml:space="preserve"> the spatial organisation of aboveground organs such as branches, light harvesting tissues and reproductive structures </w:t>
      </w:r>
      <w:r>
        <w:rPr>
          <w:szCs w:val="24"/>
        </w:rPr>
        <w:fldChar w:fldCharType="begin" w:fldLock="1"/>
      </w:r>
      <w:r w:rsidR="006A6F36">
        <w:rPr>
          <w:szCs w:val="24"/>
        </w:rPr>
        <w:instrText>ADDIN CSL_CITATION {"citationItems":[{"id":"ITEM-1","itemData":{"DOI":"10.1146/annurev-arplant-042817-040422","ISSN":"1543-5008","abstract":"Shoot architecture is determined by the organization and activities of apical, axillary, intercalary, secondary, and inflorescence meristems and by the subsequent development of stems, leaves, shoot branches, and inflorescences. In this review, we discuss the unifying principles of hormonal and genetic control of shoot architecture including advances in our understanding of lateral branch outgrowth; control of stem elongation, thickness, and angle; and regulation of inflorescence development. We focus on recent progress made mainly in Arabidopsis thaliana, rice, pea, maize, and tomato, including the identification of new genes and mechanisms controlling shoot architecture. Key advances include elucidation of mechanisms by which strigolactones, auxins, and genes such as IDEAL PLANT ARCHITECTURE1 and TEOSINTE BRANCHED1 control shoot architecture. Knowledge now available provides a foundation for rational approaches to crop breeding and the generation of ideotypes with defined architectural features to improve performance and productivity.","author":[{"dropping-particle":"","family":"Wang","given":"Bing","non-dropping-particle":"","parse-names":false,"suffix":""},{"dropping-particle":"","family":"Smith","given":"Steven M.","non-dropping-particle":"","parse-names":false,"suffix":""},{"dropping-particle":"","family":"Li","given":"Jiayang","non-dropping-particle":"","parse-names":false,"suffix":""}],"container-title":"Annual Review of Plant Biology","id":"ITEM-1","issue":"1","issued":{"date-parts":[["2018","4","29"]]},"page":"437-468","title":"Genetic regulation of shoot architecture","type":"article-journal","volume":"69"},"uris":["http://www.mendeley.com/documents/?uuid=880655ce-d8ab-4a3d-9f6a-610aad03261c"]}],"mendeley":{"formattedCitation":"(Wang et al., 2018)","plainTextFormattedCitation":"(Wang et al., 2018)","previouslyFormattedCitation":"(Wang et al., 2018)"},"properties":{"noteIndex":0},"schema":"https://github.com/citation-style-language/schema/raw/master/csl-citation.json"}</w:instrText>
      </w:r>
      <w:r>
        <w:rPr>
          <w:szCs w:val="24"/>
        </w:rPr>
        <w:fldChar w:fldCharType="separate"/>
      </w:r>
      <w:r w:rsidRPr="002E5F48">
        <w:rPr>
          <w:noProof/>
          <w:szCs w:val="24"/>
        </w:rPr>
        <w:t>(Wang et al., 2018)</w:t>
      </w:r>
      <w:r>
        <w:rPr>
          <w:szCs w:val="24"/>
        </w:rPr>
        <w:fldChar w:fldCharType="end"/>
      </w:r>
      <w:r>
        <w:rPr>
          <w:szCs w:val="24"/>
        </w:rPr>
        <w:t>, and their root system architecture</w:t>
      </w:r>
      <w:r w:rsidR="00013863">
        <w:rPr>
          <w:szCs w:val="24"/>
        </w:rPr>
        <w:t>;</w:t>
      </w:r>
      <w:r>
        <w:rPr>
          <w:szCs w:val="24"/>
        </w:rPr>
        <w:t xml:space="preserve"> the spatial organisation of root structures and their associated branching </w:t>
      </w:r>
      <w:r>
        <w:rPr>
          <w:szCs w:val="24"/>
        </w:rPr>
        <w:fldChar w:fldCharType="begin" w:fldLock="1"/>
      </w:r>
      <w:r w:rsidR="00A55DA3">
        <w:rPr>
          <w:szCs w:val="24"/>
        </w:rPr>
        <w:instrText>ADDIN CSL_CITATION {"citationItems":[{"id":"ITEM-1","itemData":{"DOI":"10.1016/j.cub.2017.06.043","ISSN":"09609822","author":[{"dropping-particle":"","family":"Morris","given":"Emily C.","non-dropping-particle":"","parse-names":false,"suffix":""},{"dropping-particle":"","family":"Griffiths","given":"Marcus","non-dropping-particle":"","parse-names":false,"suffix":""},{"dropping-particle":"","family":"Golebiowska","given":"Agata","non-dropping-particle":"","parse-names":false,"suffix":""},{"dropping-particle":"","family":"Mairhofer","given":"Stefan","non-dropping-particle":"","parse-names":false,"suffix":""},{"dropping-particle":"","family":"Burr-Hersey","given":"Jasmine","non-dropping-particle":"","parse-names":false,"suffix":""},{"dropping-particle":"","family":"Goh","given":"Tatsuaki","non-dropping-particle":"","parse-names":false,"suffix":""},{"dropping-particle":"","family":"Wangenheim","given":"Daniel","non-dropping-particle":"von","parse-names":false,"suffix":""},{"dropping-particle":"","family":"Atkinson","given":"Brian","non-dropping-particle":"","parse-names":false,"suffix":""},{"dropping-particle":"","family":"Sturrock","given":"Craig J.","non-dropping-particle":"","parse-names":false,"suffix":""},{"dropping-particle":"","family":"Lynch","given":"Jonathan P.","non-dropping-particle":"","parse-names":false,"suffix":""},{"dropping-particle":"","family":"Vissenberg","given":"Kris","non-dropping-particle":"","parse-names":false,"suffix":""},{"dropping-particle":"","family":"Ritz","given":"Karl","non-dropping-particle":"","parse-names":false,"suffix":""},{"dropping-particle":"","family":"Wells","given":"Darren M.","non-dropping-particle":"","parse-names":false,"suffix":""},{"dropping-particle":"","family":"Mooney","given":"Sacha J.","non-dropping-particle":"","parse-names":false,"suffix":""},{"dropping-particle":"","family":"Bennett","given":"Malcolm J.","non-dropping-particle":"","parse-names":false,"suffix":""}],"container-title":"Current Biology","id":"ITEM-1","issue":"17","issued":{"date-parts":[["2017","9"]]},"page":"R919-R930","title":"Shaping 3D root system architecture","type":"article-journal","volume":"27"},"uris":["http://www.mendeley.com/documents/?uuid=80200553-1fca-42fb-bcee-ffa4169ab7b1"]}],"mendeley":{"formattedCitation":"(Morris et al., 2017)","plainTextFormattedCitation":"(Morris et al., 2017)","previouslyFormattedCitation":"(Morris et al., 2017)"},"properties":{"noteIndex":0},"schema":"https://github.com/citation-style-language/schema/raw/master/csl-citation.json"}</w:instrText>
      </w:r>
      <w:r>
        <w:rPr>
          <w:szCs w:val="24"/>
        </w:rPr>
        <w:fldChar w:fldCharType="separate"/>
      </w:r>
      <w:r w:rsidRPr="00B61B14">
        <w:rPr>
          <w:noProof/>
          <w:szCs w:val="24"/>
        </w:rPr>
        <w:t>(Morris et al., 2017)</w:t>
      </w:r>
      <w:r>
        <w:rPr>
          <w:szCs w:val="24"/>
        </w:rPr>
        <w:fldChar w:fldCharType="end"/>
      </w:r>
      <w:r>
        <w:rPr>
          <w:szCs w:val="24"/>
        </w:rPr>
        <w:t xml:space="preserve"> is highly plastic and strongly influenced by the environment. The plasticity of the shoot and root system allows them to modulate their phenotypic characteristics according to the environmental conditions they are experiencing, to better their success in the environment</w:t>
      </w:r>
      <w:r w:rsidR="00EE28AB">
        <w:rPr>
          <w:szCs w:val="24"/>
        </w:rPr>
        <w:t xml:space="preserve"> </w:t>
      </w:r>
      <w:r w:rsidR="00EE28AB">
        <w:rPr>
          <w:szCs w:val="24"/>
        </w:rPr>
        <w:fldChar w:fldCharType="begin" w:fldLock="1"/>
      </w:r>
      <w:r w:rsidR="00CC010D">
        <w:rPr>
          <w:szCs w:val="24"/>
        </w:rPr>
        <w:instrText>ADDIN CSL_CITATION {"citationItems":[{"id":"ITEM-1","itemData":{"DOI":"10.1016/j.semcdb.2020.06.011","ISSN":"10849521","author":[{"dropping-particle":"","family":"Wheeldon","given":"Cara D.","non-dropping-particle":"","parse-names":false,"suffix":""},{"dropping-particle":"","family":"Bennett","given":"Tom","non-dropping-particle":"","parse-names":false,"suffix":""}],"container-title":"Seminars in Cell &amp; Developmental Biology","id":"ITEM-1","issued":{"date-parts":[["2021","1"]]},"page":"55-67","title":"There and back again: An evolutionary perspective on long-distance coordination of plant growth and development","type":"article-journal","volume":"109"},"uris":["http://www.mendeley.com/documents/?uuid=390ed452-5e79-4e13-b4a6-c95e1e5d7bb8"]}],"mendeley":{"formattedCitation":"(Wheeldon and Bennett, 2021)","plainTextFormattedCitation":"(Wheeldon and Bennett, 2021)","previouslyFormattedCitation":"(Wheeldon and Bennett, 2021)"},"properties":{"noteIndex":0},"schema":"https://github.com/citation-style-language/schema/raw/master/csl-citation.json"}</w:instrText>
      </w:r>
      <w:r w:rsidR="00EE28AB">
        <w:rPr>
          <w:szCs w:val="24"/>
        </w:rPr>
        <w:fldChar w:fldCharType="separate"/>
      </w:r>
      <w:r w:rsidR="00EE28AB" w:rsidRPr="00EE28AB">
        <w:rPr>
          <w:noProof/>
          <w:szCs w:val="24"/>
        </w:rPr>
        <w:t>(Wheeldon and Bennett, 2021)</w:t>
      </w:r>
      <w:r w:rsidR="00EE28AB">
        <w:rPr>
          <w:szCs w:val="24"/>
        </w:rPr>
        <w:fldChar w:fldCharType="end"/>
      </w:r>
      <w:r>
        <w:rPr>
          <w:szCs w:val="24"/>
        </w:rPr>
        <w:t xml:space="preserve">. The availability of nutrients, for example, has long since been known to influence shoot and root architecture </w:t>
      </w:r>
      <w:r>
        <w:rPr>
          <w:szCs w:val="24"/>
        </w:rPr>
        <w:fldChar w:fldCharType="begin" w:fldLock="1"/>
      </w:r>
      <w:r>
        <w:rPr>
          <w:szCs w:val="24"/>
        </w:rPr>
        <w:instrText>ADDIN CSL_CITATION {"citationItems":[{"id":"ITEM-1","itemData":{"DOI":"10.1093/jexbot/53.366.39","ISSN":"14602431","author":[{"dropping-particle":"","family":"Forde","given":"B. G.","non-dropping-particle":"","parse-names":false,"suffix":""}],"container-title":"Journal of Experimental Botany","id":"ITEM-1","issue":"366","issued":{"date-parts":[["2002","1","1"]]},"page":"39-43","title":"The role of long-distance signalling in plant responses to nitrate and other nutrients","type":"article-journal","volume":"53"},"uris":["http://www.mendeley.com/documents/?uuid=fe751a50-c3a6-4fb6-95c3-42fa3caefe87"]},{"id":"ITEM-2","itemData":{"DOI":"10.1016/j.molp.2021.12.004","ISSN":"16742052","author":[{"dropping-particle":"","family":"Jia","given":"Zhongtao","non-dropping-particle":"","parse-names":false,"suffix":""},{"dropping-particle":"","family":"Giehl","given":"Ricardo F.H.","non-dropping-particle":"","parse-names":false,"suffix":""},{"dropping-particle":"","family":"Wirén","given":"Nicolaus","non-dropping-particle":"von","parse-names":false,"suffix":""}],"container-title":"Molecular Plant","id":"ITEM-2","issue":"1","issued":{"date-parts":[["2022","1"]]},"page":"86-103","title":"Nutrient–hormone relations: Driving root plasticity in plants","type":"article-journal","volume":"15"},"uris":["http://www.mendeley.com/documents/?uuid=fc79ea80-17f8-444d-a7e3-7ded4bda8934"]},{"id":"ITEM-3","itemData":{"DOI":"10.1093/jxb/erv017","ISSN":"1460-2431","author":[{"dropping-particle":"","family":"Kudoyarova","given":"Guzel R.","non-dropping-particle":"","parse-names":false,"suffix":""},{"dropping-particle":"","family":"Dodd","given":"Ian C.","non-dropping-particle":"","parse-names":false,"suffix":""},{"dropping-particle":"","family":"Veselov","given":"Dmitry S.","non-dropping-particle":"","parse-names":false,"suffix":""},{"dropping-particle":"","family":"Rothwell","given":"Shane A.","non-dropping-particle":"","parse-names":false,"suffix":""},{"dropping-particle":"","family":"Yu. Veselov","given":"Stanislav","non-dropping-particle":"","parse-names":false,"suffix":""}],"container-title":"Journal of Experimental Botany","id":"ITEM-3","issue":"8","issued":{"date-parts":[["2015","4"]]},"page":"2133-2144","title":"Common and specific responses to availability of mineral nutrients and water","type":"article-journal","volume":"66"},"uris":["http://www.mendeley.com/documents/?uuid=9512da03-26ae-4abe-8b08-17ce5a51eeae"]},{"id":"ITEM-4","itemData":{"DOI":"10.1023/A:1022323215010","ISSN":"0032-079X","author":[{"dropping-particle":"","family":"Groot","given":"Corine C.","non-dropping-particle":"de","parse-names":false,"suffix":""},{"dropping-particle":"","family":"Marcelis","given":"Leo F. M.","non-dropping-particle":"","parse-names":false,"suffix":""},{"dropping-particle":"","family":"Boogaard","given":"Riki","non-dropping-particle":"van den","parse-names":false,"suffix":""},{"dropping-particle":"","family":"Kaiser","given":"Werner M.","non-dropping-particle":"","parse-names":false,"suffix":""},{"dropping-particle":"","family":"Lambers","given":"Hans","non-dropping-particle":"","parse-names":false,"suffix":""}],"container-title":"Plant and Soil","id":"ITEM-4","issue":"1/2","issued":{"date-parts":[["2003","1"]]},"page":"257-268","title":"Interaction of nitrogen and phosphorus nutrition in determining growth","type":"article-journal","volume":"248"},"uris":["http://www.mendeley.com/documents/?uuid=2e386e89-86ab-47ce-a77e-17f814797701"]}],"mendeley":{"formattedCitation":"(Forde, 2002; de Groot et al., 2003; Kudoyarova et al., 2015; Jia et al., 2022)","plainTextFormattedCitation":"(Forde, 2002; de Groot et al., 2003; Kudoyarova et al., 2015; Jia et al., 2022)","previouslyFormattedCitation":"(Forde, 2002; de Groot et al., 2003; Kudoyarova et al., 2015; Jia et al., 2022)"},"properties":{"noteIndex":0},"schema":"https://github.com/citation-style-language/schema/raw/master/csl-citation.json"}</w:instrText>
      </w:r>
      <w:r>
        <w:rPr>
          <w:szCs w:val="24"/>
        </w:rPr>
        <w:fldChar w:fldCharType="separate"/>
      </w:r>
      <w:r w:rsidRPr="0003117D">
        <w:rPr>
          <w:noProof/>
          <w:szCs w:val="24"/>
        </w:rPr>
        <w:t>(Forde, 2002; de Groot et al., 2003; Kudoyarova et al., 2015; Jia et al., 2022)</w:t>
      </w:r>
      <w:r>
        <w:rPr>
          <w:szCs w:val="24"/>
        </w:rPr>
        <w:fldChar w:fldCharType="end"/>
      </w:r>
      <w:r>
        <w:rPr>
          <w:szCs w:val="24"/>
        </w:rPr>
        <w:t xml:space="preserve">. In addition to nutrient availability, plants use a wide range of above- and belowground environmental cues to modulate their growth and development throughout life. This complex environmental information must be communicated across long distances throughout vascular plants to ensure growth is in line with current and future resource availability </w:t>
      </w:r>
      <w:r>
        <w:rPr>
          <w:szCs w:val="24"/>
        </w:rPr>
        <w:fldChar w:fldCharType="begin" w:fldLock="1"/>
      </w:r>
      <w:r>
        <w:rPr>
          <w:szCs w:val="24"/>
        </w:rPr>
        <w:instrText>ADDIN CSL_CITATION {"citationItems":[{"id":"ITEM-1","itemData":{"DOI":"10.1016/j.semcdb.2020.06.011","ISSN":"10849521","author":[{"dropping-particle":"","family":"Wheeldon","given":"Cara D.","non-dropping-particle":"","parse-names":false,"suffix":""},{"dropping-particle":"","family":"Bennett","given":"Tom","non-dropping-particle":"","parse-names":false,"suffix":""}],"container-title":"Seminars in Cell &amp; Developmental Biology","id":"ITEM-1","issued":{"date-parts":[["2021","1"]]},"page":"55-67","title":"There and back again: An evolutionary perspective on long-distance coordination of plant growth and development","type":"article-journal","volume":"109"},"uris":["http://www.mendeley.com/documents/?uuid=390ed452-5e79-4e13-b4a6-c95e1e5d7bb8"]}],"mendeley":{"formattedCitation":"(Wheeldon and Bennett, 2021)","plainTextFormattedCitation":"(Wheeldon and Bennett, 2021)","previouslyFormattedCitation":"(Wheeldon and Bennett, 2021)"},"properties":{"noteIndex":0},"schema":"https://github.com/citation-style-language/schema/raw/master/csl-citation.json"}</w:instrText>
      </w:r>
      <w:r>
        <w:rPr>
          <w:szCs w:val="24"/>
        </w:rPr>
        <w:fldChar w:fldCharType="separate"/>
      </w:r>
      <w:r w:rsidRPr="007B776E">
        <w:rPr>
          <w:noProof/>
          <w:szCs w:val="24"/>
        </w:rPr>
        <w:t>(Wheeldon and Bennett, 2021)</w:t>
      </w:r>
      <w:r>
        <w:rPr>
          <w:szCs w:val="24"/>
        </w:rPr>
        <w:fldChar w:fldCharType="end"/>
      </w:r>
      <w:r>
        <w:rPr>
          <w:szCs w:val="24"/>
        </w:rPr>
        <w:t xml:space="preserve">. The ability of plants to detect and respond to environmental cues early in life, allows forward planning of their shoot and root growth to ensure the successful production of offspring. </w:t>
      </w:r>
    </w:p>
    <w:p w14:paraId="24478A98" w14:textId="4722B82D" w:rsidR="00EC23E7" w:rsidRDefault="00EC23E7" w:rsidP="00EC23E7">
      <w:pPr>
        <w:spacing w:line="480" w:lineRule="auto"/>
        <w:rPr>
          <w:szCs w:val="24"/>
        </w:rPr>
      </w:pPr>
      <w:r>
        <w:rPr>
          <w:szCs w:val="24"/>
        </w:rPr>
        <w:lastRenderedPageBreak/>
        <w:t>Plants must be able to detect and subsequently modulate their growth according to the amount of space in which they occupy and the presence of other organisms in their vicinity. Plants are rarely found growing alone in the</w:t>
      </w:r>
      <w:r w:rsidR="00162079">
        <w:rPr>
          <w:szCs w:val="24"/>
        </w:rPr>
        <w:t>ir natural habitats</w:t>
      </w:r>
      <w:r w:rsidR="002F1E15">
        <w:rPr>
          <w:szCs w:val="24"/>
        </w:rPr>
        <w:t>,</w:t>
      </w:r>
      <w:r>
        <w:rPr>
          <w:szCs w:val="24"/>
        </w:rPr>
        <w:t xml:space="preserve"> and hence there is a need for a proactive response mechanism to the presence of other plants in their environment who could pose an imminent or future threat to resource availability. How do plants do this?</w:t>
      </w:r>
    </w:p>
    <w:p w14:paraId="679CBC50" w14:textId="77777777" w:rsidR="00EC23E7" w:rsidRDefault="00EC23E7" w:rsidP="00EC23E7">
      <w:pPr>
        <w:spacing w:line="480" w:lineRule="auto"/>
        <w:rPr>
          <w:szCs w:val="24"/>
        </w:rPr>
      </w:pPr>
      <w:r>
        <w:rPr>
          <w:szCs w:val="24"/>
        </w:rPr>
        <w:t>The aim of this thesis is to understand plant growth in response to available space and neighbour presence and outline the mechanisms which underpin detection and response to these environmental stimuli.</w:t>
      </w:r>
    </w:p>
    <w:p w14:paraId="3F089E7D" w14:textId="77777777" w:rsidR="00EC23E7" w:rsidRDefault="00EC23E7" w:rsidP="00EC23E7"/>
    <w:p w14:paraId="63158CDD" w14:textId="5ED18273" w:rsidR="00EC23E7" w:rsidRDefault="00EC23E7" w:rsidP="00743E4C">
      <w:pPr>
        <w:pStyle w:val="Heading2"/>
      </w:pPr>
      <w:bookmarkStart w:id="9" w:name="_Toc154331422"/>
      <w:r w:rsidRPr="00EC23E7">
        <w:t>Soil volume and plant growth</w:t>
      </w:r>
      <w:bookmarkEnd w:id="9"/>
    </w:p>
    <w:p w14:paraId="69228573" w14:textId="77777777" w:rsidR="00836C2F" w:rsidRPr="00836C2F" w:rsidRDefault="00836C2F" w:rsidP="00836C2F"/>
    <w:p w14:paraId="354A6547" w14:textId="00437D03" w:rsidR="00EC23E7" w:rsidRDefault="00EC23E7" w:rsidP="00EC23E7">
      <w:pPr>
        <w:spacing w:line="480" w:lineRule="auto"/>
        <w:rPr>
          <w:szCs w:val="24"/>
        </w:rPr>
      </w:pPr>
      <w:r>
        <w:rPr>
          <w:szCs w:val="24"/>
        </w:rPr>
        <w:t xml:space="preserve">As plants work through their developmental plan, their body size increases over time, and hence the environment they occupy can become limiting. </w:t>
      </w:r>
      <w:r w:rsidR="00CC010D">
        <w:rPr>
          <w:szCs w:val="24"/>
        </w:rPr>
        <w:t>Moreover</w:t>
      </w:r>
      <w:r>
        <w:rPr>
          <w:szCs w:val="24"/>
        </w:rPr>
        <w:t xml:space="preserve">, their inherent body size could </w:t>
      </w:r>
      <w:r w:rsidR="00CC010D">
        <w:rPr>
          <w:szCs w:val="24"/>
        </w:rPr>
        <w:t xml:space="preserve">eventually </w:t>
      </w:r>
      <w:r>
        <w:rPr>
          <w:szCs w:val="24"/>
        </w:rPr>
        <w:t xml:space="preserve">exceed the amount of space (soil volume) they occupy and the accompanying resources available which they require to sustain their growth. The amount of space </w:t>
      </w:r>
      <w:r w:rsidR="00CC010D">
        <w:rPr>
          <w:szCs w:val="24"/>
        </w:rPr>
        <w:t>that a plant’s</w:t>
      </w:r>
      <w:r>
        <w:rPr>
          <w:szCs w:val="24"/>
        </w:rPr>
        <w:t xml:space="preserve"> roots can occupy can be limited by a range of factors such as rocks, soil strata that are difficult to penetrate, prior occupation by other plant roots</w:t>
      </w:r>
      <w:r w:rsidR="00CC010D">
        <w:rPr>
          <w:szCs w:val="24"/>
        </w:rPr>
        <w:t>,</w:t>
      </w:r>
      <w:r>
        <w:rPr>
          <w:szCs w:val="24"/>
        </w:rPr>
        <w:t xml:space="preserve"> or the presence of a pot or container</w:t>
      </w:r>
      <w:r w:rsidR="00CC010D">
        <w:rPr>
          <w:szCs w:val="24"/>
        </w:rPr>
        <w:t xml:space="preserve"> </w:t>
      </w:r>
      <w:r w:rsidR="00CC010D">
        <w:rPr>
          <w:szCs w:val="24"/>
        </w:rPr>
        <w:fldChar w:fldCharType="begin" w:fldLock="1"/>
      </w:r>
      <w:r w:rsidR="002E4DD6">
        <w:rPr>
          <w:szCs w:val="24"/>
        </w:rPr>
        <w:instrText>ADDIN CSL_CITATION {"citationItems":[{"id":"ITEM-1","itemData":{"DOI":"10.1111/j.1469-8137.2008.02543.x","ISSN":"0028-646X","author":[{"dropping-particle":"","family":"Semchenko","given":"Marina","non-dropping-particle":"","parse-names":false,"suffix":""},{"dropping-particle":"","family":"Zobel","given":"Kristjan","non-dropping-particle":"","parse-names":false,"suffix":""},{"dropping-particle":"","family":"Heinemeyer","given":"Andreas","non-dropping-particle":"","parse-names":false,"suffix":""},{"dropping-particle":"","family":"Hutchings","given":"Michael J.","non-dropping-particle":"","parse-names":false,"suffix":""}],"container-title":"New Phytologist","id":"ITEM-1","issue":"4","issued":{"date-parts":[["2008","9","6"]]},"page":"1162-1170","publisher":"John Wiley &amp; Sons, Ltd (10.1111)","title":"Foraging for space and avoidance of physical obstructions by plant roots: a comparative study of grasses from contrasting habitats","type":"article-journal","volume":"179"},"uris":["http://www.mendeley.com/documents/?uuid=f381fb37-0069-357f-ae01-a3dadc9d877f"]}],"mendeley":{"formattedCitation":"(Semchenko et al., 2008)","plainTextFormattedCitation":"(Semchenko et al., 2008)","previouslyFormattedCitation":"(Semchenko et al., 2008)"},"properties":{"noteIndex":0},"schema":"https://github.com/citation-style-language/schema/raw/master/csl-citation.json"}</w:instrText>
      </w:r>
      <w:r w:rsidR="00CC010D">
        <w:rPr>
          <w:szCs w:val="24"/>
        </w:rPr>
        <w:fldChar w:fldCharType="separate"/>
      </w:r>
      <w:r w:rsidR="00CC010D" w:rsidRPr="00CC010D">
        <w:rPr>
          <w:noProof/>
          <w:szCs w:val="24"/>
        </w:rPr>
        <w:t>(Semchenko et al., 2008)</w:t>
      </w:r>
      <w:r w:rsidR="00CC010D">
        <w:rPr>
          <w:szCs w:val="24"/>
        </w:rPr>
        <w:fldChar w:fldCharType="end"/>
      </w:r>
      <w:r>
        <w:rPr>
          <w:szCs w:val="24"/>
        </w:rPr>
        <w:t xml:space="preserve">. The availability of sufficient space in which to grow is an important environmental stimulus which plants must detect early in life to ensure their growth matches their available space. </w:t>
      </w:r>
    </w:p>
    <w:p w14:paraId="021C16A9" w14:textId="0473DEF0" w:rsidR="00EC23E7" w:rsidRPr="00F02590" w:rsidRDefault="00EC23E7" w:rsidP="00EC23E7">
      <w:pPr>
        <w:spacing w:line="480" w:lineRule="auto"/>
        <w:rPr>
          <w:color w:val="000000"/>
          <w:szCs w:val="24"/>
        </w:rPr>
      </w:pPr>
      <w:r>
        <w:rPr>
          <w:szCs w:val="24"/>
        </w:rPr>
        <w:lastRenderedPageBreak/>
        <w:t>Plant responses to soil volume availability are not particularly surprising</w:t>
      </w:r>
      <w:r w:rsidR="00CC010D">
        <w:rPr>
          <w:szCs w:val="24"/>
        </w:rPr>
        <w:t>,</w:t>
      </w:r>
      <w:r>
        <w:rPr>
          <w:szCs w:val="24"/>
        </w:rPr>
        <w:t xml:space="preserve"> but nevertheless cause dramatic effects on plant growth. A beautiful example of this is the bonsai, which to the eye is a perfectly formed miniature tree. Limitations on the available soil volume results in smaller plants than if a greater amount of soil was available to the plant, such that plants grown in small soil volumes generally have lower biomass, branching, decreased photosynthesis and reproductive output than those grown in large soil volumes </w:t>
      </w:r>
      <w:r>
        <w:rPr>
          <w:szCs w:val="24"/>
        </w:rPr>
        <w:fldChar w:fldCharType="begin" w:fldLock="1"/>
      </w:r>
      <w:r w:rsidR="004227A2">
        <w:rPr>
          <w:szCs w:val="24"/>
        </w:rPr>
        <w:instrText>ADDIN CSL_CITATION {"citationItems":[{"id":"ITEM-1","itemData":{"DOI":"10.1104/pp.87.2.409","ISSN":"0032-0889","author":[{"dropping-particle":"","family":"Robbins","given":"N. Suzanne","non-dropping-particle":"","parse-names":false,"suffix":""},{"dropping-particle":"","family":"Pharr","given":"David M.","non-dropping-particle":"","parse-names":false,"suffix":""}],"container-title":"Plant Physiology","id":"ITEM-1","issue":"2","issued":{"date-parts":[["1988","6","1"]]},"page":"409-413","title":"Effect of restricted root growth on carbohydrate metabolism and whole plant growth of Cucumis sativus L.","type":"article-journal","volume":"87"},"uris":["http://www.mendeley.com/documents/?uuid=ea83579b-c888-4d99-a26e-b36aa12127d5"]},{"id":"ITEM-2","itemData":{"DOI":"10.2307/42754082","abstract":"Restriction of root growth by growing bean plants (Phaseolus vulgaris L.) in very small pots led to the development of dwarf plants. The leaves of those plants were smaller and their internodes shorter than those of control plants which were grown in larger pots and had developed a more extensive root system. A large quantity of starch — much more than in control plants — accumulated in the leaves and shoots of the dwarf plants. Increasing the amount of minerals which was supplied to the roots, enhanced leaf growth of the control plants but failed to affect the dwarf ones, in spite of the fact that in both cases the treatment increased the content of N, P and K in all the plant organs. The leaf water content was similar in both treatments, but the leaf water potential was higher in the dwarf plants. Exogenous application of gibberellic acid (GA</w:instrText>
      </w:r>
      <w:r w:rsidR="004227A2">
        <w:rPr>
          <w:rFonts w:ascii="Cambria Math" w:hAnsi="Cambria Math" w:cs="Cambria Math"/>
          <w:szCs w:val="24"/>
        </w:rPr>
        <w:instrText>₃</w:instrText>
      </w:r>
      <w:r w:rsidR="004227A2">
        <w:rPr>
          <w:szCs w:val="24"/>
        </w:rPr>
        <w:instrText>) to the dwarf plants overcame the reduction of stem growth completely, and that of the leaves partially. Application of the cytokinin, benzyladenine (BA) did not affect stem growth, but increased that of the primary leaves. A combined supply of GA</w:instrText>
      </w:r>
      <w:r w:rsidR="004227A2">
        <w:rPr>
          <w:rFonts w:ascii="Cambria Math" w:hAnsi="Cambria Math" w:cs="Cambria Math"/>
          <w:szCs w:val="24"/>
        </w:rPr>
        <w:instrText>₃</w:instrText>
      </w:r>
      <w:r w:rsidR="004227A2">
        <w:rPr>
          <w:szCs w:val="24"/>
        </w:rPr>
        <w:instrText>+BA restored completely the growth of the stem and the primary leaves, and partially that of the trifoliate leaves. It is concluded that a limited root system restricts shoot growth through an hormonal system in which at least gibberellins and cytokinins are involved, and that the dwarfing is not a consequence of mineral or assimilate deficiency, or due to water stress.","author":[{"dropping-particle":"","family":"Carmi","given":"A.","non-dropping-particle":"","parse-names":false,"suffix":""},{"dropping-particle":"","family":"Heuer","given":"B.","non-dropping-particle":"","parse-names":false,"suffix":""}],"container-title":"Annals of Botany","id":"ITEM-2","issued":{"date-parts":[["1981"]]},"page":"519-527","publisher":"Oxford University Press","title":"The role of roots in control of bean shoot growth","type":"article","volume":"48"},"uris":["http://www.mendeley.com/documents/?uuid=2707b4c2-917f-32da-8e11-391fea80c336"]},{"id":"ITEM-3","itemData":{"DOI":"10.1093/jxb/36.1.25","author":[{"dropping-particle":"","family":"Krizek","given":"Donald T.","non-dropping-particle":"","parse-names":false,"suffix":""},{"dropping-particle":"","family":"Carmi","given":"Avner","non-dropping-particle":"","parse-names":false,"suffix":""},{"dropping-particle":"","family":"Mirecki","given":"Roman M.","non-dropping-particle":"","parse-names":false,"suffix":""},{"dropping-particle":"","family":"Snyder","given":"Freeman W.","non-dropping-particle":"","parse-names":false,"suffix":""},{"dropping-particle":"","family":"Bunce","given":"James A.","non-dropping-particle":"","parse-names":false,"suffix":""}],"container-title":"Journal of Experimental Botany","id":"ITEM-3","issue":"1","issued":{"date-parts":[["1985","1","1"]]},"page":"25-38","publisher":"Oxford University Press","title":"Comparative effects of soil moisture stress and restricted root zone volume on morphogenetic and physiological responses of Soybean [Glycine max (L.) Merr.]","type":"article-journal","volume":"36"},"uris":["http://www.mendeley.com/documents/?uuid=6f06fe74-0574-3cbb-b44a-effe29f43014"]},{"id":"ITEM-4","itemData":{"DOI":"10.1016/0304-4238(95)00793-S","ISBN":"0304-4238","ISSN":"03044238","abstract":"A previous study found that root pruning reduced tomato plant growth and that increasing the solution nitrate concentration failed to compensate for the pruned roots. The objective of the present investigation was to study the combined effects of nitrate concentration and root restriction on dry matter production, nutrient uptake and transpiration by tomato plants. Root restriction reduced the total dry matter production and the total N and K uptake by tomato (Lycopersicon esculentum cv. 'F 121') grown in a greenhouse in an aero-hydroponic system. However, the flux of N uptake by the roots was higher in the plants with restricted roots. Root restriction did not affect the N concentration but did decrease the K concentration in part of the plant organs. Increasing the solution nitrate concentration from 1.0 to 9.0 mmol 1-1 significantly increased the nitrate uptake by plants with either restricted or intact roots. The transpiration rate was reduced by root restriction, but the flux of water uptake per root unit volume, the water consumption per unit dry matter production and the transpiration rate per leaf unit area were increased by root restriction. These results were in good agreement with those obtained with pruned roots. It was concluded that the reduction in dry matter production following root restriction was not caused by either N deficiency or water stress. © 1995.","author":[{"dropping-particle":"","family":"Bar-Tal","given":"A.","non-dropping-particle":"","parse-names":false,"suffix":""},{"dropping-particle":"","family":"Feigin","given":"A.","non-dropping-particle":"","parse-names":false,"suffix":""},{"dropping-particle":"","family":"Sheinfeld","given":"S.","non-dropping-particle":"","parse-names":false,"suffix":""},{"dropping-particle":"","family":"Rosenberg","given":"R.","non-dropping-particle":"","parse-names":false,"suffix":""},{"dropping-particle":"","family":"Sternbaum","given":"B.","non-dropping-particle":"","parse-names":false,"suffix":""},{"dropping-particle":"","family":"Rylski","given":"I.","non-dropping-particle":"","parse-names":false,"suffix":""},{"dropping-particle":"","family":"Pressman","given":"E.","non-dropping-particle":"","parse-names":false,"suffix":""}],"container-title":"Scientia Horticulturae","id":"ITEM-4","issue":"3-4","issued":{"date-parts":[["1995"]]},"page":"195-208","title":"Root restriction and N-NO3 solution concentration effects on nutrient uptake, transpiration and dry matter production of tomato","type":"article-journal","volume":"63"},"uris":["http://www.mendeley.com/documents/?uuid=3f5fc1c8-c4f1-4550-b087-6d1af90ec420"]},{"id":"ITEM-5","itemData":{"ISBN":"0003-1062","ISSN":"00031062","abstract":"Root restriction has been reported to reduce fruit yield, the incidence of blossom end rot (BER) and K concentration in tomato (Lycopersicon esculentum L. 'F121') plant organs. The objectives of the present work were to study the effect of root restriction, and combination of K and Ca solution concentrations, on greenhouse tomato fruit yield, quality and cation uptake. Root restriction reduced total yield but improved fruit quality by increasing the dry matter concentration and reducing the incidence of BER. Increasing the K concentration from 5.0 to 10 mmol cntdot L-1 reduced the marketable yield, due to increased incidence of BER. Root restriction decreased K concentration and K/Ca ratio in tomato plant organs, but had no effect on K uptake rate per unit root fresh weight. Increasing K concentration from 2.5 to 10 mmol cntdot L-1 increased the K concentration in plant organs and K uptake rate, but reduced that of Ca. In contrast, increasing Ca concentration in the solution had no effect on K concentration in plant organs and K uptake rate. The incidence of BER correlated well with K/Ca concentration ratio in the leaves, whereas a poor correlation was obtained with K/Ca concentration ratio in ripe fruit.","author":[{"dropping-particle":"","family":"Bar-Tal","given":"A","non-dropping-particle":"","parse-names":false,"suffix":""},{"dropping-particle":"","family":"Pressman","given":"E","non-dropping-particle":"","parse-names":false,"suffix":""}],"container-title":"Journal of the American Society for Horticultural Science","id":"ITEM-5","issue":"4","issued":{"date-parts":[["1996"]]},"page":"649-655","title":"Root restriction and potassium and calcium solution concentrations affect dry-matter production, cation uptake, and blossom-end rot in greenhouse tomato","type":"article-journal","volume":"121"},"uris":["http://www.mendeley.com/documents/?uuid=369a0137-39a5-463c-a816-f079e93bf512"]},{"id":"ITEM-6","itemData":{"DOI":"10.1071/FP12049","abstract":"The majority of experiments in plant biology use plants grown in some kind of container or pot. We conducted a meta-analysis on 65 studies that analysed the effect of pot size on growth and underlying variables. On average, a doubling of the pot size increased biomass production by 43%. Further analysis of pot size effects on the underlying components of growth suggests that reduced growth in smaller pots is caused mainly by a reduction in photosynthesis per unit leaf area, rather than by changes in leaf morphology or biomass allocation. The appropriate pot size will logically depend on the size of the plants growing in them. Based on various lines of evidence we suggest that an appropriate pot size is one in which the plant biomass does not exceed 1 g L –1 . In current research practice ~65% of the experiments exceed that threshold. We suggest that researchers need to carefully consider the pot size in their experiments, as small pots may change experimental results and defy the purpose of the experiment.","author":[{"dropping-particle":"","family":"Poorter","given":"Hendrik","non-dropping-particle":"","parse-names":false,"suffix":""},{"dropping-particle":"","family":"Bühler","given":"Jonas","non-dropping-particle":"","parse-names":false,"suffix":""},{"dropping-particle":"","family":"Dusschoten","given":"Dagmar","non-dropping-particle":"Van","parse-names":false,"suffix":""},{"dropping-particle":"","family":"Climent","given":"José","non-dropping-particle":"","parse-names":false,"suffix":""},{"dropping-particle":"","family":"Postma","given":"Johannes A","non-dropping-particle":"","parse-names":false,"suffix":""}],"container-title":"Functional Plant Biology","id":"ITEM-6","issued":{"date-parts":[["2012"]]},"page":"839-850","title":"Pot size matters: a meta-analysis of the effects of rooting volume on plant growth","type":"article-journal"},"uris":["http://www.mendeley.com/documents/?uuid=50c0b953-7302-331c-920d-755a5444cc77"]},{"id":"ITEM-7","itemData":{"DOI":"10.21273/HORTSCI.32.7.1186","ISSN":"0018-5345","abstract":"Container size can affect the growth and development of bedding plants. The effects of widely differing container sizes on growth and development of salvia ( Salvia splendens F. Sellow ex Roem. &amp; Schult.) were quantified. Plants were grown in a greenhouse in 7.3-, 55-, 166-, and 510-mL containers. Container volume affected plant growth as early as 18 days after planting. Growth was positively correlated with pot size and differences increased throughout most of the growing period. Growth of the plants in the 7.3-mL cells was reduced because of a low net assimilation rate (4.34 g·m -2 ·d -1 ), compared to the plants in the 55-, 166-, and 510-mL pots (≈5.44 g·m -2 ·d -1 ). Plants in 510-mL containers grew faster than those in 55- and 166-mL containers because of a higher leaf area ratio. Both lateral branching and leaf expansion were suppressed by root restriction and flowering was delayed. The growth rate of plants in 166-mL pots declined after the onset of flowering, and final plant size was comparable for plants in 55- and 166-mL pots. Although water deficit stress or nutrient deficiencies cannot be excluded as contributing factors, these were probably not the main reason for observed differences.","author":[{"dropping-particle":"","family":"Iersel","given":"Marc","non-dropping-particle":"van","parse-names":false,"suffix":""}],"container-title":"HortScience","id":"ITEM-7","issue":"7","issued":{"date-parts":[["1997","12"]]},"page":"1186-1190","title":"Root restriction effects on growth and development of Salvia (Salvia splendens)","type":"article-journal","volume":"32"},"uris":["http://www.mendeley.com/documents/?uuid=70fddc21-3c75-4324-af42-e54bd799caed"]}],"mendeley":{"formattedCitation":"(Carmi and Heuer, 1981; Krizek et al., 1985; Robbins and Pharr, 1988; Bar-Tal et al., 1995; Bar-Tal and Pressman, 1996; van Iersel, 1997; Poorter et al., 2012)","plainTextFormattedCitation":"(Carmi and Heuer, 1981; Krizek et al., 1985; Robbins and Pharr, 1988; Bar-Tal et al., 1995; Bar-Tal and Pressman, 1996; van Iersel, 1997; Poorter et al., 2012)","previouslyFormattedCitation":"(Carmi and Heuer, 1981; Krizek et al., 1985; Robbins and Pharr, 1988; Bar-Tal et al., 1995; Bar-Tal and Pressman, 1996; van Iersel, 1997; Poorter et al., 2012)"},"properties":{"noteIndex":0},"schema":"https://github.com/citation-style-language/schema/raw/master/csl-citation.json"}</w:instrText>
      </w:r>
      <w:r>
        <w:rPr>
          <w:szCs w:val="24"/>
        </w:rPr>
        <w:fldChar w:fldCharType="separate"/>
      </w:r>
      <w:r w:rsidRPr="00873E5F">
        <w:rPr>
          <w:noProof/>
          <w:szCs w:val="24"/>
        </w:rPr>
        <w:t>(Carmi and Heuer, 1981; Krizek et al., 1985; Robbins and Pharr, 1988; Bar-Tal et al., 1995; Bar-Tal and Pressman, 1996; van Iersel, 1997; Poorter et al., 2012)</w:t>
      </w:r>
      <w:r>
        <w:rPr>
          <w:szCs w:val="24"/>
        </w:rPr>
        <w:fldChar w:fldCharType="end"/>
      </w:r>
      <w:r>
        <w:rPr>
          <w:szCs w:val="24"/>
        </w:rPr>
        <w:t>. In the case of biomass, a</w:t>
      </w:r>
      <w:r>
        <w:rPr>
          <w:color w:val="000000"/>
          <w:szCs w:val="24"/>
        </w:rPr>
        <w:t xml:space="preserve"> large meta-analysis of pot size studies </w:t>
      </w:r>
      <w:r w:rsidR="00CC010D">
        <w:rPr>
          <w:color w:val="000000"/>
          <w:szCs w:val="24"/>
        </w:rPr>
        <w:t>documented</w:t>
      </w:r>
      <w:r>
        <w:rPr>
          <w:color w:val="000000"/>
          <w:szCs w:val="24"/>
        </w:rPr>
        <w:t xml:space="preserve"> that increasing soil volume by two-fold, generally resulted in an increase in biomass by 43% </w:t>
      </w:r>
      <w:r>
        <w:rPr>
          <w:color w:val="000000"/>
          <w:szCs w:val="24"/>
        </w:rPr>
        <w:fldChar w:fldCharType="begin" w:fldLock="1"/>
      </w:r>
      <w:r>
        <w:rPr>
          <w:color w:val="000000"/>
          <w:szCs w:val="24"/>
        </w:rPr>
        <w:instrText>ADDIN CSL_CITATION {"citationItems":[{"id":"ITEM-1","itemData":{"DOI":"10.1071/FP12049","abstract":"The majority of experiments in plant biology use plants grown in some kind of container or pot. We conducted a meta-analysis on 65 studies that analysed the effect of pot size on growth and underlying variables. On average, a doubling of the pot size increased biomass production by 43%. Further analysis of pot size effects on the underlying components of growth suggests that reduced growth in smaller pots is caused mainly by a reduction in photosynthesis per unit leaf area, rather than by changes in leaf morphology or biomass allocation. The appropriate pot size will logically depend on the size of the plants growing in them. Based on various lines of evidence we suggest that an appropriate pot size is one in which the plant biomass does not exceed 1 g L –1 . In current research practice ~65% of the experiments exceed that threshold. We suggest that researchers need to carefully consider the pot size in their experiments, as small pots may change experimental results and defy the purpose of the experiment.","author":[{"dropping-particle":"","family":"Poorter","given":"Hendrik","non-dropping-particle":"","parse-names":false,"suffix":""},{"dropping-particle":"","family":"Bühler","given":"Jonas","non-dropping-particle":"","parse-names":false,"suffix":""},{"dropping-particle":"","family":"Dusschoten","given":"Dagmar","non-dropping-particle":"Van","parse-names":false,"suffix":""},{"dropping-particle":"","family":"Climent","given":"José","non-dropping-particle":"","parse-names":false,"suffix":""},{"dropping-particle":"","family":"Postma","given":"Johannes A","non-dropping-particle":"","parse-names":false,"suffix":""}],"container-title":"Functional Plant Biology","id":"ITEM-1","issued":{"date-parts":[["2012"]]},"page":"839-850","title":"Pot size matters: a meta-analysis of the effects of rooting volume on plant growth","type":"article-journal"},"uris":["http://www.mendeley.com/documents/?uuid=50c0b953-7302-331c-920d-755a5444cc77"]}],"mendeley":{"formattedCitation":"(Poorter et al., 2012)","plainTextFormattedCitation":"(Poorter et al., 2012)","previouslyFormattedCitation":"(Poorter et al., 2012)"},"properties":{"noteIndex":0},"schema":"https://github.com/citation-style-language/schema/raw/master/csl-citation.json"}</w:instrText>
      </w:r>
      <w:r>
        <w:rPr>
          <w:color w:val="000000"/>
          <w:szCs w:val="24"/>
        </w:rPr>
        <w:fldChar w:fldCharType="separate"/>
      </w:r>
      <w:r w:rsidRPr="00541B42">
        <w:rPr>
          <w:noProof/>
          <w:color w:val="000000"/>
          <w:szCs w:val="24"/>
        </w:rPr>
        <w:t>(Poorter et al., 2012)</w:t>
      </w:r>
      <w:r>
        <w:rPr>
          <w:color w:val="000000"/>
          <w:szCs w:val="24"/>
        </w:rPr>
        <w:fldChar w:fldCharType="end"/>
      </w:r>
      <w:r>
        <w:rPr>
          <w:color w:val="000000"/>
          <w:szCs w:val="24"/>
        </w:rPr>
        <w:t xml:space="preserve">. In terms of photosynthesis, some studies have found that a two-fold increase in soil volume increases photosynthetic rate by 30% or greater </w:t>
      </w:r>
      <w:r>
        <w:rPr>
          <w:color w:val="000000"/>
          <w:szCs w:val="24"/>
        </w:rPr>
        <w:fldChar w:fldCharType="begin" w:fldLock="1"/>
      </w:r>
      <w:r w:rsidR="004227A2">
        <w:rPr>
          <w:color w:val="000000"/>
          <w:szCs w:val="24"/>
        </w:rPr>
        <w:instrText>ADDIN CSL_CITATION {"citationItems":[{"id":"ITEM-1","itemData":{"DOI":"10.1104/pp.87.2.409","ISSN":"0032-0889","author":[{"dropping-particle":"","family":"Robbins","given":"N. Suzanne","non-dropping-particle":"","parse-names":false,"suffix":""},{"dropping-particle":"","family":"Pharr","given":"David M.","non-dropping-particle":"","parse-names":false,"suffix":""}],"container-title":"Plant Physiology","id":"ITEM-1","issue":"2","issued":{"date-parts":[["1988","6","1"]]},"page":"409-413","title":"Effect of restricted root growth on carbohydrate metabolism and whole plant growth of Cucumis sativus L.","type":"article-journal","volume":"87"},"uris":["http://www.mendeley.com/documents/?uuid=ea83579b-c888-4d99-a26e-b36aa12127d5"]},{"id":"ITEM-2","itemData":{"DOI":"10.1071/FP06147","ISSN":"1445-4408","abstract":"Coffee (Coffea arabica L.) plants were grown in small (3-L), medium (10-L) and large (24-L) pots for 115 or 165 d after transplanting (DAT), which allowed different degrees of root restriction. Effects of altered source : sink ratio were evaluated in order to explore possible stomatal and non-stomatal mechanisms of photosynthetic down-regulation. Increasing root restriction brought about large and general reductions in plant growth associated with a rising root : shoot ratio. Treatments did not affect leaf water potential or leaf nutrient status, with the exception of N content, which dropped significantly with increasing root restriction even though an adequate N supply was available. Photosynthesis was severely reduced when plants were grown in small pots; this was largely associated with non-stomatal factors, such as decreased Rubisco activity. At 165 DAT contents of hexose, sucrose, and amino acids decreased in plants grown in smaller pots, while those of starch and hexose-P increased in plants grown in smaller pots. Photosynthetic rates were negatively correlated with the ratio of hexose to free amino acids, but not with hexose content. Activities of acid invertase, sucrose synthase, sucrose-P synthase, fructose-1,6-bisphosphatase, ADP-glucose pyrophosphorylase, starch phosphorylase, glyceraldehyde-3-P dehydrogenase, PPi : fructose-6-P 1-phosphotransferase and NADP : glyceraldehyde-3-P dehydrogenase all decreased with severe root restriction. Glycerate-3-P : Pi and glucose-6-P : fructose-6-P ratios decreased accordingly. Photosynthetic down-regulation was unlikely to have been associated directly with an end-product limitation, but rather with decreases in Rubisco. Such a down-regulation was largely a result of N deficiency caused by growing coffee plants in small pots.","author":[{"dropping-particle":"","family":"Ronchi","given":"Cláudio P.","non-dropping-particle":"","parse-names":false,"suffix":""},{"dropping-particle":"","family":"DaMatta","given":"Fábio M.","non-dropping-particle":"","parse-names":false,"suffix":""},{"dropping-particle":"","family":"Batista","given":"Karine D.","non-dropping-particle":"","parse-names":false,"suffix":""},{"dropping-particle":"","family":"Moraes","given":"Gustavo A. B. K.","non-dropping-particle":"","parse-names":false,"suffix":""},{"dropping-particle":"","family":"Loureiro","given":"Marcelo E.","non-dropping-particle":"","parse-names":false,"suffix":""},{"dropping-particle":"","family":"Ducatti","given":"Carlos","non-dropping-particle":"","parse-names":false,"suffix":""}],"container-title":"Functional Plant Biology","id":"ITEM-2","issue":"11","issued":{"date-parts":[["2006"]]},"page":"1013-1023","title":"Growth and photosynthetic down-regulation in Coffea arabica in response to restricted root volume","type":"article-journal","volume":"33"},"uris":["http://www.mendeley.com/documents/?uuid=376533c0-7271-4c77-b777-f739e71d4c48"]}],"mendeley":{"formattedCitation":"(Robbins and Pharr, 1988; Ronchi et al., 2006)","plainTextFormattedCitation":"(Robbins and Pharr, 1988; Ronchi et al., 2006)","previouslyFormattedCitation":"(Robbins and Pharr, 1988; Ronchi et al., 2006)"},"properties":{"noteIndex":0},"schema":"https://github.com/citation-style-language/schema/raw/master/csl-citation.json"}</w:instrText>
      </w:r>
      <w:r>
        <w:rPr>
          <w:color w:val="000000"/>
          <w:szCs w:val="24"/>
        </w:rPr>
        <w:fldChar w:fldCharType="separate"/>
      </w:r>
      <w:r w:rsidRPr="004A2ADD">
        <w:rPr>
          <w:noProof/>
          <w:color w:val="000000"/>
          <w:szCs w:val="24"/>
        </w:rPr>
        <w:t>(Robbins and Pharr, 1988; Ronchi et al., 2006)</w:t>
      </w:r>
      <w:r>
        <w:rPr>
          <w:color w:val="000000"/>
          <w:szCs w:val="24"/>
        </w:rPr>
        <w:fldChar w:fldCharType="end"/>
      </w:r>
      <w:r>
        <w:rPr>
          <w:color w:val="000000"/>
          <w:szCs w:val="24"/>
        </w:rPr>
        <w:t xml:space="preserve">. </w:t>
      </w:r>
      <w:r>
        <w:rPr>
          <w:szCs w:val="24"/>
        </w:rPr>
        <w:t xml:space="preserve">This phenomenon has been referred to historically by different terms including root restriction, soil volume limitation and plants becoming ‘pot bound’. </w:t>
      </w:r>
    </w:p>
    <w:p w14:paraId="0A9DF7E9" w14:textId="0D3F8D72" w:rsidR="00EC23E7" w:rsidRDefault="00EC23E7" w:rsidP="00EC23E7">
      <w:pPr>
        <w:spacing w:line="480" w:lineRule="auto"/>
        <w:rPr>
          <w:color w:val="000000"/>
          <w:szCs w:val="24"/>
        </w:rPr>
      </w:pPr>
      <w:r>
        <w:rPr>
          <w:color w:val="000000"/>
          <w:szCs w:val="24"/>
        </w:rPr>
        <w:t xml:space="preserve">The phenotypic response to soil volume outlined above has been seen in many </w:t>
      </w:r>
      <w:r>
        <w:rPr>
          <w:szCs w:val="24"/>
        </w:rPr>
        <w:t>species from the bedding plants (</w:t>
      </w:r>
      <w:r w:rsidRPr="008A344D">
        <w:rPr>
          <w:i/>
          <w:iCs/>
          <w:szCs w:val="24"/>
        </w:rPr>
        <w:t>Salvia splendens</w:t>
      </w:r>
      <w:r>
        <w:rPr>
          <w:szCs w:val="24"/>
        </w:rPr>
        <w:t>) to important food crops such as bean (</w:t>
      </w:r>
      <w:r w:rsidRPr="006837C2">
        <w:rPr>
          <w:i/>
          <w:iCs/>
          <w:szCs w:val="24"/>
        </w:rPr>
        <w:t>Phaseolus vulgaris</w:t>
      </w:r>
      <w:r>
        <w:rPr>
          <w:szCs w:val="24"/>
        </w:rPr>
        <w:t xml:space="preserve"> L.), cucumber (</w:t>
      </w:r>
      <w:r w:rsidRPr="007946BD">
        <w:rPr>
          <w:i/>
          <w:iCs/>
          <w:szCs w:val="24"/>
        </w:rPr>
        <w:t xml:space="preserve">Cucumis sativus </w:t>
      </w:r>
      <w:r w:rsidRPr="00D25F36">
        <w:rPr>
          <w:szCs w:val="24"/>
        </w:rPr>
        <w:t>L</w:t>
      </w:r>
      <w:r w:rsidRPr="007946BD">
        <w:rPr>
          <w:i/>
          <w:iCs/>
          <w:szCs w:val="24"/>
        </w:rPr>
        <w:t>.</w:t>
      </w:r>
      <w:r>
        <w:rPr>
          <w:szCs w:val="24"/>
        </w:rPr>
        <w:t>)</w:t>
      </w:r>
      <w:r w:rsidRPr="00557903">
        <w:rPr>
          <w:szCs w:val="24"/>
        </w:rPr>
        <w:t xml:space="preserve"> </w:t>
      </w:r>
      <w:r>
        <w:rPr>
          <w:szCs w:val="24"/>
        </w:rPr>
        <w:t>and tomato (</w:t>
      </w:r>
      <w:r w:rsidRPr="007C7944">
        <w:rPr>
          <w:i/>
          <w:iCs/>
          <w:szCs w:val="24"/>
        </w:rPr>
        <w:t>Lycopersicum esculentum Mill</w:t>
      </w:r>
      <w:r>
        <w:rPr>
          <w:szCs w:val="24"/>
        </w:rPr>
        <w:t>), cotton (</w:t>
      </w:r>
      <w:r w:rsidRPr="002C7B4E">
        <w:rPr>
          <w:i/>
          <w:iCs/>
          <w:szCs w:val="24"/>
        </w:rPr>
        <w:t>Gossypium hirsutum</w:t>
      </w:r>
      <w:r>
        <w:rPr>
          <w:szCs w:val="24"/>
        </w:rPr>
        <w:t>) and trees (Northern Red Oak (</w:t>
      </w:r>
      <w:r w:rsidRPr="00B97D73">
        <w:rPr>
          <w:i/>
          <w:iCs/>
          <w:szCs w:val="24"/>
        </w:rPr>
        <w:t>Quercus rubra</w:t>
      </w:r>
      <w:r w:rsidRPr="008E5DE2">
        <w:rPr>
          <w:szCs w:val="24"/>
        </w:rPr>
        <w:t xml:space="preserve"> L.</w:t>
      </w:r>
      <w:r>
        <w:rPr>
          <w:szCs w:val="24"/>
        </w:rPr>
        <w:t xml:space="preserve">), and white spruce </w:t>
      </w:r>
      <w:r w:rsidRPr="000F5D67">
        <w:rPr>
          <w:szCs w:val="24"/>
        </w:rPr>
        <w:t>(</w:t>
      </w:r>
      <w:r w:rsidRPr="000F5D67">
        <w:rPr>
          <w:i/>
          <w:iCs/>
          <w:szCs w:val="24"/>
        </w:rPr>
        <w:t>Piceaglauca</w:t>
      </w:r>
      <w:r w:rsidRPr="000F5D67">
        <w:rPr>
          <w:szCs w:val="24"/>
        </w:rPr>
        <w:t xml:space="preserve"> (Moench) Voss)</w:t>
      </w:r>
      <w:r>
        <w:rPr>
          <w:szCs w:val="24"/>
        </w:rPr>
        <w:t xml:space="preserve">) to name a few </w:t>
      </w:r>
      <w:r>
        <w:rPr>
          <w:color w:val="000000"/>
          <w:szCs w:val="24"/>
        </w:rPr>
        <w:fldChar w:fldCharType="begin" w:fldLock="1"/>
      </w:r>
      <w:r w:rsidR="00171639">
        <w:rPr>
          <w:color w:val="000000"/>
          <w:szCs w:val="24"/>
        </w:rPr>
        <w:instrText>ADDIN CSL_CITATION {"citationItems":[{"id":"ITEM-1","itemData":{"DOI":"10.2307/42754082","abstract":"Restriction of root growth by growing bean plants (Phaseolus vulgaris L.) in very small pots led to the development of dwarf plants. The leaves of those plants were smaller and their internodes shorter than those of control plants which were grown in larger pots and had developed a more extensive root system. A large quantity of starch — much more than in control plants — accumulated in the leaves and shoots of the dwarf plants. Increasing the amount of minerals which was supplied to the roots, enhanced leaf growth of the control plants but failed to affect the dwarf ones, in spite of the fact that in both cases the treatment increased the content of N, P and K in all the plant organs. The leaf water content was similar in both treatments, but the leaf water potential was higher in the dwarf plants. Exogenous application of gibberellic acid (GA</w:instrText>
      </w:r>
      <w:r w:rsidR="00171639">
        <w:rPr>
          <w:rFonts w:ascii="Cambria Math" w:hAnsi="Cambria Math" w:cs="Cambria Math"/>
          <w:color w:val="000000"/>
          <w:szCs w:val="24"/>
        </w:rPr>
        <w:instrText>₃</w:instrText>
      </w:r>
      <w:r w:rsidR="00171639">
        <w:rPr>
          <w:color w:val="000000"/>
          <w:szCs w:val="24"/>
        </w:rPr>
        <w:instrText>) to the dwarf plants overcame the reduction of stem growth completely, and that of the leaves partially. Application of the cytokinin, benzyladenine (BA) did not affect stem growth, but increased that of the primary leaves. A combined supply of GA</w:instrText>
      </w:r>
      <w:r w:rsidR="00171639">
        <w:rPr>
          <w:rFonts w:ascii="Cambria Math" w:hAnsi="Cambria Math" w:cs="Cambria Math"/>
          <w:color w:val="000000"/>
          <w:szCs w:val="24"/>
        </w:rPr>
        <w:instrText>₃</w:instrText>
      </w:r>
      <w:r w:rsidR="00171639">
        <w:rPr>
          <w:color w:val="000000"/>
          <w:szCs w:val="24"/>
        </w:rPr>
        <w:instrText>+BA restored completely the growth of the stem and the primary leaves, and partially that of the trifoliate leaves. It is concluded that a limited root system restricts shoot growth through an hormonal system in which at least gibberellins and cytokinins are involved, and that the dwarfing is not a consequence of mineral or assimilate deficiency, or due to water stress.","author":[{"dropping-particle":"","family":"Carmi","given":"A.","non-dropping-particle":"","parse-names":false,"suffix":""},{"dropping-particle":"","family":"Heuer","given":"B.","non-dropping-particle":"","parse-names":false,"suffix":""}],"container-title":"Annals of Botany","id":"ITEM-1","issued":{"date-parts":[["1981"]]},"page":"519-527","publisher":"Oxford University Press","title":"The role of roots in control of bean shoot growth","type":"article","volume":"48"},"uris":["http://www.mendeley.com/documents/?uuid=2707b4c2-917f-32da-8e11-391fea80c336"]},{"id":"ITEM-2","itemData":{"DOI":"10.1093/jxb/36.1.25","author":[{"dropping-particle":"","family":"Krizek","given":"Donald T.","non-dropping-particle":"","parse-names":false,"suffix":""},{"dropping-particle":"","family":"Carmi","given":"Avner","non-dropping-particle":"","parse-names":false,"suffix":""},{"dropping-particle":"","family":"Mirecki","given":"Roman M.","non-dropping-particle":"","parse-names":false,"suffix":""},{"dropping-particle":"","family":"Snyder","given":"Freeman W.","non-dropping-particle":"","parse-names":false,"suffix":""},{"dropping-particle":"","family":"Bunce","given":"James A.","non-dropping-particle":"","parse-names":false,"suffix":""}],"container-title":"Journal of Experimental Botany","id":"ITEM-2","issue":"1","issued":{"date-parts":[["1985","1","1"]]},"page":"25-38","publisher":"Oxford University Press","title":"Comparative effects of soil moisture stress and restricted root zone volume on morphogenetic and physiological responses of Soybean [Glycine max (L.) Merr.]","type":"article-journal","volume":"36"},"uris":["http://www.mendeley.com/documents/?uuid=6f06fe74-0574-3cbb-b44a-effe29f43014"]},{"id":"ITEM-3","itemData":{"ISBN":"0003-1062","ISSN":"00031062","abstract":"Root restriction has been reported to reduce fruit yield, the incidence of blossom end rot (BER) and K concentration in tomato (Lycopersicon esculentum L. 'F121') plant organs. The objectives of the present work were to study the effect of root restriction, and combination of K and Ca solution concentrations, on greenhouse tomato fruit yield, quality and cation uptake. Root restriction reduced total yield but improved fruit quality by increasing the dry matter concentration and reducing the incidence of BER. Increasing the K concentration from 5.0 to 10 mmol cntdot L-1 reduced the marketable yield, due to increased incidence of BER. Root restriction decreased K concentration and K/Ca ratio in tomato plant organs, but had no effect on K uptake rate per unit root fresh weight. Increasing K concentration from 2.5 to 10 mmol cntdot L-1 increased the K concentration in plant organs and K uptake rate, but reduced that of Ca. In contrast, increasing Ca concentration in the solution had no effect on K concentration in plant organs and K uptake rate. The incidence of BER correlated well with K/Ca concentration ratio in the leaves, whereas a poor correlation was obtained with K/Ca concentration ratio in ripe fruit.","author":[{"dropping-particle":"","family":"Bar-Tal","given":"A","non-dropping-particle":"","parse-names":false,"suffix":""},{"dropping-particle":"","family":"Pressman","given":"E","non-dropping-particle":"","parse-names":false,"suffix":""}],"container-title":"Journal of the American Society for Horticultural Science","id":"ITEM-3","issue":"4","issued":{"date-parts":[["1996"]]},"page":"649-655","title":"Root restriction and potassium and calcium solution concentrations affect dry-matter production, cation uptake, and blossom-end rot in greenhouse tomato","type":"article-journal","volume":"121"},"uris":["http://www.mendeley.com/documents/?uuid=369a0137-39a5-463c-a816-f079e93bf512"]},{"id":"ITEM-4","itemData":{"DOI":"10.1034/j.1399-3054.1999.105307.x","ISSN":"0031-9317","author":[{"dropping-particle":"","family":"Kharkina","given":"T. G.","non-dropping-particle":"","parse-names":false,"suffix":""},{"dropping-particle":"","family":"Ottosen","given":"C.-O.","non-dropping-particle":"","parse-names":false,"suffix":""},{"dropping-particle":"","family":"Rosenqvist","given":"E.","non-dropping-particle":"","parse-names":false,"suffix":""}],"container-title":"Physiologia Plantarum","id":"ITEM-4","issue":"3","issued":{"date-parts":[["1999","3"]]},"page":"434-441","title":"Effects of root restriction on the growth and physiology of cucumber plants","type":"article-journal","volume":"105"},"uris":["http://www.mendeley.com/documents/?uuid=8f63d6af-9a8a-3113-8e63-6beba9709d17"]},{"id":"ITEM-5","itemData":{"DOI":"10.1071/FP10009","ISSN":"1445-4408","abstract":"Root restriction experiments on cotton plants were conducted under conditions where water and nitrogen supplies were not limiting. Xylem sap and leaf tissues were obtained before significant biomass reduction as a result of root restriction. Xylem-derived cytokinins (CTKs) entering a leaf and the CTK levels in the same excised leaf were measured, thus, enabling xylem sap and foliar CTKs to be compared concurrently under root-restrictive and control conditions. Abscisic acid (ABA) was also measured simultaneously in the same xylem sap samples. Root restriction reduced photosynthesis and δ18O of leaf matter showed that leaves of root-restricted plants generally had lower stomatal conductances. Root-restriction significantly decreased (37%) the delivery rate per unit leaf area of CTK bases (dihydrozeatin (DZ) and N6-(2-isopentenyl)adenine (iP)) to the leaf but did not alter the export of CTK O-glucosides and ABA from the roots to leaf 4. Root-restriction also did not alter significantly the levels of total CTK bases in the leaves but increased (54–57% higher) the CTK O-glucosides (especially zeatin O-glucosides). Root restriction also slowed down the apparent CTK turnover rates in the leaves. The slow down in CTK turnover rate can be interpreted as a reduction in leaf CTK metabolism during root restriction.","author":[{"dropping-particle":"","family":"Yong","given":"Jean W. H.","non-dropping-particle":"","parse-names":false,"suffix":""},{"dropping-particle":"","family":"Letham","given":"D. Stuart","non-dropping-particle":"","parse-names":false,"suffix":""},{"dropping-particle":"","family":"Wong","given":"S. Chin","non-dropping-particle":"","parse-names":false,"suffix":""},{"dropping-particle":"","family":"Farquhar","given":"Graham D.","non-dropping-particle":"","parse-names":false,"suffix":""}],"container-title":"Functional Plant Biology","id":"ITEM-5","issue":"10","issued":{"date-parts":[["2010","10","14"]]},"page":"974-984","publisher":"CSIRO PUBLISHING","title":"Effects of root restriction on growth and associated cytokinin levels in cotton (Gossypium hirsutum)","type":"article-journal","volume":"37"},"uris":["http://www.mendeley.com/documents/?uuid=1742bdf1-6253-35ef-9313-f29451360020"]},{"id":"ITEM-6","itemData":{"DOI":"10.21273/HORTSCI.32.7.1186","ISSN":"0018-5345","abstract":"Container size can affect the growth and development of bedding plants. The effects of widely differing container sizes on growth and development of salvia ( Salvia splendens F. Sellow ex Roem. &amp; Schult.) were quantified. Plants were grown in a greenhouse in 7.3-, 55-, 166-, and 510-mL containers. Container volume affected plant growth as early as 18 days after planting. Growth was positively correlated with pot size and differences increased throughout most of the growing period. Growth of the plants in the 7.3-mL cells was reduced because of a low net assimilation rate (4.34 g·m -2 ·d -1 ), compared to the plants in the 55-, 166-, and 510-mL pots (≈5.44 g·m -2 ·d -1 ). Plants in 510-mL containers grew faster than those in 55- and 166-mL containers because of a higher leaf area ratio. Both lateral branching and leaf expansion were suppressed by root restriction and flowering was delayed. The growth rate of plants in 166-mL pots declined after the onset of flowering, and final plant size was comparable for plants in 55- and 166-mL pots. Although water deficit stress or nutrient deficiencies cannot be excluded as contributing factors, these were probably not the main reason for observed differences.","author":[{"dropping-particle":"","family":"Iersel","given":"Marc","non-dropping-particle":"van","parse-names":false,"suffix":""}],"container-title":"HortScience","id":"ITEM-6","issue":"7","issued":{"date-parts":[["1997","12"]]},"page":"1186-1190","title":"Root restriction effects on growth and development of Salvia (Salvia splendens)","type":"article-journal","volume":"32"},"uris":["http://www.mendeley.com/documents/?uuid=70fddc21-3c75-4324-af42-e54bd799caed"]},{"id":"ITEM-7","itemData":{"DOI":"10.21273/HORTSCI.22.6.1293","ISSN":"0018-5345","abstract":"Northern red oak ( Quercus rubra L.) seedlings were grown in six container configurations differing in diameter, length, and volume. More shoot and lateral root dry weight was produced in a cylindrical polyvinylchloride (PVC) container 15.4 × 36 cm containing 6333 cm 3 of potting medium than in containers with less medium volume. Seedling growth did not increase in a 15.4 × 110 cm container even though the potting medium volume was increased. Of all container variables measured, the ratio of potting medium surface area to potting medium depth (SA:D) showed the best correlation to seedling dry weight accumulation. Water or nutrient deficiencies could not be eliminated as factors contributing to differences in seedling growth.","author":[{"dropping-particle":"","family":"Hanson","given":"P. J.","non-dropping-particle":"","parse-names":false,"suffix":""},{"dropping-particle":"","family":"Dixon","given":"R. K.","non-dropping-particle":"","parse-names":false,"suffix":""},{"dropping-particle":"","family":"Dickson","given":"R. E.","non-dropping-particle":"","parse-names":false,"suffix":""}],"container-title":"HortScience","id":"ITEM-7","issue":"6","issued":{"date-parts":[["1987","12"]]},"page":"1293-1295","title":"Effect of container size and shape on the growth of northern red oak seedlings","type":"article-journal","volume":"22"},"uris":["http://www.mendeley.com/documents/?uuid=88a72bbb-f331-4f1d-ba47-482d03c3c242"]},{"id":"ITEM-8","itemData":{"DOI":"10.1139/x76-027","ISSN":"0045-5067","abstract":"White spruce (Piceaglauca (Moench) Voss) seedlings were germinated and grown for 20 weeks in containers ranging in volume from 10 cm3 to 524 cm3. Containers for four of the six volumes were constructed in three different ratios of height to diameter (1:1, 3:1, and 6:1), with the remaining two volumes at 3:1. Both container diameter and volume had prounced effects on seedling growth. White spruce produced significantly more roots in the top quarter of the container than did lodgepole pine (Pinnscontorta Dougl. var. latifolia Engelm.), indicating that white spruce and lodgepole pine require containers of different configuration for optimum growth.","author":[{"dropping-particle":"","family":"Carlson","given":"Lester W.","non-dropping-particle":"","parse-names":false,"suffix":""},{"dropping-particle":"","family":"Endean","given":"Frank","non-dropping-particle":"","parse-names":false,"suffix":""}],"container-title":"Canadian Journal of Forest Research","id":"ITEM-8","issue":"2","issued":{"date-parts":[["1976","6"]]},"page":"221-224","publisher":" NRC Research Press Ottawa, Canada ","title":"The effect of rooting volume and container configuration on the early growth of white spruce seedlings","type":"article-journal","volume":"6"},"uris":["http://www.mendeley.com/documents/?uuid=7bd69a98-c54a-3202-9377-236f28205a30"]}],"mendeley":{"formattedCitation":"(Carlson and Endean, 1976; Carmi and Heuer, 1981; Krizek et al., 1985; Hanson et al., 1987; Bar-Tal and Pressman, 1996; van Iersel, 1997; Kharkina et al., 1999; Yong et al., 2010)","plainTextFormattedCitation":"(Carlson and Endean, 1976; Carmi and Heuer, 1981; Krizek et al., 1985; Hanson et al., 1987; Bar-Tal and Pressman, 1996; van Iersel, 1997; Kharkina et al., 1999; Yong et al., 2010)","previouslyFormattedCitation":"(Carlson and Endean, 1976; Carmi and Heuer, 1981; Krizek et al., 1985; Hanson et al., 1987; Bar-Tal and Pressman, 1996; van Iersel, 1997; Kharkina et al., 1999; Yong et al., 2010)"},"properties":{"noteIndex":0},"schema":"https://github.com/citation-style-language/schema/raw/master/csl-citation.json"}</w:instrText>
      </w:r>
      <w:r>
        <w:rPr>
          <w:color w:val="000000"/>
          <w:szCs w:val="24"/>
        </w:rPr>
        <w:fldChar w:fldCharType="separate"/>
      </w:r>
      <w:r w:rsidRPr="00052491">
        <w:rPr>
          <w:noProof/>
          <w:color w:val="000000"/>
          <w:szCs w:val="24"/>
        </w:rPr>
        <w:t>(Carlson and Endean, 1976; Carmi and Heuer, 1981; Krizek et al., 1985; Hanson et al., 1987; Bar-Tal and Pressman, 1996; van Iersel, 1997; Kharkina et al., 1999; Yong et al., 2010)</w:t>
      </w:r>
      <w:r>
        <w:rPr>
          <w:color w:val="000000"/>
          <w:szCs w:val="24"/>
        </w:rPr>
        <w:fldChar w:fldCharType="end"/>
      </w:r>
      <w:r>
        <w:rPr>
          <w:color w:val="000000"/>
          <w:szCs w:val="24"/>
        </w:rPr>
        <w:t xml:space="preserve">. Despite the clear implications of soil volume on plant growth, plant science </w:t>
      </w:r>
      <w:r>
        <w:rPr>
          <w:color w:val="000000"/>
          <w:szCs w:val="24"/>
        </w:rPr>
        <w:lastRenderedPageBreak/>
        <w:t xml:space="preserve">research in other fields rarely factors soil volume into their experimental design, or </w:t>
      </w:r>
      <w:r w:rsidR="007D0A7C">
        <w:rPr>
          <w:color w:val="000000"/>
          <w:szCs w:val="24"/>
        </w:rPr>
        <w:t xml:space="preserve">fails to </w:t>
      </w:r>
      <w:r>
        <w:rPr>
          <w:color w:val="000000"/>
          <w:szCs w:val="24"/>
        </w:rPr>
        <w:t xml:space="preserve">even define the soil volume used in published reports </w:t>
      </w:r>
      <w:r>
        <w:rPr>
          <w:color w:val="000000"/>
          <w:szCs w:val="24"/>
        </w:rPr>
        <w:fldChar w:fldCharType="begin" w:fldLock="1"/>
      </w:r>
      <w:r>
        <w:rPr>
          <w:color w:val="000000"/>
          <w:szCs w:val="24"/>
        </w:rPr>
        <w:instrText>ADDIN CSL_CITATION {"citationItems":[{"id":"ITEM-1","itemData":{"DOI":"10.1071/FP12049","abstract":"The majority of experiments in plant biology use plants grown in some kind of container or pot. We conducted a meta-analysis on 65 studies that analysed the effect of pot size on growth and underlying variables. On average, a doubling of the pot size increased biomass production by 43%. Further analysis of pot size effects on the underlying components of growth suggests that reduced growth in smaller pots is caused mainly by a reduction in photosynthesis per unit leaf area, rather than by changes in leaf morphology or biomass allocation. The appropriate pot size will logically depend on the size of the plants growing in them. Based on various lines of evidence we suggest that an appropriate pot size is one in which the plant biomass does not exceed 1 g L –1 . In current research practice ~65% of the experiments exceed that threshold. We suggest that researchers need to carefully consider the pot size in their experiments, as small pots may change experimental results and defy the purpose of the experiment.","author":[{"dropping-particle":"","family":"Poorter","given":"Hendrik","non-dropping-particle":"","parse-names":false,"suffix":""},{"dropping-particle":"","family":"Bühler","given":"Jonas","non-dropping-particle":"","parse-names":false,"suffix":""},{"dropping-particle":"","family":"Dusschoten","given":"Dagmar","non-dropping-particle":"Van","parse-names":false,"suffix":""},{"dropping-particle":"","family":"Climent","given":"José","non-dropping-particle":"","parse-names":false,"suffix":""},{"dropping-particle":"","family":"Postma","given":"Johannes A","non-dropping-particle":"","parse-names":false,"suffix":""}],"container-title":"Functional Plant Biology","id":"ITEM-1","issued":{"date-parts":[["2012"]]},"page":"839-850","title":"Pot size matters: a meta-analysis of the effects of rooting volume on plant growth","type":"article-journal"},"uris":["http://www.mendeley.com/documents/?uuid=50c0b953-7302-331c-920d-755a5444cc77"]}],"mendeley":{"formattedCitation":"(Poorter et al., 2012)","plainTextFormattedCitation":"(Poorter et al., 2012)","previouslyFormattedCitation":"(Poorter et al., 2012)"},"properties":{"noteIndex":0},"schema":"https://github.com/citation-style-language/schema/raw/master/csl-citation.json"}</w:instrText>
      </w:r>
      <w:r>
        <w:rPr>
          <w:color w:val="000000"/>
          <w:szCs w:val="24"/>
        </w:rPr>
        <w:fldChar w:fldCharType="separate"/>
      </w:r>
      <w:r w:rsidRPr="00797EB5">
        <w:rPr>
          <w:noProof/>
          <w:color w:val="000000"/>
          <w:szCs w:val="24"/>
        </w:rPr>
        <w:t>(Poorter et al., 2012)</w:t>
      </w:r>
      <w:r>
        <w:rPr>
          <w:color w:val="000000"/>
          <w:szCs w:val="24"/>
        </w:rPr>
        <w:fldChar w:fldCharType="end"/>
      </w:r>
      <w:r>
        <w:rPr>
          <w:color w:val="000000"/>
          <w:szCs w:val="24"/>
        </w:rPr>
        <w:t xml:space="preserve">. </w:t>
      </w:r>
      <w:r w:rsidRPr="006D1107">
        <w:rPr>
          <w:color w:val="000000" w:themeColor="text1"/>
          <w:szCs w:val="24"/>
        </w:rPr>
        <w:t xml:space="preserve">Hence some of their reported findings may be confounded by soil volume, such that growth changes seen may actually be the result of differences in soil volumes used rather than the factor they are testing. </w:t>
      </w:r>
      <w:r>
        <w:rPr>
          <w:color w:val="000000" w:themeColor="text1"/>
          <w:szCs w:val="24"/>
        </w:rPr>
        <w:t xml:space="preserve">This could be particularly problematic if collaborators use different soil volumes in their systems. </w:t>
      </w:r>
      <w:r>
        <w:rPr>
          <w:color w:val="000000"/>
          <w:szCs w:val="24"/>
        </w:rPr>
        <w:t xml:space="preserve">A key example of </w:t>
      </w:r>
      <w:r w:rsidR="007D0A7C">
        <w:rPr>
          <w:color w:val="000000"/>
          <w:szCs w:val="24"/>
        </w:rPr>
        <w:t>where such lack of attention to soil volume has been problematic is</w:t>
      </w:r>
      <w:r>
        <w:rPr>
          <w:color w:val="000000"/>
          <w:szCs w:val="24"/>
        </w:rPr>
        <w:t xml:space="preserve"> in plant crowding studies </w:t>
      </w:r>
      <w:r w:rsidR="007D0A7C">
        <w:rPr>
          <w:color w:val="000000"/>
          <w:szCs w:val="24"/>
        </w:rPr>
        <w:fldChar w:fldCharType="begin" w:fldLock="1"/>
      </w:r>
      <w:r w:rsidR="007D0A7C">
        <w:rPr>
          <w:color w:val="000000"/>
          <w:szCs w:val="24"/>
        </w:rPr>
        <w:instrText>ADDIN CSL_CITATION {"citationItems":[{"id":"ITEM-1","itemData":{"DOI":"10.1111/j.1365-2745.2006.01204.x","ISSN":"00220477","author":[{"dropping-particle":"","family":"Hess","given":"LINDE","non-dropping-particle":"","parse-names":false,"suffix":""},{"dropping-particle":"","family":"Kroon","given":"HANS","non-dropping-particle":"De","parse-names":false,"suffix":""}],"container-title":"Journal of Ecology","id":"ITEM-1","issue":"2","issued":{"date-parts":[["2007","3","1"]]},"page":"241-251","publisher":"Blackwell Publishing Ltd","title":"Effects of rooting volume and nutrient availability as an alternative explanation for root self/non-self discrimination","type":"article-journal","volume":"95"},"uris":["http://www.mendeley.com/documents/?uuid=5fc49568-90d0-3a0e-a766-6790f0134f1f"]}],"mendeley":{"formattedCitation":"(Hess and De Kroon, 2007)","plainTextFormattedCitation":"(Hess and De Kroon, 2007)","previouslyFormattedCitation":"(Hess and De Kroon, 2007)"},"properties":{"noteIndex":0},"schema":"https://github.com/citation-style-language/schema/raw/master/csl-citation.json"}</w:instrText>
      </w:r>
      <w:r w:rsidR="007D0A7C">
        <w:rPr>
          <w:color w:val="000000"/>
          <w:szCs w:val="24"/>
        </w:rPr>
        <w:fldChar w:fldCharType="separate"/>
      </w:r>
      <w:r w:rsidR="007D0A7C" w:rsidRPr="00CC0464">
        <w:rPr>
          <w:noProof/>
          <w:color w:val="000000"/>
          <w:szCs w:val="24"/>
        </w:rPr>
        <w:t>(Hess and De Kroon, 2007)</w:t>
      </w:r>
      <w:r w:rsidR="007D0A7C">
        <w:rPr>
          <w:color w:val="000000"/>
          <w:szCs w:val="24"/>
        </w:rPr>
        <w:fldChar w:fldCharType="end"/>
      </w:r>
      <w:r w:rsidR="007D0A7C">
        <w:rPr>
          <w:color w:val="000000"/>
          <w:szCs w:val="24"/>
        </w:rPr>
        <w:t xml:space="preserve"> </w:t>
      </w:r>
      <w:r>
        <w:rPr>
          <w:color w:val="000000"/>
          <w:szCs w:val="24"/>
        </w:rPr>
        <w:t xml:space="preserve">which will be discussed in greater detail later. </w:t>
      </w:r>
    </w:p>
    <w:p w14:paraId="693C670F" w14:textId="2C808651" w:rsidR="00EC23E7" w:rsidRDefault="00EC23E7" w:rsidP="00EC23E7">
      <w:pPr>
        <w:spacing w:line="480" w:lineRule="auto"/>
        <w:rPr>
          <w:color w:val="000000"/>
          <w:szCs w:val="24"/>
        </w:rPr>
      </w:pPr>
      <w:r>
        <w:rPr>
          <w:color w:val="000000"/>
          <w:szCs w:val="24"/>
        </w:rPr>
        <w:t xml:space="preserve">Soil volume availability has implications for </w:t>
      </w:r>
      <w:r w:rsidR="007D0A7C">
        <w:rPr>
          <w:color w:val="000000"/>
          <w:szCs w:val="24"/>
        </w:rPr>
        <w:t xml:space="preserve">industrial </w:t>
      </w:r>
      <w:r>
        <w:rPr>
          <w:color w:val="000000"/>
          <w:szCs w:val="24"/>
        </w:rPr>
        <w:t xml:space="preserve">profit, and there are examples in horticulture </w:t>
      </w:r>
      <w:r>
        <w:rPr>
          <w:color w:val="000000"/>
          <w:szCs w:val="24"/>
        </w:rPr>
        <w:fldChar w:fldCharType="begin" w:fldLock="1"/>
      </w:r>
      <w:r>
        <w:rPr>
          <w:color w:val="000000"/>
          <w:szCs w:val="24"/>
        </w:rPr>
        <w:instrText>ADDIN CSL_CITATION {"citationItems":[{"id":"ITEM-1","itemData":{"DOI":"10.1034/j.1399-3054.1999.105307.x","ISSN":"0031-9317","author":[{"dropping-particle":"","family":"Kharkina","given":"T. G.","non-dropping-particle":"","parse-names":false,"suffix":""},{"dropping-particle":"","family":"Ottosen","given":"C.-O.","non-dropping-particle":"","parse-names":false,"suffix":""},{"dropping-particle":"","family":"Rosenqvist","given":"E.","non-dropping-particle":"","parse-names":false,"suffix":""}],"container-title":"Physiologia Plantarum","id":"ITEM-1","issue":"3","issued":{"date-parts":[["1999","3"]]},"page":"434-441","title":"Effects of root restriction on the growth and physiology of cucumber plants","type":"article-journal","volume":"105"},"uris":["http://www.mendeley.com/documents/?uuid=8f63d6af-9a8a-3113-8e63-6beba9709d17"]},{"id":"ITEM-2","itemData":{"DOI":"10.1081/PLN-100104974","ISSN":"0190-4167","author":[{"dropping-particle":"","family":"Xu","given":"Guohua","non-dropping-particle":"","parse-names":false,"suffix":""},{"dropping-particle":"","family":"Wolf","given":"S.","non-dropping-particle":"","parse-names":false,"suffix":""},{"dropping-particle":"","family":"Kafkafi","given":"Uzi","non-dropping-particle":"","parse-names":false,"suffix":""}],"container-title":"Journal of Plant Nutrition","id":"ITEM-2","issue":"3","issued":{"date-parts":[["2001","2","28"]]},"page":"479-501","title":"Interactive effect of nutrient concentration and container volume on flowering, fruiting, and nutrient uptake of sweet pepper","type":"article-journal","volume":"24"},"uris":["http://www.mendeley.com/documents/?uuid=1ba960a3-52f1-46f0-914a-a04c23a4798c"]}],"mendeley":{"formattedCitation":"(Kharkina et al., 1999; Xu et al., 2001)","plainTextFormattedCitation":"(Kharkina et al., 1999; Xu et al., 2001)","previouslyFormattedCitation":"(Kharkina et al., 1999; Xu et al., 2001)"},"properties":{"noteIndex":0},"schema":"https://github.com/citation-style-language/schema/raw/master/csl-citation.json"}</w:instrText>
      </w:r>
      <w:r>
        <w:rPr>
          <w:color w:val="000000"/>
          <w:szCs w:val="24"/>
        </w:rPr>
        <w:fldChar w:fldCharType="separate"/>
      </w:r>
      <w:r w:rsidRPr="00BF17BD">
        <w:rPr>
          <w:noProof/>
          <w:color w:val="000000"/>
          <w:szCs w:val="24"/>
        </w:rPr>
        <w:t>(Kharkina et al., 1999; Xu et al., 2001)</w:t>
      </w:r>
      <w:r>
        <w:rPr>
          <w:color w:val="000000"/>
          <w:szCs w:val="24"/>
        </w:rPr>
        <w:fldChar w:fldCharType="end"/>
      </w:r>
      <w:r>
        <w:rPr>
          <w:color w:val="000000"/>
          <w:szCs w:val="24"/>
        </w:rPr>
        <w:t xml:space="preserve"> and forestry </w:t>
      </w:r>
      <w:r>
        <w:rPr>
          <w:color w:val="000000"/>
          <w:szCs w:val="24"/>
        </w:rPr>
        <w:fldChar w:fldCharType="begin" w:fldLock="1"/>
      </w:r>
      <w:r>
        <w:rPr>
          <w:color w:val="000000"/>
          <w:szCs w:val="24"/>
        </w:rPr>
        <w:instrText>ADDIN CSL_CITATION {"citationItems":[{"id":"ITEM-1","itemData":{"DOI":"10.1139/x76-027","ISSN":"0045-5067","abstract":"White spruce (Piceaglauca (Moench) Voss) seedlings were germinated and grown for 20 weeks in containers ranging in volume from 10 cm3 to 524 cm3. Containers for four of the six volumes were constructed in three different ratios of height to diameter (1:1, 3:1, and 6:1), with the remaining two volumes at 3:1. Both container diameter and volume had prounced effects on seedling growth. White spruce produced significantly more roots in the top quarter of the container than did lodgepole pine (Pinnscontorta Dougl. var. latifolia Engelm.), indicating that white spruce and lodgepole pine require containers of different configuration for optimum growth.","author":[{"dropping-particle":"","family":"Carlson","given":"Lester W.","non-dropping-particle":"","parse-names":false,"suffix":""},{"dropping-particle":"","family":"Endean","given":"Frank","non-dropping-particle":"","parse-names":false,"suffix":""}],"container-title":"Canadian Journal of Forest Research","id":"ITEM-1","issue":"2","issued":{"date-parts":[["1976","6"]]},"page":"221-224","publisher":" NRC Research Press Ottawa, Canada ","title":"The effect of rooting volume and container configuration on the early growth of white spruce seedlings","type":"article-journal","volume":"6"},"uris":["http://www.mendeley.com/documents/?uuid=7bd69a98-c54a-3202-9377-236f28205a30"]}],"mendeley":{"formattedCitation":"(Carlson and Endean, 1976)","plainTextFormattedCitation":"(Carlson and Endean, 1976)","previouslyFormattedCitation":"(Carlson and Endean, 1976)"},"properties":{"noteIndex":0},"schema":"https://github.com/citation-style-language/schema/raw/master/csl-citation.json"}</w:instrText>
      </w:r>
      <w:r>
        <w:rPr>
          <w:color w:val="000000"/>
          <w:szCs w:val="24"/>
        </w:rPr>
        <w:fldChar w:fldCharType="separate"/>
      </w:r>
      <w:r w:rsidRPr="007F41B7">
        <w:rPr>
          <w:noProof/>
          <w:color w:val="000000"/>
          <w:szCs w:val="24"/>
        </w:rPr>
        <w:t>(Carlson and Endean, 1976)</w:t>
      </w:r>
      <w:r>
        <w:rPr>
          <w:color w:val="000000"/>
          <w:szCs w:val="24"/>
        </w:rPr>
        <w:fldChar w:fldCharType="end"/>
      </w:r>
      <w:r>
        <w:rPr>
          <w:color w:val="000000"/>
          <w:szCs w:val="24"/>
        </w:rPr>
        <w:t xml:space="preserve"> where there has been </w:t>
      </w:r>
      <w:r w:rsidR="003B4EC0">
        <w:rPr>
          <w:color w:val="000000"/>
          <w:szCs w:val="24"/>
        </w:rPr>
        <w:t xml:space="preserve">an </w:t>
      </w:r>
      <w:r>
        <w:rPr>
          <w:color w:val="000000"/>
          <w:szCs w:val="24"/>
        </w:rPr>
        <w:t>interest in maximising plant size in the smallest volume of pot. This could be extrapolated to a much wider scale, in the context of</w:t>
      </w:r>
      <w:r w:rsidR="003B4EC0">
        <w:rPr>
          <w:color w:val="000000"/>
          <w:szCs w:val="24"/>
        </w:rPr>
        <w:t xml:space="preserve"> the</w:t>
      </w:r>
      <w:r>
        <w:rPr>
          <w:color w:val="000000"/>
          <w:szCs w:val="24"/>
        </w:rPr>
        <w:t xml:space="preserve"> productivity of field-grown crops where plants are often densely sown </w:t>
      </w:r>
      <w:r>
        <w:rPr>
          <w:color w:val="000000"/>
          <w:szCs w:val="24"/>
        </w:rPr>
        <w:fldChar w:fldCharType="begin" w:fldLock="1"/>
      </w:r>
      <w:r>
        <w:rPr>
          <w:color w:val="000000"/>
          <w:szCs w:val="24"/>
        </w:rPr>
        <w:instrText>ADDIN CSL_CITATION {"citationItems":[{"id":"ITEM-1","itemData":{"DOI":"10.1111/pce.13968","ISSN":"0140-7791","abstract":"Plant population density is an important variable in agronomy and forestry and offers an experimental way to better understand plant–plant competition. We made a meta</w:instrText>
      </w:r>
      <w:r>
        <w:rPr>
          <w:rFonts w:ascii="Cambria Math" w:hAnsi="Cambria Math" w:cs="Cambria Math"/>
          <w:color w:val="000000"/>
          <w:szCs w:val="24"/>
        </w:rPr>
        <w:instrText>‐</w:instrText>
      </w:r>
      <w:r>
        <w:rPr>
          <w:color w:val="000000"/>
          <w:szCs w:val="24"/>
        </w:rPr>
        <w:instrText>analysis of responses of even</w:instrText>
      </w:r>
      <w:r>
        <w:rPr>
          <w:rFonts w:ascii="Cambria Math" w:hAnsi="Cambria Math" w:cs="Cambria Math"/>
          <w:color w:val="000000"/>
          <w:szCs w:val="24"/>
        </w:rPr>
        <w:instrText>‐</w:instrText>
      </w:r>
      <w:r>
        <w:rPr>
          <w:color w:val="000000"/>
          <w:szCs w:val="24"/>
        </w:rPr>
        <w:instrText>aged mono</w:instrText>
      </w:r>
      <w:r>
        <w:rPr>
          <w:rFonts w:ascii="Cambria Math" w:hAnsi="Cambria Math" w:cs="Cambria Math"/>
          <w:color w:val="000000"/>
          <w:szCs w:val="24"/>
        </w:rPr>
        <w:instrText>‐</w:instrText>
      </w:r>
      <w:r>
        <w:rPr>
          <w:color w:val="000000"/>
          <w:szCs w:val="24"/>
        </w:rPr>
        <w:instrText>specific stands to population density by quantifying for 3 stand and 33 individual plant variables in 334 experiments how much both plant biomass and phenotypic traits change with a doubling in density. Increasing density increases standing crop per area, but decreases the mean size of its individuals, mostly through reduced tillering and branching. Among the phenotypic traits, stem diameter is negatively affected, but plant height remains remarkably similar, partly due to an increased stem length</w:instrText>
      </w:r>
      <w:r>
        <w:rPr>
          <w:rFonts w:ascii="Cambria Math" w:hAnsi="Cambria Math" w:cs="Cambria Math"/>
          <w:color w:val="000000"/>
          <w:szCs w:val="24"/>
        </w:rPr>
        <w:instrText>‐</w:instrText>
      </w:r>
      <w:r>
        <w:rPr>
          <w:color w:val="000000"/>
          <w:szCs w:val="24"/>
        </w:rPr>
        <w:instrText>to</w:instrText>
      </w:r>
      <w:r>
        <w:rPr>
          <w:rFonts w:ascii="Cambria Math" w:hAnsi="Cambria Math" w:cs="Cambria Math"/>
          <w:color w:val="000000"/>
          <w:szCs w:val="24"/>
        </w:rPr>
        <w:instrText>‐</w:instrText>
      </w:r>
      <w:r>
        <w:rPr>
          <w:color w:val="000000"/>
          <w:szCs w:val="24"/>
        </w:rPr>
        <w:instrText>mass ratio and partly by increased allocation to stems. The reduction in biomass is caused by a lower photosynthetic rate, mainly due to shading of part of the foliage. Total seed mass per plant is also strongly reduced, marginally by lower mass per seed, but mainly because of lower seed numbers. Plants generally have fewer shoot</w:instrText>
      </w:r>
      <w:r>
        <w:rPr>
          <w:rFonts w:ascii="Cambria Math" w:hAnsi="Cambria Math" w:cs="Cambria Math"/>
          <w:color w:val="000000"/>
          <w:szCs w:val="24"/>
        </w:rPr>
        <w:instrText>‐</w:instrText>
      </w:r>
      <w:r>
        <w:rPr>
          <w:color w:val="000000"/>
          <w:szCs w:val="24"/>
        </w:rPr>
        <w:instrText>born roots, but their overall rooting depth seems hardly affected. The phenotypic plasticity responses to high densities correlate strongly with those to low light, and less with those to low nutrients, suggesting that at high density, shading affects plants more than nutrient depletion.","author":[{"dropping-particle":"","family":"Postma","given":"Johannes A.","non-dropping-particle":"","parse-names":false,"suffix":""},{"dropping-particle":"","family":"Hecht","given":"Vera L.","non-dropping-particle":"","parse-names":false,"suffix":""},{"dropping-particle":"","family":"Hikosaka","given":"Kouki","non-dropping-particle":"","parse-names":false,"suffix":""},{"dropping-particle":"","family":"Nord","given":"Eric A.","non-dropping-particle":"","parse-names":false,"suffix":""},{"dropping-particle":"","family":"Pons","given":"Thijs L.","non-dropping-particle":"","parse-names":false,"suffix":""},{"dropping-particle":"","family":"Poorter","given":"Hendrik","non-dropping-particle":"","parse-names":false,"suffix":""}],"container-title":"Plant, Cell &amp; Environment","id":"ITEM-1","issue":"4","issued":{"date-parts":[["2021","4","29"]]},"page":"1072-1094","title":"Dividing the pie: A quantitative review on plant density responses","type":"article-journal","volume":"44"},"uris":["http://www.mendeley.com/documents/?uuid=00cd269a-084b-483e-b7b2-ab64257dc25a"]}],"mendeley":{"formattedCitation":"(Postma et al., 2021)","plainTextFormattedCitation":"(Postma et al., 2021)","previouslyFormattedCitation":"(Postma et al., 2021)"},"properties":{"noteIndex":0},"schema":"https://github.com/citation-style-language/schema/raw/master/csl-citation.json"}</w:instrText>
      </w:r>
      <w:r>
        <w:rPr>
          <w:color w:val="000000"/>
          <w:szCs w:val="24"/>
        </w:rPr>
        <w:fldChar w:fldCharType="separate"/>
      </w:r>
      <w:r w:rsidRPr="00AE03AE">
        <w:rPr>
          <w:noProof/>
          <w:color w:val="000000"/>
          <w:szCs w:val="24"/>
        </w:rPr>
        <w:t>(Postma et al., 2021)</w:t>
      </w:r>
      <w:r>
        <w:rPr>
          <w:color w:val="000000"/>
          <w:szCs w:val="24"/>
        </w:rPr>
        <w:fldChar w:fldCharType="end"/>
      </w:r>
      <w:r>
        <w:rPr>
          <w:color w:val="000000"/>
          <w:szCs w:val="24"/>
        </w:rPr>
        <w:t>, which would reduce the space each plant can colonise. This therefore poses an intriguing possibility that plant responses to soil volume could be similar to that of plants experiencing neighbour dense growth conditions.</w:t>
      </w:r>
    </w:p>
    <w:p w14:paraId="4D4A8ADF" w14:textId="6B0FEC62" w:rsidR="00EC23E7" w:rsidRDefault="00EC23E7" w:rsidP="00EC23E7">
      <w:pPr>
        <w:spacing w:line="480" w:lineRule="auto"/>
        <w:rPr>
          <w:color w:val="000000"/>
          <w:szCs w:val="24"/>
        </w:rPr>
      </w:pPr>
      <w:r>
        <w:rPr>
          <w:color w:val="000000"/>
          <w:szCs w:val="24"/>
        </w:rPr>
        <w:t xml:space="preserve">Pots are not a natural environment for plants, nevertheless it would be expected that </w:t>
      </w:r>
      <w:r w:rsidRPr="00CA339B">
        <w:rPr>
          <w:color w:val="000000"/>
          <w:szCs w:val="24"/>
        </w:rPr>
        <w:t>plant</w:t>
      </w:r>
      <w:r w:rsidR="00066124" w:rsidRPr="00CA339B">
        <w:rPr>
          <w:color w:val="000000"/>
          <w:szCs w:val="24"/>
        </w:rPr>
        <w:t>s</w:t>
      </w:r>
      <w:r>
        <w:rPr>
          <w:color w:val="000000"/>
          <w:szCs w:val="24"/>
        </w:rPr>
        <w:t xml:space="preserve"> would be able to detect and respond to their available space in nature to ensure survival. But how do they do this? Despite, the large range of phenotypic studies to date, few have attempted to propose a mechanism which plants use to detect and respond to their soil volume availability. </w:t>
      </w:r>
    </w:p>
    <w:p w14:paraId="46B3EF5D" w14:textId="77777777" w:rsidR="00D452E0" w:rsidRDefault="00D452E0" w:rsidP="00EC23E7">
      <w:pPr>
        <w:spacing w:line="480" w:lineRule="auto"/>
        <w:rPr>
          <w:color w:val="000000"/>
          <w:szCs w:val="24"/>
        </w:rPr>
      </w:pPr>
    </w:p>
    <w:p w14:paraId="0D01CB89" w14:textId="01518A2C" w:rsidR="00EC23E7" w:rsidRDefault="00836C2F" w:rsidP="00743E4C">
      <w:pPr>
        <w:pStyle w:val="Heading3"/>
      </w:pPr>
      <w:bookmarkStart w:id="10" w:name="_Toc154331423"/>
      <w:r w:rsidRPr="00836C2F">
        <w:lastRenderedPageBreak/>
        <w:t>The relationship between soil volume responses and nutrient and water availability</w:t>
      </w:r>
      <w:bookmarkEnd w:id="10"/>
    </w:p>
    <w:p w14:paraId="7E137197" w14:textId="77777777" w:rsidR="00836C2F" w:rsidRPr="00836C2F" w:rsidRDefault="00836C2F" w:rsidP="00836C2F"/>
    <w:p w14:paraId="116773C9" w14:textId="4CD83276" w:rsidR="00EC23E7" w:rsidRDefault="00EC23E7" w:rsidP="00EC23E7">
      <w:pPr>
        <w:spacing w:line="480" w:lineRule="auto"/>
        <w:rPr>
          <w:szCs w:val="24"/>
        </w:rPr>
      </w:pPr>
      <w:r>
        <w:rPr>
          <w:szCs w:val="24"/>
        </w:rPr>
        <w:t xml:space="preserve">Inherently, a small soil volume will contain less nutrients and water holding capacity than a large soil volume. Therefore, both nutrient and water availability have been proposed to explain limited plant growth in small soil volumes. With decreasing size of pots, this has been associated with increased </w:t>
      </w:r>
      <w:r w:rsidR="00E305E8">
        <w:rPr>
          <w:szCs w:val="24"/>
        </w:rPr>
        <w:t xml:space="preserve">rate of </w:t>
      </w:r>
      <w:r>
        <w:rPr>
          <w:szCs w:val="24"/>
        </w:rPr>
        <w:t xml:space="preserve">soil </w:t>
      </w:r>
      <w:r w:rsidR="00E305E8">
        <w:rPr>
          <w:szCs w:val="24"/>
        </w:rPr>
        <w:t>desiccation,</w:t>
      </w:r>
      <w:r>
        <w:rPr>
          <w:szCs w:val="24"/>
        </w:rPr>
        <w:t xml:space="preserve"> hence this has been suggested to result in unanticipated drought stress, which has been proposed to explain soil volume effects </w:t>
      </w:r>
      <w:r>
        <w:rPr>
          <w:szCs w:val="24"/>
        </w:rPr>
        <w:fldChar w:fldCharType="begin" w:fldLock="1"/>
      </w:r>
      <w:r>
        <w:rPr>
          <w:szCs w:val="24"/>
        </w:rPr>
        <w:instrText>ADDIN CSL_CITATION {"citationItems":[{"id":"ITEM-1","itemData":{"DOI":"10.1093/jxb/49.325.1381","ISSN":"0022-0957","author":[{"dropping-particle":"","family":"Ray","given":"J. D.","non-dropping-particle":"","parse-names":false,"suffix":""},{"dropping-particle":"","family":"Sinclair","given":"T. R.","non-dropping-particle":"","parse-names":false,"suffix":""}],"container-title":"Journal of Experimental Botany","id":"ITEM-1","issue":"325","issued":{"date-parts":[["1998","8","1"]]},"page":"1381-1386","title":"The effect of pot size on growth and transpiration of maize and soybean during water deficit stress","type":"article-journal","volume":"49"},"uris":["http://www.mendeley.com/documents/?uuid=03a51af0-869b-4967-8dd9-9391240f33b8"]},{"id":"ITEM-2","itemData":{"DOI":"10.1111/j.1399-3054.1985.tb02331.x","ISSN":"0031-9317","author":[{"dropping-particle":"","family":"Tschaplinski","given":"Timothy James","non-dropping-particle":"","parse-names":false,"suffix":""},{"dropping-particle":"","family":"Blake","given":"Terence John","non-dropping-particle":"","parse-names":false,"suffix":""}],"container-title":"Physiologia Plantarum","id":"ITEM-2","issue":"2","issued":{"date-parts":[["1985","6"]]},"page":"167-176","title":"Effects of root restriction on growth correlations, water relations and senescence of alder seedlings","type":"article-journal","volume":"64"},"uris":["http://www.mendeley.com/documents/?uuid=68392c90-77f6-3664-95ad-6c6dbdb6ec20"]}],"mendeley":{"formattedCitation":"(Tschaplinski and Blake, 1985; Ray and Sinclair, 1998)","plainTextFormattedCitation":"(Tschaplinski and Blake, 1985; Ray and Sinclair, 1998)","previouslyFormattedCitation":"(Tschaplinski and Blake, 1985; Ray and Sinclair, 1998)"},"properties":{"noteIndex":0},"schema":"https://github.com/citation-style-language/schema/raw/master/csl-citation.json"}</w:instrText>
      </w:r>
      <w:r>
        <w:rPr>
          <w:szCs w:val="24"/>
        </w:rPr>
        <w:fldChar w:fldCharType="separate"/>
      </w:r>
      <w:r w:rsidRPr="003A5EC3">
        <w:rPr>
          <w:noProof/>
          <w:szCs w:val="24"/>
        </w:rPr>
        <w:t>(Tschaplinski and Blake, 1985; Ray and Sinclair, 1998)</w:t>
      </w:r>
      <w:r>
        <w:rPr>
          <w:szCs w:val="24"/>
        </w:rPr>
        <w:fldChar w:fldCharType="end"/>
      </w:r>
      <w:r>
        <w:rPr>
          <w:szCs w:val="24"/>
        </w:rPr>
        <w:t xml:space="preserve">. Related to soil </w:t>
      </w:r>
      <w:r w:rsidR="00E305E8">
        <w:rPr>
          <w:szCs w:val="24"/>
        </w:rPr>
        <w:t>desiccation</w:t>
      </w:r>
      <w:r>
        <w:rPr>
          <w:szCs w:val="24"/>
        </w:rPr>
        <w:t xml:space="preserve">, some studies have found that small </w:t>
      </w:r>
      <w:r w:rsidR="00E305E8">
        <w:rPr>
          <w:szCs w:val="24"/>
        </w:rPr>
        <w:t>soil volumes</w:t>
      </w:r>
      <w:r>
        <w:rPr>
          <w:szCs w:val="24"/>
        </w:rPr>
        <w:t xml:space="preserve"> experience higher temperatures and </w:t>
      </w:r>
      <w:r w:rsidR="00E305E8">
        <w:rPr>
          <w:szCs w:val="24"/>
        </w:rPr>
        <w:t>elevated</w:t>
      </w:r>
      <w:r>
        <w:rPr>
          <w:szCs w:val="24"/>
        </w:rPr>
        <w:t xml:space="preserve"> temperature fluctuations than larger </w:t>
      </w:r>
      <w:r w:rsidR="00E305E8">
        <w:rPr>
          <w:szCs w:val="24"/>
        </w:rPr>
        <w:t>soil volumes</w:t>
      </w:r>
      <w:r>
        <w:rPr>
          <w:szCs w:val="24"/>
        </w:rPr>
        <w:t xml:space="preserve"> </w:t>
      </w:r>
      <w:r>
        <w:rPr>
          <w:szCs w:val="24"/>
        </w:rPr>
        <w:fldChar w:fldCharType="begin" w:fldLock="1"/>
      </w:r>
      <w:r w:rsidR="00802094">
        <w:rPr>
          <w:szCs w:val="24"/>
        </w:rPr>
        <w:instrText>ADDIN CSL_CITATION {"citationItems":[{"id":"ITEM-1","itemData":{"DOI":"10.24266/0738-2898-4.1.11","ISSN":"0738-2898","abstract":"Seedling pecan top growth was greater in 38 1(#10) containers and shallow 19 1(#5) containers when compared to deeper 19 1 (#5) containers and 11 1 (#3) containers; however, all trees were large enough to bud by July of the first growing season. Root pruning at transplanting did not affect top growth, but increased root branching and total root growth. Increased rates of a complete fertilizer increased root growth, but did not affect top growth.","author":[{"dropping-particle":"","family":"Keever","given":"G.J.","non-dropping-particle":"","parse-names":false,"suffix":""},{"dropping-particle":"","family":"Cobb","given":"G.S.","non-dropping-particle":"","parse-names":false,"suffix":""},{"dropping-particle":"","family":"McDaniel","given":"R.","non-dropping-particle":"","parse-names":false,"suffix":""}],"container-title":"Journal of Environmental Horticulture","id":"ITEM-1","issue":"1","issued":{"date-parts":[["1986","3","1"]]},"page":"11-13","title":"Effects of container size, root pruning, and fertilization on growth of seedling Pecans","type":"article-journal","volume":"4"},"uris":["http://www.mendeley.com/documents/?uuid=82201c5b-3109-49fd-b535-3e22cb89c304"]},{"id":"ITEM-2","itemData":{"DOI":"10.1007/BF02413019","ISSN":"0032-079X","author":[{"dropping-particle":"","family":"Townend","given":"J.","non-dropping-particle":"","parse-names":false,"suffix":""},{"dropping-particle":"","family":"Dickinson","given":"A. L.","non-dropping-particle":"","parse-names":false,"suffix":""}],"container-title":"Plant and Soil","id":"ITEM-2","issue":"1","issued":{"date-parts":[["1995","8"]]},"page":"139-146","title":"A comparison of rooting environments in containers of different sizes","type":"article-journal","volume":"175"},"uris":["http://www.mendeley.com/documents/?uuid=0291cf30-c53a-4291-8bc7-7abaded56beb"]}],"mendeley":{"formattedCitation":"(Keever et al., 1986; Townend and Dickinson, 1995)","plainTextFormattedCitation":"(Keever et al., 1986; Townend and Dickinson, 1995)","previouslyFormattedCitation":"(Keever et al., 1986; Townend and Dickinson, 1995)"},"properties":{"noteIndex":0},"schema":"https://github.com/citation-style-language/schema/raw/master/csl-citation.json"}</w:instrText>
      </w:r>
      <w:r>
        <w:rPr>
          <w:szCs w:val="24"/>
        </w:rPr>
        <w:fldChar w:fldCharType="separate"/>
      </w:r>
      <w:r w:rsidRPr="006204A3">
        <w:rPr>
          <w:noProof/>
          <w:szCs w:val="24"/>
        </w:rPr>
        <w:t>(Keever et al., 1986; Townend and Dickinson, 1995)</w:t>
      </w:r>
      <w:r>
        <w:rPr>
          <w:szCs w:val="24"/>
        </w:rPr>
        <w:fldChar w:fldCharType="end"/>
      </w:r>
      <w:r>
        <w:rPr>
          <w:szCs w:val="24"/>
        </w:rPr>
        <w:t xml:space="preserve"> and </w:t>
      </w:r>
      <w:r w:rsidR="00E305E8">
        <w:rPr>
          <w:szCs w:val="24"/>
        </w:rPr>
        <w:t xml:space="preserve">hence </w:t>
      </w:r>
      <w:r>
        <w:rPr>
          <w:szCs w:val="24"/>
        </w:rPr>
        <w:t xml:space="preserve">this has also been suggested as a possible explanation for growth differences between soil volumes. </w:t>
      </w:r>
      <w:r w:rsidR="00E81BC4">
        <w:rPr>
          <w:szCs w:val="24"/>
        </w:rPr>
        <w:t>Yet</w:t>
      </w:r>
      <w:r>
        <w:rPr>
          <w:szCs w:val="24"/>
        </w:rPr>
        <w:t xml:space="preserve">, exploration into the effects of temperature and soil </w:t>
      </w:r>
      <w:r w:rsidR="00E81BC4">
        <w:rPr>
          <w:szCs w:val="24"/>
        </w:rPr>
        <w:t>desiccation</w:t>
      </w:r>
      <w:r>
        <w:rPr>
          <w:szCs w:val="24"/>
        </w:rPr>
        <w:t xml:space="preserve"> on plant growth in different soil volumes has been limited to these examples</w:t>
      </w:r>
      <w:r w:rsidR="00E81BC4">
        <w:rPr>
          <w:szCs w:val="24"/>
        </w:rPr>
        <w:t xml:space="preserve"> </w:t>
      </w:r>
      <w:r w:rsidR="00E81BC4">
        <w:rPr>
          <w:szCs w:val="24"/>
        </w:rPr>
        <w:fldChar w:fldCharType="begin" w:fldLock="1"/>
      </w:r>
      <w:r w:rsidR="00E81BC4">
        <w:rPr>
          <w:szCs w:val="24"/>
        </w:rPr>
        <w:instrText>ADDIN CSL_CITATION {"citationItems":[{"id":"ITEM-1","itemData":{"DOI":"10.1071/FP12049","abstract":"The majority of experiments in plant biology use plants grown in some kind of container or pot. We conducted a meta-analysis on 65 studies that analysed the effect of pot size on growth and underlying variables. On average, a doubling of the pot size increased biomass production by 43%. Further analysis of pot size effects on the underlying components of growth suggests that reduced growth in smaller pots is caused mainly by a reduction in photosynthesis per unit leaf area, rather than by changes in leaf morphology or biomass allocation. The appropriate pot size will logically depend on the size of the plants growing in them. Based on various lines of evidence we suggest that an appropriate pot size is one in which the plant biomass does not exceed 1 g L –1 . In current research practice ~65% of the experiments exceed that threshold. We suggest that researchers need to carefully consider the pot size in their experiments, as small pots may change experimental results and defy the purpose of the experiment.","author":[{"dropping-particle":"","family":"Poorter","given":"Hendrik","non-dropping-particle":"","parse-names":false,"suffix":""},{"dropping-particle":"","family":"Bühler","given":"Jonas","non-dropping-particle":"","parse-names":false,"suffix":""},{"dropping-particle":"","family":"Dusschoten","given":"Dagmar","non-dropping-particle":"Van","parse-names":false,"suffix":""},{"dropping-particle":"","family":"Climent","given":"José","non-dropping-particle":"","parse-names":false,"suffix":""},{"dropping-particle":"","family":"Postma","given":"Johannes A","non-dropping-particle":"","parse-names":false,"suffix":""}],"container-title":"Functional Plant Biology","id":"ITEM-1","issued":{"date-parts":[["2012"]]},"page":"839-850","title":"Pot size matters: a meta-analysis of the effects of rooting volume on plant growth","type":"article-journal"},"uris":["http://www.mendeley.com/documents/?uuid=50c0b953-7302-331c-920d-755a5444cc77"]}],"mendeley":{"formattedCitation":"(Poorter et al., 2012)","plainTextFormattedCitation":"(Poorter et al., 2012)","previouslyFormattedCitation":"(Poorter et al., 2012)"},"properties":{"noteIndex":0},"schema":"https://github.com/citation-style-language/schema/raw/master/csl-citation.json"}</w:instrText>
      </w:r>
      <w:r w:rsidR="00E81BC4">
        <w:rPr>
          <w:szCs w:val="24"/>
        </w:rPr>
        <w:fldChar w:fldCharType="separate"/>
      </w:r>
      <w:r w:rsidR="00E81BC4" w:rsidRPr="00E81BC4">
        <w:rPr>
          <w:noProof/>
          <w:szCs w:val="24"/>
        </w:rPr>
        <w:t>(Poorter et al., 2012)</w:t>
      </w:r>
      <w:r w:rsidR="00E81BC4">
        <w:rPr>
          <w:szCs w:val="24"/>
        </w:rPr>
        <w:fldChar w:fldCharType="end"/>
      </w:r>
      <w:r>
        <w:rPr>
          <w:szCs w:val="24"/>
        </w:rPr>
        <w:t>.</w:t>
      </w:r>
    </w:p>
    <w:p w14:paraId="48D1AD93" w14:textId="548E17C8" w:rsidR="00EC23E7" w:rsidRDefault="00EC23E7" w:rsidP="00EC23E7">
      <w:pPr>
        <w:spacing w:line="480" w:lineRule="auto"/>
        <w:rPr>
          <w:szCs w:val="24"/>
        </w:rPr>
      </w:pPr>
      <w:r>
        <w:rPr>
          <w:szCs w:val="24"/>
        </w:rPr>
        <w:t xml:space="preserve">Restricting the availability of nutrients such as nitrogen and phosphorus is well known to cause reduced growth in many species </w:t>
      </w:r>
      <w:r>
        <w:rPr>
          <w:szCs w:val="24"/>
        </w:rPr>
        <w:fldChar w:fldCharType="begin" w:fldLock="1"/>
      </w:r>
      <w:r w:rsidR="006D279E">
        <w:rPr>
          <w:szCs w:val="24"/>
        </w:rPr>
        <w:instrText>ADDIN CSL_CITATION {"citationItems":[{"id":"ITEM-1","itemData":{"DOI":"10.2135/cropsci1989.0011183X002900010023x","author":[{"dropping-particle":"","family":"Sinclair","given":"T. R.","non-dropping-particle":"","parse-names":false,"suffix":""},{"dropping-particle":"","family":"Horie","given":"T.","non-dropping-particle":"","parse-names":false,"suffix":""}],"container-title":"Crop Science","id":"ITEM-1","issue":"1","issued":{"date-parts":[["1989"]]},"page":"90-98","publisher":"Crop Science Society of America","title":"Leaf nitrogen, photosynthesis, and crop radiation use efficiency: a review","type":"article-journal","volume":"29"},"uris":["http://www.mendeley.com/documents/?uuid=3f2a8269-dc16-3757-93a6-0942ae97f76b"]},{"id":"ITEM-2","itemData":{"DOI":"10.2135/cropsci1991.0011183X003100020031x","ISSN":"0011-183X","abstract":"Common bean ( Phaseolus vulgaris L.) is often grown in soils of low P availability. It has been proposed that P deficiency may reduce crop growth by inhibiting leaf expansion and photosynthesis. Our objective was to determine how P applied to the root medium or leaves influences vegetative growth, leaf urea development, and photosynthesis of bean. Plants were grown in solid</w:instrText>
      </w:r>
      <w:r w:rsidR="006D279E">
        <w:rPr>
          <w:rFonts w:ascii="Cambria Math" w:hAnsi="Cambria Math" w:cs="Cambria Math"/>
          <w:szCs w:val="24"/>
        </w:rPr>
        <w:instrText>‐</w:instrText>
      </w:r>
      <w:r w:rsidR="006D279E">
        <w:rPr>
          <w:szCs w:val="24"/>
        </w:rPr>
        <w:instrText>phase</w:instrText>
      </w:r>
      <w:r w:rsidR="006D279E">
        <w:rPr>
          <w:rFonts w:ascii="Cambria Math" w:hAnsi="Cambria Math" w:cs="Cambria Math"/>
          <w:szCs w:val="24"/>
        </w:rPr>
        <w:instrText>‐</w:instrText>
      </w:r>
      <w:r w:rsidR="006D279E">
        <w:rPr>
          <w:szCs w:val="24"/>
        </w:rPr>
        <w:instrText>buffered sand culture at 0.4, 1.0, and 27.0 μM P with or without foliar P (ammonium polyphosphate) and with or without mycorrhizal inoculation. Leaf area development was very sensitive to P supply. Phosphorus deficiency primarily reduced leaf area by diminishing the number of leaves through effects on the number of nodes, branching, and relative leaf appearance rate, and secondarily by reducing leaf expansion. The effects of mycorrhizae and increased root P availability were similar. Foliar P application stimulated leaf area development in P</w:instrText>
      </w:r>
      <w:r w:rsidR="006D279E">
        <w:rPr>
          <w:rFonts w:ascii="Cambria Math" w:hAnsi="Cambria Math" w:cs="Cambria Math"/>
          <w:szCs w:val="24"/>
        </w:rPr>
        <w:instrText>‐</w:instrText>
      </w:r>
      <w:r w:rsidR="006D279E">
        <w:rPr>
          <w:szCs w:val="24"/>
        </w:rPr>
        <w:instrText>deficient plants by increasing leaf appearance rate, branching, the number of mainstem nodes, and overall shoot growth, although expansion of individual leaves was reduced slightly. Mycorrhizal and foliar P effects were most pronounced at low root P availability. Although severe P deficiency decreased leaf photosynthesis in nonmycorrhizal plants, intermediate P stress in nonmycorrhizal plants did not reduce photosynthesis, and photosynthesis in mycorrhizal plants was inversely correlated with P stress. Root P availability influenced leaf photosynthesis largely by influencing leaf P concentration. We conclude that P availability affects bean growth primarily through effects on leaf appearance and biomass partitioning between photosynthetic and respiring organs, rather than through effects on leaf photosynthesis.","author":[{"dropping-particle":"","family":"Lynch","given":"Jonathan","non-dropping-particle":"","parse-names":false,"suffix":""},{"dropping-particle":"","family":"Läuchli","given":"André","non-dropping-particle":"","parse-names":false,"suffix":""},{"dropping-particle":"","family":"Epstein","given":"Emanuel","non-dropping-particle":"","parse-names":false,"suffix":""}],"container-title":"Crop Science","id":"ITEM-2","issue":"2","issued":{"date-parts":[["1991","3"]]},"page":"380-387","publisher":"Crop Science Society of America","title":"Vegetative growth of the common bean in response to phosphorus nutrition","type":"article-journal","volume":"31"},"uris":["http://www.mendeley.com/documents/?uuid=34f98a91-6069-3091-b837-8c2a31628228"]},{"id":"ITEM-3","itemData":{"DOI":"10.1111/j.1469-8137.2012.04190.x","ISSN":"0028-646X","abstract":"Limitation of grain crop productivity by phosphorus (P) is widespread and will probably increase in the future. Enhanced P efficiency can be achieved by improved uptake of phosphate from soil (P</w:instrText>
      </w:r>
      <w:r w:rsidR="006D279E">
        <w:rPr>
          <w:rFonts w:ascii="Cambria Math" w:hAnsi="Cambria Math" w:cs="Cambria Math"/>
          <w:szCs w:val="24"/>
        </w:rPr>
        <w:instrText>‐</w:instrText>
      </w:r>
      <w:r w:rsidR="006D279E">
        <w:rPr>
          <w:szCs w:val="24"/>
        </w:rPr>
        <w:instrText>acquisition efficiency) and by improved productivity per unit P taken up (P</w:instrText>
      </w:r>
      <w:r w:rsidR="006D279E">
        <w:rPr>
          <w:rFonts w:ascii="Cambria Math" w:hAnsi="Cambria Math" w:cs="Cambria Math"/>
          <w:szCs w:val="24"/>
        </w:rPr>
        <w:instrText>‐</w:instrText>
      </w:r>
      <w:r w:rsidR="006D279E">
        <w:rPr>
          <w:szCs w:val="24"/>
        </w:rPr>
        <w:instrText>use efficiency). This review focuses on improved P</w:instrText>
      </w:r>
      <w:r w:rsidR="006D279E">
        <w:rPr>
          <w:rFonts w:ascii="Cambria Math" w:hAnsi="Cambria Math" w:cs="Cambria Math"/>
          <w:szCs w:val="24"/>
        </w:rPr>
        <w:instrText>‐</w:instrText>
      </w:r>
      <w:r w:rsidR="006D279E">
        <w:rPr>
          <w:szCs w:val="24"/>
        </w:rPr>
        <w:instrText>use efficiency, which can be achieved by plants that have overall lower P concentrations, and by optimal distribution and redistribution of P in the plant allowing maximum growth and biomass allocation to harvestable plant parts. Significant decreases in plant P pools may be possible, for example, through reductions of superfluous ribosomal RNA and replacement of phospholipids by sulfolipids and galactolipids. Improvements in P distribution within the plant may be possible by increased remobilization from tissues that no longer need it (e.g. senescing leaves) and reduced partitioning of P to developing grains. Such changes would prolong and enhance the productive use of P in photosynthesis and have nutritional and environmental benefits. Research considering physiological, metabolic, molecular biological, genetic and phylogenetic aspects of P</w:instrText>
      </w:r>
      <w:r w:rsidR="006D279E">
        <w:rPr>
          <w:rFonts w:ascii="Cambria Math" w:hAnsi="Cambria Math" w:cs="Cambria Math"/>
          <w:szCs w:val="24"/>
        </w:rPr>
        <w:instrText>‐</w:instrText>
      </w:r>
      <w:r w:rsidR="006D279E">
        <w:rPr>
          <w:szCs w:val="24"/>
        </w:rPr>
        <w:instrText>use efficiency is urgently needed to allow significant progress to be made in our understanding of this complex trait.","author":[{"dropping-particle":"","family":"Veneklaas","given":"Erik J.","non-dropping-particle":"","parse-names":false,"suffix":""},{"dropping-particle":"","family":"Lambers","given":"Hans","non-dropping-particle":"","parse-names":false,"suffix":""},{"dropping-particle":"","family":"Bragg","given":"Jason","non-dropping-particle":"","parse-names":false,"suffix":""},{"dropping-particle":"","family":"Finnegan","given":"Patrick M.","non-dropping-particle":"","parse-names":false,"suffix":""},{"dropping-particle":"","family":"Lovelock","given":"Catherine E.","non-dropping-particle":"","parse-names":false,"suffix":""},{"dropping-particle":"","family":"Plaxton","given":"William C.","non-dropping-particle":"","parse-names":false,"suffix":""},{"dropping-particle":"","family":"Price","given":"Charles A.","non-dropping-particle":"","parse-names":false,"suffix":""},{"dropping-particle":"","family":"Scheible","given":"Wolf</w:instrText>
      </w:r>
      <w:r w:rsidR="006D279E">
        <w:rPr>
          <w:rFonts w:ascii="Cambria Math" w:hAnsi="Cambria Math" w:cs="Cambria Math"/>
          <w:szCs w:val="24"/>
        </w:rPr>
        <w:instrText>‐</w:instrText>
      </w:r>
      <w:r w:rsidR="006D279E">
        <w:rPr>
          <w:szCs w:val="24"/>
        </w:rPr>
        <w:instrText>Rüdiger","non-dropping-particle":"","parse-names":false,"suffix":""},{"dropping-particle":"","family":"Shane","given":"Michael W.","non-dropping-particle":"","parse-names":false,"suffix":""},{"dropping-particle":"","family":"White","given":"Philip J.","non-dropping-particle":"","parse-names":false,"suffix":""},{"dropping-particle":"","family":"Raven","given":"John A.","non-dropping-particle":"","parse-names":false,"suffix":""}],"container-title":"New Phytologist","id":"ITEM-3","issue":"2","issued":{"date-parts":[["2012","7","12"]]},"page":"306-320","title":"Opportunities for improving phosphorus</w:instrText>
      </w:r>
      <w:r w:rsidR="006D279E">
        <w:rPr>
          <w:rFonts w:ascii="Cambria Math" w:hAnsi="Cambria Math" w:cs="Cambria Math"/>
          <w:szCs w:val="24"/>
        </w:rPr>
        <w:instrText>‐</w:instrText>
      </w:r>
      <w:r w:rsidR="006D279E">
        <w:rPr>
          <w:szCs w:val="24"/>
        </w:rPr>
        <w:instrText>use efficiency in crop plants","type":"article-journal","volume":"195"},"uris":["http://www.mendeley.com/documents/?uuid=1513f778-b739-4f6b-ae1a-ddbc23f2f1fd"]}],"mendeley":{"formattedCitation":"(Sinclair and Horie, 1989; Lynch et al., 1991; Veneklaas et al., 2012)","plainTextFormattedCitation":"(Sinclair and Horie, 1989; Lynch et al., 1991; Veneklaas et al., 2012)","previouslyFormattedCitation":"(Sinclair and Horie, 1989; Lynch et al., 1991; Veneklaas et al., 2012)"},"properties":{"noteIndex":0},"schema":"https://github.com/citation-style-language/schema/raw/master/csl-citation.json"}</w:instrText>
      </w:r>
      <w:r>
        <w:rPr>
          <w:szCs w:val="24"/>
        </w:rPr>
        <w:fldChar w:fldCharType="separate"/>
      </w:r>
      <w:r w:rsidRPr="009D5DFB">
        <w:rPr>
          <w:noProof/>
          <w:szCs w:val="24"/>
        </w:rPr>
        <w:t>(Sinclair and Horie, 1989; Lynch et al., 1991; Veneklaas et al., 2012)</w:t>
      </w:r>
      <w:r>
        <w:rPr>
          <w:szCs w:val="24"/>
        </w:rPr>
        <w:fldChar w:fldCharType="end"/>
      </w:r>
      <w:r>
        <w:rPr>
          <w:szCs w:val="24"/>
        </w:rPr>
        <w:t xml:space="preserve">, hence this has led to suggestions that soil volume effects could be directly caused by the limitations in soil nutrients. However, it has long been established that nutrients are not the cause of soil volume effects, and this has been demonstrated in both substrate based and hydroponic studies </w:t>
      </w:r>
      <w:r w:rsidR="00E81BC4">
        <w:rPr>
          <w:szCs w:val="24"/>
        </w:rPr>
        <w:t>(</w:t>
      </w:r>
      <w:r>
        <w:rPr>
          <w:szCs w:val="24"/>
        </w:rPr>
        <w:t xml:space="preserve">reviewed in </w:t>
      </w:r>
      <w:r>
        <w:rPr>
          <w:szCs w:val="24"/>
        </w:rPr>
        <w:fldChar w:fldCharType="begin" w:fldLock="1"/>
      </w:r>
      <w:r>
        <w:rPr>
          <w:szCs w:val="24"/>
        </w:rPr>
        <w:instrText>ADDIN CSL_CITATION {"citationItems":[{"id":"ITEM-1","itemData":{"DOI":"10.1071/FP12049","abstract":"The majority of experiments in plant biology use plants grown in some kind of container or pot. We conducted a meta-analysis on 65 studies that analysed the effect of pot size on growth and underlying variables. On average, a doubling of the pot size increased biomass production by 43%. Further analysis of pot size effects on the underlying components of growth suggests that reduced growth in smaller pots is caused mainly by a reduction in photosynthesis per unit leaf area, rather than by changes in leaf morphology or biomass allocation. The appropriate pot size will logically depend on the size of the plants growing in them. Based on various lines of evidence we suggest that an appropriate pot size is one in which the plant biomass does not exceed 1 g L –1 . In current research practice ~65% of the experiments exceed that threshold. We suggest that researchers need to carefully consider the pot size in their experiments, as small pots may change experimental results and defy the purpose of the experiment.","author":[{"dropping-particle":"","family":"Poorter","given":"Hendrik","non-dropping-particle":"","parse-names":false,"suffix":""},{"dropping-particle":"","family":"Bühler","given":"Jonas","non-dropping-particle":"","parse-names":false,"suffix":""},{"dropping-particle":"","family":"Dusschoten","given":"Dagmar","non-dropping-particle":"Van","parse-names":false,"suffix":""},{"dropping-particle":"","family":"Climent","given":"José","non-dropping-particle":"","parse-names":false,"suffix":""},{"dropping-particle":"","family":"Postma","given":"Johannes A","non-dropping-particle":"","parse-names":false,"suffix":""}],"container-title":"Functional Plant Biology","id":"ITEM-1","issued":{"date-parts":[["2012"]]},"page":"839-850","title":"Pot size matters: a meta-analysis of the effects of rooting volume on plant growth","type":"article-journal"},"uris":["http://www.mendeley.com/documents/?uuid=50c0b953-7302-331c-920d-755a5444cc77"]},{"id":"ITEM-2","itemData":{"DOI":"10.1111/j.1365-2745.2006.01204.x","ISSN":"00220477","author":[{"dropping-particle":"","family":"Hess","given":"LINDE","non-dropping-particle":"","parse-names":false,"suffix":""},{"dropping-particle":"","family":"Kroon","given":"HANS","non-dropping-particle":"De","parse-names":false,"suffix":""}],"container-title":"Journal of Ecology","id":"ITEM-2","issue":"2","issued":{"date-parts":[["2007","3","1"]]},"page":"241-251","publisher":"Blackwell Publishing Ltd","title":"Effects of rooting volume and nutrient availability as an alternative explanation for root self/non-self discrimination","type":"article-journal","volume":"95"},"uris":["http://www.mendeley.com/documents/?uuid=5fc49568-90d0-3a0e-a766-6790f0134f1f"]}],"mendeley":{"formattedCitation":"(Hess and De Kroon, 2007; Poorter et al., 2012)","manualFormatting":"Hess and De Kroon (2007) and Poorter et al., (2012)","plainTextFormattedCitation":"(Hess and De Kroon, 2007; Poorter et al., 2012)","previouslyFormattedCitation":"(Hess and De Kroon, 2007; Poorter et al., 2012)"},"properties":{"noteIndex":0},"schema":"https://github.com/citation-style-language/schema/raw/master/csl-citation.json"}</w:instrText>
      </w:r>
      <w:r>
        <w:rPr>
          <w:szCs w:val="24"/>
        </w:rPr>
        <w:fldChar w:fldCharType="separate"/>
      </w:r>
      <w:r w:rsidRPr="00A04F5D">
        <w:rPr>
          <w:noProof/>
          <w:szCs w:val="24"/>
        </w:rPr>
        <w:t>Hess and De Kroon</w:t>
      </w:r>
      <w:r>
        <w:rPr>
          <w:noProof/>
          <w:szCs w:val="24"/>
        </w:rPr>
        <w:t xml:space="preserve"> (</w:t>
      </w:r>
      <w:r w:rsidRPr="00A04F5D">
        <w:rPr>
          <w:noProof/>
          <w:szCs w:val="24"/>
        </w:rPr>
        <w:t>2007</w:t>
      </w:r>
      <w:r>
        <w:rPr>
          <w:noProof/>
          <w:szCs w:val="24"/>
        </w:rPr>
        <w:t>) and</w:t>
      </w:r>
      <w:r w:rsidRPr="00A04F5D">
        <w:rPr>
          <w:noProof/>
          <w:szCs w:val="24"/>
        </w:rPr>
        <w:t xml:space="preserve"> Poorter et al., </w:t>
      </w:r>
      <w:r>
        <w:rPr>
          <w:noProof/>
          <w:szCs w:val="24"/>
        </w:rPr>
        <w:t>(</w:t>
      </w:r>
      <w:r w:rsidRPr="00A04F5D">
        <w:rPr>
          <w:noProof/>
          <w:szCs w:val="24"/>
        </w:rPr>
        <w:t>2012)</w:t>
      </w:r>
      <w:r>
        <w:rPr>
          <w:szCs w:val="24"/>
        </w:rPr>
        <w:fldChar w:fldCharType="end"/>
      </w:r>
      <w:r w:rsidR="00E81BC4">
        <w:rPr>
          <w:szCs w:val="24"/>
        </w:rPr>
        <w:t>)</w:t>
      </w:r>
    </w:p>
    <w:p w14:paraId="2EFCCC27" w14:textId="3EB25600" w:rsidR="00EC23E7" w:rsidRDefault="00EC23E7" w:rsidP="00EC23E7">
      <w:pPr>
        <w:spacing w:line="480" w:lineRule="auto"/>
        <w:rPr>
          <w:szCs w:val="24"/>
        </w:rPr>
      </w:pPr>
      <w:r>
        <w:rPr>
          <w:szCs w:val="24"/>
        </w:rPr>
        <w:lastRenderedPageBreak/>
        <w:t>Substrate based experiments</w:t>
      </w:r>
      <w:r w:rsidR="00E81BC4">
        <w:rPr>
          <w:szCs w:val="24"/>
        </w:rPr>
        <w:t>,</w:t>
      </w:r>
      <w:r>
        <w:rPr>
          <w:szCs w:val="24"/>
        </w:rPr>
        <w:t xml:space="preserve"> where nutrient availability has been carefully controlled in pots of different volumes</w:t>
      </w:r>
      <w:r w:rsidR="00E81BC4">
        <w:rPr>
          <w:szCs w:val="24"/>
        </w:rPr>
        <w:t>,</w:t>
      </w:r>
      <w:r>
        <w:rPr>
          <w:szCs w:val="24"/>
        </w:rPr>
        <w:t xml:space="preserve"> have highlighted that soil volume acts independently to nutrient availability</w:t>
      </w:r>
      <w:r w:rsidR="001F39C1">
        <w:rPr>
          <w:szCs w:val="24"/>
        </w:rPr>
        <w:t xml:space="preserve"> </w:t>
      </w:r>
      <w:r w:rsidR="001F39C1" w:rsidRPr="001D7456">
        <w:rPr>
          <w:szCs w:val="24"/>
        </w:rPr>
        <w:t>to affect plant growth</w:t>
      </w:r>
      <w:r>
        <w:rPr>
          <w:szCs w:val="24"/>
        </w:rPr>
        <w:t xml:space="preserve"> </w:t>
      </w:r>
      <w:r>
        <w:rPr>
          <w:szCs w:val="24"/>
        </w:rPr>
        <w:fldChar w:fldCharType="begin" w:fldLock="1"/>
      </w:r>
      <w:r w:rsidR="004227A2">
        <w:rPr>
          <w:szCs w:val="24"/>
        </w:rPr>
        <w:instrText>ADDIN CSL_CITATION {"citationItems":[{"id":"ITEM-1","itemData":{"DOI":"10.2307/1938905","ISSN":"00129658","author":[{"dropping-particle":"","family":"McConnaughay","given":"K. D. M.","non-dropping-particle":"","parse-names":false,"suffix":""},{"dropping-particle":"","family":"Bazzaz","given":"F. A.","non-dropping-particle":"","parse-names":false,"suffix":""}],"container-title":"Ecology","id":"ITEM-1","issue":"1","issued":{"date-parts":[["1991","2"]]},"page":"94-103","title":"Is physical space a soil resource?","type":"article-journal","volume":"72"},"uris":["http://www.mendeley.com/documents/?uuid=3705174b-49b0-3117-b8ac-17f0889cdbf3"]},{"id":"ITEM-2","itemData":{"DOI":"10.1078/1618-8667-00023","ISSN":"16188667","author":[{"dropping-particle":"","family":"Loh","given":"Felix C.W.","non-dropping-particle":"","parse-names":false,"suffix":""},{"dropping-particle":"","family":"Grabosky","given":"Jason C.","non-dropping-particle":"","parse-names":false,"suffix":""},{"dropping-particle":"","family":"Bassuk","given":"Nina L.","non-dropping-particle":"","parse-names":false,"suffix":""}],"container-title":"Urban Forestry &amp; Urban Greening","id":"ITEM-2","issue":"1","issued":{"date-parts":[["2003","1"]]},"page":"53-62","title":"Growth response of Ficus benjamina to limited soil volume and soil dilution in a skeletal soil container study","type":"article-journal","volume":"2"},"uris":["http://www.mendeley.com/documents/?uuid=806bf9d7-dd71-4cce-989b-36759e6b9d50"]},{"id":"ITEM-3","itemData":{"DOI":"10.2307/42754082","abstract":"Restriction of root growth by growing bean plants (Phaseolus vulgaris L.) in very small pots led to the development of dwarf plants. The leaves of those plants were smaller and their internodes shorter than those of control plants which were grown in larger pots and had developed a more extensive root system. A large quantity of starch — much more than in control plants — accumulated in the leaves and shoots of the dwarf plants. Increasing the amount of minerals which was supplied to the roots, enhanced leaf growth of the control plants but failed to affect the dwarf ones, in spite of the fact that in both cases the treatment increased the content of N, P and K in all the plant organs. The leaf water content was similar in both treatments, but the leaf water potential was higher in the dwarf plants. Exogenous application of gibberellic acid (GA</w:instrText>
      </w:r>
      <w:r w:rsidR="004227A2">
        <w:rPr>
          <w:rFonts w:ascii="Cambria Math" w:hAnsi="Cambria Math" w:cs="Cambria Math"/>
          <w:szCs w:val="24"/>
        </w:rPr>
        <w:instrText>₃</w:instrText>
      </w:r>
      <w:r w:rsidR="004227A2">
        <w:rPr>
          <w:szCs w:val="24"/>
        </w:rPr>
        <w:instrText>) to the dwarf plants overcame the reduction of stem growth completely, and that of the leaves partially. Application of the cytokinin, benzyladenine (BA) did not affect stem growth, but increased that of the primary leaves. A combined supply of GA</w:instrText>
      </w:r>
      <w:r w:rsidR="004227A2">
        <w:rPr>
          <w:rFonts w:ascii="Cambria Math" w:hAnsi="Cambria Math" w:cs="Cambria Math"/>
          <w:szCs w:val="24"/>
        </w:rPr>
        <w:instrText>₃</w:instrText>
      </w:r>
      <w:r w:rsidR="004227A2">
        <w:rPr>
          <w:szCs w:val="24"/>
        </w:rPr>
        <w:instrText>+BA restored completely the growth of the stem and the primary leaves, and partially that of the trifoliate leaves. It is concluded that a limited root system restricts shoot growth through an hormonal system in which at least gibberellins and cytokinins are involved, and that the dwarfing is not a consequence of mineral or assimilate deficiency, or due to water stress.","author":[{"dropping-particle":"","family":"Carmi","given":"A.","non-dropping-particle":"","parse-names":false,"suffix":""},{"dropping-particle":"","family":"Heuer","given":"B.","non-dropping-particle":"","parse-names":false,"suffix":""}],"container-title":"Annals of Botany","id":"ITEM-3","issued":{"date-parts":[["1981"]]},"page":"519-527","publisher":"Oxford University Press","title":"The role of roots in control of bean shoot growth","type":"article","volume":"48"},"uris":["http://www.mendeley.com/documents/?uuid=2707b4c2-917f-32da-8e11-391fea80c336"]},{"id":"ITEM-4","itemData":{"DOI":"10.1104/pp.87.2.409","ISSN":"0032-0889","author":[{"dropping-particle":"","family":"Robbins","given":"N. Suzanne","non-dropping-particle":"","parse-names":false,"suffix":""},{"dropping-particle":"","family":"Pharr","given":"David M.","non-dropping-particle":"","parse-names":false,"suffix":""}],"container-title":"Plant Physiology","id":"ITEM-4","issue":"2","issued":{"date-parts":[["1988","6","1"]]},"page":"409-413","title":"Effect of restricted root growth on carbohydrate metabolism and whole plant growth of Cucumis sativus L.","type":"article-journal","volume":"87"},"uris":["http://www.mendeley.com/documents/?uuid=ea83579b-c888-4d99-a26e-b36aa12127d5"]},{"id":"ITEM-5","itemData":{"DOI":"10.1111/j.1365-2745.2006.01204.x","ISSN":"00220477","author":[{"dropping-particle":"","family":"Hess","given":"LINDE","non-dropping-particle":"","parse-names":false,"suffix":""},{"dropping-particle":"","family":"Kroon","given":"HANS","non-dropping-particle":"De","parse-names":false,"suffix":""}],"container-title":"Journal of Ecology","id":"ITEM-5","issue":"2","issued":{"date-parts":[["2007","3","1"]]},"page":"241-251","publisher":"Blackwell Publishing Ltd","title":"Effects of rooting volume and nutrient availability as an alternative explanation for root self/non-self discrimination","type":"article-journal","volume":"95"},"uris":["http://www.mendeley.com/documents/?uuid=5fc49568-90d0-3a0e-a766-6790f0134f1f"]}],"mendeley":{"formattedCitation":"(Carmi and Heuer, 1981; Robbins and Pharr, 1988; McConnaughay and Bazzaz, 1991; Loh et al., 2003; Hess and De Kroon, 2007)","plainTextFormattedCitation":"(Carmi and Heuer, 1981; Robbins and Pharr, 1988; McConnaughay and Bazzaz, 1991; Loh et al., 2003; Hess and De Kroon, 2007)","previouslyFormattedCitation":"(Carmi and Heuer, 1981; Robbins and Pharr, 1988; McConnaughay and Bazzaz, 1991; Loh et al., 2003; Hess and De Kroon, 2007)"},"properties":{"noteIndex":0},"schema":"https://github.com/citation-style-language/schema/raw/master/csl-citation.json"}</w:instrText>
      </w:r>
      <w:r>
        <w:rPr>
          <w:szCs w:val="24"/>
        </w:rPr>
        <w:fldChar w:fldCharType="separate"/>
      </w:r>
      <w:r w:rsidRPr="002B5494">
        <w:rPr>
          <w:noProof/>
          <w:szCs w:val="24"/>
        </w:rPr>
        <w:t>(Carmi and Heuer, 1981; Robbins and Pharr, 1988; McConnaughay and Bazzaz, 1991; Loh et al., 2003; Hess and De Kroon, 2007)</w:t>
      </w:r>
      <w:r>
        <w:rPr>
          <w:szCs w:val="24"/>
        </w:rPr>
        <w:fldChar w:fldCharType="end"/>
      </w:r>
      <w:r>
        <w:rPr>
          <w:szCs w:val="24"/>
        </w:rPr>
        <w:t>. One such example comes from the growth of several annual species in multiple volumes containing sterilised sand with varying fertiliser regimes</w:t>
      </w:r>
      <w:r w:rsidR="00E81BC4">
        <w:rPr>
          <w:szCs w:val="24"/>
        </w:rPr>
        <w:t xml:space="preserve"> </w:t>
      </w:r>
      <w:r w:rsidR="00E81BC4">
        <w:rPr>
          <w:szCs w:val="24"/>
        </w:rPr>
        <w:fldChar w:fldCharType="begin" w:fldLock="1"/>
      </w:r>
      <w:r w:rsidR="00D54561">
        <w:rPr>
          <w:szCs w:val="24"/>
        </w:rPr>
        <w:instrText>ADDIN CSL_CITATION {"citationItems":[{"id":"ITEM-1","itemData":{"DOI":"10.2307/1938905","ISSN":"00129658","author":[{"dropping-particle":"","family":"McConnaughay","given":"K. D. M.","non-dropping-particle":"","parse-names":false,"suffix":""},{"dropping-particle":"","family":"Bazzaz","given":"F. A.","non-dropping-particle":"","parse-names":false,"suffix":""}],"container-title":"Ecology","id":"ITEM-1","issue":"1","issued":{"date-parts":[["1991","2"]]},"page":"94-103","title":"Is physical space a soil resource?","type":"article-journal","volume":"72"},"uris":["http://www.mendeley.com/documents/?uuid=3705174b-49b0-3117-b8ac-17f0889cdbf3"]}],"mendeley":{"formattedCitation":"(McConnaughay and Bazzaz, 1991)","plainTextFormattedCitation":"(McConnaughay and Bazzaz, 1991)","previouslyFormattedCitation":"(McConnaughay and Bazzaz, 1991)"},"properties":{"noteIndex":0},"schema":"https://github.com/citation-style-language/schema/raw/master/csl-citation.json"}</w:instrText>
      </w:r>
      <w:r w:rsidR="00E81BC4">
        <w:rPr>
          <w:szCs w:val="24"/>
        </w:rPr>
        <w:fldChar w:fldCharType="separate"/>
      </w:r>
      <w:r w:rsidR="00E81BC4" w:rsidRPr="00E81BC4">
        <w:rPr>
          <w:noProof/>
          <w:szCs w:val="24"/>
        </w:rPr>
        <w:t>(McConnaughay and Bazzaz, 1991)</w:t>
      </w:r>
      <w:r w:rsidR="00E81BC4">
        <w:rPr>
          <w:szCs w:val="24"/>
        </w:rPr>
        <w:fldChar w:fldCharType="end"/>
      </w:r>
      <w:r>
        <w:rPr>
          <w:szCs w:val="24"/>
        </w:rPr>
        <w:t xml:space="preserve">. They found that shoot and root biomass was greatest when </w:t>
      </w:r>
      <w:r w:rsidR="00EF748B">
        <w:rPr>
          <w:szCs w:val="24"/>
        </w:rPr>
        <w:t xml:space="preserve">plants were </w:t>
      </w:r>
      <w:r>
        <w:rPr>
          <w:szCs w:val="24"/>
        </w:rPr>
        <w:t xml:space="preserve">grown in the largest </w:t>
      </w:r>
      <w:r w:rsidR="00EF748B">
        <w:rPr>
          <w:szCs w:val="24"/>
        </w:rPr>
        <w:t xml:space="preserve">substrate </w:t>
      </w:r>
      <w:r>
        <w:rPr>
          <w:szCs w:val="24"/>
        </w:rPr>
        <w:t xml:space="preserve">volume irrespective of the nutrient regime, however the sensitivity to soil volume varied between the species and this was reflected in differing allocation preferences in the above and belowground tissues </w:t>
      </w:r>
      <w:r>
        <w:rPr>
          <w:szCs w:val="24"/>
        </w:rPr>
        <w:fldChar w:fldCharType="begin" w:fldLock="1"/>
      </w:r>
      <w:r w:rsidR="00D54561">
        <w:rPr>
          <w:szCs w:val="24"/>
        </w:rPr>
        <w:instrText>ADDIN CSL_CITATION {"citationItems":[{"id":"ITEM-1","itemData":{"DOI":"10.2307/1938905","ISSN":"00129658","author":[{"dropping-particle":"","family":"McConnaughay","given":"K. D. M.","non-dropping-particle":"","parse-names":false,"suffix":""},{"dropping-particle":"","family":"Bazzaz","given":"F. A.","non-dropping-particle":"","parse-names":false,"suffix":""}],"container-title":"Ecology","id":"ITEM-1","issue":"1","issued":{"date-parts":[["1991","2"]]},"page":"94-103","title":"Is physical space a soil resource?","type":"article-journal","volume":"72"},"uris":["http://www.mendeley.com/documents/?uuid=3705174b-49b0-3117-b8ac-17f0889cdbf3"]}],"mendeley":{"formattedCitation":"(McConnaughay and Bazzaz, 1991)","plainTextFormattedCitation":"(McConnaughay and Bazzaz, 1991)","previouslyFormattedCitation":"(McConnaughay and Bazzaz, 1991)"},"properties":{"noteIndex":0},"schema":"https://github.com/citation-style-language/schema/raw/master/csl-citation.json"}</w:instrText>
      </w:r>
      <w:r>
        <w:rPr>
          <w:szCs w:val="24"/>
        </w:rPr>
        <w:fldChar w:fldCharType="separate"/>
      </w:r>
      <w:r w:rsidRPr="00455249">
        <w:rPr>
          <w:noProof/>
          <w:szCs w:val="24"/>
        </w:rPr>
        <w:t>(McConnaughay and Bazzaz, 1991)</w:t>
      </w:r>
      <w:r>
        <w:rPr>
          <w:szCs w:val="24"/>
        </w:rPr>
        <w:fldChar w:fldCharType="end"/>
      </w:r>
      <w:r>
        <w:rPr>
          <w:szCs w:val="24"/>
        </w:rPr>
        <w:t xml:space="preserve">. </w:t>
      </w:r>
    </w:p>
    <w:p w14:paraId="3330AF4A" w14:textId="11A83BFC" w:rsidR="00EC23E7" w:rsidRDefault="00EC23E7" w:rsidP="00EC23E7">
      <w:pPr>
        <w:spacing w:line="480" w:lineRule="auto"/>
        <w:rPr>
          <w:szCs w:val="24"/>
        </w:rPr>
      </w:pPr>
      <w:r>
        <w:rPr>
          <w:szCs w:val="24"/>
        </w:rPr>
        <w:t xml:space="preserve">Hydroponics provides an environment where nutrients and indeed water availability can be carefully controlled and the physical space in which the roots can explore can be </w:t>
      </w:r>
      <w:r w:rsidR="00EF748B">
        <w:rPr>
          <w:szCs w:val="24"/>
        </w:rPr>
        <w:t>manipulated</w:t>
      </w:r>
      <w:r>
        <w:rPr>
          <w:szCs w:val="24"/>
        </w:rPr>
        <w:t>. A particular example of this comes from tomato, where plants were grown in 2 nitrate concentrations (1.0 and 9.0mmol L</w:t>
      </w:r>
      <w:r w:rsidRPr="00FE2DC9">
        <w:rPr>
          <w:szCs w:val="24"/>
          <w:vertAlign w:val="superscript"/>
        </w:rPr>
        <w:t>-1</w:t>
      </w:r>
      <w:r>
        <w:rPr>
          <w:szCs w:val="24"/>
        </w:rPr>
        <w:t>) and the root systems were either placed inside root impermeable mesh bags</w:t>
      </w:r>
      <w:r w:rsidR="00C916F6">
        <w:rPr>
          <w:szCs w:val="24"/>
        </w:rPr>
        <w:t>,</w:t>
      </w:r>
      <w:r>
        <w:rPr>
          <w:szCs w:val="24"/>
        </w:rPr>
        <w:t xml:space="preserve"> which could still exchange water and nutrients (400ml and 1000ml mesh bag volume)</w:t>
      </w:r>
      <w:r w:rsidR="00C916F6">
        <w:rPr>
          <w:szCs w:val="24"/>
        </w:rPr>
        <w:t>,</w:t>
      </w:r>
      <w:r>
        <w:rPr>
          <w:szCs w:val="24"/>
        </w:rPr>
        <w:t xml:space="preserve"> or the root systems were able to freely explore the external container </w:t>
      </w:r>
      <w:r>
        <w:rPr>
          <w:szCs w:val="24"/>
        </w:rPr>
        <w:fldChar w:fldCharType="begin" w:fldLock="1"/>
      </w:r>
      <w:r>
        <w:rPr>
          <w:szCs w:val="24"/>
        </w:rPr>
        <w:instrText>ADDIN CSL_CITATION {"citationItems":[{"id":"ITEM-1","itemData":{"DOI":"10.1016/0304-4238(95)00793-S","ISBN":"0304-4238","ISSN":"03044238","abstract":"A previous study found that root pruning reduced tomato plant growth and that increasing the solution nitrate concentration failed to compensate for the pruned roots. The objective of the present investigation was to study the combined effects of nitrate concentration and root restriction on dry matter production, nutrient uptake and transpiration by tomato plants. Root restriction reduced the total dry matter production and the total N and K uptake by tomato (Lycopersicon esculentum cv. 'F 121') grown in a greenhouse in an aero-hydroponic system. However, the flux of N uptake by the roots was higher in the plants with restricted roots. Root restriction did not affect the N concentration but did decrease the K concentration in part of the plant organs. Increasing the solution nitrate concentration from 1.0 to 9.0 mmol 1-1 significantly increased the nitrate uptake by plants with either restricted or intact roots. The transpiration rate was reduced by root restriction, but the flux of water uptake per root unit volume, the water consumption per unit dry matter production and the transpiration rate per leaf unit area were increased by root restriction. These results were in good agreement with those obtained with pruned roots. It was concluded that the reduction in dry matter production following root restriction was not caused by either N deficiency or water stress. © 1995.","author":[{"dropping-particle":"","family":"Bar-Tal","given":"A.","non-dropping-particle":"","parse-names":false,"suffix":""},{"dropping-particle":"","family":"Feigin","given":"A.","non-dropping-particle":"","parse-names":false,"suffix":""},{"dropping-particle":"","family":"Sheinfeld","given":"S.","non-dropping-particle":"","parse-names":false,"suffix":""},{"dropping-particle":"","family":"Rosenberg","given":"R.","non-dropping-particle":"","parse-names":false,"suffix":""},{"dropping-particle":"","family":"Sternbaum","given":"B.","non-dropping-particle":"","parse-names":false,"suffix":""},{"dropping-particle":"","family":"Rylski","given":"I.","non-dropping-particle":"","parse-names":false,"suffix":""},{"dropping-particle":"","family":"Pressman","given":"E.","non-dropping-particle":"","parse-names":false,"suffix":""}],"container-title":"Scientia Horticulturae","id":"ITEM-1","issue":"3-4","issued":{"date-parts":[["1995"]]},"page":"195-208","title":"Root restriction and N-NO3 solution concentration effects on nutrient uptake, transpiration and dry matter production of tomato","type":"article-journal","volume":"63"},"uris":["http://www.mendeley.com/documents/?uuid=3f5fc1c8-c4f1-4550-b087-6d1af90ec420"]}],"mendeley":{"formattedCitation":"(Bar-Tal et al., 1995)","plainTextFormattedCitation":"(Bar-Tal et al., 1995)","previouslyFormattedCitation":"(Bar-Tal et al., 1995)"},"properties":{"noteIndex":0},"schema":"https://github.com/citation-style-language/schema/raw/master/csl-citation.json"}</w:instrText>
      </w:r>
      <w:r>
        <w:rPr>
          <w:szCs w:val="24"/>
        </w:rPr>
        <w:fldChar w:fldCharType="separate"/>
      </w:r>
      <w:r w:rsidRPr="00722DD4">
        <w:rPr>
          <w:noProof/>
          <w:szCs w:val="24"/>
        </w:rPr>
        <w:t>(Bar-Tal et al., 1995)</w:t>
      </w:r>
      <w:r>
        <w:rPr>
          <w:szCs w:val="24"/>
        </w:rPr>
        <w:fldChar w:fldCharType="end"/>
      </w:r>
      <w:r>
        <w:rPr>
          <w:szCs w:val="24"/>
        </w:rPr>
        <w:t>. The free roots and mesh bag treatments were grown within the same volume of external container, ensuring that nutrient availability and the physically accessible substrate volume (free roots or via the bags) could be carefully controlled. Nutrient availability had minimal effect on the root biomass between the nutrient treatments, instead root biomass was most strongly influenced by the amount of physical space their root systems experienced by the mesh bags</w:t>
      </w:r>
      <w:r w:rsidR="00C916F6">
        <w:rPr>
          <w:szCs w:val="24"/>
        </w:rPr>
        <w:t xml:space="preserve"> </w:t>
      </w:r>
      <w:r w:rsidR="00C916F6">
        <w:rPr>
          <w:szCs w:val="24"/>
        </w:rPr>
        <w:fldChar w:fldCharType="begin" w:fldLock="1"/>
      </w:r>
      <w:r w:rsidR="00B8460D">
        <w:rPr>
          <w:szCs w:val="24"/>
        </w:rPr>
        <w:instrText>ADDIN CSL_CITATION {"citationItems":[{"id":"ITEM-1","itemData":{"DOI":"10.1016/0304-4238(95)00793-S","ISBN":"0304-4238","ISSN":"03044238","abstract":"A previous study found that root pruning reduced tomato plant growth and that increasing the solution nitrate concentration failed to compensate for the pruned roots. The objective of the present investigation was to study the combined effects of nitrate concentration and root restriction on dry matter production, nutrient uptake and transpiration by tomato plants. Root restriction reduced the total dry matter production and the total N and K uptake by tomato (Lycopersicon esculentum cv. 'F 121') grown in a greenhouse in an aero-hydroponic system. However, the flux of N uptake by the roots was higher in the plants with restricted roots. Root restriction did not affect the N concentration but did decrease the K concentration in part of the plant organs. Increasing the solution nitrate concentration from 1.0 to 9.0 mmol 1-1 significantly increased the nitrate uptake by plants with either restricted or intact roots. The transpiration rate was reduced by root restriction, but the flux of water uptake per root unit volume, the water consumption per unit dry matter production and the transpiration rate per leaf unit area were increased by root restriction. These results were in good agreement with those obtained with pruned roots. It was concluded that the reduction in dry matter production following root restriction was not caused by either N deficiency or water stress. © 1995.","author":[{"dropping-particle":"","family":"Bar-Tal","given":"A.","non-dropping-particle":"","parse-names":false,"suffix":""},{"dropping-particle":"","family":"Feigin","given":"A.","non-dropping-particle":"","parse-names":false,"suffix":""},{"dropping-particle":"","family":"Sheinfeld","given":"S.","non-dropping-particle":"","parse-names":false,"suffix":""},{"dropping-particle":"","family":"Rosenberg","given":"R.","non-dropping-particle":"","parse-names":false,"suffix":""},{"dropping-particle":"","family":"Sternbaum","given":"B.","non-dropping-particle":"","parse-names":false,"suffix":""},{"dropping-particle":"","family":"Rylski","given":"I.","non-dropping-particle":"","parse-names":false,"suffix":""},{"dropping-particle":"","family":"Pressman","given":"E.","non-dropping-particle":"","parse-names":false,"suffix":""}],"container-title":"Scientia Horticulturae","id":"ITEM-1","issue":"3-4","issued":{"date-parts":[["1995"]]},"page":"195-208","title":"Root restriction and N-NO3 solution concentration effects on nutrient uptake, transpiration and dry matter production of tomato","type":"article-journal","volume":"63"},"uris":["http://www.mendeley.com/documents/?uuid=3f5fc1c8-c4f1-4550-b087-6d1af90ec420"]}],"mendeley":{"formattedCitation":"(Bar-Tal et al., 1995)","plainTextFormattedCitation":"(Bar-Tal et al., 1995)","previouslyFormattedCitation":"(Bar-Tal et al., 1995)"},"properties":{"noteIndex":0},"schema":"https://github.com/citation-style-language/schema/raw/master/csl-citation.json"}</w:instrText>
      </w:r>
      <w:r w:rsidR="00C916F6">
        <w:rPr>
          <w:szCs w:val="24"/>
        </w:rPr>
        <w:fldChar w:fldCharType="separate"/>
      </w:r>
      <w:r w:rsidR="00C916F6" w:rsidRPr="00C916F6">
        <w:rPr>
          <w:noProof/>
          <w:szCs w:val="24"/>
        </w:rPr>
        <w:t>(Bar-Tal et al., 1995)</w:t>
      </w:r>
      <w:r w:rsidR="00C916F6">
        <w:rPr>
          <w:szCs w:val="24"/>
        </w:rPr>
        <w:fldChar w:fldCharType="end"/>
      </w:r>
      <w:r>
        <w:rPr>
          <w:szCs w:val="24"/>
        </w:rPr>
        <w:t>. Th</w:t>
      </w:r>
      <w:r w:rsidR="00C916F6">
        <w:rPr>
          <w:szCs w:val="24"/>
        </w:rPr>
        <w:t>ese results</w:t>
      </w:r>
      <w:r>
        <w:rPr>
          <w:szCs w:val="24"/>
        </w:rPr>
        <w:t xml:space="preserve"> </w:t>
      </w:r>
      <w:r>
        <w:rPr>
          <w:szCs w:val="24"/>
        </w:rPr>
        <w:lastRenderedPageBreak/>
        <w:t>therefore suggested that the physical space available for root exploration, rather than any influence of nutrients or water availability, resulted in substrate volume responses.</w:t>
      </w:r>
      <w:r w:rsidR="00C916F6">
        <w:rPr>
          <w:szCs w:val="24"/>
        </w:rPr>
        <w:t xml:space="preserve"> The results of other hydroponic studies have supported the findings of reduced root biomass in line with reduced physical volume for root exploration </w:t>
      </w:r>
      <w:r w:rsidR="00C916F6">
        <w:rPr>
          <w:szCs w:val="24"/>
        </w:rPr>
        <w:fldChar w:fldCharType="begin" w:fldLock="1"/>
      </w:r>
      <w:r w:rsidR="00C916F6">
        <w:rPr>
          <w:szCs w:val="24"/>
        </w:rPr>
        <w:instrText>ADDIN CSL_CITATION {"citationItems":[{"id":"ITEM-1","itemData":{"DOI":"10.1093/oxfordjournals.aob.a087367","ISSN":"1095-8290","author":[{"dropping-particle":"","family":"Hameed","given":"M. A.","non-dropping-particle":"","parse-names":false,"suffix":""},{"dropping-particle":"","family":"Reid","given":"J. B.","non-dropping-particle":"","parse-names":false,"suffix":""},{"dropping-particle":"","family":"Rowe","given":"R. N.","non-dropping-particle":"","parse-names":false,"suffix":""}],"container-title":"Annals of Botany","id":"ITEM-1","issue":"6","issued":{"date-parts":[["1987","6","1"]]},"page":"685-692","publisher":"Oxford University Press","title":"Root Confinement and its Effects on the Water Relations, Growth and Assimilate Partitioning of Tomato (Lycopersicon esculentum Mill)","type":"article-journal","volume":"59"},"uris":["http://www.mendeley.com/documents/?uuid=1dc68031-d02d-3f76-9160-a5df2f968994"]},{"id":"ITEM-2","itemData":{"DOI":"10.1007/BF02185478","ISSN":"0032-079X","author":[{"dropping-particle":"","family":"Ternesi","given":"M.","non-dropping-particle":"","parse-names":false,"suffix":""},{"dropping-particle":"","family":"Andrade","given":"A. P.","non-dropping-particle":"","parse-names":false,"suffix":""},{"dropping-particle":"","family":"Jorrin","given":"J.","non-dropping-particle":"","parse-names":false,"suffix":""},{"dropping-particle":"","family":"Benlloch","given":"M.","non-dropping-particle":"","parse-names":false,"suffix":""}],"container-title":"Plant and Soil","id":"ITEM-2","issue":"1","issued":{"date-parts":[["1994","3"]]},"page":"31-36","publisher":"Kluwer Academic Publishers","title":"Root-shoot signalling in sunflower plants with confined root systems","type":"article-journal","volume":"166"},"uris":["http://www.mendeley.com/documents/?uuid=8dac5fa4-26bc-371a-8d71-b2aa35337c55"]},{"id":"ITEM-3","itemData":{"DOI":"10.1034/j.1399-3054.1999.105307.x","ISSN":"0031-9317","author":[{"dropping-particle":"","family":"Kharkina","given":"T. G.","non-dropping-particle":"","parse-names":false,"suffix":""},{"dropping-particle":"","family":"Ottosen","given":"C.-O.","non-dropping-particle":"","parse-names":false,"suffix":""},{"dropping-particle":"","family":"Rosenqvist","given":"E.","non-dropping-particle":"","parse-names":false,"suffix":""}],"container-title":"Physiologia Plantarum","id":"ITEM-3","issue":"3","issued":{"date-parts":[["1999","3"]]},"page":"434-441","title":"Effects of root restriction on the growth and physiology of cucumber plants","type":"article-journal","volume":"105"},"uris":["http://www.mendeley.com/documents/?uuid=8f63d6af-9a8a-3113-8e63-6beba9709d17"]}],"mendeley":{"formattedCitation":"(Hameed et al., 1987; Ternesi et al., 1994; Kharkina et al., 1999)","plainTextFormattedCitation":"(Hameed et al., 1987; Ternesi et al., 1994; Kharkina et al., 1999)","previouslyFormattedCitation":"(Hameed et al., 1987; Ternesi et al., 1994; Kharkina et al., 1999)"},"properties":{"noteIndex":0},"schema":"https://github.com/citation-style-language/schema/raw/master/csl-citation.json"}</w:instrText>
      </w:r>
      <w:r w:rsidR="00C916F6">
        <w:rPr>
          <w:szCs w:val="24"/>
        </w:rPr>
        <w:fldChar w:fldCharType="separate"/>
      </w:r>
      <w:r w:rsidR="00C916F6" w:rsidRPr="00A2026C">
        <w:rPr>
          <w:noProof/>
          <w:szCs w:val="24"/>
        </w:rPr>
        <w:t>(Hameed et al., 1987; Ternesi et al., 1994; Kharkina et al., 1999)</w:t>
      </w:r>
      <w:r w:rsidR="00C916F6">
        <w:rPr>
          <w:szCs w:val="24"/>
        </w:rPr>
        <w:fldChar w:fldCharType="end"/>
      </w:r>
      <w:r w:rsidR="00C916F6">
        <w:rPr>
          <w:szCs w:val="24"/>
        </w:rPr>
        <w:t>.</w:t>
      </w:r>
    </w:p>
    <w:p w14:paraId="6DC1696B" w14:textId="755A8E98" w:rsidR="00EC23E7" w:rsidRDefault="00EC23E7" w:rsidP="00EC23E7">
      <w:pPr>
        <w:spacing w:line="480" w:lineRule="auto"/>
        <w:rPr>
          <w:szCs w:val="24"/>
        </w:rPr>
      </w:pPr>
      <w:r>
        <w:rPr>
          <w:szCs w:val="24"/>
        </w:rPr>
        <w:t xml:space="preserve">Other support that nutrient availability is not the cause of soil volume responses comes from measurements of leaf nitrogen </w:t>
      </w:r>
      <w:r w:rsidR="007D301B">
        <w:rPr>
          <w:szCs w:val="24"/>
        </w:rPr>
        <w:t>levels</w:t>
      </w:r>
      <w:r>
        <w:rPr>
          <w:szCs w:val="24"/>
        </w:rPr>
        <w:t xml:space="preserve"> between plants grown in different soil volumes (assessed in a meta-analysis of many studies) </w:t>
      </w:r>
      <w:r>
        <w:rPr>
          <w:szCs w:val="24"/>
        </w:rPr>
        <w:fldChar w:fldCharType="begin" w:fldLock="1"/>
      </w:r>
      <w:r>
        <w:rPr>
          <w:szCs w:val="24"/>
        </w:rPr>
        <w:instrText>ADDIN CSL_CITATION {"citationItems":[{"id":"ITEM-1","itemData":{"DOI":"10.1071/FP12049","abstract":"The majority of experiments in plant biology use plants grown in some kind of container or pot. We conducted a meta-analysis on 65 studies that analysed the effect of pot size on growth and underlying variables. On average, a doubling of the pot size increased biomass production by 43%. Further analysis of pot size effects on the underlying components of growth suggests that reduced growth in smaller pots is caused mainly by a reduction in photosynthesis per unit leaf area, rather than by changes in leaf morphology or biomass allocation. The appropriate pot size will logically depend on the size of the plants growing in them. Based on various lines of evidence we suggest that an appropriate pot size is one in which the plant biomass does not exceed 1 g L –1 . In current research practice ~65% of the experiments exceed that threshold. We suggest that researchers need to carefully consider the pot size in their experiments, as small pots may change experimental results and defy the purpose of the experiment.","author":[{"dropping-particle":"","family":"Poorter","given":"Hendrik","non-dropping-particle":"","parse-names":false,"suffix":""},{"dropping-particle":"","family":"Bühler","given":"Jonas","non-dropping-particle":"","parse-names":false,"suffix":""},{"dropping-particle":"","family":"Dusschoten","given":"Dagmar","non-dropping-particle":"Van","parse-names":false,"suffix":""},{"dropping-particle":"","family":"Climent","given":"José","non-dropping-particle":"","parse-names":false,"suffix":""},{"dropping-particle":"","family":"Postma","given":"Johannes A","non-dropping-particle":"","parse-names":false,"suffix":""}],"container-title":"Functional Plant Biology","id":"ITEM-1","issued":{"date-parts":[["2012"]]},"page":"839-850","title":"Pot size matters: a meta-analysis of the effects of rooting volume on plant growth","type":"article-journal"},"uris":["http://www.mendeley.com/documents/?uuid=50c0b953-7302-331c-920d-755a5444cc77"]}],"mendeley":{"formattedCitation":"(Poorter et al., 2012)","plainTextFormattedCitation":"(Poorter et al., 2012)","previouslyFormattedCitation":"(Poorter et al., 2012)"},"properties":{"noteIndex":0},"schema":"https://github.com/citation-style-language/schema/raw/master/csl-citation.json"}</w:instrText>
      </w:r>
      <w:r>
        <w:rPr>
          <w:szCs w:val="24"/>
        </w:rPr>
        <w:fldChar w:fldCharType="separate"/>
      </w:r>
      <w:r w:rsidRPr="006535E3">
        <w:rPr>
          <w:noProof/>
          <w:szCs w:val="24"/>
        </w:rPr>
        <w:t>(Poorter et al., 2012)</w:t>
      </w:r>
      <w:r>
        <w:rPr>
          <w:szCs w:val="24"/>
        </w:rPr>
        <w:fldChar w:fldCharType="end"/>
      </w:r>
      <w:r>
        <w:rPr>
          <w:szCs w:val="24"/>
        </w:rPr>
        <w:t>. As soil volume increased, the</w:t>
      </w:r>
      <w:r w:rsidR="004A141F">
        <w:rPr>
          <w:szCs w:val="24"/>
        </w:rPr>
        <w:t xml:space="preserve"> authors</w:t>
      </w:r>
      <w:r>
        <w:rPr>
          <w:szCs w:val="24"/>
        </w:rPr>
        <w:t xml:space="preserve"> found a minimal increase (albeit not significant) in nitrogen</w:t>
      </w:r>
      <w:r w:rsidR="007D301B">
        <w:rPr>
          <w:szCs w:val="24"/>
        </w:rPr>
        <w:t xml:space="preserve"> levels</w:t>
      </w:r>
      <w:r>
        <w:rPr>
          <w:szCs w:val="24"/>
        </w:rPr>
        <w:t xml:space="preserve"> in leaf tissues</w:t>
      </w:r>
      <w:r w:rsidR="007F52A9">
        <w:rPr>
          <w:szCs w:val="24"/>
        </w:rPr>
        <w:t>, subsequently suggesting that levels of leaf based nitrogen are unaltered by soil volume</w:t>
      </w:r>
      <w:r w:rsidR="007D301B">
        <w:rPr>
          <w:szCs w:val="24"/>
        </w:rPr>
        <w:t xml:space="preserve"> availability</w:t>
      </w:r>
      <w:r>
        <w:rPr>
          <w:szCs w:val="24"/>
        </w:rPr>
        <w:t>. In addition, a study on soybean which investigated phosphorous levels in the leaves</w:t>
      </w:r>
      <w:r w:rsidR="00744CE1">
        <w:rPr>
          <w:szCs w:val="24"/>
        </w:rPr>
        <w:t xml:space="preserve"> of plants grown in different soil volumes</w:t>
      </w:r>
      <w:r>
        <w:rPr>
          <w:szCs w:val="24"/>
        </w:rPr>
        <w:t xml:space="preserve"> found a similar trend </w:t>
      </w:r>
      <w:r>
        <w:rPr>
          <w:szCs w:val="24"/>
        </w:rPr>
        <w:fldChar w:fldCharType="begin" w:fldLock="1"/>
      </w:r>
      <w:r>
        <w:rPr>
          <w:szCs w:val="24"/>
        </w:rPr>
        <w:instrText>ADDIN CSL_CITATION {"citationItems":[{"id":"ITEM-1","itemData":{"DOI":"10.1093/jxb/36.1.25","author":[{"dropping-particle":"","family":"Krizek","given":"Donald T.","non-dropping-particle":"","parse-names":false,"suffix":""},{"dropping-particle":"","family":"Carmi","given":"Avner","non-dropping-particle":"","parse-names":false,"suffix":""},{"dropping-particle":"","family":"Mirecki","given":"Roman M.","non-dropping-particle":"","parse-names":false,"suffix":""},{"dropping-particle":"","family":"Snyder","given":"Freeman W.","non-dropping-particle":"","parse-names":false,"suffix":""},{"dropping-particle":"","family":"Bunce","given":"James A.","non-dropping-particle":"","parse-names":false,"suffix":""}],"container-title":"Journal of Experimental Botany","id":"ITEM-1","issue":"1","issued":{"date-parts":[["1985","1","1"]]},"page":"25-38","publisher":"Oxford University Press","title":"Comparative effects of soil moisture stress and restricted root zone volume on morphogenetic and physiological responses of Soybean [Glycine max (L.) Merr.]","type":"article-journal","volume":"36"},"uris":["http://www.mendeley.com/documents/?uuid=6f06fe74-0574-3cbb-b44a-effe29f43014"]}],"mendeley":{"formattedCitation":"(Krizek et al., 1985)","plainTextFormattedCitation":"(Krizek et al., 1985)","previouslyFormattedCitation":"(Krizek et al., 1985)"},"properties":{"noteIndex":0},"schema":"https://github.com/citation-style-language/schema/raw/master/csl-citation.json"}</w:instrText>
      </w:r>
      <w:r>
        <w:rPr>
          <w:szCs w:val="24"/>
        </w:rPr>
        <w:fldChar w:fldCharType="separate"/>
      </w:r>
      <w:r w:rsidRPr="003D130B">
        <w:rPr>
          <w:noProof/>
          <w:szCs w:val="24"/>
        </w:rPr>
        <w:t>(Krizek et al., 1985)</w:t>
      </w:r>
      <w:r>
        <w:rPr>
          <w:szCs w:val="24"/>
        </w:rPr>
        <w:fldChar w:fldCharType="end"/>
      </w:r>
      <w:r w:rsidR="00744CE1">
        <w:rPr>
          <w:szCs w:val="24"/>
        </w:rPr>
        <w:t>, to that of nitrogen</w:t>
      </w:r>
      <w:r>
        <w:rPr>
          <w:szCs w:val="24"/>
        </w:rPr>
        <w:t xml:space="preserve">. </w:t>
      </w:r>
    </w:p>
    <w:p w14:paraId="2FF62F46" w14:textId="75CA29E5" w:rsidR="00EC23E7" w:rsidRDefault="00EC23E7" w:rsidP="00EC23E7">
      <w:pPr>
        <w:spacing w:line="480" w:lineRule="auto"/>
        <w:rPr>
          <w:szCs w:val="24"/>
        </w:rPr>
      </w:pPr>
      <w:r>
        <w:rPr>
          <w:szCs w:val="24"/>
        </w:rPr>
        <w:t>Together</w:t>
      </w:r>
      <w:r w:rsidR="004E1C4C">
        <w:rPr>
          <w:szCs w:val="24"/>
        </w:rPr>
        <w:t xml:space="preserve"> </w:t>
      </w:r>
      <w:r w:rsidR="004E1C4C" w:rsidRPr="001D7456">
        <w:rPr>
          <w:szCs w:val="24"/>
        </w:rPr>
        <w:t>however</w:t>
      </w:r>
      <w:r>
        <w:rPr>
          <w:szCs w:val="24"/>
        </w:rPr>
        <w:t xml:space="preserve">, the nutrient and water availability in small soil volumes, whether that be in substrate based or hydroponic set ups, cannot be the only explanation for the phenotypic differences seen in both plant size and photosynthesis between soil volumes </w:t>
      </w:r>
      <w:r>
        <w:rPr>
          <w:szCs w:val="24"/>
        </w:rPr>
        <w:fldChar w:fldCharType="begin" w:fldLock="1"/>
      </w:r>
      <w:r>
        <w:rPr>
          <w:szCs w:val="24"/>
        </w:rPr>
        <w:instrText>ADDIN CSL_CITATION {"citationItems":[{"id":"ITEM-1","itemData":{"DOI":"10.1071/FP12049","abstract":"The majority of experiments in plant biology use plants grown in some kind of container or pot. We conducted a meta-analysis on 65 studies that analysed the effect of pot size on growth and underlying variables. On average, a doubling of the pot size increased biomass production by 43%. Further analysis of pot size effects on the underlying components of growth suggests that reduced growth in smaller pots is caused mainly by a reduction in photosynthesis per unit leaf area, rather than by changes in leaf morphology or biomass allocation. The appropriate pot size will logically depend on the size of the plants growing in them. Based on various lines of evidence we suggest that an appropriate pot size is one in which the plant biomass does not exceed 1 g L –1 . In current research practice ~65% of the experiments exceed that threshold. We suggest that researchers need to carefully consider the pot size in their experiments, as small pots may change experimental results and defy the purpose of the experiment.","author":[{"dropping-particle":"","family":"Poorter","given":"Hendrik","non-dropping-particle":"","parse-names":false,"suffix":""},{"dropping-particle":"","family":"Bühler","given":"Jonas","non-dropping-particle":"","parse-names":false,"suffix":""},{"dropping-particle":"","family":"Dusschoten","given":"Dagmar","non-dropping-particle":"Van","parse-names":false,"suffix":""},{"dropping-particle":"","family":"Climent","given":"José","non-dropping-particle":"","parse-names":false,"suffix":""},{"dropping-particle":"","family":"Postma","given":"Johannes A","non-dropping-particle":"","parse-names":false,"suffix":""}],"container-title":"Functional Plant Biology","id":"ITEM-1","issued":{"date-parts":[["2012"]]},"page":"839-850","title":"Pot size matters: a meta-analysis of the effects of rooting volume on plant growth","type":"article-journal"},"uris":["http://www.mendeley.com/documents/?uuid=50c0b953-7302-331c-920d-755a5444cc77"]},{"id":"ITEM-2","itemData":{"DOI":"10.1111/j.1365-2745.2006.01204.x","ISSN":"00220477","author":[{"dropping-particle":"","family":"Hess","given":"LINDE","non-dropping-particle":"","parse-names":false,"suffix":""},{"dropping-particle":"","family":"Kroon","given":"HANS","non-dropping-particle":"De","parse-names":false,"suffix":""}],"container-title":"Journal of Ecology","id":"ITEM-2","issue":"2","issued":{"date-parts":[["2007","3","1"]]},"page":"241-251","publisher":"Blackwell Publishing Ltd","title":"Effects of rooting volume and nutrient availability as an alternative explanation for root self/non-self discrimination","type":"article-journal","volume":"95"},"uris":["http://www.mendeley.com/documents/?uuid=5fc49568-90d0-3a0e-a766-6790f0134f1f"]}],"mendeley":{"formattedCitation":"(Hess and De Kroon, 2007; Poorter et al., 2012)","plainTextFormattedCitation":"(Hess and De Kroon, 2007; Poorter et al., 2012)","previouslyFormattedCitation":"(Hess and De Kroon, 2007; Poorter et al., 2012)"},"properties":{"noteIndex":0},"schema":"https://github.com/citation-style-language/schema/raw/master/csl-citation.json"}</w:instrText>
      </w:r>
      <w:r>
        <w:rPr>
          <w:szCs w:val="24"/>
        </w:rPr>
        <w:fldChar w:fldCharType="separate"/>
      </w:r>
      <w:r w:rsidRPr="005449F0">
        <w:rPr>
          <w:noProof/>
          <w:szCs w:val="24"/>
        </w:rPr>
        <w:t>(Hess and De Kroon, 2007; Poorter et al., 2012)</w:t>
      </w:r>
      <w:r>
        <w:rPr>
          <w:szCs w:val="24"/>
        </w:rPr>
        <w:fldChar w:fldCharType="end"/>
      </w:r>
      <w:r>
        <w:rPr>
          <w:szCs w:val="24"/>
        </w:rPr>
        <w:t xml:space="preserve">. </w:t>
      </w:r>
    </w:p>
    <w:p w14:paraId="57206F38" w14:textId="77777777" w:rsidR="00D452E0" w:rsidRDefault="00D452E0" w:rsidP="00EC23E7">
      <w:pPr>
        <w:spacing w:line="480" w:lineRule="auto"/>
        <w:rPr>
          <w:szCs w:val="24"/>
        </w:rPr>
      </w:pPr>
    </w:p>
    <w:p w14:paraId="146848BD" w14:textId="77777777" w:rsidR="00285D3C" w:rsidRDefault="00285D3C" w:rsidP="00EC23E7">
      <w:pPr>
        <w:spacing w:line="480" w:lineRule="auto"/>
        <w:rPr>
          <w:szCs w:val="24"/>
        </w:rPr>
      </w:pPr>
    </w:p>
    <w:p w14:paraId="54611C94" w14:textId="77777777" w:rsidR="00285D3C" w:rsidRDefault="00285D3C" w:rsidP="00EC23E7">
      <w:pPr>
        <w:spacing w:line="480" w:lineRule="auto"/>
        <w:rPr>
          <w:szCs w:val="24"/>
        </w:rPr>
      </w:pPr>
    </w:p>
    <w:p w14:paraId="342F3094" w14:textId="262D9A05" w:rsidR="00EC23E7" w:rsidRDefault="00836C2F" w:rsidP="00743E4C">
      <w:pPr>
        <w:pStyle w:val="Heading3"/>
      </w:pPr>
      <w:bookmarkStart w:id="11" w:name="_Toc154331424"/>
      <w:r w:rsidRPr="00836C2F">
        <w:lastRenderedPageBreak/>
        <w:t>Soil volume responses could involve root impedance and root exuded chemicals</w:t>
      </w:r>
      <w:bookmarkEnd w:id="11"/>
    </w:p>
    <w:p w14:paraId="78E3130A" w14:textId="77777777" w:rsidR="00836C2F" w:rsidRPr="00836C2F" w:rsidRDefault="00836C2F" w:rsidP="00836C2F"/>
    <w:p w14:paraId="2C033BFA" w14:textId="14E932DB" w:rsidR="00EC23E7" w:rsidRDefault="00EC23E7" w:rsidP="00EC23E7">
      <w:pPr>
        <w:spacing w:line="480" w:lineRule="auto"/>
        <w:rPr>
          <w:szCs w:val="24"/>
        </w:rPr>
      </w:pPr>
      <w:r>
        <w:rPr>
          <w:szCs w:val="24"/>
        </w:rPr>
        <w:t xml:space="preserve">As plants grown in small soil volumes would have less space for their root systems to explore, </w:t>
      </w:r>
      <w:r w:rsidR="00744CE1">
        <w:rPr>
          <w:szCs w:val="24"/>
        </w:rPr>
        <w:t>it is possible that</w:t>
      </w:r>
      <w:r>
        <w:rPr>
          <w:szCs w:val="24"/>
        </w:rPr>
        <w:t xml:space="preserve"> the pot itself could be impeding root growth leading to the shoot growth consequences observed. Additionally, the hydroponic experiment discussed earlier suggested that the physical space for root exploration impacted plant growth more than the availability of nutrients </w:t>
      </w:r>
      <w:r>
        <w:rPr>
          <w:szCs w:val="24"/>
        </w:rPr>
        <w:fldChar w:fldCharType="begin" w:fldLock="1"/>
      </w:r>
      <w:r>
        <w:rPr>
          <w:szCs w:val="24"/>
        </w:rPr>
        <w:instrText>ADDIN CSL_CITATION {"citationItems":[{"id":"ITEM-1","itemData":{"DOI":"10.1016/0304-4238(95)00793-S","ISBN":"0304-4238","ISSN":"03044238","abstract":"A previous study found that root pruning reduced tomato plant growth and that increasing the solution nitrate concentration failed to compensate for the pruned roots. The objective of the present investigation was to study the combined effects of nitrate concentration and root restriction on dry matter production, nutrient uptake and transpiration by tomato plants. Root restriction reduced the total dry matter production and the total N and K uptake by tomato (Lycopersicon esculentum cv. 'F 121') grown in a greenhouse in an aero-hydroponic system. However, the flux of N uptake by the roots was higher in the plants with restricted roots. Root restriction did not affect the N concentration but did decrease the K concentration in part of the plant organs. Increasing the solution nitrate concentration from 1.0 to 9.0 mmol 1-1 significantly increased the nitrate uptake by plants with either restricted or intact roots. The transpiration rate was reduced by root restriction, but the flux of water uptake per root unit volume, the water consumption per unit dry matter production and the transpiration rate per leaf unit area were increased by root restriction. These results were in good agreement with those obtained with pruned roots. It was concluded that the reduction in dry matter production following root restriction was not caused by either N deficiency or water stress. © 1995.","author":[{"dropping-particle":"","family":"Bar-Tal","given":"A.","non-dropping-particle":"","parse-names":false,"suffix":""},{"dropping-particle":"","family":"Feigin","given":"A.","non-dropping-particle":"","parse-names":false,"suffix":""},{"dropping-particle":"","family":"Sheinfeld","given":"S.","non-dropping-particle":"","parse-names":false,"suffix":""},{"dropping-particle":"","family":"Rosenberg","given":"R.","non-dropping-particle":"","parse-names":false,"suffix":""},{"dropping-particle":"","family":"Sternbaum","given":"B.","non-dropping-particle":"","parse-names":false,"suffix":""},{"dropping-particle":"","family":"Rylski","given":"I.","non-dropping-particle":"","parse-names":false,"suffix":""},{"dropping-particle":"","family":"Pressman","given":"E.","non-dropping-particle":"","parse-names":false,"suffix":""}],"container-title":"Scientia Horticulturae","id":"ITEM-1","issue":"3-4","issued":{"date-parts":[["1995"]]},"page":"195-208","title":"Root restriction and N-NO3 solution concentration effects on nutrient uptake, transpiration and dry matter production of tomato","type":"article-journal","volume":"63"},"uris":["http://www.mendeley.com/documents/?uuid=3f5fc1c8-c4f1-4550-b087-6d1af90ec420"]}],"mendeley":{"formattedCitation":"(Bar-Tal et al., 1995)","plainTextFormattedCitation":"(Bar-Tal et al., 1995)","previouslyFormattedCitation":"(Bar-Tal et al., 1995)"},"properties":{"noteIndex":0},"schema":"https://github.com/citation-style-language/schema/raw/master/csl-citation.json"}</w:instrText>
      </w:r>
      <w:r>
        <w:rPr>
          <w:szCs w:val="24"/>
        </w:rPr>
        <w:fldChar w:fldCharType="separate"/>
      </w:r>
      <w:r w:rsidRPr="007A5494">
        <w:rPr>
          <w:noProof/>
          <w:szCs w:val="24"/>
        </w:rPr>
        <w:t>(Bar-Tal et al., 1995)</w:t>
      </w:r>
      <w:r>
        <w:rPr>
          <w:szCs w:val="24"/>
        </w:rPr>
        <w:fldChar w:fldCharType="end"/>
      </w:r>
      <w:r>
        <w:rPr>
          <w:szCs w:val="24"/>
        </w:rPr>
        <w:t xml:space="preserve">. </w:t>
      </w:r>
    </w:p>
    <w:p w14:paraId="1320ABE2" w14:textId="270B138D" w:rsidR="00EC23E7" w:rsidRDefault="00EC23E7" w:rsidP="00EC23E7">
      <w:pPr>
        <w:spacing w:line="480" w:lineRule="auto"/>
        <w:rPr>
          <w:szCs w:val="24"/>
        </w:rPr>
      </w:pPr>
      <w:r>
        <w:rPr>
          <w:szCs w:val="24"/>
        </w:rPr>
        <w:t xml:space="preserve">Plants do not grow in pots in the wild therefore in some respects a pot could be perceived as an obstacle which a plant attempts to circumvent. Plant root avoidance to obstacles has been long since known </w:t>
      </w:r>
      <w:r>
        <w:rPr>
          <w:szCs w:val="24"/>
        </w:rPr>
        <w:fldChar w:fldCharType="begin" w:fldLock="1"/>
      </w:r>
      <w:r>
        <w:rPr>
          <w:szCs w:val="24"/>
        </w:rPr>
        <w:instrText>ADDIN CSL_CITATION {"citationItems":[{"id":"ITEM-1","itemData":{"author":[{"dropping-particle":"","family":"Darwin","given":"Charles","non-dropping-particle":"","parse-names":false,"suffix":""},{"dropping-particle":"","family":"Darwin","given":"Francis","non-dropping-particle":"","parse-names":false,"suffix":""}],"id":"ITEM-1","issued":{"date-parts":[["1896","7","20"]]},"publisher":"D. Appleton","publisher-place":"New York, USA","title":"The Power of Movement in Plants","type":"book"},"uris":["http://www.mendeley.com/documents/?uuid=36633719-f0dd-4afb-8a23-a62aa765700b"]}],"mendeley":{"formattedCitation":"(Darwin and Darwin, 1896)","plainTextFormattedCitation":"(Darwin and Darwin, 1896)","previouslyFormattedCitation":"(Darwin and Darwin, 1896)"},"properties":{"noteIndex":0},"schema":"https://github.com/citation-style-language/schema/raw/master/csl-citation.json"}</w:instrText>
      </w:r>
      <w:r>
        <w:rPr>
          <w:szCs w:val="24"/>
        </w:rPr>
        <w:fldChar w:fldCharType="separate"/>
      </w:r>
      <w:r w:rsidRPr="006739A7">
        <w:rPr>
          <w:noProof/>
          <w:szCs w:val="24"/>
        </w:rPr>
        <w:t>(Darwin and Darwin, 1896)</w:t>
      </w:r>
      <w:r>
        <w:rPr>
          <w:szCs w:val="24"/>
        </w:rPr>
        <w:fldChar w:fldCharType="end"/>
      </w:r>
      <w:r>
        <w:rPr>
          <w:szCs w:val="24"/>
        </w:rPr>
        <w:t xml:space="preserve"> and studies have suggested this is caused by root exuded inhibitory substances that build up near an obstacle </w:t>
      </w:r>
      <w:r>
        <w:rPr>
          <w:szCs w:val="24"/>
        </w:rPr>
        <w:fldChar w:fldCharType="begin" w:fldLock="1"/>
      </w:r>
      <w:r>
        <w:rPr>
          <w:szCs w:val="24"/>
        </w:rPr>
        <w:instrText>ADDIN CSL_CITATION {"citationItems":[{"id":"ITEM-1","itemData":{"author":[{"dropping-particle":"","family":"Sachs","given":"T","non-dropping-particle":"","parse-names":false,"suffix":""}],"container-title":"Biology of Root Formation and Development","id":"ITEM-1","issued":{"date-parts":[["1997"]]},"page":"341–346","publisher-place":"Plenum, New York, USA","title":"Mosses as petri dish models for underground foraging","type":"chapter"},"uris":["http://www.mendeley.com/documents/?uuid=85cb16dd-d43a-4a11-9e72-bc86a31cab90"]},{"id":"ITEM-2","itemData":{"author":[{"dropping-particle":"","family":"Bopp","given":"M","non-dropping-particle":"","parse-names":false,"suffix":""},{"dropping-particle":"","family":"Klein","given":"B","non-dropping-particle":"","parse-names":false,"suffix":""}],"container-title":"Portugalia Acta Biologica","id":"ITEM-2","issued":{"date-parts":[["1963"]]},"page":"95","title":"Vercuch zur analyse protonemaentwicklung der laubmoose. I. Endogene wahestumregulatoren im protonema von Funaria hygrometrica","type":"article-journal","volume":"A-7"},"uris":["http://www.mendeley.com/documents/?uuid=5126ae76-5d5a-416c-bc13-259738bdf06c"]},{"id":"ITEM-3","itemData":{"DOI":"10.1111/j.1365-3040.2005.01304.x","ISSN":"0140-7791","author":[{"dropping-particle":"","family":"Falik","given":"OMER","non-dropping-particle":"","parse-names":false,"suffix":""},{"dropping-particle":"","family":"Reides","given":"PERLA","non-dropping-particle":"","parse-names":false,"suffix":""},{"dropping-particle":"","family":"Gersani","given":"MORDECHAI","non-dropping-particle":"","parse-names":false,"suffix":""},{"dropping-particle":"","family":"Novoplansky","given":"ARIEL","non-dropping-particle":"","parse-names":false,"suffix":""}],"container-title":"Plant, Cell and Environment","id":"ITEM-3","issue":"4","issued":{"date-parts":[["2005","4"]]},"page":"562-569","title":"Root navigation by self inhibition","type":"article-journal","volume":"28"},"uris":["http://www.mendeley.com/documents/?uuid=043d6547-05a1-318a-9d09-471ab03850e3"]}],"mendeley":{"formattedCitation":"(Bopp and Klein, 1963; Sachs, 1997; Falik et al., 2005)","plainTextFormattedCitation":"(Bopp and Klein, 1963; Sachs, 1997; Falik et al., 2005)","previouslyFormattedCitation":"(Bopp and Klein, 1963; Sachs, 1997; Falik et al., 2005)"},"properties":{"noteIndex":0},"schema":"https://github.com/citation-style-language/schema/raw/master/csl-citation.json"}</w:instrText>
      </w:r>
      <w:r>
        <w:rPr>
          <w:szCs w:val="24"/>
        </w:rPr>
        <w:fldChar w:fldCharType="separate"/>
      </w:r>
      <w:r w:rsidRPr="00940160">
        <w:rPr>
          <w:noProof/>
          <w:szCs w:val="24"/>
        </w:rPr>
        <w:t>(Bopp and Klein, 1963; Sachs, 1997; Falik et al., 2005)</w:t>
      </w:r>
      <w:r>
        <w:rPr>
          <w:szCs w:val="24"/>
        </w:rPr>
        <w:fldChar w:fldCharType="end"/>
      </w:r>
      <w:r>
        <w:rPr>
          <w:szCs w:val="24"/>
        </w:rPr>
        <w:t xml:space="preserve">. Potassium permanganate and activated carbon have been used to eliminate organic compounds from soil environments </w:t>
      </w:r>
      <w:r>
        <w:rPr>
          <w:szCs w:val="24"/>
        </w:rPr>
        <w:fldChar w:fldCharType="begin" w:fldLock="1"/>
      </w:r>
      <w:r w:rsidR="00EE5DAD">
        <w:rPr>
          <w:szCs w:val="24"/>
        </w:rPr>
        <w:instrText>ADDIN CSL_CITATION {"citationItems":[{"id":"ITEM-1","itemData":{"DOI":"10.1061/(ASCE)0733-9372(2001)127:4(337)","ISSN":"0733-9372","author":[{"dropping-particle":"","family":"Gates-Anderson","given":"Dianne D.","non-dropping-particle":"","parse-names":false,"suffix":""},{"dropping-particle":"","family":"Siegrist","given":"Robert L.","non-dropping-particle":"","parse-names":false,"suffix":""},{"dropping-particle":"","family":"Cline","given":"Steven R.","non-dropping-particle":"","parse-names":false,"suffix":""}],"container-title":"Journal of Environmental Engineering","id":"ITEM-1","issue":"4","issued":{"date-parts":[["2001","4"]]},"page":"337-347","title":"Comparison of potassium permanganate and hydrogen peroxide as chemical oxidants for organically contaminated soils","type":"article-journal","volume":"127"},"uris":["http://www.mendeley.com/documents/?uuid=930ece06-9d3d-4373-86db-c843b6e05a30"]},{"id":"ITEM-2","itemData":{"DOI":"10.1081/SCC-120016369","abstract":"Abstract The oxidation of organic compounds under ion exchange resin (IER) catalysis by KMnO4 has been studied in CH2Cl2 under reflux conditions. Secondary aliphatic and aromatic alcohols are converted to ketones, alkyl arenes and sulfides oxidized to corresponding ketones and sulfones, respectively, and thiols undergo oxidative coupling reactions to give disulfides. The experimental procedure is simple and products are easily isolated in good yields.","author":[{"dropping-particle":"","family":"Shaabani","given":"Ahmad","non-dropping-particle":"","parse-names":false,"suffix":""},{"dropping-particle":"","family":"Teimouri","given":"Fatemeh","non-dropping-particle":"","parse-names":false,"suffix":""},{"dropping-particle":"","family":"Lee","given":"Donald G.","non-dropping-particle":"","parse-names":false,"suffix":""}],"container-title":"Synthetic Communications","id":"ITEM-2","issue":"6","issued":{"date-parts":[["2003","1","4"]]},"page":"1057-1065","publisher":"Taylor &amp; Francis Group","title":"Ion exchange catalysis in oxidation of organic compounds with KMnO4","type":"article-journal","volume":"33"},"uris":["http://www.mendeley.com/documents/?uuid=06cedafe-3a10-38c9-9438-16aee5f5f813"]},{"id":"ITEM-3","itemData":{"DOI":"10.2307/1941462","ISSN":"00129658","author":[{"dropping-particle":"","family":"Mahall","given":"B. E.","non-dropping-particle":"","parse-names":false,"suffix":""},{"dropping-particle":"","family":"Callaway","given":"R. M.","non-dropping-particle":"","parse-names":false,"suffix":""}],"container-title":"Ecology","id":"ITEM-3","issue":"6","issued":{"date-parts":[["1992","12"]]},"page":"2145-2151","title":"Root communication mechanisms and intracommunity distributions of two Mojave Desert shrubs","type":"article-journal","volume":"73"},"uris":["http://www.mendeley.com/documents/?uuid=a4c48308-7b51-3148-9dd8-5036e5cdf59e"]}],"mendeley":{"formattedCitation":"(Mahall and Callaway, 1992; Gates-Anderson et al., 2001; Shaabani et al., 2003)","plainTextFormattedCitation":"(Mahall and Callaway, 1992; Gates-Anderson et al., 2001; Shaabani et al., 2003)","previouslyFormattedCitation":"(Mahall and Callaway, 1992; Gates-Anderson et al., 2001; Shaabani et al., 2003)"},"properties":{"noteIndex":0},"schema":"https://github.com/citation-style-language/schema/raw/master/csl-citation.json"}</w:instrText>
      </w:r>
      <w:r>
        <w:rPr>
          <w:szCs w:val="24"/>
        </w:rPr>
        <w:fldChar w:fldCharType="separate"/>
      </w:r>
      <w:r w:rsidRPr="0012366E">
        <w:rPr>
          <w:noProof/>
          <w:szCs w:val="24"/>
        </w:rPr>
        <w:t>(Mahall and Callaway, 1992; Gates-Anderson et al., 2001; Shaabani et al., 2003)</w:t>
      </w:r>
      <w:r>
        <w:rPr>
          <w:szCs w:val="24"/>
        </w:rPr>
        <w:fldChar w:fldCharType="end"/>
      </w:r>
      <w:r>
        <w:rPr>
          <w:szCs w:val="24"/>
        </w:rPr>
        <w:t xml:space="preserve">, and the application of these in experimental settings has resulted in increased root growth of </w:t>
      </w:r>
      <w:r w:rsidRPr="00E143E2">
        <w:rPr>
          <w:i/>
          <w:iCs/>
          <w:szCs w:val="24"/>
        </w:rPr>
        <w:t>Pisum sativum</w:t>
      </w:r>
      <w:r>
        <w:rPr>
          <w:szCs w:val="24"/>
        </w:rPr>
        <w:t xml:space="preserve"> towards, rather than in avoidance, to obstacles </w:t>
      </w:r>
      <w:r>
        <w:rPr>
          <w:szCs w:val="24"/>
        </w:rPr>
        <w:fldChar w:fldCharType="begin" w:fldLock="1"/>
      </w:r>
      <w:r>
        <w:rPr>
          <w:szCs w:val="24"/>
        </w:rPr>
        <w:instrText>ADDIN CSL_CITATION {"citationItems":[{"id":"ITEM-1","itemData":{"DOI":"10.1111/j.1365-3040.2005.01304.x","ISSN":"0140-7791","author":[{"dropping-particle":"","family":"Falik","given":"OMER","non-dropping-particle":"","parse-names":false,"suffix":""},{"dropping-particle":"","family":"Reides","given":"PERLA","non-dropping-particle":"","parse-names":false,"suffix":""},{"dropping-particle":"","family":"Gersani","given":"MORDECHAI","non-dropping-particle":"","parse-names":false,"suffix":""},{"dropping-particle":"","family":"Novoplansky","given":"ARIEL","non-dropping-particle":"","parse-names":false,"suffix":""}],"container-title":"Plant, Cell and Environment","id":"ITEM-1","issue":"4","issued":{"date-parts":[["2005","4"]]},"page":"562-569","title":"Root navigation by self inhibition","type":"article-journal","volume":"28"},"uris":["http://www.mendeley.com/documents/?uuid=043d6547-05a1-318a-9d09-471ab03850e3"]}],"mendeley":{"formattedCitation":"(Falik et al., 2005)","plainTextFormattedCitation":"(Falik et al., 2005)","previouslyFormattedCitation":"(Falik et al., 2005)"},"properties":{"noteIndex":0},"schema":"https://github.com/citation-style-language/schema/raw/master/csl-citation.json"}</w:instrText>
      </w:r>
      <w:r>
        <w:rPr>
          <w:szCs w:val="24"/>
        </w:rPr>
        <w:fldChar w:fldCharType="separate"/>
      </w:r>
      <w:r w:rsidRPr="00D11DDC">
        <w:rPr>
          <w:noProof/>
          <w:szCs w:val="24"/>
        </w:rPr>
        <w:t>(Falik et al., 2005)</w:t>
      </w:r>
      <w:r>
        <w:rPr>
          <w:szCs w:val="24"/>
        </w:rPr>
        <w:fldChar w:fldCharType="end"/>
      </w:r>
      <w:r>
        <w:rPr>
          <w:szCs w:val="24"/>
        </w:rPr>
        <w:t xml:space="preserve">. </w:t>
      </w:r>
      <w:r w:rsidR="00B8460D">
        <w:rPr>
          <w:szCs w:val="24"/>
        </w:rPr>
        <w:t xml:space="preserve">A similar root inhibitory exudate was also suggested by </w:t>
      </w:r>
      <w:r w:rsidR="00B8460D">
        <w:rPr>
          <w:szCs w:val="24"/>
        </w:rPr>
        <w:fldChar w:fldCharType="begin" w:fldLock="1"/>
      </w:r>
      <w:r w:rsidR="00FE5252">
        <w:rPr>
          <w:szCs w:val="24"/>
        </w:rPr>
        <w:instrText>ADDIN CSL_CITATION {"citationItems":[{"id":"ITEM-1","itemData":{"DOI":"10.1111/j.1365-2745.2007.01210.x","ISSN":"00220477","author":[{"dropping-particle":"","family":"Semchenko","given":"Marina","non-dropping-particle":"","parse-names":false,"suffix":""},{"dropping-particle":"","family":"Hutchings","given":"Michael J.","non-dropping-particle":"","parse-names":false,"suffix":""},{"dropping-particle":"","family":"John","given":"Elizabeth A.","non-dropping-particle":"","parse-names":false,"suffix":""}],"container-title":"Journal of Ecology","id":"ITEM-1","issue":"2","issued":{"date-parts":[["2007","3","1"]]},"page":"252-260","publisher":"John Wiley &amp; Sons, Ltd (10.1111)","title":"Challenging the tragedy of the commons in root competition: confounding effects of neighbour presence and substrate volume","type":"article-journal","volume":"95"},"uris":["http://www.mendeley.com/documents/?uuid=1946910d-5607-3724-afcf-b4a59cdcaea6"]}],"mendeley":{"formattedCitation":"(Semchenko et al., 2007)","manualFormatting":"Semchenko et al., (2007)","plainTextFormattedCitation":"(Semchenko et al., 2007)","previouslyFormattedCitation":"(Semchenko et al., 2007)"},"properties":{"noteIndex":0},"schema":"https://github.com/citation-style-language/schema/raw/master/csl-citation.json"}</w:instrText>
      </w:r>
      <w:r w:rsidR="00B8460D">
        <w:rPr>
          <w:szCs w:val="24"/>
        </w:rPr>
        <w:fldChar w:fldCharType="separate"/>
      </w:r>
      <w:r w:rsidR="00B8460D" w:rsidRPr="00B8460D">
        <w:rPr>
          <w:noProof/>
          <w:szCs w:val="24"/>
        </w:rPr>
        <w:t xml:space="preserve">Semchenko et al., </w:t>
      </w:r>
      <w:r w:rsidR="00B8460D">
        <w:rPr>
          <w:noProof/>
          <w:szCs w:val="24"/>
        </w:rPr>
        <w:t>(</w:t>
      </w:r>
      <w:r w:rsidR="00B8460D" w:rsidRPr="00B8460D">
        <w:rPr>
          <w:noProof/>
          <w:szCs w:val="24"/>
        </w:rPr>
        <w:t>2007)</w:t>
      </w:r>
      <w:r w:rsidR="00B8460D">
        <w:rPr>
          <w:szCs w:val="24"/>
        </w:rPr>
        <w:fldChar w:fldCharType="end"/>
      </w:r>
      <w:r w:rsidR="00B8460D">
        <w:rPr>
          <w:szCs w:val="24"/>
        </w:rPr>
        <w:t>.</w:t>
      </w:r>
    </w:p>
    <w:p w14:paraId="676EAA35" w14:textId="6B4BA94B" w:rsidR="00EC23E7" w:rsidRDefault="00EC23E7" w:rsidP="00EC23E7">
      <w:pPr>
        <w:spacing w:line="480" w:lineRule="auto"/>
        <w:rPr>
          <w:szCs w:val="24"/>
        </w:rPr>
      </w:pPr>
      <w:r>
        <w:rPr>
          <w:szCs w:val="24"/>
        </w:rPr>
        <w:t xml:space="preserve">In addition, this displacement of root growth has also been seen in response to belowground areas that are physically difficult to penetrate such as compacted soil </w:t>
      </w:r>
      <w:r>
        <w:rPr>
          <w:szCs w:val="24"/>
        </w:rPr>
        <w:fldChar w:fldCharType="begin" w:fldLock="1"/>
      </w:r>
      <w:r w:rsidR="00746C33">
        <w:rPr>
          <w:szCs w:val="24"/>
        </w:rPr>
        <w:instrText>ADDIN CSL_CITATION {"citationItems":[{"id":"ITEM-1","itemData":{"DOI":"10.1080/02827589908540825","ISSN":"0282-7581","abstract":"Abstract Although soil compaction in the field may benefit or inhibit the growth of plants, the harmful effects are much more common. This paper emphasizes the deleterious effects of predominantly high levels of soil compaction on plant growth and yield. High levels of soil compaction are common in heavily used recreation areas, construction sites, urban areas, timber harvesting sites, fruit orchards, agroforestry systems and tree nurseries. Compaction can occur naturally by settling or slumping of soil or may be induced by tillage tools, heavy machinery, pedestrian traffic, trampling by animals and fire. Compaction typically alters soil structure and hydrology by increasing soil bulk density; breaking down soil aggregates; decreasing soil porosity, aeration and infiltration capacity; and by increasing soil strength, water runoff and soil erosion. Appreciable compaction of soil leads to physiological dysfunctions in plants. Often, but not always, reduced water absorption and leaf water deficits develop. S...","author":[{"dropping-particle":"","family":"Kozlowski","given":"T.T.","non-dropping-particle":"","parse-names":false,"suffix":""}],"container-title":"Scandinavian Journal of Forest Research","id":"ITEM-1","issue":"6","issued":{"date-parts":[["1999","12","14"]]},"page":"596-619","publisher":"Taylor &amp; Francis Group","title":"Soil compaction and growth of woody plants","type":"article-journal","volume":"14"},"uris":["http://www.mendeley.com/documents/?uuid=344be883-17d7-3ded-8a57-f120b688b54c"]},{"id":"ITEM-2","itemData":{"DOI":"10.1007/978-94-017-2923-9_10","ISSN":"0032-079X","author":[{"dropping-particle":"","family":"Clark","given":"L.J. J.","non-dropping-particle":"","parse-names":false,"suffix":""},{"dropping-particle":"","family":"Whalley","given":"W.R. R.","non-dropping-particle":"","parse-names":false,"suffix":""},{"dropping-particle":"","family":"Barraclough","given":"P.B. B.","non-dropping-particle":"","parse-names":false,"suffix":""}],"container-title":"Roots: The Dynamic Interface between Plants and the Earth","id":"ITEM-2","issue":"1","issued":{"date-parts":[["2003","8"]]},"page":"93-104","publisher":"Kluwer Academic Publishers","publisher-place":"Dordrecht","title":"How do roots penetrate strong soil?","type":"chapter","volume":"255"},"uris":["http://www.mendeley.com/documents/?uuid=c07b7df9-8a40-460f-8665-d098a2eef13f"]}],"mendeley":{"formattedCitation":"(Kozlowski, 1999; Clark et al., 2003)","plainTextFormattedCitation":"(Kozlowski, 1999; Clark et al., 2003)","previouslyFormattedCitation":"(Kozlowski, 1999; Clark et al., 2003)"},"properties":{"noteIndex":0},"schema":"https://github.com/citation-style-language/schema/raw/master/csl-citation.json"}</w:instrText>
      </w:r>
      <w:r>
        <w:rPr>
          <w:szCs w:val="24"/>
        </w:rPr>
        <w:fldChar w:fldCharType="separate"/>
      </w:r>
      <w:r w:rsidRPr="002B2DB3">
        <w:rPr>
          <w:noProof/>
          <w:szCs w:val="24"/>
        </w:rPr>
        <w:t>(Kozlowski, 1999; Clark et al., 2003)</w:t>
      </w:r>
      <w:r>
        <w:rPr>
          <w:szCs w:val="24"/>
        </w:rPr>
        <w:fldChar w:fldCharType="end"/>
      </w:r>
      <w:r>
        <w:rPr>
          <w:szCs w:val="24"/>
        </w:rPr>
        <w:t xml:space="preserve">. Soil compaction is an example where the available soil volume which plant roots can explore is limited. The mechanical impedance caused by compacted soil causes several </w:t>
      </w:r>
      <w:r>
        <w:rPr>
          <w:szCs w:val="24"/>
        </w:rPr>
        <w:lastRenderedPageBreak/>
        <w:t xml:space="preserve">changes in root system growth such as decreased main root length, elevated root density and increased root diameter </w:t>
      </w:r>
      <w:r>
        <w:rPr>
          <w:szCs w:val="24"/>
        </w:rPr>
        <w:fldChar w:fldCharType="begin" w:fldLock="1"/>
      </w:r>
      <w:r w:rsidR="00395144">
        <w:rPr>
          <w:szCs w:val="24"/>
        </w:rPr>
        <w:instrText>ADDIN CSL_CITATION {"citationItems":[{"id":"ITEM-1","itemData":{"DOI":"10.1007/978-3-662-09784-7_6","author":[{"dropping-particle":"","family":"Bengough","given":"A. G.","non-dropping-particle":"","parse-names":false,"suffix":""}],"container-title":"Root ecology","id":"ITEM-1","issued":{"date-parts":[["2003"]]},"page":"151-171","publisher":"Springer-Verlag","publisher-place":"Berlin, Germany","title":"Root Growth and Function in Relation to Soil Structure, Composition, and Strength","type":"chapter"},"uris":["http://www.mendeley.com/documents/?uuid=42ea8944-0a1f-4fab-8d30-a2eabf18a5cd"]},{"id":"ITEM-2","itemData":{"DOI":"10.1007/978-94-017-2923-9_10","ISSN":"0032-079X","author":[{"dropping-particle":"","family":"Clark","given":"L.J. J.","non-dropping-particle":"","parse-names":false,"suffix":""},{"dropping-particle":"","family":"Whalley","given":"W.R. R.","non-dropping-particle":"","parse-names":false,"suffix":""},{"dropping-particle":"","family":"Barraclough","given":"P.B. B.","non-dropping-particle":"","parse-names":false,"suffix":""}],"container-title":"Roots: The Dynamic Interface between Plants and the Earth","id":"ITEM-2","issue":"1","issued":{"date-parts":[["2003","8"]]},"page":"93-104","publisher":"Kluwer Academic Publishers","publisher-place":"Dordrecht","title":"How do roots penetrate strong soil?","type":"chapter","volume":"255"},"uris":["http://www.mendeley.com/documents/?uuid=c07b7df9-8a40-460f-8665-d098a2eef13f"]},{"id":"ITEM-3","itemData":{"DOI":"10.1093/jxb/28.1.96","ISSN":"0022-0957","author":[{"dropping-particle":"","family":"Goss","given":"M. J.","non-dropping-particle":"","parse-names":false,"suffix":""}],"container-title":"Journal of Experimental Botany","id":"ITEM-3","issue":"1","issued":{"date-parts":[["1977"]]},"page":"96-111","title":"Effects of mechanical impedance on root Growth in barley ( Hordeum vulgare L.)","type":"article-journal","volume":"28"},"uris":["http://www.mendeley.com/documents/?uuid=6fbc6c97-9576-4777-b42e-3ab2c029446a"]}],"mendeley":{"formattedCitation":"(Goss, 1977; Bengough, 2003; Clark et al., 2003)","plainTextFormattedCitation":"(Goss, 1977; Bengough, 2003; Clark et al., 2003)","previouslyFormattedCitation":"(Goss, 1977; Bengough, 2003; Clark et al., 2003)"},"properties":{"noteIndex":0},"schema":"https://github.com/citation-style-language/schema/raw/master/csl-citation.json"}</w:instrText>
      </w:r>
      <w:r>
        <w:rPr>
          <w:szCs w:val="24"/>
        </w:rPr>
        <w:fldChar w:fldCharType="separate"/>
      </w:r>
      <w:r w:rsidRPr="007A74AF">
        <w:rPr>
          <w:noProof/>
          <w:szCs w:val="24"/>
        </w:rPr>
        <w:t>(Goss, 1977; Bengough, 2003; Clark et al., 2003)</w:t>
      </w:r>
      <w:r>
        <w:rPr>
          <w:szCs w:val="24"/>
        </w:rPr>
        <w:fldChar w:fldCharType="end"/>
      </w:r>
      <w:r>
        <w:rPr>
          <w:szCs w:val="24"/>
        </w:rPr>
        <w:t xml:space="preserve">. Recent research has illustrated that increased soil compaction also results in elevated exudation of root exuded chemicals in </w:t>
      </w:r>
      <w:r w:rsidRPr="00F23169">
        <w:rPr>
          <w:i/>
          <w:iCs/>
          <w:szCs w:val="24"/>
        </w:rPr>
        <w:t>Brassica napus</w:t>
      </w:r>
      <w:r>
        <w:rPr>
          <w:szCs w:val="24"/>
        </w:rPr>
        <w:t xml:space="preserve"> (oilseed) which could enable </w:t>
      </w:r>
      <w:r w:rsidR="00753564">
        <w:rPr>
          <w:szCs w:val="24"/>
        </w:rPr>
        <w:t>the</w:t>
      </w:r>
      <w:r>
        <w:rPr>
          <w:szCs w:val="24"/>
        </w:rPr>
        <w:t xml:space="preserve"> plant to change soil properties to better their success of penetrating the soil </w:t>
      </w:r>
      <w:r>
        <w:rPr>
          <w:szCs w:val="24"/>
        </w:rPr>
        <w:fldChar w:fldCharType="begin" w:fldLock="1"/>
      </w:r>
      <w:r>
        <w:rPr>
          <w:szCs w:val="24"/>
        </w:rPr>
        <w:instrText>ADDIN CSL_CITATION {"citationItems":[{"id":"ITEM-1","itemData":{"DOI":"10.1016/j.still.2023.105785","ISSN":"01671987","author":[{"dropping-particle":"","family":"Duan","given":"Xianjie","non-dropping-particle":"","parse-names":false,"suffix":""},{"dropping-particle":"","family":"Jin","given":"Kemo","non-dropping-particle":"","parse-names":false,"suffix":""},{"dropping-particle":"","family":"Mao","given":"Zhun","non-dropping-particle":"","parse-names":false,"suffix":""},{"dropping-particle":"","family":"Liu","given":"Ling","non-dropping-particle":"","parse-names":false,"suffix":""},{"dropping-particle":"","family":"He","given":"Yangbo","non-dropping-particle":"","parse-names":false,"suffix":""},{"dropping-particle":"","family":"Xia","given":"Shangwen","non-dropping-particle":"","parse-names":false,"suffix":""},{"dropping-particle":"","family":"Hammond","given":"John P.","non-dropping-particle":"","parse-names":false,"suffix":""},{"dropping-particle":"","family":"White","given":"Philip J.","non-dropping-particle":"","parse-names":false,"suffix":""},{"dropping-particle":"","family":"Xu","given":"Fangsen","non-dropping-particle":"","parse-names":false,"suffix":""},{"dropping-particle":"","family":"Shi","given":"Lei","non-dropping-particle":"","parse-names":false,"suffix":""}],"container-title":"Soil and Tillage Research","id":"ITEM-1","issued":{"date-parts":[["2023","9"]]},"page":"105785","title":"Compacted soil adaptability of Brassica napus driven by root mechanical traits","type":"article-journal","volume":"233"},"uris":["http://www.mendeley.com/documents/?uuid=36f52c5b-a0ee-4c85-844b-3e657fb8b152"]}],"mendeley":{"formattedCitation":"(Duan et al., 2023)","plainTextFormattedCitation":"(Duan et al., 2023)","previouslyFormattedCitation":"(Duan et al., 2023)"},"properties":{"noteIndex":0},"schema":"https://github.com/citation-style-language/schema/raw/master/csl-citation.json"}</w:instrText>
      </w:r>
      <w:r>
        <w:rPr>
          <w:szCs w:val="24"/>
        </w:rPr>
        <w:fldChar w:fldCharType="separate"/>
      </w:r>
      <w:r w:rsidRPr="00F23169">
        <w:rPr>
          <w:noProof/>
          <w:szCs w:val="24"/>
        </w:rPr>
        <w:t>(Duan et al., 2023)</w:t>
      </w:r>
      <w:r>
        <w:rPr>
          <w:szCs w:val="24"/>
        </w:rPr>
        <w:fldChar w:fldCharType="end"/>
      </w:r>
      <w:r>
        <w:rPr>
          <w:szCs w:val="24"/>
        </w:rPr>
        <w:t xml:space="preserve">. However, there could be a possibility that some exuded chemicals under soil compaction conditions could have </w:t>
      </w:r>
      <w:r w:rsidR="00B8460D">
        <w:rPr>
          <w:szCs w:val="24"/>
        </w:rPr>
        <w:t xml:space="preserve">an </w:t>
      </w:r>
      <w:r>
        <w:rPr>
          <w:szCs w:val="24"/>
        </w:rPr>
        <w:t xml:space="preserve">inhibitory function such like </w:t>
      </w:r>
      <w:r w:rsidR="00B8460D">
        <w:rPr>
          <w:szCs w:val="24"/>
        </w:rPr>
        <w:t xml:space="preserve">when plants undergo </w:t>
      </w:r>
      <w:r>
        <w:rPr>
          <w:szCs w:val="24"/>
        </w:rPr>
        <w:t xml:space="preserve">obstacle avoidance. Therefore, it is possible that such root growth and exudate responses could be seen in small soil volumes but this is understudied. </w:t>
      </w:r>
    </w:p>
    <w:p w14:paraId="1B849A6F" w14:textId="249BD5D7" w:rsidR="00EC23E7" w:rsidRDefault="00EC23E7" w:rsidP="00EC23E7">
      <w:pPr>
        <w:spacing w:line="480" w:lineRule="auto"/>
        <w:rPr>
          <w:szCs w:val="24"/>
        </w:rPr>
      </w:pPr>
      <w:r>
        <w:rPr>
          <w:szCs w:val="24"/>
        </w:rPr>
        <w:t xml:space="preserve">Bringing together obstacle avoidance and mechanical impedance caused by compacted soil, in laboratory settings a pot could act as an obstacle whereby plants grown in smaller soil volumes are less able to avoid these inhibitory substances than those grown in larger soil volumes. Nuclear resonance imaging (NMR) has been used to assess root distribution of </w:t>
      </w:r>
      <w:r w:rsidR="003D79AF">
        <w:rPr>
          <w:szCs w:val="24"/>
        </w:rPr>
        <w:t>beet (</w:t>
      </w:r>
      <w:r w:rsidR="003D79AF" w:rsidRPr="0091559B">
        <w:rPr>
          <w:i/>
          <w:iCs/>
          <w:szCs w:val="24"/>
        </w:rPr>
        <w:t>Beta vulgaris</w:t>
      </w:r>
      <w:r w:rsidR="003D79AF">
        <w:rPr>
          <w:szCs w:val="24"/>
        </w:rPr>
        <w:t xml:space="preserve">) and </w:t>
      </w:r>
      <w:r>
        <w:rPr>
          <w:szCs w:val="24"/>
        </w:rPr>
        <w:t>barley (</w:t>
      </w:r>
      <w:r w:rsidRPr="002E0D5F">
        <w:rPr>
          <w:i/>
          <w:iCs/>
          <w:szCs w:val="24"/>
        </w:rPr>
        <w:t>Hordeum vulgare</w:t>
      </w:r>
      <w:r>
        <w:rPr>
          <w:szCs w:val="24"/>
        </w:rPr>
        <w:t xml:space="preserve">) grown in </w:t>
      </w:r>
      <w:r w:rsidR="00B8460D">
        <w:rPr>
          <w:szCs w:val="24"/>
        </w:rPr>
        <w:t>cylindrical containers</w:t>
      </w:r>
      <w:r>
        <w:rPr>
          <w:szCs w:val="24"/>
        </w:rPr>
        <w:t xml:space="preserve"> </w:t>
      </w:r>
      <w:r w:rsidR="003D79AF">
        <w:rPr>
          <w:szCs w:val="24"/>
        </w:rPr>
        <w:t>where</w:t>
      </w:r>
      <w:r>
        <w:rPr>
          <w:szCs w:val="24"/>
        </w:rPr>
        <w:t xml:space="preserve"> it was found that more than 50% of the root biomass produced by these plants was located in the exterior 20% of the soil volume assessed </w:t>
      </w:r>
      <w:r>
        <w:rPr>
          <w:szCs w:val="24"/>
        </w:rPr>
        <w:fldChar w:fldCharType="begin" w:fldLock="1"/>
      </w:r>
      <w:r>
        <w:rPr>
          <w:szCs w:val="24"/>
        </w:rPr>
        <w:instrText>ADDIN CSL_CITATION {"citationItems":[{"id":"ITEM-1","itemData":{"DOI":"10.1071/FP12049","abstract":"The majority of experiments in plant biology use plants grown in some kind of container or pot. We conducted a meta-analysis on 65 studies that analysed the effect of pot size on growth and underlying variables. On average, a doubling of the pot size increased biomass production by 43%. Further analysis of pot size effects on the underlying components of growth suggests that reduced growth in smaller pots is caused mainly by a reduction in photosynthesis per unit leaf area, rather than by changes in leaf morphology or biomass allocation. The appropriate pot size will logically depend on the size of the plants growing in them. Based on various lines of evidence we suggest that an appropriate pot size is one in which the plant biomass does not exceed 1 g L –1 . In current research practice ~65% of the experiments exceed that threshold. We suggest that researchers need to carefully consider the pot size in their experiments, as small pots may change experimental results and defy the purpose of the experiment.","author":[{"dropping-particle":"","family":"Poorter","given":"Hendrik","non-dropping-particle":"","parse-names":false,"suffix":""},{"dropping-particle":"","family":"Bühler","given":"Jonas","non-dropping-particle":"","parse-names":false,"suffix":""},{"dropping-particle":"","family":"Dusschoten","given":"Dagmar","non-dropping-particle":"Van","parse-names":false,"suffix":""},{"dropping-particle":"","family":"Climent","given":"José","non-dropping-particle":"","parse-names":false,"suffix":""},{"dropping-particle":"","family":"Postma","given":"Johannes A","non-dropping-particle":"","parse-names":false,"suffix":""}],"container-title":"Functional Plant Biology","id":"ITEM-1","issued":{"date-parts":[["2012"]]},"page":"839-850","title":"Pot size matters: a meta-analysis of the effects of rooting volume on plant growth","type":"article-journal"},"uris":["http://www.mendeley.com/documents/?uuid=50c0b953-7302-331c-920d-755a5444cc77"]}],"mendeley":{"formattedCitation":"(Poorter et al., 2012)","plainTextFormattedCitation":"(Poorter et al., 2012)","previouslyFormattedCitation":"(Poorter et al., 2012)"},"properties":{"noteIndex":0},"schema":"https://github.com/citation-style-language/schema/raw/master/csl-citation.json"}</w:instrText>
      </w:r>
      <w:r>
        <w:rPr>
          <w:szCs w:val="24"/>
        </w:rPr>
        <w:fldChar w:fldCharType="separate"/>
      </w:r>
      <w:r w:rsidRPr="00921DEF">
        <w:rPr>
          <w:noProof/>
          <w:szCs w:val="24"/>
        </w:rPr>
        <w:t>(Poorter et al., 2012)</w:t>
      </w:r>
      <w:r>
        <w:rPr>
          <w:szCs w:val="24"/>
        </w:rPr>
        <w:fldChar w:fldCharType="end"/>
      </w:r>
      <w:r>
        <w:rPr>
          <w:szCs w:val="24"/>
        </w:rPr>
        <w:t xml:space="preserve">. Together with the potential role of root inhibitory substances in root avoidance this could provide an explanation for </w:t>
      </w:r>
      <w:r w:rsidR="003D79AF">
        <w:rPr>
          <w:szCs w:val="24"/>
        </w:rPr>
        <w:t xml:space="preserve">the </w:t>
      </w:r>
      <w:r>
        <w:rPr>
          <w:szCs w:val="24"/>
        </w:rPr>
        <w:t>negative effects of small soil volumes. Root impedance has also been shown to influence the shoot as one study found that increasing the degree of impedance experienced by plant roots led to a fast reduction in</w:t>
      </w:r>
      <w:r w:rsidR="003D79AF">
        <w:rPr>
          <w:szCs w:val="24"/>
        </w:rPr>
        <w:t xml:space="preserve"> the rate in which</w:t>
      </w:r>
      <w:r>
        <w:rPr>
          <w:szCs w:val="24"/>
        </w:rPr>
        <w:t xml:space="preserve"> lea</w:t>
      </w:r>
      <w:r w:rsidR="003D79AF">
        <w:rPr>
          <w:szCs w:val="24"/>
        </w:rPr>
        <w:t>ves</w:t>
      </w:r>
      <w:r>
        <w:rPr>
          <w:szCs w:val="24"/>
        </w:rPr>
        <w:t xml:space="preserve"> expan</w:t>
      </w:r>
      <w:r w:rsidR="003D79AF">
        <w:rPr>
          <w:szCs w:val="24"/>
        </w:rPr>
        <w:t>d</w:t>
      </w:r>
      <w:r>
        <w:rPr>
          <w:szCs w:val="24"/>
        </w:rPr>
        <w:t xml:space="preserve"> </w:t>
      </w:r>
      <w:r>
        <w:rPr>
          <w:szCs w:val="24"/>
        </w:rPr>
        <w:fldChar w:fldCharType="begin" w:fldLock="1"/>
      </w:r>
      <w:r>
        <w:rPr>
          <w:szCs w:val="24"/>
        </w:rPr>
        <w:instrText>ADDIN CSL_CITATION {"citationItems":[{"id":"ITEM-1","itemData":{"ISSN":"1469-8137","abstract":"A dry soil is generally a hard soil. Thus, the effects of water stress and mechanical impedance on plant growth are difficult to separate. To achieve this we have developed a growth cell that allows manipulation of the strength of growth media (i.e. mechanical impedance) without altering the availability of water or nutrients. We monitored leaf elongation rates of barley and wheat seedlings before and after the mechanical impedance to root growth was increased. Results show that a large and rapid reduction (within 10 min) of leaf elongation rates occurred after impedance to the roots was increased. The average reductions for barley and wheat, with associated standard errors, were 22·6% (4·84) and 36·2% (5·48), respectively. The data are consistent with the hypothesis that mechanical impedance of roots might have a direct negative effect on leaf growth even where nutrients and water are in plentiful supply to the plant. The implications of the rate of the response are examined with respect to the underlying mechanisms controlling root–shoot signalling.","author":[{"dropping-particle":"","family":"Young","given":"I. M.","non-dropping-particle":"","parse-names":false,"suffix":""},{"dropping-particle":"","family":"Montagu","given":"K.","non-dropping-particle":"","parse-names":false,"suffix":""},{"dropping-particle":"","family":"Conroy","given":"J.","non-dropping-particle":"","parse-names":false,"suffix":""},{"dropping-particle":"","family":"Bengough","given":"A. G.","non-dropping-particle":"","parse-names":false,"suffix":""}],"container-title":"New Phytologist","id":"ITEM-1","issue":"4","issued":{"date-parts":[["1997"]]},"page":"613-619","publisher":"Cambridge University Press","title":"Mechanical impedance of root growth directly reduces leaf elongation rates of cereals","type":"article-journal","volume":"135"},"uris":["http://www.mendeley.com/documents/?uuid=a21c0c78-3f08-3a1b-9584-bd153fbaedb4"]}],"mendeley":{"formattedCitation":"(Young et al., 1997)","plainTextFormattedCitation":"(Young et al., 1997)","previouslyFormattedCitation":"(Young et al., 1997)"},"properties":{"noteIndex":0},"schema":"https://github.com/citation-style-language/schema/raw/master/csl-citation.json"}</w:instrText>
      </w:r>
      <w:r>
        <w:rPr>
          <w:szCs w:val="24"/>
        </w:rPr>
        <w:fldChar w:fldCharType="separate"/>
      </w:r>
      <w:r w:rsidRPr="00394F60">
        <w:rPr>
          <w:noProof/>
          <w:szCs w:val="24"/>
        </w:rPr>
        <w:t>(Young et al., 1997)</w:t>
      </w:r>
      <w:r>
        <w:rPr>
          <w:szCs w:val="24"/>
        </w:rPr>
        <w:fldChar w:fldCharType="end"/>
      </w:r>
      <w:r>
        <w:rPr>
          <w:szCs w:val="24"/>
        </w:rPr>
        <w:t xml:space="preserve">. This suggests that such root based environmental stimuli are quickly communicated to the shoot </w:t>
      </w:r>
      <w:r>
        <w:rPr>
          <w:szCs w:val="24"/>
        </w:rPr>
        <w:fldChar w:fldCharType="begin" w:fldLock="1"/>
      </w:r>
      <w:r>
        <w:rPr>
          <w:szCs w:val="24"/>
        </w:rPr>
        <w:instrText>ADDIN CSL_CITATION {"citationItems":[{"id":"ITEM-1","itemData":{"DOI":"10.1016/j.semcdb.2020.06.011","ISSN":"10849521","author":[{"dropping-particle":"","family":"Wheeldon","given":"Cara D.","non-dropping-particle":"","parse-names":false,"suffix":""},{"dropping-particle":"","family":"Bennett","given":"Tom","non-dropping-particle":"","parse-names":false,"suffix":""}],"container-title":"Seminars in Cell &amp; Developmental Biology","id":"ITEM-1","issued":{"date-parts":[["2021","1"]]},"page":"55-67","title":"There and back again: An evolutionary perspective on long-distance coordination of plant growth and development","type":"article-journal","volume":"109"},"uris":["http://www.mendeley.com/documents/?uuid=390ed452-5e79-4e13-b4a6-c95e1e5d7bb8"]}],"mendeley":{"formattedCitation":"(Wheeldon and Bennett, 2021)","plainTextFormattedCitation":"(Wheeldon and Bennett, 2021)","previouslyFormattedCitation":"(Wheeldon and Bennett, 2021)"},"properties":{"noteIndex":0},"schema":"https://github.com/citation-style-language/schema/raw/master/csl-citation.json"}</w:instrText>
      </w:r>
      <w:r>
        <w:rPr>
          <w:szCs w:val="24"/>
        </w:rPr>
        <w:fldChar w:fldCharType="separate"/>
      </w:r>
      <w:r w:rsidRPr="00F85075">
        <w:rPr>
          <w:noProof/>
          <w:szCs w:val="24"/>
        </w:rPr>
        <w:t>(Wheeldon and Bennett, 2021)</w:t>
      </w:r>
      <w:r>
        <w:rPr>
          <w:szCs w:val="24"/>
        </w:rPr>
        <w:fldChar w:fldCharType="end"/>
      </w:r>
      <w:r>
        <w:rPr>
          <w:szCs w:val="24"/>
        </w:rPr>
        <w:t xml:space="preserve"> and therefore </w:t>
      </w:r>
      <w:r>
        <w:rPr>
          <w:szCs w:val="24"/>
        </w:rPr>
        <w:lastRenderedPageBreak/>
        <w:t xml:space="preserve">could provide an explanation for the corresponding small shoot systems seen in plants grown in small soil volumes. </w:t>
      </w:r>
    </w:p>
    <w:p w14:paraId="49254C5F" w14:textId="00E0A46D" w:rsidR="00EC23E7" w:rsidRDefault="00EC23E7" w:rsidP="00EC23E7">
      <w:pPr>
        <w:spacing w:line="480" w:lineRule="auto"/>
        <w:rPr>
          <w:szCs w:val="24"/>
        </w:rPr>
      </w:pPr>
      <w:r>
        <w:rPr>
          <w:szCs w:val="24"/>
        </w:rPr>
        <w:t xml:space="preserve">Root exudates could thus play a role in soil volume responses but the identity of these </w:t>
      </w:r>
      <w:r w:rsidR="003D79AF">
        <w:rPr>
          <w:szCs w:val="24"/>
        </w:rPr>
        <w:t xml:space="preserve">substances </w:t>
      </w:r>
      <w:r>
        <w:rPr>
          <w:szCs w:val="24"/>
        </w:rPr>
        <w:t xml:space="preserve">is unknown along with details surrounding how such information is communicated to the shoot system. Furthermore, </w:t>
      </w:r>
      <w:r w:rsidR="00FE5252">
        <w:rPr>
          <w:szCs w:val="24"/>
        </w:rPr>
        <w:t xml:space="preserve">evidence provided by </w:t>
      </w:r>
      <w:r>
        <w:rPr>
          <w:szCs w:val="24"/>
        </w:rPr>
        <w:fldChar w:fldCharType="begin" w:fldLock="1"/>
      </w:r>
      <w:r w:rsidR="00D54561">
        <w:rPr>
          <w:szCs w:val="24"/>
        </w:rPr>
        <w:instrText>ADDIN CSL_CITATION {"citationItems":[{"id":"ITEM-1","itemData":{"DOI":"10.2307/1938905","ISSN":"00129658","author":[{"dropping-particle":"","family":"McConnaughay","given":"K. D. M.","non-dropping-particle":"","parse-names":false,"suffix":""},{"dropping-particle":"","family":"Bazzaz","given":"F. A.","non-dropping-particle":"","parse-names":false,"suffix":""}],"container-title":"Ecology","id":"ITEM-1","issue":"1","issued":{"date-parts":[["1991","2"]]},"page":"94-103","title":"Is physical space a soil resource?","type":"article-journal","volume":"72"},"uris":["http://www.mendeley.com/documents/?uuid=3705174b-49b0-3117-b8ac-17f0889cdbf3"]}],"mendeley":{"formattedCitation":"(McConnaughay and Bazzaz, 1991)","manualFormatting":"McConnaughay and Bazzaz, (1991)","plainTextFormattedCitation":"(McConnaughay and Bazzaz, 1991)","previouslyFormattedCitation":"(McConnaughay and Bazzaz, 1991)"},"properties":{"noteIndex":0},"schema":"https://github.com/citation-style-language/schema/raw/master/csl-citation.json"}</w:instrText>
      </w:r>
      <w:r>
        <w:rPr>
          <w:szCs w:val="24"/>
        </w:rPr>
        <w:fldChar w:fldCharType="separate"/>
      </w:r>
      <w:r w:rsidRPr="00454B01">
        <w:rPr>
          <w:noProof/>
          <w:szCs w:val="24"/>
        </w:rPr>
        <w:t xml:space="preserve">McConnaughay and Bazzaz, </w:t>
      </w:r>
      <w:r>
        <w:rPr>
          <w:noProof/>
          <w:szCs w:val="24"/>
        </w:rPr>
        <w:t>(</w:t>
      </w:r>
      <w:r w:rsidRPr="00454B01">
        <w:rPr>
          <w:noProof/>
          <w:szCs w:val="24"/>
        </w:rPr>
        <w:t>1991)</w:t>
      </w:r>
      <w:r>
        <w:rPr>
          <w:szCs w:val="24"/>
        </w:rPr>
        <w:fldChar w:fldCharType="end"/>
      </w:r>
      <w:r>
        <w:rPr>
          <w:szCs w:val="24"/>
        </w:rPr>
        <w:t xml:space="preserve"> </w:t>
      </w:r>
      <w:r w:rsidR="00FE5252">
        <w:rPr>
          <w:szCs w:val="24"/>
        </w:rPr>
        <w:t xml:space="preserve">has </w:t>
      </w:r>
      <w:r>
        <w:rPr>
          <w:szCs w:val="24"/>
        </w:rPr>
        <w:t>identified differences in soil volume responses between species</w:t>
      </w:r>
      <w:r w:rsidR="00FE5252">
        <w:rPr>
          <w:szCs w:val="24"/>
        </w:rPr>
        <w:t>. C</w:t>
      </w:r>
      <w:r>
        <w:rPr>
          <w:szCs w:val="24"/>
        </w:rPr>
        <w:t xml:space="preserve">ould this be due to varying concentrations or identities of such root inhibitory exudates? Exploring intraspecies variation to soil volume could lead to understanding the genetic basis of the soil volume response and hence contribute to the development of plants resistant to the negative effects of being grown in small soil volumes. </w:t>
      </w:r>
    </w:p>
    <w:p w14:paraId="47FFFD9B" w14:textId="77777777" w:rsidR="00836C2F" w:rsidRDefault="00836C2F" w:rsidP="00EC23E7">
      <w:pPr>
        <w:spacing w:line="480" w:lineRule="auto"/>
        <w:rPr>
          <w:szCs w:val="24"/>
        </w:rPr>
      </w:pPr>
    </w:p>
    <w:p w14:paraId="3DE241CD" w14:textId="242C2B19" w:rsidR="00EC23E7" w:rsidRDefault="00836C2F" w:rsidP="00743E4C">
      <w:pPr>
        <w:pStyle w:val="Heading2"/>
      </w:pPr>
      <w:bookmarkStart w:id="12" w:name="_Toc154331425"/>
      <w:r w:rsidRPr="00836C2F">
        <w:t>Neighbour density and plant growth</w:t>
      </w:r>
      <w:bookmarkEnd w:id="12"/>
    </w:p>
    <w:p w14:paraId="6D504409" w14:textId="77777777" w:rsidR="009C0CC2" w:rsidRPr="009C0CC2" w:rsidRDefault="009C0CC2" w:rsidP="009C0CC2"/>
    <w:p w14:paraId="0DA21366" w14:textId="160D8FEB" w:rsidR="00EC23E7" w:rsidRDefault="00EC23E7" w:rsidP="00EC23E7">
      <w:pPr>
        <w:spacing w:line="480" w:lineRule="auto"/>
        <w:rPr>
          <w:szCs w:val="24"/>
        </w:rPr>
      </w:pPr>
      <w:r>
        <w:rPr>
          <w:szCs w:val="24"/>
        </w:rPr>
        <w:t>Plants rarely grow alone in nature, therefore detecting the presence of neighbours and modulating their growth accordingly is crucial for survival. Unlike soil volume research</w:t>
      </w:r>
      <w:r w:rsidR="00FE5252">
        <w:rPr>
          <w:szCs w:val="24"/>
        </w:rPr>
        <w:t>,</w:t>
      </w:r>
      <w:r>
        <w:rPr>
          <w:szCs w:val="24"/>
        </w:rPr>
        <w:t xml:space="preserve"> which has had little interest in recent years, our understanding of how plants detect and respond to each other has dramatically increased</w:t>
      </w:r>
      <w:r w:rsidR="00FE5252">
        <w:rPr>
          <w:szCs w:val="24"/>
        </w:rPr>
        <w:t>,</w:t>
      </w:r>
      <w:r>
        <w:rPr>
          <w:szCs w:val="24"/>
        </w:rPr>
        <w:t xml:space="preserve"> and </w:t>
      </w:r>
      <w:r w:rsidR="00FE5252">
        <w:rPr>
          <w:szCs w:val="24"/>
        </w:rPr>
        <w:t xml:space="preserve">has </w:t>
      </w:r>
      <w:r>
        <w:rPr>
          <w:szCs w:val="24"/>
        </w:rPr>
        <w:t>been shown to involve multiple detection mechanisms, both above and belowground</w:t>
      </w:r>
      <w:r w:rsidR="00FE5252">
        <w:rPr>
          <w:szCs w:val="24"/>
        </w:rPr>
        <w:t xml:space="preserve"> (reviewed in </w:t>
      </w:r>
      <w:r w:rsidR="00FE5252">
        <w:rPr>
          <w:szCs w:val="24"/>
        </w:rPr>
        <w:fldChar w:fldCharType="begin" w:fldLock="1"/>
      </w:r>
      <w:r w:rsidR="00493C3C">
        <w:rPr>
          <w:szCs w:val="24"/>
        </w:rPr>
        <w:instrText>ADDIN CSL_CITATION {"citationItems":[{"id":"ITEM-1","itemData":{"DOI":"10.1111/pce.13892","ISSN":"0140-7791","author":[{"dropping-particle":"","family":"Wang","given":"Nan</w:instrText>
      </w:r>
      <w:r w:rsidR="00493C3C">
        <w:rPr>
          <w:rFonts w:ascii="Cambria Math" w:hAnsi="Cambria Math" w:cs="Cambria Math"/>
          <w:szCs w:val="24"/>
        </w:rPr>
        <w:instrText>‐</w:instrText>
      </w:r>
      <w:r w:rsidR="00493C3C">
        <w:rPr>
          <w:szCs w:val="24"/>
        </w:rPr>
        <w:instrText>Qi","non-dropping-particle":"","parse-names":false,"suffix":""},{"dropping-particle":"","family":"Kong","given":"Chui</w:instrText>
      </w:r>
      <w:r w:rsidR="00493C3C">
        <w:rPr>
          <w:rFonts w:ascii="Cambria Math" w:hAnsi="Cambria Math" w:cs="Cambria Math"/>
          <w:szCs w:val="24"/>
        </w:rPr>
        <w:instrText>‐</w:instrText>
      </w:r>
      <w:r w:rsidR="00493C3C">
        <w:rPr>
          <w:szCs w:val="24"/>
        </w:rPr>
        <w:instrText>Hua","non-dropping-particle":"","parse-names":false,"suffix":""},{"dropping-particle":"","family":"Wang","given":"Peng","non-dropping-particle":"","parse-names":false,"suffix":""},{"dropping-particle":"","family":"Meiners","given":"Scott J.","non-dropping-particle":"","parse-names":false,"suffix":""}],"container-title":"Plant, Cell &amp; Environment","id":"ITEM-1","issue":"4","issued":{"date-parts":[["2021","4","7"]]},"page":"1044-1058","title":"Root exudate signals in plant–plant interactions","type":"article-journal","volume":"44"},"uris":["http://www.mendeley.com/documents/?uuid=ded10ba8-49ef-4767-9b7d-9b5253ad6db1"]},{"id":"ITEM-2","itemData":{"DOI":"10.1111/pce.13965","ISSN":"0140-7791","author":[{"dropping-particle":"","family":"Bilas","given":"Roza D.","non-dropping-particle":"","parse-names":false,"suffix":""},{"dropping-particle":"","family":"Bretman","given":"Amanda","non-dropping-particle":"","parse-names":false,"suffix":""},{"dropping-particle":"","family":"Bennett","given":"Tom","non-dropping-particle":"","parse-names":false,"suffix":""}],"container-title":"Plant, Cell &amp; Environment","id":"ITEM-2","issue":"4","issued":{"date-parts":[["2021","4","15"]]},"page":"997-1013","title":"Friends, neighbours and enemies: an overview of the communal and social biology of plants","type":"article-journal","volume":"44"},"uris":["http://www.mendeley.com/documents/?uuid=6f5d77a1-17e6-4994-9d2e-af28f1a99d3c"]}],"mendeley":{"formattedCitation":"(Wang et al., 2021; Bilas et al., 2021)","manualFormatting":"Wang et al., (2021) and Bilas et al., (2021)","plainTextFormattedCitation":"(Wang et al., 2021; Bilas et al., 2021)","previouslyFormattedCitation":"(Wang et al., 2021; Bilas et al., 2021)"},"properties":{"noteIndex":0},"schema":"https://github.com/citation-style-language/schema/raw/master/csl-citation.json"}</w:instrText>
      </w:r>
      <w:r w:rsidR="00FE5252">
        <w:rPr>
          <w:szCs w:val="24"/>
        </w:rPr>
        <w:fldChar w:fldCharType="separate"/>
      </w:r>
      <w:r w:rsidR="00FE5252" w:rsidRPr="00FE5252">
        <w:rPr>
          <w:noProof/>
          <w:szCs w:val="24"/>
        </w:rPr>
        <w:t xml:space="preserve">Wang et al., </w:t>
      </w:r>
      <w:r w:rsidR="00FE5252">
        <w:rPr>
          <w:noProof/>
          <w:szCs w:val="24"/>
        </w:rPr>
        <w:t>(</w:t>
      </w:r>
      <w:r w:rsidR="00FE5252" w:rsidRPr="00FE5252">
        <w:rPr>
          <w:noProof/>
          <w:szCs w:val="24"/>
        </w:rPr>
        <w:t>2021</w:t>
      </w:r>
      <w:r w:rsidR="00FE5252">
        <w:rPr>
          <w:noProof/>
          <w:szCs w:val="24"/>
        </w:rPr>
        <w:t xml:space="preserve">) and </w:t>
      </w:r>
      <w:r w:rsidR="00FE5252" w:rsidRPr="00FE5252">
        <w:rPr>
          <w:noProof/>
          <w:szCs w:val="24"/>
        </w:rPr>
        <w:t xml:space="preserve">Bilas et al., </w:t>
      </w:r>
      <w:r w:rsidR="00FE5252">
        <w:rPr>
          <w:noProof/>
          <w:szCs w:val="24"/>
        </w:rPr>
        <w:t>(</w:t>
      </w:r>
      <w:r w:rsidR="00FE5252" w:rsidRPr="00FE5252">
        <w:rPr>
          <w:noProof/>
          <w:szCs w:val="24"/>
        </w:rPr>
        <w:t>2021)</w:t>
      </w:r>
      <w:r w:rsidR="00FE5252">
        <w:rPr>
          <w:szCs w:val="24"/>
        </w:rPr>
        <w:fldChar w:fldCharType="end"/>
      </w:r>
      <w:r w:rsidR="00FE5252">
        <w:rPr>
          <w:szCs w:val="24"/>
        </w:rPr>
        <w:t>)</w:t>
      </w:r>
      <w:r>
        <w:rPr>
          <w:szCs w:val="24"/>
        </w:rPr>
        <w:t xml:space="preserve">. Historically, plant responses to neighbours </w:t>
      </w:r>
      <w:r w:rsidR="007F29F4">
        <w:rPr>
          <w:szCs w:val="24"/>
        </w:rPr>
        <w:t>has been</w:t>
      </w:r>
      <w:r>
        <w:rPr>
          <w:szCs w:val="24"/>
        </w:rPr>
        <w:t xml:space="preserve"> suggested to be rather simplistic</w:t>
      </w:r>
      <w:r w:rsidR="00493C3C">
        <w:rPr>
          <w:szCs w:val="24"/>
        </w:rPr>
        <w:t>,</w:t>
      </w:r>
      <w:r>
        <w:rPr>
          <w:szCs w:val="24"/>
        </w:rPr>
        <w:t xml:space="preserve"> in that plants would only respond to neighbours by detecting the depletion of water, light and nutrients in their environment </w:t>
      </w:r>
      <w:r>
        <w:rPr>
          <w:szCs w:val="24"/>
        </w:rPr>
        <w:fldChar w:fldCharType="begin" w:fldLock="1"/>
      </w:r>
      <w:r w:rsidR="00D3782B">
        <w:rPr>
          <w:szCs w:val="24"/>
        </w:rPr>
        <w:instrText>ADDIN CSL_CITATION {"citationItems":[{"id":"ITEM-1","itemData":{"DOI":"10.1111/pce.13965","ISSN":"0140-7791","author":[{"dropping-particle":"","family":"Bilas","given":"Roza D.","non-dropping-particle":"","parse-names":false,"suffix":""},{"dropping-particle":"","family":"Bretman","given":"Amanda","non-dropping-particle":"","parse-names":false,"suffix":""},{"dropping-particle":"","family":"Bennett","given":"Tom","non-dropping-particle":"","parse-names":false,"suffix":""}],"container-title":"Plant, Cell &amp; Environment","id":"ITEM-1","issue":"4","issued":{"date-parts":[["2021","4","15"]]},"page":"997-1013","title":"Friends, neighbours and enemies: an overview of the communal and social biology of plants","type":"article-journal","volume":"44"},"uris":["http://www.mendeley.com/documents/?uuid=6f5d77a1-17e6-4994-9d2e-af28f1a99d3c"]},{"id":"ITEM-2","itemData":{"DOI":"10.1111/j.1365-2745.2006.01124.x","ISSN":"00220477","author":[{"dropping-particle":"","family":"Schenk","given":"H. JOCHEN","non-dropping-particle":"","parse-names":false,"suffix":""}],"container-title":"Journal of Ecology","id":"ITEM-2","issue":"4","issued":{"date-parts":[["2006","7"]]},"page":"725-739","title":"Root competition: beyond resource depletion","type":"article-journal","volume":"94"},"uris":["http://www.mendeley.com/documents/?uuid=2ea56c5f-fd8d-3833-ab4b-b068a1d2f2ee"]},{"id":"ITEM-3","itemData":{"DOI":"10.1111/1365-2435.12010","ISSN":"0269-8463","abstract":"Plant competition determines the diversity and species abundance of natural communities as well as potential yields in agricultural systems. Understanding the mechanisms of plant competition is instrumental to understanding plant performance in true vegetations. In this review, we will address various components of competition between plant individuals with a specific focus on molecular aspects. As plant–plant interactions during competition are multiple and complex, we will focus here on a restricted set of examples of plant traits that are thought to enhance their performance during competition. To respond to competition by neighbours, plants first need to detect these competitors in a reliable way. We discuss the various ways of molecular detection of competition through light</w:instrText>
      </w:r>
      <w:r w:rsidR="00D3782B">
        <w:rPr>
          <w:rFonts w:ascii="Cambria Math" w:hAnsi="Cambria Math" w:cs="Cambria Math"/>
          <w:szCs w:val="24"/>
        </w:rPr>
        <w:instrText>‐</w:instrText>
      </w:r>
      <w:r w:rsidR="00D3782B">
        <w:rPr>
          <w:szCs w:val="24"/>
        </w:rPr>
        <w:instrText>quality signals, nutrient levels, soluble root exudates and volatile organic compounds emitted by neighbouring plants. Once perceived, these signals are translated into responses such as shade avoidance, root foraging and allelopathy. We integrate the various molecular patterns of signal detection and subsequent plant responses, both above</w:instrText>
      </w:r>
      <w:r w:rsidR="00D3782B">
        <w:rPr>
          <w:rFonts w:ascii="Cambria Math" w:hAnsi="Cambria Math" w:cs="Cambria Math"/>
          <w:szCs w:val="24"/>
        </w:rPr>
        <w:instrText>‐</w:instrText>
      </w:r>
      <w:r w:rsidR="00D3782B">
        <w:rPr>
          <w:szCs w:val="24"/>
        </w:rPr>
        <w:instrText xml:space="preserve"> and below</w:instrText>
      </w:r>
      <w:r w:rsidR="00D3782B">
        <w:rPr>
          <w:rFonts w:ascii="Cambria Math" w:hAnsi="Cambria Math" w:cs="Cambria Math"/>
          <w:szCs w:val="24"/>
        </w:rPr>
        <w:instrText>‐</w:instrText>
      </w:r>
      <w:r w:rsidR="00D3782B">
        <w:rPr>
          <w:szCs w:val="24"/>
        </w:rPr>
        <w:instrText>ground and including their interaction. We outline research strategies towards creating a general, mechanistic understanding of how plants increase their performance during competition.","author":[{"dropping-particle":"","family":"Pierik","given":"Ronald","non-dropping-particle":"","parse-names":false,"suffix":""},{"dropping-particle":"","family":"Mommer","given":"Liesje","non-dropping-particle":"","parse-names":false,"suffix":""},{"dropping-particle":"","family":"Voesenek","given":"Laurentius ACJ","non-dropping-particle":"","parse-names":false,"suffix":""}],"container-title":"Functional Ecology","editor":[{"dropping-particle":"","family":"Robinson","given":"David","non-dropping-particle":"","parse-names":false,"suffix":""}],"id":"ITEM-3","issue":"4","issued":{"date-parts":[["2013","8","16"]]},"page":"841-853","title":"Molecular mechanisms of plant competition: neighbour detection and response strategies","type":"article-journal","volume":"27"},"uris":["http://www.mendeley.com/documents/?uuid=7f2689b8-dead-4773-8b9e-a7d8b191d11f"]}],"mendeley":{"formattedCitation":"(Schenk, 2006; Pierik et al., 2013; Bilas et al., 2021)","plainTextFormattedCitation":"(Schenk, 2006; Pierik et al., 2013; Bilas et al., 2021)","previouslyFormattedCitation":"(Schenk, 2006; Pierik et al., 2013; Bilas et al., 2021)"},"properties":{"noteIndex":0},"schema":"https://github.com/citation-style-language/schema/raw/master/csl-citation.json"}</w:instrText>
      </w:r>
      <w:r>
        <w:rPr>
          <w:szCs w:val="24"/>
        </w:rPr>
        <w:fldChar w:fldCharType="separate"/>
      </w:r>
      <w:r w:rsidR="00493C3C" w:rsidRPr="00493C3C">
        <w:rPr>
          <w:noProof/>
          <w:szCs w:val="24"/>
        </w:rPr>
        <w:t>(Schenk, 2006; Pierik et al., 2013; Bilas et al., 2021)</w:t>
      </w:r>
      <w:r>
        <w:rPr>
          <w:szCs w:val="24"/>
        </w:rPr>
        <w:fldChar w:fldCharType="end"/>
      </w:r>
      <w:r>
        <w:rPr>
          <w:szCs w:val="24"/>
        </w:rPr>
        <w:t xml:space="preserve">. Over the last few decades however, it has become apparent that multiple active </w:t>
      </w:r>
      <w:r>
        <w:rPr>
          <w:szCs w:val="24"/>
        </w:rPr>
        <w:lastRenderedPageBreak/>
        <w:t>neighbour detection mechanisms are utilised by plants.</w:t>
      </w:r>
      <w:r w:rsidR="00493C3C">
        <w:rPr>
          <w:szCs w:val="24"/>
        </w:rPr>
        <w:t xml:space="preserve"> </w:t>
      </w:r>
      <w:r>
        <w:rPr>
          <w:szCs w:val="24"/>
        </w:rPr>
        <w:t xml:space="preserve">Shoot-based mechanisms can include detection of volatile organic chemicals released from  neighbouring shoots </w:t>
      </w:r>
      <w:r>
        <w:rPr>
          <w:szCs w:val="24"/>
        </w:rPr>
        <w:fldChar w:fldCharType="begin" w:fldLock="1"/>
      </w:r>
      <w:r w:rsidR="00D3782B">
        <w:rPr>
          <w:szCs w:val="24"/>
        </w:rPr>
        <w:instrText>ADDIN CSL_CITATION {"citationItems":[{"id":"ITEM-1","itemData":{"DOI":"10.1111/pce.13910","ISSN":"0140-7791","author":[{"dropping-particle":"","family":"Ninkovic","given":"Velemir","non-dropping-particle":"","parse-names":false,"suffix":""},{"dropping-particle":"","family":"Markovic","given":"Dimitrije","non-dropping-particle":"","parse-names":false,"suffix":""},{"dropping-particle":"","family":"Rensing","given":"Merlin","non-dropping-particle":"","parse-names":false,"suffix":""}],"container-title":"Plant, Cell &amp; Environment","id":"ITEM-1","issue":"4","issued":{"date-parts":[["2021","4","26"]]},"page":"1030-1043","title":"Plant volatiles as cues and signals in plant communication","type":"article-journal","volume":"44"},"uris":["http://www.mendeley.com/documents/?uuid=faae7cc3-9f6a-47ee-b0b5-96f764554c72"]},{"id":"ITEM-2","itemData":{"DOI":"10.1016/j.tree.2009.09.010","ISSN":"01695347","author":[{"dropping-particle":"","family":"Heil","given":"Martin","non-dropping-particle":"","parse-names":false,"suffix":""},{"dropping-particle":"","family":"Karban","given":"Richard","non-dropping-particle":"","parse-names":false,"suffix":""}],"container-title":"Trends in Ecology &amp; Evolution","id":"ITEM-2","issue":"3","issued":{"date-parts":[["2010","3"]]},"page":"137-144","title":"Explaining evolution of plant communication by airborne signals","type":"article-journal","volume":"25"},"uris":["http://www.mendeley.com/documents/?uuid=fc03664c-b063-4103-8e74-9df98ae75777"]}],"mendeley":{"formattedCitation":"(Heil and Karban, 2010; Ninkovic et al., 2021)","plainTextFormattedCitation":"(Heil and Karban, 2010; Ninkovic et al., 2021)","previouslyFormattedCitation":"(Heil and Karban, 2010; Ninkovic et al., 2021)"},"properties":{"noteIndex":0},"schema":"https://github.com/citation-style-language/schema/raw/master/csl-citation.json"}</w:instrText>
      </w:r>
      <w:r>
        <w:rPr>
          <w:szCs w:val="24"/>
        </w:rPr>
        <w:fldChar w:fldCharType="separate"/>
      </w:r>
      <w:r w:rsidR="00D3782B" w:rsidRPr="00D3782B">
        <w:rPr>
          <w:noProof/>
          <w:szCs w:val="24"/>
        </w:rPr>
        <w:t>(Heil and Karban, 2010; Ninkovic et al., 2021)</w:t>
      </w:r>
      <w:r>
        <w:rPr>
          <w:szCs w:val="24"/>
        </w:rPr>
        <w:fldChar w:fldCharType="end"/>
      </w:r>
      <w:r>
        <w:rPr>
          <w:szCs w:val="24"/>
        </w:rPr>
        <w:t xml:space="preserve">, detection of far red light scattered off nearby leaves </w:t>
      </w:r>
      <w:r>
        <w:rPr>
          <w:szCs w:val="24"/>
        </w:rPr>
        <w:fldChar w:fldCharType="begin" w:fldLock="1"/>
      </w:r>
      <w:r w:rsidR="009E2971">
        <w:rPr>
          <w:szCs w:val="24"/>
        </w:rPr>
        <w:instrText>ADDIN CSL_CITATION {"citationItems":[{"id":"ITEM-1","itemData":{"DOI":"10.3389/fpls.2016.00236","ISSN":"1664-462X","abstract":"In high density of vegetation, plants detect neighbors by perceiving changes in light quality through phytochrome photoreceptors. Close vegetation proximity might result in competition for resources, such as light. To face this challenge, plants have evolved two alternative strategies: to either tolerate or avoid shade. Shade-avoiding species generally adapt their development by inducing hypocotyl, stem, and petiole elongation, apical dominance and flowering, and decreasing leaf expansion and yield, a set of responses collectively known as the shade avoidance syndrome (SAS). The SAS responses have been mostly studied at the seedling stage, centered on the increase of hypocotyl elongation. After compiling the main findings about SAS responses in seedlings, this review is focused on the response to shade at adult stages of development, such as petioles of adult leaves, and the little information available on the SAS responses in reproductive tissues. We discuss these responses based on the knowledge about the molecular mechanisms and components with a role in regulating the SAS response of the hypocotyls of Arabidopsis thaliana. The transcriptional networks involved in this process, as well as the communication among the tissues that perceive the shade and the ones that respond to this stimulus will also be briefly commented.","author":[{"dropping-particle":"","family":"Roig-Villanova","given":"Irma","non-dropping-particle":"","parse-names":false,"suffix":""},{"dropping-particle":"","family":"Martínez-García","given":"Jaime F","non-dropping-particle":"","parse-names":false,"suffix":""}],"container-title":"Frontiers in Plant Science","id":"ITEM-1","issued":{"date-parts":[["2016","2","29"]]},"page":"236","publisher":"Frontiers Media S.A.","title":"Plant responses to vegetation proximity: A whole life avoiding shade","type":"article-journal","volume":"7"},"uris":["http://www.mendeley.com/documents/?uuid=9d8a4257-0103-30f1-9956-14e27ff422a2"]},{"id":"ITEM-2","itemData":{"DOI":"10.1111/pce.13912","ISSN":"0140-7791","author":[{"dropping-particle":"","family":"Huber","given":"Martina","non-dropping-particle":"","parse-names":false,"suffix":""},{"dropping-particle":"","family":"Nieuwendijk","given":"Nicole M.","non-dropping-particle":"","parse-names":false,"suffix":""},{"dropping-particle":"","family":"Pantazopoulou","given":"Chrysoula K.","non-dropping-particle":"","parse-names":false,"suffix":""},{"dropping-particle":"","family":"Pierik","given":"Ronald","non-dropping-particle":"","parse-names":false,"suffix":""}],"container-title":"Plant, Cell &amp; Environment","id":"ITEM-2","issue":"4","issued":{"date-parts":[["2021","4","22"]]},"page":"1014-1029","title":"Light signalling shapes plant–plant interactions in dense canopies","type":"article-journal","volume":"44"},"uris":["http://www.mendeley.com/documents/?uuid=767ba73b-7eb3-497c-8beb-d3c23eebd582"]}],"mendeley":{"formattedCitation":"(Roig-Villanova and Martínez-García, 2016; Huber et al., 2021)","plainTextFormattedCitation":"(Roig-Villanova and Martínez-García, 2016; Huber et al., 2021)","previouslyFormattedCitation":"(Roig-Villanova and Martínez-García, 2016; Huber et al., 2021)"},"properties":{"noteIndex":0},"schema":"https://github.com/citation-style-language/schema/raw/master/csl-citation.json"}</w:instrText>
      </w:r>
      <w:r>
        <w:rPr>
          <w:szCs w:val="24"/>
        </w:rPr>
        <w:fldChar w:fldCharType="separate"/>
      </w:r>
      <w:r w:rsidRPr="0060413E">
        <w:rPr>
          <w:noProof/>
          <w:szCs w:val="24"/>
        </w:rPr>
        <w:t>(Roig-Villanova and Martínez-García, 2016; Huber et al., 2021)</w:t>
      </w:r>
      <w:r>
        <w:rPr>
          <w:szCs w:val="24"/>
        </w:rPr>
        <w:fldChar w:fldCharType="end"/>
      </w:r>
      <w:r>
        <w:rPr>
          <w:szCs w:val="24"/>
        </w:rPr>
        <w:t xml:space="preserve"> and touch </w:t>
      </w:r>
      <w:r>
        <w:rPr>
          <w:szCs w:val="24"/>
        </w:rPr>
        <w:fldChar w:fldCharType="begin" w:fldLock="1"/>
      </w:r>
      <w:r>
        <w:rPr>
          <w:szCs w:val="24"/>
        </w:rPr>
        <w:instrText>ADDIN CSL_CITATION {"citationItems":[{"id":"ITEM-1","itemData":{"DOI":"10.1046/j.1365-313X.2003.01637.x","ISSN":"09607412","author":[{"dropping-particle":"","family":"Massa","given":"Gioia D.","non-dropping-particle":"","parse-names":false,"suffix":""},{"dropping-particle":"","family":"Gilroy","given":"Simon","non-dropping-particle":"","parse-names":false,"suffix":""}],"container-title":"The Plant Journal","id":"ITEM-1","issue":"3","issued":{"date-parts":[["2003","2"]]},"page":"435-445","title":"Touch modulates gravity sensing to regulate the growth of primary roots of Arabidopsis thaliana","type":"article-journal","volume":"33"},"uris":["http://www.mendeley.com/documents/?uuid=1c00b8f6-1a84-4e64-ab86-b228cfcdc13e"]},{"id":"ITEM-2","itemData":{"DOI":"10.1111/pce.12728","ISSN":"0140-7791","author":[{"dropping-particle":"","family":"Zhou","given":"Li Hong","non-dropping-particle":"","parse-names":false,"suffix":""},{"dropping-particle":"","family":"Liu","given":"Shao Bao","non-dropping-particle":"","parse-names":false,"suffix":""},{"dropping-particle":"","family":"Wang","given":"Peng Fei","non-dropping-particle":"","parse-names":false,"suffix":""},{"dropping-particle":"","family":"Lu","given":"Tian Jian","non-dropping-particle":"","parse-names":false,"suffix":""},{"dropping-particle":"","family":"Xu","given":"Feng","non-dropping-particle":"","parse-names":false,"suffix":""},{"dropping-particle":"","family":"Genin","given":"Guy M.","non-dropping-particle":"","parse-names":false,"suffix":""},{"dropping-particle":"","family":"Pickard","given":"Barbara G.","non-dropping-particle":"","parse-names":false,"suffix":""}],"container-title":"Plant, Cell &amp; Environment","id":"ITEM-2","issue":"5","issued":{"date-parts":[["2017","5","4"]]},"page":"611-621","title":"The Arabidopsis trichome is an active mechanosensory switch","type":"article-journal","volume":"40"},"uris":["http://www.mendeley.com/documents/?uuid=7ee90fda-a86f-4fc4-90e5-bf60e9bfd839"]}],"mendeley":{"formattedCitation":"(Massa and Gilroy, 2003; Zhou et al., 2017)","plainTextFormattedCitation":"(Massa and Gilroy, 2003; Zhou et al., 2017)","previouslyFormattedCitation":"(Massa and Gilroy, 2003; Zhou et al., 2017)"},"properties":{"noteIndex":0},"schema":"https://github.com/citation-style-language/schema/raw/master/csl-citation.json"}</w:instrText>
      </w:r>
      <w:r>
        <w:rPr>
          <w:szCs w:val="24"/>
        </w:rPr>
        <w:fldChar w:fldCharType="separate"/>
      </w:r>
      <w:r w:rsidRPr="009B4A52">
        <w:rPr>
          <w:noProof/>
          <w:szCs w:val="24"/>
        </w:rPr>
        <w:t>(Massa and Gilroy, 2003; Zhou et al., 2017)</w:t>
      </w:r>
      <w:r>
        <w:rPr>
          <w:szCs w:val="24"/>
        </w:rPr>
        <w:fldChar w:fldCharType="end"/>
      </w:r>
      <w:r>
        <w:rPr>
          <w:szCs w:val="24"/>
        </w:rPr>
        <w:t xml:space="preserve">. Whereas belowground, plants have been </w:t>
      </w:r>
      <w:r w:rsidR="00D3782B">
        <w:rPr>
          <w:szCs w:val="24"/>
        </w:rPr>
        <w:t>observed</w:t>
      </w:r>
      <w:r>
        <w:rPr>
          <w:szCs w:val="24"/>
        </w:rPr>
        <w:t xml:space="preserve"> to use root exudates </w:t>
      </w:r>
      <w:r>
        <w:rPr>
          <w:szCs w:val="24"/>
        </w:rPr>
        <w:fldChar w:fldCharType="begin" w:fldLock="1"/>
      </w:r>
      <w:r w:rsidR="005536FC">
        <w:rPr>
          <w:szCs w:val="24"/>
        </w:rPr>
        <w:instrText>ADDIN CSL_CITATION {"citationItems":[{"id":"ITEM-1","itemData":{"PMID":"20539778","abstract":"Though recent work has demonstrated that plants can recognize species, kin versus strangers, and self/non-self roots, no mechanism for identity recognition in plants has yet been found. Here we examined the role of soluble chemicals in signaling among roots. Utilizing Arabidopsis thaliana, we exposed young seedlings to liquid media containing exudates from siblings, strangers (non-siblings), or only their own exudates. In one experiment, root secretions were inhibited by sodium orthovanadate and root length and number of lateral roots were measured. In a second experiment, responses to siblings, strangers, and their own exudates were measured for several accessions (genotypes), and the traits of length of the longest lateral root and hypocotyl length were also measured. The exposure of plants to the root exudates of strangers induced greater lateral root formation than exposure of plants to sibling exudates. Stranger recognition was abolished upon treatment with the secretion inhibitor. In one experiment, plants exposed to sibling or stranger exudates have shorter roots than plants only exposed to their own exudates. This self/non-self recognition response was not affected by the secretion inhibitor. The results demonstrate that that kin recognition and self/non-self are two separate identity recognition systems involving soluble chemicals. Kin recognition requires active secretion by roots.","author":[{"dropping-particle":"","family":"Biedrzycki","given":"Meredith L","non-dropping-particle":"","parse-names":false,"suffix":""},{"dropping-particle":"","family":"Jilany","given":"Tafari A","non-dropping-particle":"","parse-names":false,"suffix":""},{"dropping-particle":"","family":"Dudley","given":"Susan A","non-dropping-particle":"","parse-names":false,"suffix":""},{"dropping-particle":"","family":"Bais","given":"Harsh P","non-dropping-particle":"","parse-names":false,"suffix":""}],"container-title":"Communicative &amp; Integrative biology","id":"ITEM-1","issue":"1","issued":{"date-parts":[["2010","1"]]},"page":"28-35","publisher":"Taylor &amp; Francis","title":"Root exudates mediate kin recognition in plants.","type":"article-journal","volume":"3"},"uris":["http://www.mendeley.com/documents/?uuid=3de2dc97-1bb1-3e42-b868-a34c9e440b2d"]},{"id":"ITEM-2","itemData":{"DOI":"10.1038/s41467-018-06429-1","ISSN":"2041-1723","author":[{"dropping-particle":"","family":"Kong","given":"Chui-Hua","non-dropping-particle":"","parse-names":false,"suffix":""},{"dropping-particle":"","family":"Zhang","given":"Song-Zhu","non-dropping-particle":"","parse-names":false,"suffix":""},{"dropping-particle":"","family":"Li","given":"Yong-Hua","non-dropping-particle":"","parse-names":false,"suffix":""},{"dropping-particle":"","family":"Xia","given":"Zhi-Chao","non-dropping-particle":"","parse-names":false,"suffix":""},{"dropping-particle":"","family":"Yang","given":"Xue-Fang","non-dropping-particle":"","parse-names":false,"suffix":""},{"dropping-particle":"","family":"Meiners","given":"Scott J.","non-dropping-particle":"","parse-names":false,"suffix":""},{"dropping-particle":"","family":"Wang","given":"Peng","non-dropping-particle":"","parse-names":false,"suffix":""}],"container-title":"Nature Communications","id":"ITEM-2","issue":"1","issued":{"date-parts":[["2018","12","24"]]},"page":"3867","title":"Plant neighbor detection and allelochemical response are driven by root-secreted signaling chemicals","type":"article-journal","volume":"9"},"uris":["http://www.mendeley.com/documents/?uuid=ed434030-e65c-3266-bb4f-d2cb579ec9ea"]},{"id":"ITEM-3","itemData":{"DOI":"10.1111/nph.15296","ISSN":"14698137","abstract":"Kin recognition is an important mediator of interactions within individuals of a species. Despite increasing evidence of kin recognition in natural plant populations, relatively little is known about kin recognition in crop species where numerous cultivars have been generated by artificial selection. We identified rice (Oryza sativa) cultivars with the ability for kin recognition from two sets of indica-inbred and indica-hybrid lines at different levels of genetic relatedness. We then assessed this ability among kin and nonkin and tested potential mechanisms in a series of controlled experiments and field trails. Rice cultivars with the ability for kin recognition were capable of detecting the presence of kin and nonkin and responded to them by altering root behavior and biomass allocation, particularly for grain yield. Furthermore, we assessed the role of root exudates and found a root-secreted nitrogen-rich allantoin component to be responsible for kin recognition in rice lines. Kin recognition in rice lines mediated by root exudates occurs in a cultivar-dependent manner. Rice cultivars with the ability for kin recognition may increase grain yield in the presence of kin. Such an improvement of grain yield by kin recognition of cultivar mixtures offers many implications and applications in rice production.","author":[{"dropping-particle":"","family":"Yang","given":"Xue Fang","non-dropping-particle":"","parse-names":false,"suffix":""},{"dropping-particle":"","family":"Li","given":"Lei Lei","non-dropping-particle":"","parse-names":false,"suffix":""},{"dropping-particle":"","family":"Xu","given":"You","non-dropping-particle":"","parse-names":false,"suffix":""},{"dropping-particle":"","family":"Kong","given":"Chui Hua","non-dropping-particle":"","parse-names":false,"suffix":""}],"container-title":"New Phytologist","id":"ITEM-3","issue":"2","issued":{"date-parts":[["2018","10","1"]]},"page":"567-578","publisher":"Blackwell Publishing Ltd","title":"Kin recognition in rice (Oryza sativa) lines","type":"article-journal","volume":"220"},"uris":["http://www.mendeley.com/documents/?uuid=b16268a0-a6bd-378e-905e-ecdd46be0ad4"]},{"id":"ITEM-4","itemData":{"DOI":"10.1111/pce.13892","ISSN":"0140-7791","author":[{"dropping-particle":"","family":"Wang","given":"Nan</w:instrText>
      </w:r>
      <w:r w:rsidR="005536FC">
        <w:rPr>
          <w:rFonts w:ascii="Cambria Math" w:hAnsi="Cambria Math" w:cs="Cambria Math"/>
          <w:szCs w:val="24"/>
        </w:rPr>
        <w:instrText>‐</w:instrText>
      </w:r>
      <w:r w:rsidR="005536FC">
        <w:rPr>
          <w:szCs w:val="24"/>
        </w:rPr>
        <w:instrText>Qi","non-dropping-particle":"","parse-names":false,"suffix":""},{"dropping-particle":"","family":"Kong","given":"Chui</w:instrText>
      </w:r>
      <w:r w:rsidR="005536FC">
        <w:rPr>
          <w:rFonts w:ascii="Cambria Math" w:hAnsi="Cambria Math" w:cs="Cambria Math"/>
          <w:szCs w:val="24"/>
        </w:rPr>
        <w:instrText>‐</w:instrText>
      </w:r>
      <w:r w:rsidR="005536FC">
        <w:rPr>
          <w:szCs w:val="24"/>
        </w:rPr>
        <w:instrText>Hua","non-dropping-particle":"","parse-names":false,"suffix":""},{"dropping-particle":"","family":"Wang","given":"Peng","non-dropping-particle":"","parse-names":false,"suffix":""},{"dropping-particle":"","family":"Meiners","given":"Scott J.","non-dropping-particle":"","parse-names":false,"suffix":""}],"container-title":"Plant, Cell &amp; Environment","id":"ITEM-4","issue":"4","issued":{"date-parts":[["2021","4","7"]]},"page":"1044-1058","title":"Root exudate signals in plant–plant interactions","type":"article-journal","volume":"44"},"uris":["http://www.mendeley.com/documents/?uuid=ded10ba8-49ef-4767-9b7d-9b5253ad6db1"]}],"mendeley":{"formattedCitation":"(Biedrzycki et al., 2010; Yang et al., 2018; Kong et al., 2018; Wang et al., 2021)","plainTextFormattedCitation":"(Biedrzycki et al., 2010; Yang et al., 2018; Kong et al., 2018; Wang et al., 2021)","previouslyFormattedCitation":"(Biedrzycki et al., 2010; Yang et al., 2018; Kong et al., 2018; Wang et al., 2021)"},"properties":{"noteIndex":0},"schema":"https://github.com/citation-style-language/schema/raw/master/csl-citation.json"}</w:instrText>
      </w:r>
      <w:r>
        <w:rPr>
          <w:szCs w:val="24"/>
        </w:rPr>
        <w:fldChar w:fldCharType="separate"/>
      </w:r>
      <w:r w:rsidR="00D3782B" w:rsidRPr="00D3782B">
        <w:rPr>
          <w:noProof/>
          <w:szCs w:val="24"/>
        </w:rPr>
        <w:t>(Biedrzycki et al., 2010; Yang et al., 2018; Kong et al., 2018; Wang et al., 2021)</w:t>
      </w:r>
      <w:r>
        <w:rPr>
          <w:szCs w:val="24"/>
        </w:rPr>
        <w:fldChar w:fldCharType="end"/>
      </w:r>
      <w:r>
        <w:rPr>
          <w:szCs w:val="24"/>
        </w:rPr>
        <w:t xml:space="preserve"> to detect neighbours. However, there has been a difficulty in defining the importance of each mechanism as, one mechanism can often influence another and some mechanisms such as light and touch are unlikely to provide detailed information about the identity of the neighbour</w:t>
      </w:r>
      <w:r w:rsidR="00D3782B">
        <w:rPr>
          <w:szCs w:val="24"/>
        </w:rPr>
        <w:t xml:space="preserve"> in question</w:t>
      </w:r>
      <w:r>
        <w:rPr>
          <w:szCs w:val="24"/>
        </w:rPr>
        <w:t xml:space="preserve"> </w:t>
      </w:r>
      <w:r>
        <w:rPr>
          <w:szCs w:val="24"/>
        </w:rPr>
        <w:fldChar w:fldCharType="begin" w:fldLock="1"/>
      </w:r>
      <w:r>
        <w:rPr>
          <w:szCs w:val="24"/>
        </w:rPr>
        <w:instrText>ADDIN CSL_CITATION {"citationItems":[{"id":"ITEM-1","itemData":{"DOI":"10.1111/pce.13965","ISSN":"0140-7791","author":[{"dropping-particle":"","family":"Bilas","given":"Roza D.","non-dropping-particle":"","parse-names":false,"suffix":""},{"dropping-particle":"","family":"Bretman","given":"Amanda","non-dropping-particle":"","parse-names":false,"suffix":""},{"dropping-particle":"","family":"Bennett","given":"Tom","non-dropping-particle":"","parse-names":false,"suffix":""}],"container-title":"Plant, Cell &amp; Environment","id":"ITEM-1","issue":"4","issued":{"date-parts":[["2021","4","15"]]},"page":"997-1013","title":"Friends, neighbours and enemies: an overview of the communal and social biology of plants","type":"article-journal","volume":"44"},"uris":["http://www.mendeley.com/documents/?uuid=6f5d77a1-17e6-4994-9d2e-af28f1a99d3c"]}],"mendeley":{"formattedCitation":"(Bilas et al., 2021)","plainTextFormattedCitation":"(Bilas et al., 2021)","previouslyFormattedCitation":"(Bilas et al., 2021)"},"properties":{"noteIndex":0},"schema":"https://github.com/citation-style-language/schema/raw/master/csl-citation.json"}</w:instrText>
      </w:r>
      <w:r>
        <w:rPr>
          <w:szCs w:val="24"/>
        </w:rPr>
        <w:fldChar w:fldCharType="separate"/>
      </w:r>
      <w:r w:rsidRPr="0065310B">
        <w:rPr>
          <w:noProof/>
          <w:szCs w:val="24"/>
        </w:rPr>
        <w:t>(Bilas et al., 2021)</w:t>
      </w:r>
      <w:r>
        <w:rPr>
          <w:szCs w:val="24"/>
        </w:rPr>
        <w:fldChar w:fldCharType="end"/>
      </w:r>
      <w:r>
        <w:rPr>
          <w:szCs w:val="24"/>
        </w:rPr>
        <w:t>.</w:t>
      </w:r>
    </w:p>
    <w:p w14:paraId="610E3640" w14:textId="77777777" w:rsidR="00836C2F" w:rsidRDefault="00836C2F" w:rsidP="00EC23E7">
      <w:pPr>
        <w:spacing w:line="480" w:lineRule="auto"/>
        <w:rPr>
          <w:szCs w:val="24"/>
        </w:rPr>
      </w:pPr>
    </w:p>
    <w:p w14:paraId="73B54EEF" w14:textId="113E823C" w:rsidR="00EC23E7" w:rsidRDefault="00836C2F" w:rsidP="00743E4C">
      <w:pPr>
        <w:pStyle w:val="Heading3"/>
      </w:pPr>
      <w:bookmarkStart w:id="13" w:name="_Toc154331426"/>
      <w:r w:rsidRPr="00836C2F">
        <w:t>Neighbour density studies are often confounded by soil volume</w:t>
      </w:r>
      <w:bookmarkEnd w:id="13"/>
    </w:p>
    <w:p w14:paraId="5B158E07" w14:textId="77777777" w:rsidR="00836C2F" w:rsidRPr="00836C2F" w:rsidRDefault="00836C2F" w:rsidP="00836C2F"/>
    <w:p w14:paraId="13F5F1B9" w14:textId="1B234BCE" w:rsidR="00EC23E7" w:rsidRDefault="00EC23E7" w:rsidP="00EC23E7">
      <w:pPr>
        <w:spacing w:line="480" w:lineRule="auto"/>
        <w:rPr>
          <w:szCs w:val="24"/>
        </w:rPr>
      </w:pPr>
      <w:r>
        <w:rPr>
          <w:szCs w:val="24"/>
        </w:rPr>
        <w:t xml:space="preserve">Understanding plant growth in the context of crowded scenarios in laboratory settings has often been complicated by confounding variables in the experimental design. An example of this are split root studies, </w:t>
      </w:r>
      <w:r w:rsidR="00D3782B">
        <w:rPr>
          <w:szCs w:val="24"/>
        </w:rPr>
        <w:t>which</w:t>
      </w:r>
      <w:r>
        <w:rPr>
          <w:szCs w:val="24"/>
        </w:rPr>
        <w:t xml:space="preserve"> can be set up in several different ways but generally involve two plants grown in the same pot, but the root systems are separated whether that be via a solid divider or some form of root impermeable barrier, or </w:t>
      </w:r>
      <w:r w:rsidR="00D3782B">
        <w:rPr>
          <w:szCs w:val="24"/>
        </w:rPr>
        <w:t xml:space="preserve">alternatively </w:t>
      </w:r>
      <w:r>
        <w:rPr>
          <w:szCs w:val="24"/>
        </w:rPr>
        <w:t xml:space="preserve">plants are grown in different pots but their roots can span between them </w:t>
      </w:r>
      <w:r>
        <w:rPr>
          <w:szCs w:val="24"/>
        </w:rPr>
        <w:fldChar w:fldCharType="begin" w:fldLock="1"/>
      </w:r>
      <w:r>
        <w:rPr>
          <w:szCs w:val="24"/>
        </w:rPr>
        <w:instrText>ADDIN CSL_CITATION {"citationItems":[{"id":"ITEM-1","itemData":{"DOI":"10.2307/3599566","abstract":"1 Competition usually involves the allocation of limiting resources to non-reproductive functions. Natural selection is expected to favour mechanisms that increase competition with non-self neighbours and limit wasteful competition with self. 2 We used Pisum sativum plants that had two roots and 'double plants' with two shoots and two roots that could be either longitudinally separated into two genetically identical but physiologically distinct individuals or left intact. 3 Root development was significantly greater in split-root plants whose neighbours belonged to different plants. Furthermore, root development was relatively greater in the presence of roots of a different plant, regardless of its identity. This discrimination had a vectorial component whereby plants developed more and longer lateral roots towards neighbouring roots of different plants than towards other roots of the same plant. 4 The results thus demonstrate a mechanism of avoiding self-competition that is based on physiological co-ordination among different organs of the same plant rather than on allochemical recognition that depends on genetic differences. 5 The ability to discriminate between self and non-self could be expected to increase resource use efficiency and ecological performance in plants. It could also be expected that tight physiological co-ordination will be selected for between organs of the same plant that have greater probability of being engaged in direct competitive interactions with each other.","author":[{"dropping-particle":"","family":"Falik","given":"Omer","non-dropping-particle":"","parse-names":false,"suffix":""},{"dropping-particle":"","family":"Reides","given":"Perla","non-dropping-particle":"","parse-names":false,"suffix":""},{"dropping-particle":"","family":"Gersani","given":"Mordechai","non-dropping-particle":"","parse-names":false,"suffix":""},{"dropping-particle":"","family":"Novoplansky","given":"Ariel","non-dropping-particle":"","parse-names":false,"suffix":""}],"container-title":"Journal of Ecology","id":"ITEM-1","issued":{"date-parts":[["2003"]]},"page":"525-531","publisher":"British Ecological Society","title":"Self/Non-Self discrimination in roots","type":"article","volume":"91"},"uris":["http://www.mendeley.com/documents/?uuid=2426e450-67f2-333c-b688-6bfc280b4823"]},{"id":"ITEM-2","itemData":{"DOI":"10.1046/j.0022-0477.2001.00609.x","ISSN":"0022-0477","author":[{"dropping-particle":"","family":"Gersani","given":"Mordechai","non-dropping-particle":"","parse-names":false,"suffix":""},{"dropping-particle":"","family":"Brown","given":"Joel s.","non-dropping-particle":"","parse-names":false,"suffix":""},{"dropping-particle":"","family":"O'Brien","given":"Erin E.","non-dropping-particle":"","parse-names":false,"suffix":""},{"dropping-particle":"","family":"Maina","given":"Godfrey M.","non-dropping-particle":"","parse-names":false,"suffix":""},{"dropping-particle":"","family":"Abramsky","given":"Zvika","non-dropping-particle":"","parse-names":false,"suffix":""}],"container-title":"Journal of Ecology","id":"ITEM-2","issue":"4","issued":{"date-parts":[["2001","8","1"]]},"page":"660-669","publisher":"John Wiley &amp; Sons, Ltd (10.1111)","title":"Tragedy of the commons as a result of root competition","type":"article-journal","volume":"89"},"uris":["http://www.mendeley.com/documents/?uuid=e4fdc5fb-f1f5-3a4c-8e11-8124bfbfa292"]},{"id":"ITEM-3","itemData":{"abstract":"Root competition inhibits root proliferation. All else equal, a plant should invest roots in a nutrient patch devoid of roots rather than one already occupied by roots. Less clear is how a plant should respond to intra-plant versus inter-plant root competition. We consider three responses for how a plant may select habitats based on intra-versus inter-plant root competition: inter-plant avoidance, resource matching, or intra-plant avoidance. The first assumes that plants prefer to have their own space and preferentially proliferate roots away from neighboring plants. The second response, based on the ideal free distribution, assumes that plants invest so as to equalize average returns from roots, regardless of the identity of the neighboring roots. The third, based on game theory, assumes that the plant proliferates roots so as to maximize whole-plant fitness, in which case it is better to proliferate plants among a neighbor's roots than to continue proliferating amongst one's own roots. To test among these models we grew beans (Phaseolus varigaris, var. Kenya) in a greenhouse under two planting scenarios. Both scenario were tested under 0.5 and 0.1 strength of nutrient solution. Under scenario A (fence-sitters), two split-root plants each shared two patches by virtue of having roots in each. Under scenario B (owners) two plants each had their own patch. The results supported the game theory model of intra-plant avoidance (whole plant habitat selection). Fence-sitters produced 150% more root mass per individual than owners. Owners produced 90% more yield (dry mass of pods) than fence-sitters. Furthermore, owners had significantly higher shoot-root ratios than fence-sitters. These effects did not vary with high or low nutrient levels. The over-proliferation of roots under inter-plant competition (fence-sitters) was manifest by the tenth day after planting. In short, the fence-sitters engaged in a tragedy of the commons in which they competed with each other through root proliferation. At the ESS, the fitness maximizing strategy of the individual is to sacrifice collective yield in a quest to 'steal' nutrients from its neighbor. The research has three implications. First, plants may be able to assess and respond to local opportunities in a manner that maximizes the good of the whole plant. Second, nutrient foraging as a game may provide a fresh perceptive for viewing root competition either intra-specifically or inter-specifically. Third, it may be possib…","author":[{"dropping-particle":"","family":"Maina","given":"Godfrey G","non-dropping-particle":"","parse-names":false,"suffix":""},{"dropping-particle":"","family":"Brown","given":"Joel S","non-dropping-particle":"","parse-names":false,"suffix":""},{"dropping-particle":"","family":"Gersani","given":"Mordechai","non-dropping-particle":"","parse-names":false,"suffix":""}],"container-title":"Plant Ecology","id":"ITEM-3","issued":{"date-parts":[["2002"]]},"page":"235-247","title":"Intra-plant versus Inter-plant Root Competition in Beans: avoidance, resource matching or tragedy of the commons","type":"article-journal","volume":"160"},"uris":["http://www.mendeley.com/documents/?uuid=b9ec15e1-61ec-3937-86a7-8d5064d05242"]},{"id":"ITEM-4","itemData":{"DOI":"10.1111/j.1469-8137.2005.01520.x","ISSN":"0028-646X","author":[{"dropping-particle":"","family":"O'Brien","given":"Erin E.","non-dropping-particle":"","parse-names":false,"suffix":""},{"dropping-particle":"","family":"Gersani","given":"Mordechai","non-dropping-particle":"","parse-names":false,"suffix":""},{"dropping-particle":"","family":"Brown","given":"Joel S.","non-dropping-particle":"","parse-names":false,"suffix":""}],"container-title":"New Phytologist","id":"ITEM-4","issue":"2","issued":{"date-parts":[["2005","11","12"]]},"page":"401-412","title":"Root proliferation and seed yield in response to spatial heterogeneity of below</w:instrText>
      </w:r>
      <w:r>
        <w:rPr>
          <w:rFonts w:ascii="Cambria Math" w:hAnsi="Cambria Math" w:cs="Cambria Math"/>
          <w:szCs w:val="24"/>
        </w:rPr>
        <w:instrText>‐</w:instrText>
      </w:r>
      <w:r>
        <w:rPr>
          <w:szCs w:val="24"/>
        </w:rPr>
        <w:instrText>ground competition","type":"article-journal","volume":"168"},"uris":["http://www.mendeley.com/documents/?uuid=58db8a88-7949-4b40-8eab-5d05526673a3"]},{"id":"ITEM-5","itemData":{"DOI":"10.1111/j.1365-2745.2006.01204.x","ISSN":"00220477","author":[{"dropping-particle":"","family":"Hess","given":"LINDE","non-dropping-particle":"","parse-names":false,"suffix":""},{"dropping-particle":"","family":"Kroon","given":"HANS","non-dropping-particle":"De","parse-names":false,"suffix":""}],"container-title":"Journal of Ecology","id":"ITEM-5","issue":"2","issued":{"date-parts":[["2007","3","1"]]},"page":"241-251","publisher":"Blackwell Publishing Ltd","title":"Effects of rooting volume and nutrient availability as an alternative explanation for root self/non-self discrimination","type":"article-journal","volume":"95"},"uris":["http://www.mendeley.com/documents/?uuid=5fc49568-90d0-3a0e-a766-6790f0134f1f"]}],"mendeley":{"formattedCitation":"(Gersani et al., 2001; Maina et al., 2002; Falik et al., 2003; O’Brien et al., 2005; Hess and De Kroon, 2007)","plainTextFormattedCitation":"(Gersani et al., 2001; Maina et al., 2002; Falik et al., 2003; O’Brien et al., 2005; Hess and De Kroon, 2007)","previouslyFormattedCitation":"(Gersani et al., 2001; Maina et al., 2002; Falik et al., 2003; O’Brien et al., 2005; Hess and De Kroon, 2007)"},"properties":{"noteIndex":0},"schema":"https://github.com/citation-style-language/schema/raw/master/csl-citation.json"}</w:instrText>
      </w:r>
      <w:r>
        <w:rPr>
          <w:szCs w:val="24"/>
        </w:rPr>
        <w:fldChar w:fldCharType="separate"/>
      </w:r>
      <w:r w:rsidRPr="009E356E">
        <w:rPr>
          <w:noProof/>
          <w:szCs w:val="24"/>
        </w:rPr>
        <w:t>(Gersani et al., 2001; Maina et al., 2002; Falik et al., 2003; O’Brien et al., 2005; Hess and De Kroon, 2007)</w:t>
      </w:r>
      <w:r>
        <w:rPr>
          <w:szCs w:val="24"/>
        </w:rPr>
        <w:fldChar w:fldCharType="end"/>
      </w:r>
      <w:r>
        <w:rPr>
          <w:szCs w:val="24"/>
        </w:rPr>
        <w:t xml:space="preserve">. Assessing the response of the root system to the other plant in the setup is a common way </w:t>
      </w:r>
      <w:r w:rsidR="00C42DCD">
        <w:rPr>
          <w:szCs w:val="24"/>
        </w:rPr>
        <w:t xml:space="preserve">of </w:t>
      </w:r>
      <w:r>
        <w:rPr>
          <w:szCs w:val="24"/>
        </w:rPr>
        <w:t xml:space="preserve">quantifying the positive or negative influence </w:t>
      </w:r>
      <w:r>
        <w:rPr>
          <w:szCs w:val="24"/>
        </w:rPr>
        <w:lastRenderedPageBreak/>
        <w:t>the other plant has, for example to determine if the response is competitive, passive or cooperative. These studies have led to observations where roots are seen to over-proliferate when two plants share the pot</w:t>
      </w:r>
      <w:r w:rsidR="005536FC">
        <w:rPr>
          <w:szCs w:val="24"/>
        </w:rPr>
        <w:t>,</w:t>
      </w:r>
      <w:r>
        <w:rPr>
          <w:szCs w:val="24"/>
        </w:rPr>
        <w:t xml:space="preserve"> suggesting competition for the space in which they both occupy</w:t>
      </w:r>
      <w:r w:rsidR="005536FC">
        <w:rPr>
          <w:szCs w:val="24"/>
        </w:rPr>
        <w:t xml:space="preserve"> </w:t>
      </w:r>
      <w:r w:rsidR="005536FC">
        <w:rPr>
          <w:szCs w:val="24"/>
        </w:rPr>
        <w:fldChar w:fldCharType="begin" w:fldLock="1"/>
      </w:r>
      <w:r w:rsidR="00D5536E">
        <w:rPr>
          <w:szCs w:val="24"/>
        </w:rPr>
        <w:instrText>ADDIN CSL_CITATION {"citationItems":[{"id":"ITEM-1","itemData":{"abstract":"Root competition inhibits root proliferation. All else equal, a plant should invest roots in a nutrient patch devoid of roots rather than one already occupied by roots. Less clear is how a plant should respond to intra-plant versus inter-plant root competition. We consider three responses for how a plant may select habitats based on intra-versus inter-plant root competition: inter-plant avoidance, resource matching, or intra-plant avoidance. The first assumes that plants prefer to have their own space and preferentially proliferate roots away from neighboring plants. The second response, based on the ideal free distribution, assumes that plants invest so as to equalize average returns from roots, regardless of the identity of the neighboring roots. The third, based on game theory, assumes that the plant proliferates roots so as to maximize whole-plant fitness, in which case it is better to proliferate plants among a neighbor's roots than to continue proliferating amongst one's own roots. To test among these models we grew beans (Phaseolus varigaris, var. Kenya) in a greenhouse under two planting scenarios. Both scenario were tested under 0.5 and 0.1 strength of nutrient solution. Under scenario A (fence-sitters), two split-root plants each shared two patches by virtue of having roots in each. Under scenario B (owners) two plants each had their own patch. The results supported the game theory model of intra-plant avoidance (whole plant habitat selection). Fence-sitters produced 150% more root mass per individual than owners. Owners produced 90% more yield (dry mass of pods) than fence-sitters. Furthermore, owners had significantly higher shoot-root ratios than fence-sitters. These effects did not vary with high or low nutrient levels. The over-proliferation of roots under inter-plant competition (fence-sitters) was manifest by the tenth day after planting. In short, the fence-sitters engaged in a tragedy of the commons in which they competed with each other through root proliferation. At the ESS, the fitness maximizing strategy of the individual is to sacrifice collective yield in a quest to 'steal' nutrients from its neighbor. The research has three implications. First, plants may be able to assess and respond to local opportunities in a manner that maximizes the good of the whole plant. Second, nutrient foraging as a game may provide a fresh perceptive for viewing root competition either intra-specifically or inter-specifically. Third, it may be possib…","author":[{"dropping-particle":"","family":"Maina","given":"Godfrey G","non-dropping-particle":"","parse-names":false,"suffix":""},{"dropping-particle":"","family":"Brown","given":"Joel S","non-dropping-particle":"","parse-names":false,"suffix":""},{"dropping-particle":"","family":"Gersani","given":"Mordechai","non-dropping-particle":"","parse-names":false,"suffix":""}],"container-title":"Plant Ecology","id":"ITEM-1","issued":{"date-parts":[["2002"]]},"page":"235-247","title":"Intra-plant versus Inter-plant Root Competition in Beans: avoidance, resource matching or tragedy of the commons","type":"article-journal","volume":"160"},"uris":["http://www.mendeley.com/documents/?uuid=b9ec15e1-61ec-3937-86a7-8d5064d05242"]},{"id":"ITEM-2","itemData":{"DOI":"10.1046/j.0022-0477.2001.00609.x","ISSN":"0022-0477","author":[{"dropping-particle":"","family":"Gersani","given":"Mordechai","non-dropping-particle":"","parse-names":false,"suffix":""},{"dropping-particle":"","family":"Brown","given":"Joel s.","non-dropping-particle":"","parse-names":false,"suffix":""},{"dropping-particle":"","family":"O'Brien","given":"Erin E.","non-dropping-particle":"","parse-names":false,"suffix":""},{"dropping-particle":"","family":"Maina","given":"Godfrey M.","non-dropping-particle":"","parse-names":false,"suffix":""},{"dropping-particle":"","family":"Abramsky","given":"Zvika","non-dropping-particle":"","parse-names":false,"suffix":""}],"container-title":"Journal of Ecology","id":"ITEM-2","issue":"4","issued":{"date-parts":[["2001","8","1"]]},"page":"660-669","publisher":"John Wiley &amp; Sons, Ltd (10.1111)","title":"Tragedy of the commons as a result of root competition","type":"article-journal","volume":"89"},"uris":["http://www.mendeley.com/documents/?uuid=e4fdc5fb-f1f5-3a4c-8e11-8124bfbfa292"]}],"mendeley":{"formattedCitation":"(Gersani et al., 2001; Maina et al., 2002)","plainTextFormattedCitation":"(Gersani et al., 2001; Maina et al., 2002)","previouslyFormattedCitation":"(Gersani et al., 2001; Maina et al., 2002)"},"properties":{"noteIndex":0},"schema":"https://github.com/citation-style-language/schema/raw/master/csl-citation.json"}</w:instrText>
      </w:r>
      <w:r w:rsidR="005536FC">
        <w:rPr>
          <w:szCs w:val="24"/>
        </w:rPr>
        <w:fldChar w:fldCharType="separate"/>
      </w:r>
      <w:r w:rsidR="005536FC" w:rsidRPr="005536FC">
        <w:rPr>
          <w:noProof/>
          <w:szCs w:val="24"/>
        </w:rPr>
        <w:t>(Gersani et al., 2001; Maina et al., 2002)</w:t>
      </w:r>
      <w:r w:rsidR="005536FC">
        <w:rPr>
          <w:szCs w:val="24"/>
        </w:rPr>
        <w:fldChar w:fldCharType="end"/>
      </w:r>
      <w:r>
        <w:rPr>
          <w:szCs w:val="24"/>
        </w:rPr>
        <w:t xml:space="preserve">. Split root studies however are highly problematic as soil volume and nutrient availability are rarely controlled for </w:t>
      </w:r>
      <w:r w:rsidR="005536FC">
        <w:rPr>
          <w:szCs w:val="24"/>
        </w:rPr>
        <w:t>which consequently</w:t>
      </w:r>
      <w:r>
        <w:rPr>
          <w:szCs w:val="24"/>
        </w:rPr>
        <w:t xml:space="preserve"> bring</w:t>
      </w:r>
      <w:r w:rsidR="005536FC">
        <w:rPr>
          <w:szCs w:val="24"/>
        </w:rPr>
        <w:t>s</w:t>
      </w:r>
      <w:r>
        <w:rPr>
          <w:szCs w:val="24"/>
        </w:rPr>
        <w:t xml:space="preserve"> in to question the real value of the observations </w:t>
      </w:r>
      <w:r>
        <w:rPr>
          <w:szCs w:val="24"/>
        </w:rPr>
        <w:fldChar w:fldCharType="begin" w:fldLock="1"/>
      </w:r>
      <w:r w:rsidR="005536FC">
        <w:rPr>
          <w:szCs w:val="24"/>
        </w:rPr>
        <w:instrText>ADDIN CSL_CITATION {"citationItems":[{"id":"ITEM-1","itemData":{"DOI":"10.1111/j.1365-2745.2006.01204.x","ISSN":"00220477","author":[{"dropping-particle":"","family":"Hess","given":"LINDE","non-dropping-particle":"","parse-names":false,"suffix":""},{"dropping-particle":"","family":"Kroon","given":"HANS","non-dropping-particle":"De","parse-names":false,"suffix":""}],"container-title":"Journal of Ecology","id":"ITEM-1","issue":"2","issued":{"date-parts":[["2007","3","1"]]},"page":"241-251","publisher":"Blackwell Publishing Ltd","title":"Effects of rooting volume and nutrient availability as an alternative explanation for root self/non-self discrimination","type":"article-journal","volume":"95"},"uris":["http://www.mendeley.com/documents/?uuid=5fc49568-90d0-3a0e-a766-6790f0134f1f"]},{"id":"ITEM-2","itemData":{"DOI":"10.1111/j.1365-2745.2007.01210.x","ISSN":"00220477","author":[{"dropping-particle":"","family":"Semchenko","given":"Marina","non-dropping-particle":"","parse-names":false,"suffix":""},{"dropping-particle":"","family":"Hutchings","given":"Michael J.","non-dropping-particle":"","parse-names":false,"suffix":""},{"dropping-particle":"","family":"John","given":"Elizabeth A.","non-dropping-particle":"","parse-names":false,"suffix":""}],"container-title":"Journal of Ecology","id":"ITEM-2","issue":"2","issued":{"date-parts":[["2007","3","1"]]},"page":"252-260","publisher":"John Wiley &amp; Sons, Ltd (10.1111)","title":"Challenging the tragedy of the commons in root competition: confounding effects of neighbour presence and substrate volume","type":"article-journal","volume":"95"},"uris":["http://www.mendeley.com/documents/?uuid=1946910d-5607-3724-afcf-b4a59cdcaea6"]},{"id":"ITEM-3","itemData":{"DOI":"10.1111/j.1365-2745.2006.01124.x","ISSN":"00220477","author":[{"dropping-particle":"","family":"Schenk","given":"H. JOCHEN","non-dropping-particle":"","parse-names":false,"suffix":""}],"container-title":"Journal of Ecology","id":"ITEM-3","issue":"4","issued":{"date-parts":[["2006","7"]]},"page":"725-739","title":"Root competition: beyond resource depletion","type":"article-journal","volume":"94"},"uris":["http://www.mendeley.com/documents/?uuid=2ea56c5f-fd8d-3833-ab4b-b068a1d2f2ee"]}],"mendeley":{"formattedCitation":"(Schenk, 2006; Hess and De Kroon, 2007; Semchenko et al., 2007)","plainTextFormattedCitation":"(Schenk, 2006; Hess and De Kroon, 2007; Semchenko et al., 2007)","previouslyFormattedCitation":"(Schenk, 2006; Hess and De Kroon, 2007; Semchenko et al., 2007)"},"properties":{"noteIndex":0},"schema":"https://github.com/citation-style-language/schema/raw/master/csl-citation.json"}</w:instrText>
      </w:r>
      <w:r>
        <w:rPr>
          <w:szCs w:val="24"/>
        </w:rPr>
        <w:fldChar w:fldCharType="separate"/>
      </w:r>
      <w:r w:rsidR="005536FC" w:rsidRPr="005536FC">
        <w:rPr>
          <w:noProof/>
          <w:szCs w:val="24"/>
        </w:rPr>
        <w:t>(Schenk, 2006; Hess and De Kroon, 2007; Semchenko et al., 2007)</w:t>
      </w:r>
      <w:r>
        <w:rPr>
          <w:szCs w:val="24"/>
        </w:rPr>
        <w:fldChar w:fldCharType="end"/>
      </w:r>
      <w:r>
        <w:rPr>
          <w:szCs w:val="24"/>
        </w:rPr>
        <w:t xml:space="preserve">. </w:t>
      </w:r>
      <w:r w:rsidR="005536FC">
        <w:rPr>
          <w:szCs w:val="24"/>
        </w:rPr>
        <w:t>Conflicting o</w:t>
      </w:r>
      <w:r>
        <w:rPr>
          <w:szCs w:val="24"/>
        </w:rPr>
        <w:t xml:space="preserve">ther studies </w:t>
      </w:r>
      <w:r w:rsidR="005536FC">
        <w:rPr>
          <w:szCs w:val="24"/>
        </w:rPr>
        <w:t xml:space="preserve">have </w:t>
      </w:r>
      <w:r>
        <w:rPr>
          <w:szCs w:val="24"/>
        </w:rPr>
        <w:t xml:space="preserve">however failed to see the same root based responses to neighbouring plants, in that no over-growth of roots was seen </w:t>
      </w:r>
      <w:r>
        <w:rPr>
          <w:szCs w:val="24"/>
        </w:rPr>
        <w:fldChar w:fldCharType="begin" w:fldLock="1"/>
      </w:r>
      <w:r>
        <w:rPr>
          <w:szCs w:val="24"/>
        </w:rPr>
        <w:instrText>ADDIN CSL_CITATION {"citationItems":[{"id":"ITEM-1","itemData":{"DOI":"10.1111/j.1365-2745.2007.01210.x","ISSN":"00220477","author":[{"dropping-particle":"","family":"Semchenko","given":"Marina","non-dropping-particle":"","parse-names":false,"suffix":""},{"dropping-particle":"","family":"Hutchings","given":"Michael J.","non-dropping-particle":"","parse-names":false,"suffix":""},{"dropping-particle":"","family":"John","given":"Elizabeth A.","non-dropping-particle":"","parse-names":false,"suffix":""}],"container-title":"Journal of Ecology","id":"ITEM-1","issue":"2","issued":{"date-parts":[["2007","3","1"]]},"page":"252-260","publisher":"John Wiley &amp; Sons, Ltd (10.1111)","title":"Challenging the tragedy of the commons in root competition: confounding effects of neighbour presence and substrate volume","type":"article-journal","volume":"95"},"uris":["http://www.mendeley.com/documents/?uuid=1946910d-5607-3724-afcf-b4a59cdcaea6"]},{"id":"ITEM-2","itemData":{"DOI":"10.1071/FP11130","ISSN":"1445-4408","abstract":"Plants are reported to over-proliferate roots in response to belowground competition, thereby reducing reproductive biomass. This has been cited as an instance of the ‘tragedy of the commons’. Many of the studies that report this response suggest that plants can sense neighbours and discriminate between ‘self’ and ‘non-self’ roots. To test the alternate hypothesis that root responses to a neighbouring plant are mediated by resource depletion, common bean plants were supplied with the same phosphorus (P) fertiliser dose in varying rooting volumes, or with neighbouring plants separated by plastic film, nylon mesh, or no barrier to vary access to a neighbour. Phosphorus concentration, but not the presence of a neighbour or rooting volume, strongly influenced biomass allocation to roots. Root architecture was significantly altered by both neighbours and P availability. When exposed to the roots of a neighbour, plants altered the vertical and horizontal distribution of roots, placing fewer roots in soil domains occupied by roots of a neighbour. These results support the hypothesis that root responses to neighbouring plants are mediated by resource depletion by the neighbour rather than sensing of ‘non-self’ roots and show that the presence of a neighbour may affect root architecture without affecting biomass allocation to roots.","author":[{"dropping-particle":"","family":"Nord","given":"Eric A.","non-dropping-particle":"","parse-names":false,"suffix":""},{"dropping-particle":"","family":"Zhang","given":"Chaochun","non-dropping-particle":"","parse-names":false,"suffix":""},{"dropping-particle":"","family":"Lynch","given":"Jonathan P.","non-dropping-particle":"","parse-names":false,"suffix":""}],"container-title":"Functional Plant Biology","id":"ITEM-2","issue":"12","issued":{"date-parts":[["2011"]]},"page":"941","title":"Root responses to neighbouring plants in common bean are mediated by nutrient concentration rather than self/non-self recognition","type":"article-journal","volume":"38"},"uris":["http://www.mendeley.com/documents/?uuid=f8cbc041-84be-433d-8f26-f4a273c04a03"]},{"id":"ITEM-3","itemData":{"DOI":"10.1111/1365-2745.12259","ISSN":"00220477","author":[{"dropping-particle":"","family":"McNickle","given":"Gordon G.","non-dropping-particle":"","parse-names":false,"suffix":""},{"dropping-particle":"","family":"Brown","given":"Joel S.","non-dropping-particle":"","parse-names":false,"suffix":""}],"container-title":"Journal of Ecology","editor":[{"dropping-particle":"","family":"Schwinning","given":"Susan","non-dropping-particle":"","parse-names":false,"suffix":""}],"id":"ITEM-3","issue":"4","issued":{"date-parts":[["2014","7"]]},"page":"963-971","title":"An ideal free distribution explains the root production of plants that do not engage in a tragedy of the commons game","type":"article-journal","volume":"102"},"uris":["http://www.mendeley.com/documents/?uuid=6ef8937d-bf08-421f-8dbe-481a8bd549d3"]}],"mendeley":{"formattedCitation":"(Semchenko et al., 2007; Nord et al., 2011; McNickle and Brown, 2014)","plainTextFormattedCitation":"(Semchenko et al., 2007; Nord et al., 2011; McNickle and Brown, 2014)","previouslyFormattedCitation":"(Semchenko et al., 2007; Nord et al., 2011; McNickle and Brown, 2014)"},"properties":{"noteIndex":0},"schema":"https://github.com/citation-style-language/schema/raw/master/csl-citation.json"}</w:instrText>
      </w:r>
      <w:r>
        <w:rPr>
          <w:szCs w:val="24"/>
        </w:rPr>
        <w:fldChar w:fldCharType="separate"/>
      </w:r>
      <w:r w:rsidRPr="008F0685">
        <w:rPr>
          <w:noProof/>
          <w:szCs w:val="24"/>
        </w:rPr>
        <w:t>(Semchenko et al., 2007; Nord et al., 2011; McNickle and Brown, 2014)</w:t>
      </w:r>
      <w:r>
        <w:rPr>
          <w:szCs w:val="24"/>
        </w:rPr>
        <w:fldChar w:fldCharType="end"/>
      </w:r>
      <w:r>
        <w:rPr>
          <w:szCs w:val="24"/>
        </w:rPr>
        <w:t>, and hence McNickle and Brown (2014) aimed to explain this by suggesting it was due to species specific responses. Nevertheless, these studies were also hindered by failing to control for soil volume</w:t>
      </w:r>
      <w:r w:rsidR="00D5536E">
        <w:rPr>
          <w:szCs w:val="24"/>
        </w:rPr>
        <w:t xml:space="preserve"> in their experimental design</w:t>
      </w:r>
      <w:r>
        <w:rPr>
          <w:szCs w:val="24"/>
        </w:rPr>
        <w:t xml:space="preserve">. </w:t>
      </w:r>
    </w:p>
    <w:p w14:paraId="5D46F7CF" w14:textId="77777777" w:rsidR="00EC23E7" w:rsidRDefault="00EC23E7" w:rsidP="00EC23E7">
      <w:pPr>
        <w:spacing w:line="480" w:lineRule="auto"/>
        <w:rPr>
          <w:szCs w:val="24"/>
        </w:rPr>
      </w:pPr>
      <w:r>
        <w:rPr>
          <w:szCs w:val="24"/>
        </w:rPr>
        <w:t xml:space="preserve">After many studies with questionable experimental designs, a study in pea carefully controlled for soil volume and nutrient availability in their split root scenarios, and uncovered that root biomass was decreased in crowded scenarios compared to singly grown plants </w:t>
      </w:r>
      <w:r>
        <w:rPr>
          <w:szCs w:val="24"/>
        </w:rPr>
        <w:fldChar w:fldCharType="begin" w:fldLock="1"/>
      </w:r>
      <w:r>
        <w:rPr>
          <w:szCs w:val="24"/>
        </w:rPr>
        <w:instrText>ADDIN CSL_CITATION {"citationItems":[{"id":"ITEM-1","itemData":{"DOI":"10.1111/1365-2435.12450","ISSN":"02698463","author":[{"dropping-particle":"","family":"Chen","given":"Bin J. W.","non-dropping-particle":"","parse-names":false,"suffix":""},{"dropping-particle":"","family":"During","given":"Heinjo J.","non-dropping-particle":"","parse-names":false,"suffix":""},{"dropping-particle":"","family":"Vermeulen","given":"Peter J.","non-dropping-particle":"","parse-names":false,"suffix":""},{"dropping-particle":"","family":"Kroon","given":"Hans","non-dropping-particle":"de","parse-names":false,"suffix":""},{"dropping-particle":"","family":"Poorter","given":"Hendrik","non-dropping-particle":"","parse-names":false,"suffix":""},{"dropping-particle":"","family":"Anten","given":"Niels P. R.","non-dropping-particle":"","parse-names":false,"suffix":""}],"container-title":"Functional Ecology","editor":[{"dropping-particle":"","family":"Schweitzer","given":"Jennifer","non-dropping-particle":"","parse-names":false,"suffix":""}],"id":"ITEM-1","issue":"11","issued":{"date-parts":[["2015","11","1"]]},"page":"1383-1391","publisher":"John Wiley &amp; Sons, Ltd (10.1111)","title":"Corrections for rooting volume and plant size reveal negative effects of neighbour presence on root allocation in pea","type":"article-journal","volume":"29"},"uris":["http://www.mendeley.com/documents/?uuid=23998397-b726-37a6-8670-bc9e235a0c30"]}],"mendeley":{"formattedCitation":"(Chen et al., 2015)","plainTextFormattedCitation":"(Chen et al., 2015)","previouslyFormattedCitation":"(Chen et al., 2015)"},"properties":{"noteIndex":0},"schema":"https://github.com/citation-style-language/schema/raw/master/csl-citation.json"}</w:instrText>
      </w:r>
      <w:r>
        <w:rPr>
          <w:szCs w:val="24"/>
        </w:rPr>
        <w:fldChar w:fldCharType="separate"/>
      </w:r>
      <w:r w:rsidRPr="001663FB">
        <w:rPr>
          <w:noProof/>
          <w:szCs w:val="24"/>
        </w:rPr>
        <w:t>(Chen et al., 2015)</w:t>
      </w:r>
      <w:r>
        <w:rPr>
          <w:szCs w:val="24"/>
        </w:rPr>
        <w:fldChar w:fldCharType="end"/>
      </w:r>
      <w:r>
        <w:rPr>
          <w:szCs w:val="24"/>
        </w:rPr>
        <w:t xml:space="preserve">. Despite the success of this experiment, no defined mechanism as to how the plants integrate soil volume and the presence of neighbouring plants was established. </w:t>
      </w:r>
    </w:p>
    <w:p w14:paraId="61EFA89E" w14:textId="77777777" w:rsidR="009C0CC2" w:rsidRDefault="009C0CC2" w:rsidP="00EC23E7">
      <w:pPr>
        <w:spacing w:line="480" w:lineRule="auto"/>
        <w:rPr>
          <w:strike/>
          <w:szCs w:val="24"/>
        </w:rPr>
      </w:pPr>
    </w:p>
    <w:p w14:paraId="771912E2" w14:textId="77777777" w:rsidR="00A52190" w:rsidRPr="00D12FBA" w:rsidRDefault="00A52190" w:rsidP="00EC23E7">
      <w:pPr>
        <w:spacing w:line="480" w:lineRule="auto"/>
        <w:rPr>
          <w:strike/>
          <w:szCs w:val="24"/>
        </w:rPr>
      </w:pPr>
    </w:p>
    <w:p w14:paraId="6A3525BF" w14:textId="05ECA756" w:rsidR="00EC23E7" w:rsidRDefault="009C0CC2" w:rsidP="00743E4C">
      <w:pPr>
        <w:pStyle w:val="Heading3"/>
      </w:pPr>
      <w:bookmarkStart w:id="14" w:name="_Toc154331427"/>
      <w:r w:rsidRPr="009C0CC2">
        <w:lastRenderedPageBreak/>
        <w:t>Neighbour density in agricultural settings</w:t>
      </w:r>
      <w:bookmarkEnd w:id="14"/>
    </w:p>
    <w:p w14:paraId="354B131B" w14:textId="77777777" w:rsidR="009C0CC2" w:rsidRPr="009C0CC2" w:rsidRDefault="009C0CC2" w:rsidP="009C0CC2"/>
    <w:p w14:paraId="0D101B9E" w14:textId="6015BACE" w:rsidR="00EC23E7" w:rsidRDefault="00EC23E7" w:rsidP="00EC23E7">
      <w:pPr>
        <w:spacing w:line="480" w:lineRule="auto"/>
        <w:rPr>
          <w:szCs w:val="24"/>
        </w:rPr>
      </w:pPr>
      <w:r>
        <w:rPr>
          <w:szCs w:val="24"/>
        </w:rPr>
        <w:t xml:space="preserve">Plants are densely sown in agricultural settings </w:t>
      </w:r>
      <w:r>
        <w:rPr>
          <w:szCs w:val="24"/>
        </w:rPr>
        <w:fldChar w:fldCharType="begin" w:fldLock="1"/>
      </w:r>
      <w:r w:rsidR="002A655D">
        <w:rPr>
          <w:szCs w:val="24"/>
        </w:rPr>
        <w:instrText>ADDIN CSL_CITATION {"citationItems":[{"id":"ITEM-1","itemData":{"DOI":"10.3389/fpls.2016.00944","ISSN":"1664-462X","PMID":"27446171","abstract":"Studies on the function of root traits and the genetic variation in these traits are often conducted under controlled conditions using individual potted plants. Little is known about root growth under field conditions and how root traits are affected by agronomic practices in particular sowing density. We hypothesized that with increasing sowing density, root length density (root length per soil volume, cm cm(-3)) increases in the topsoil as well as specific root length (root length per root dry weight, cm g(-1)) due to greater investment in fine roots. Therefore, we studied two spring barley cultivars at ten different sowing densities (24-340 seeds m(-2)) in 2 consecutive years in a clay loam field in Germany and established sowing density dose-response curves for several root and shoot traits. We took soil cores for measuring roots up to a depth of 60 cm in and between plant rows (inter-row distance 21 cm). Root length density increased with increasing sowing density and was greatest in the plant row in the topsoil (0-10 cm). Greater sowing density increased specific root length partly through greater production of fine roots in the topsoil. Rooting depth (D50) of the major root axes (root diameter class 0.4-1.0 mm) was not affected. Root mass fraction decreased, while stem mass fraction increased with sowing density and over time. Leaf mass fraction was constant over sowing density but greater leaf area was realized through increased specific leaf area. Considering fertilization, we assume that light competition caused plants to grow more shoot mass at the cost of investment into roots, which is partly compensated by increased specific root length and shallow rooting. Increased biomass per area with greater densities suggest that density increases the efficiency of the cropping system, however, declines in harvest index at densities over 230 plants m(-2) suggest that this efficiency did not translate into greater yield. We conclude that plant density is a modifier of root architecture and that root traits and their utility in breeding for greater productivity have to be understood in the context of high sowing densities.","author":[{"dropping-particle":"","family":"Hecht","given":"Vera L","non-dropping-particle":"","parse-names":false,"suffix":""},{"dropping-particle":"","family":"Temperton","given":"Vicky M","non-dropping-particle":"","parse-names":false,"suffix":""},{"dropping-particle":"","family":"Nagel","given":"Kerstin A","non-dropping-particle":"","parse-names":false,"suffix":""},{"dropping-particle":"","family":"Rascher","given":"Uwe","non-dropping-particle":"","parse-names":false,"suffix":""},{"dropping-particle":"","family":"Postma","given":"Johannes A","non-dropping-particle":"","parse-names":false,"suffix":""}],"container-title":"Frontiers in plant science","id":"ITEM-1","issued":{"date-parts":[["2016"]]},"page":"944","publisher":"Frontiers Media SA","title":"Sowing density: A neglected factor fundamentally affecting root distribution and biomass allocation of field grown spring barley (Hordeum Vulgare L.).","type":"article-journal","volume":"7"},"uris":["http://www.mendeley.com/documents/?uuid=dc1d2700-06b5-303e-bbc1-0d14b3ce1e0f"]}],"mendeley":{"formattedCitation":"(Hecht et al., 2016)","plainTextFormattedCitation":"(Hecht et al., 2016)","previouslyFormattedCitation":"(Hecht et al., 2016)"},"properties":{"noteIndex":0},"schema":"https://github.com/citation-style-language/schema/raw/master/csl-citation.json"}</w:instrText>
      </w:r>
      <w:r>
        <w:rPr>
          <w:szCs w:val="24"/>
        </w:rPr>
        <w:fldChar w:fldCharType="separate"/>
      </w:r>
      <w:r w:rsidRPr="00471AAF">
        <w:rPr>
          <w:noProof/>
          <w:szCs w:val="24"/>
        </w:rPr>
        <w:t>(Hecht et al., 2016)</w:t>
      </w:r>
      <w:r>
        <w:rPr>
          <w:szCs w:val="24"/>
        </w:rPr>
        <w:fldChar w:fldCharType="end"/>
      </w:r>
      <w:r>
        <w:rPr>
          <w:szCs w:val="24"/>
        </w:rPr>
        <w:t xml:space="preserve"> and given the ever-increasing global population, the ability to produce more food per area of land is of great societal importance. In the UK for example, a benchmark of 260 wheat plants/m</w:t>
      </w:r>
      <w:r w:rsidRPr="00D25C21">
        <w:rPr>
          <w:szCs w:val="24"/>
          <w:vertAlign w:val="superscript"/>
        </w:rPr>
        <w:t>2</w:t>
      </w:r>
      <w:r>
        <w:rPr>
          <w:szCs w:val="24"/>
        </w:rPr>
        <w:t xml:space="preserve"> and 305 barley plants/m</w:t>
      </w:r>
      <w:r w:rsidRPr="00D84010">
        <w:rPr>
          <w:szCs w:val="24"/>
          <w:vertAlign w:val="superscript"/>
        </w:rPr>
        <w:t>2</w:t>
      </w:r>
      <w:r>
        <w:rPr>
          <w:szCs w:val="24"/>
        </w:rPr>
        <w:t xml:space="preserve"> is currently recommended </w:t>
      </w:r>
      <w:r>
        <w:rPr>
          <w:szCs w:val="24"/>
        </w:rPr>
        <w:fldChar w:fldCharType="begin" w:fldLock="1"/>
      </w:r>
      <w:r>
        <w:rPr>
          <w:szCs w:val="24"/>
        </w:rPr>
        <w:instrText>ADDIN CSL_CITATION {"citationItems":[{"id":"ITEM-1","itemData":{"author":[{"dropping-particle":"","family":"AHDB Cereals &amp; Oilseeds","given":"","non-dropping-particle":"","parse-names":false,"suffix":""}],"id":"ITEM-1","issued":{"date-parts":[["2023"]]},"number-of-pages":"1-44","publisher":"Agriculture and Horticulture Development Board","publisher-place":"Coventry","title":"Wheat Growth Guide","type":"book"},"uris":["http://www.mendeley.com/documents/?uuid=bec48e48-9995-49d6-a273-70a090ae5421"]},{"id":"ITEM-2","itemData":{"DOI":"https://ahdb.org.uk/knowledge-library/barley-growth-guide","author":[{"dropping-particle":"","family":"AHDB Cereals &amp; Oilseeds","given":"","non-dropping-particle":"","parse-names":false,"suffix":""}],"id":"ITEM-2","issued":{"date-parts":[["2023"]]},"number-of-pages":"1-40","publisher":"Agriculture and Horticulture Development Board","publisher-place":"Coventry","title":"Barley Growth Guide","type":"book"},"uris":["http://www.mendeley.com/documents/?uuid=5abd9990-1135-4f69-b666-12e6b263fbd7"]}],"mendeley":{"formattedCitation":"(AHDB Cereals &amp; Oilseeds, 2023b; AHDB Cereals &amp; Oilseeds, 2023a)","plainTextFormattedCitation":"(AHDB Cereals &amp; Oilseeds, 2023b; AHDB Cereals &amp; Oilseeds, 2023a)","previouslyFormattedCitation":"(AHDB Cereals &amp; Oilseeds, 2023b; AHDB Cereals &amp; Oilseeds, 2023a)"},"properties":{"noteIndex":0},"schema":"https://github.com/citation-style-language/schema/raw/master/csl-citation.json"}</w:instrText>
      </w:r>
      <w:r>
        <w:rPr>
          <w:szCs w:val="24"/>
        </w:rPr>
        <w:fldChar w:fldCharType="separate"/>
      </w:r>
      <w:r w:rsidRPr="00D84010">
        <w:rPr>
          <w:noProof/>
          <w:szCs w:val="24"/>
        </w:rPr>
        <w:t>(AHDB Cereals &amp; Oilseeds, 2023b; AHDB Cereals &amp; Oilseeds, 2023a)</w:t>
      </w:r>
      <w:r>
        <w:rPr>
          <w:szCs w:val="24"/>
        </w:rPr>
        <w:fldChar w:fldCharType="end"/>
      </w:r>
      <w:r>
        <w:rPr>
          <w:szCs w:val="24"/>
        </w:rPr>
        <w:t xml:space="preserve">. The responses of plants to neighbour density have been studied for well over a century </w:t>
      </w:r>
      <w:r>
        <w:rPr>
          <w:szCs w:val="24"/>
        </w:rPr>
        <w:fldChar w:fldCharType="begin" w:fldLock="1"/>
      </w:r>
      <w:r>
        <w:rPr>
          <w:szCs w:val="24"/>
        </w:rPr>
        <w:instrText>ADDIN CSL_CITATION {"citationItems":[{"id":"ITEM-1","itemData":{"author":[{"dropping-particle":"","family":"Hickman","given":"J.F.","non-dropping-particle":"","parse-names":false,"suffix":""}],"container-title":"Bulletin of the Ohio Agricultural Experiment Station","id":"ITEM-1","issued":{"date-parts":[["1889"]]},"page":"9-10","title":"Experiments in wheat seeding: Comparative test of varieties of wheat","type":"article-journal","volume":"ll"},"uris":["http://www.mendeley.com/documents/?uuid=9304ae77-bb06-43a5-af0e-8fcefa04e9e2"]}],"mendeley":{"formattedCitation":"(Hickman, 1889)","plainTextFormattedCitation":"(Hickman, 1889)","previouslyFormattedCitation":"(Hickman, 1889)"},"properties":{"noteIndex":0},"schema":"https://github.com/citation-style-language/schema/raw/master/csl-citation.json"}</w:instrText>
      </w:r>
      <w:r>
        <w:rPr>
          <w:szCs w:val="24"/>
        </w:rPr>
        <w:fldChar w:fldCharType="separate"/>
      </w:r>
      <w:r w:rsidRPr="00022D91">
        <w:rPr>
          <w:noProof/>
          <w:szCs w:val="24"/>
        </w:rPr>
        <w:t>(Hickman, 1889)</w:t>
      </w:r>
      <w:r>
        <w:rPr>
          <w:szCs w:val="24"/>
        </w:rPr>
        <w:fldChar w:fldCharType="end"/>
      </w:r>
      <w:r>
        <w:rPr>
          <w:szCs w:val="24"/>
        </w:rPr>
        <w:t xml:space="preserve"> and remain highly relevant today. When the density of planting increases, this results in decreased space between the neighbouring plants. The effect of density on maize (</w:t>
      </w:r>
      <w:r w:rsidRPr="003B774C">
        <w:rPr>
          <w:i/>
          <w:iCs/>
          <w:szCs w:val="24"/>
        </w:rPr>
        <w:t>Zea mays</w:t>
      </w:r>
      <w:r>
        <w:rPr>
          <w:szCs w:val="24"/>
        </w:rPr>
        <w:t>) had strong effects on dry biomass as when plants were sown in densities between 1.5- 18 plants/m</w:t>
      </w:r>
      <w:r w:rsidRPr="002C1BFB">
        <w:rPr>
          <w:szCs w:val="24"/>
          <w:vertAlign w:val="superscript"/>
        </w:rPr>
        <w:t>2</w:t>
      </w:r>
      <w:r>
        <w:rPr>
          <w:szCs w:val="24"/>
        </w:rPr>
        <w:t xml:space="preserve">, total biomass increased as density increased, however, the individual biomass and the seed produced per plant decreased </w:t>
      </w:r>
      <w:r>
        <w:rPr>
          <w:szCs w:val="24"/>
        </w:rPr>
        <w:fldChar w:fldCharType="begin" w:fldLock="1"/>
      </w:r>
      <w:r w:rsidR="003C795E">
        <w:rPr>
          <w:szCs w:val="24"/>
        </w:rPr>
        <w:instrText>ADDIN CSL_CITATION {"citationItems":[{"id":"ITEM-1","itemData":{"DOI":"10.2134/agronj14.0522","ISSN":"0002-1962","abstract":"Modern maize ( Zea mays L.) hybrids are generally regarded as strongly population dependent because maximum grain yields (GYs) per area are achieved primarily in high</w:instrText>
      </w:r>
      <w:r w:rsidR="003C795E">
        <w:rPr>
          <w:rFonts w:ascii="Cambria Math" w:hAnsi="Cambria Math" w:cs="Cambria Math"/>
          <w:szCs w:val="24"/>
        </w:rPr>
        <w:instrText>‐</w:instrText>
      </w:r>
      <w:r w:rsidR="003C795E">
        <w:rPr>
          <w:szCs w:val="24"/>
        </w:rPr>
        <w:instrText>density populations. This study was conducted to analyze changes in density independence with plant density based on the response of GY, dry matter (DM) accumulation, and the harvest index (HI) to changes in plant density. Two modern cultivars, ZhengDan958 and ZhongDan909, were planted at 12 densities ranging from 1.5 to 18 plants m −2 . The experiment was conducted for 3 yr, with drip irrigation and plastic mulching, at the 71 Group and Qitai Farms located in Xinjiang, China. With increased plant density, DM accumulation per area increased logarithmically, the HI decreased according to a cubic curve, and GY per area increased quadratically; the optimum density was 10.57 plants m −2 . Further analysis showed that the response of GY per area, DM per area, and the HI to changes in plant density could be divided into four density ranges: Range I (≤4.7 plants m −2 ), in which DM per area, the HI, and GY per area were significantly affected by density; Range II (4.7–8.3 plants m −2 ), in which the HI was unaffected by density but DM per area and GY per area were significantly affected; Range III (8.3–10.75 plants m −2 ), in which GY per area was unaffected by density but DM per area and the HI were significantly affected; and Range IV (≥10.7 plants m −2 ), in which DM per area was unaffected by density but the HI and GY per area were significantly affected. These results indicated that Range II is a density</w:instrText>
      </w:r>
      <w:r w:rsidR="003C795E">
        <w:rPr>
          <w:rFonts w:ascii="Cambria Math" w:hAnsi="Cambria Math" w:cs="Cambria Math"/>
          <w:szCs w:val="24"/>
        </w:rPr>
        <w:instrText>‐</w:instrText>
      </w:r>
      <w:r w:rsidR="003C795E">
        <w:rPr>
          <w:szCs w:val="24"/>
        </w:rPr>
        <w:instrText>independent range and Range III is a GY</w:instrText>
      </w:r>
      <w:r w:rsidR="003C795E">
        <w:rPr>
          <w:rFonts w:ascii="Cambria Math" w:hAnsi="Cambria Math" w:cs="Cambria Math"/>
          <w:szCs w:val="24"/>
        </w:rPr>
        <w:instrText>‐</w:instrText>
      </w:r>
      <w:r w:rsidR="003C795E">
        <w:rPr>
          <w:szCs w:val="24"/>
        </w:rPr>
        <w:instrText>stable range.","author":[{"dropping-particle":"","family":"Li","given":"J.","non-dropping-particle":"","parse-names":false,"suffix":""},{"dropping-particle":"","family":"Xie","given":"R. Z.","non-dropping-particle":"","parse-names":false,"suffix":""},{"dropping-particle":"","family":"Wang","given":"K. R.","non-dropping-particle":"","parse-names":false,"suffix":""},{"dropping-particle":"","family":"Ming","given":"B.","non-dropping-particle":"","parse-names":false,"suffix":""},{"dropping-particle":"","family":"Guo","given":"Y. Q.","non-dropping-particle":"","parse-names":false,"suffix":""},{"dropping-particle":"","family":"Zhang","given":"G. Q.","non-dropping-particle":"","parse-names":false,"suffix":""},{"dropping-particle":"","family":"Li","given":"S. K.","non-dropping-particle":"","parse-names":false,"suffix":""}],"container-title":"Agronomy Journal","id":"ITEM-1","issue":"3","issued":{"date-parts":[["2015","5"]]},"page":"829-834","title":"Variations in maize dry matter, harvest index, and grain yield with plant density","type":"article-journal","volume":"107"},"uris":["http://www.mendeley.com/documents/?uuid=9f7a23e4-a771-4c4e-ad33-27fc70eb0667"]}],"mendeley":{"formattedCitation":"(Li et al., 2015)","plainTextFormattedCitation":"(Li et al., 2015)","previouslyFormattedCitation":"(Li et al., 2015)"},"properties":{"noteIndex":0},"schema":"https://github.com/citation-style-language/schema/raw/master/csl-citation.json"}</w:instrText>
      </w:r>
      <w:r>
        <w:rPr>
          <w:szCs w:val="24"/>
        </w:rPr>
        <w:fldChar w:fldCharType="separate"/>
      </w:r>
      <w:r w:rsidRPr="00D71F3E">
        <w:rPr>
          <w:noProof/>
          <w:szCs w:val="24"/>
        </w:rPr>
        <w:t>(Li et al., 2015)</w:t>
      </w:r>
      <w:r>
        <w:rPr>
          <w:szCs w:val="24"/>
        </w:rPr>
        <w:fldChar w:fldCharType="end"/>
      </w:r>
      <w:r>
        <w:rPr>
          <w:szCs w:val="24"/>
        </w:rPr>
        <w:t xml:space="preserve">. Support for these findings comes from a meta-analysis of neighbour density experiments across a wide range of species, and they identified that with increased sowing density this resulted in a reduction in tiller number (branch number), biomass and total seed mass of the individual plants </w:t>
      </w:r>
      <w:r>
        <w:rPr>
          <w:szCs w:val="24"/>
        </w:rPr>
        <w:fldChar w:fldCharType="begin" w:fldLock="1"/>
      </w:r>
      <w:r>
        <w:rPr>
          <w:szCs w:val="24"/>
        </w:rPr>
        <w:instrText>ADDIN CSL_CITATION {"citationItems":[{"id":"ITEM-1","itemData":{"DOI":"10.1111/pce.13968","ISSN":"0140-7791","abstract":"Plant population density is an important variable in agronomy and forestry and offers an experimental way to better understand plant–plant competition. We made a meta</w:instrText>
      </w:r>
      <w:r>
        <w:rPr>
          <w:rFonts w:ascii="Cambria Math" w:hAnsi="Cambria Math" w:cs="Cambria Math"/>
          <w:szCs w:val="24"/>
        </w:rPr>
        <w:instrText>‐</w:instrText>
      </w:r>
      <w:r>
        <w:rPr>
          <w:szCs w:val="24"/>
        </w:rPr>
        <w:instrText>analysis of responses of even</w:instrText>
      </w:r>
      <w:r>
        <w:rPr>
          <w:rFonts w:ascii="Cambria Math" w:hAnsi="Cambria Math" w:cs="Cambria Math"/>
          <w:szCs w:val="24"/>
        </w:rPr>
        <w:instrText>‐</w:instrText>
      </w:r>
      <w:r>
        <w:rPr>
          <w:szCs w:val="24"/>
        </w:rPr>
        <w:instrText>aged mono</w:instrText>
      </w:r>
      <w:r>
        <w:rPr>
          <w:rFonts w:ascii="Cambria Math" w:hAnsi="Cambria Math" w:cs="Cambria Math"/>
          <w:szCs w:val="24"/>
        </w:rPr>
        <w:instrText>‐</w:instrText>
      </w:r>
      <w:r>
        <w:rPr>
          <w:szCs w:val="24"/>
        </w:rPr>
        <w:instrText>specific stands to population density by quantifying for 3 stand and 33 individual plant variables in 334 experiments how much both plant biomass and phenotypic traits change with a doubling in density. Increasing density increases standing crop per area, but decreases the mean size of its individuals, mostly through reduced tillering and branching. Among the phenotypic traits, stem diameter is negatively affected, but plant height remains remarkably similar, partly due to an increased stem length</w:instrText>
      </w:r>
      <w:r>
        <w:rPr>
          <w:rFonts w:ascii="Cambria Math" w:hAnsi="Cambria Math" w:cs="Cambria Math"/>
          <w:szCs w:val="24"/>
        </w:rPr>
        <w:instrText>‐</w:instrText>
      </w:r>
      <w:r>
        <w:rPr>
          <w:szCs w:val="24"/>
        </w:rPr>
        <w:instrText>to</w:instrText>
      </w:r>
      <w:r>
        <w:rPr>
          <w:rFonts w:ascii="Cambria Math" w:hAnsi="Cambria Math" w:cs="Cambria Math"/>
          <w:szCs w:val="24"/>
        </w:rPr>
        <w:instrText>‐</w:instrText>
      </w:r>
      <w:r>
        <w:rPr>
          <w:szCs w:val="24"/>
        </w:rPr>
        <w:instrText>mass ratio and partly by increased allocation to stems. The reduction in biomass is caused by a lower photosynthetic rate, mainly due to shading of part of the foliage. Total seed mass per plant is also strongly reduced, marginally by lower mass per seed, but mainly because of lower seed numbers. Plants generally have fewer shoot</w:instrText>
      </w:r>
      <w:r>
        <w:rPr>
          <w:rFonts w:ascii="Cambria Math" w:hAnsi="Cambria Math" w:cs="Cambria Math"/>
          <w:szCs w:val="24"/>
        </w:rPr>
        <w:instrText>‐</w:instrText>
      </w:r>
      <w:r>
        <w:rPr>
          <w:szCs w:val="24"/>
        </w:rPr>
        <w:instrText>born roots, but their overall rooting depth seems hardly affected. The phenotypic plasticity responses to high densities correlate strongly with those to low light, and less with those to low nutrients, suggesting that at high density, shading affects plants more than nutrient depletion.","author":[{"dropping-particle":"","family":"Postma","given":"Johannes A.","non-dropping-particle":"","parse-names":false,"suffix":""},{"dropping-particle":"","family":"Hecht","given":"Vera L.","non-dropping-particle":"","parse-names":false,"suffix":""},{"dropping-particle":"","family":"Hikosaka","given":"Kouki","non-dropping-particle":"","parse-names":false,"suffix":""},{"dropping-particle":"","family":"Nord","given":"Eric A.","non-dropping-particle":"","parse-names":false,"suffix":""},{"dropping-particle":"","family":"Pons","given":"Thijs L.","non-dropping-particle":"","parse-names":false,"suffix":""},{"dropping-particle":"","family":"Poorter","given":"Hendrik","non-dropping-particle":"","parse-names":false,"suffix":""}],"container-title":"Plant, Cell &amp; Environment","id":"ITEM-1","issue":"4","issued":{"date-parts":[["2021","4","29"]]},"page":"1072-1094","title":"Dividing the pie: A quantitative review on plant density responses","type":"article-journal","volume":"44"},"uris":["http://www.mendeley.com/documents/?uuid=00cd269a-084b-483e-b7b2-ab64257dc25a"]}],"mendeley":{"formattedCitation":"(Postma et al., 2021)","plainTextFormattedCitation":"(Postma et al., 2021)","previouslyFormattedCitation":"(Postma et al., 2021)"},"properties":{"noteIndex":0},"schema":"https://github.com/citation-style-language/schema/raw/master/csl-citation.json"}</w:instrText>
      </w:r>
      <w:r>
        <w:rPr>
          <w:szCs w:val="24"/>
        </w:rPr>
        <w:fldChar w:fldCharType="separate"/>
      </w:r>
      <w:r w:rsidRPr="000319E4">
        <w:rPr>
          <w:noProof/>
          <w:szCs w:val="24"/>
        </w:rPr>
        <w:t>(Postma et al., 2021)</w:t>
      </w:r>
      <w:r>
        <w:rPr>
          <w:szCs w:val="24"/>
        </w:rPr>
        <w:fldChar w:fldCharType="end"/>
      </w:r>
      <w:r>
        <w:rPr>
          <w:szCs w:val="24"/>
        </w:rPr>
        <w:t>. The role of sowing density on root system architecture in field settings has been minimally studied, but in barley</w:t>
      </w:r>
      <w:r w:rsidR="00D5536E">
        <w:rPr>
          <w:szCs w:val="24"/>
        </w:rPr>
        <w:t>,</w:t>
      </w:r>
      <w:r>
        <w:rPr>
          <w:szCs w:val="24"/>
        </w:rPr>
        <w:t xml:space="preserve"> increased sowing density </w:t>
      </w:r>
      <w:r w:rsidR="00D5536E">
        <w:rPr>
          <w:szCs w:val="24"/>
        </w:rPr>
        <w:t xml:space="preserve">has been shown to </w:t>
      </w:r>
      <w:r>
        <w:rPr>
          <w:szCs w:val="24"/>
        </w:rPr>
        <w:t>result</w:t>
      </w:r>
      <w:r w:rsidR="00D5536E">
        <w:rPr>
          <w:szCs w:val="24"/>
        </w:rPr>
        <w:t xml:space="preserve"> </w:t>
      </w:r>
      <w:r>
        <w:rPr>
          <w:szCs w:val="24"/>
        </w:rPr>
        <w:t xml:space="preserve">in an increase in root length density </w:t>
      </w:r>
      <w:r>
        <w:rPr>
          <w:szCs w:val="24"/>
        </w:rPr>
        <w:fldChar w:fldCharType="begin" w:fldLock="1"/>
      </w:r>
      <w:r w:rsidR="002A655D">
        <w:rPr>
          <w:szCs w:val="24"/>
        </w:rPr>
        <w:instrText>ADDIN CSL_CITATION {"citationItems":[{"id":"ITEM-1","itemData":{"DOI":"10.3389/fpls.2016.00944","ISSN":"1664-462X","PMID":"27446171","abstract":"Studies on the function of root traits and the genetic variation in these traits are often conducted under controlled conditions using individual potted plants. Little is known about root growth under field conditions and how root traits are affected by agronomic practices in particular sowing density. We hypothesized that with increasing sowing density, root length density (root length per soil volume, cm cm(-3)) increases in the topsoil as well as specific root length (root length per root dry weight, cm g(-1)) due to greater investment in fine roots. Therefore, we studied two spring barley cultivars at ten different sowing densities (24-340 seeds m(-2)) in 2 consecutive years in a clay loam field in Germany and established sowing density dose-response curves for several root and shoot traits. We took soil cores for measuring roots up to a depth of 60 cm in and between plant rows (inter-row distance 21 cm). Root length density increased with increasing sowing density and was greatest in the plant row in the topsoil (0-10 cm). Greater sowing density increased specific root length partly through greater production of fine roots in the topsoil. Rooting depth (D50) of the major root axes (root diameter class 0.4-1.0 mm) was not affected. Root mass fraction decreased, while stem mass fraction increased with sowing density and over time. Leaf mass fraction was constant over sowing density but greater leaf area was realized through increased specific leaf area. Considering fertilization, we assume that light competition caused plants to grow more shoot mass at the cost of investment into roots, which is partly compensated by increased specific root length and shallow rooting. Increased biomass per area with greater densities suggest that density increases the efficiency of the cropping system, however, declines in harvest index at densities over 230 plants m(-2) suggest that this efficiency did not translate into greater yield. We conclude that plant density is a modifier of root architecture and that root traits and their utility in breeding for greater productivity have to be understood in the context of high sowing densities.","author":[{"dropping-particle":"","family":"Hecht","given":"Vera L","non-dropping-particle":"","parse-names":false,"suffix":""},{"dropping-particle":"","family":"Temperton","given":"Vicky M","non-dropping-particle":"","parse-names":false,"suffix":""},{"dropping-particle":"","family":"Nagel","given":"Kerstin A","non-dropping-particle":"","parse-names":false,"suffix":""},{"dropping-particle":"","family":"Rascher","given":"Uwe","non-dropping-particle":"","parse-names":false,"suffix":""},{"dropping-particle":"","family":"Postma","given":"Johannes A","non-dropping-particle":"","parse-names":false,"suffix":""}],"container-title":"Frontiers in plant science","id":"ITEM-1","issued":{"date-parts":[["2016"]]},"page":"944","publisher":"Frontiers Media SA","title":"Sowing density: A neglected factor fundamentally affecting root distribution and biomass allocation of field grown spring barley (Hordeum Vulgare L.).","type":"article-journal","volume":"7"},"uris":["http://www.mendeley.com/documents/?uuid=dc1d2700-06b5-303e-bbc1-0d14b3ce1e0f"]}],"mendeley":{"formattedCitation":"(Hecht et al., 2016)","plainTextFormattedCitation":"(Hecht et al., 2016)","previouslyFormattedCitation":"(Hecht et al., 2016)"},"properties":{"noteIndex":0},"schema":"https://github.com/citation-style-language/schema/raw/master/csl-citation.json"}</w:instrText>
      </w:r>
      <w:r>
        <w:rPr>
          <w:szCs w:val="24"/>
        </w:rPr>
        <w:fldChar w:fldCharType="separate"/>
      </w:r>
      <w:r w:rsidRPr="0049719E">
        <w:rPr>
          <w:noProof/>
          <w:szCs w:val="24"/>
        </w:rPr>
        <w:t>(Hecht et al., 2016)</w:t>
      </w:r>
      <w:r>
        <w:rPr>
          <w:szCs w:val="24"/>
        </w:rPr>
        <w:fldChar w:fldCharType="end"/>
      </w:r>
      <w:r>
        <w:rPr>
          <w:szCs w:val="24"/>
        </w:rPr>
        <w:t xml:space="preserve"> and this was caused by increased production </w:t>
      </w:r>
      <w:r w:rsidR="00C42DCD">
        <w:rPr>
          <w:szCs w:val="24"/>
        </w:rPr>
        <w:t xml:space="preserve">of </w:t>
      </w:r>
      <w:r>
        <w:rPr>
          <w:szCs w:val="24"/>
        </w:rPr>
        <w:t xml:space="preserve">main roots </w:t>
      </w:r>
      <w:r>
        <w:rPr>
          <w:szCs w:val="24"/>
        </w:rPr>
        <w:fldChar w:fldCharType="begin" w:fldLock="1"/>
      </w:r>
      <w:r>
        <w:rPr>
          <w:szCs w:val="24"/>
        </w:rPr>
        <w:instrText>ADDIN CSL_CITATION {"citationItems":[{"id":"ITEM-1","itemData":{"DOI":"10.1007/S11104-018-3764-9/FIGURES/7","ISSN":"15735036","abstract":"Aim: Previously, we showed that sowing density influences root length density (RLD), specific root length (SRL) especially in the topsoil, and shallowness of fine roots of field grown spring barley (Hordeum vulagre L.). Here, we ask which trait components may explain these observed changes. Method: We grew two spring barley cultivars at contrasting sowing densities in both field trials and rhizotrons, and excavated root crowns and imaged root growth. Results: In the field, tiller and nodal root numbers per plant decreased with increasing sowing density, however, nodal roots per tiller, seminal roots per plant, and lateral branching frequencies were not affected. Branching angle did not or only slightly declined with increasing sowing density. In rhizotrons, aboveground only tiller number was affected by sowing density. Root growth rates and counts were not (or only slightly) affected. Conclusion: Greater RLD at high sowing densities is largely explained by greater main root number per area. The altered seminal to nodal root ratio might explain observed increases in SRL. We conclude that sowing density is a modifier of root system architecture with probable functional consequences, and thereby an important factor to be considered in root studies or the development of root ideotypes for agriculture.","author":[{"dropping-particle":"","family":"Hecht","given":"V. L.","non-dropping-particle":"","parse-names":false,"suffix":""},{"dropping-particle":"","family":"Temperton","given":"V. M.","non-dropping-particle":"","parse-names":false,"suffix":""},{"dropping-particle":"","family":"Nagel","given":"K. A.","non-dropping-particle":"","parse-names":false,"suffix":""},{"dropping-particle":"","family":"Rascher","given":"U.","non-dropping-particle":"","parse-names":false,"suffix":""},{"dropping-particle":"","family":"Pude","given":"R.","non-dropping-particle":"","parse-names":false,"suffix":""},{"dropping-particle":"","family":"Postma","given":"Johannes A.","non-dropping-particle":"","parse-names":false,"suffix":""}],"container-title":"Plant and Soil","id":"ITEM-1","issue":"1-2","issued":{"date-parts":[["2019","6","15"]]},"page":"179-200","publisher":"Springer International Publishing","title":"Plant density modifies root system architecture in spring barley (Hordeum vulgare L.) through a change in nodal root number","type":"article-journal","volume":"439"},"uris":["http://www.mendeley.com/documents/?uuid=470d0738-03b4-3c8a-bbcd-279d33014df2"]}],"mendeley":{"formattedCitation":"(Hecht et al., 2019)","plainTextFormattedCitation":"(Hecht et al., 2019)","previouslyFormattedCitation":"(Hecht et al., 2019)"},"properties":{"noteIndex":0},"schema":"https://github.com/citation-style-language/schema/raw/master/csl-citation.json"}</w:instrText>
      </w:r>
      <w:r>
        <w:rPr>
          <w:szCs w:val="24"/>
        </w:rPr>
        <w:fldChar w:fldCharType="separate"/>
      </w:r>
      <w:r w:rsidRPr="00E13E9F">
        <w:rPr>
          <w:noProof/>
          <w:szCs w:val="24"/>
        </w:rPr>
        <w:t>(Hecht et al., 2019)</w:t>
      </w:r>
      <w:r>
        <w:rPr>
          <w:szCs w:val="24"/>
        </w:rPr>
        <w:fldChar w:fldCharType="end"/>
      </w:r>
      <w:r w:rsidRPr="00723D20">
        <w:rPr>
          <w:color w:val="00B050"/>
          <w:szCs w:val="24"/>
        </w:rPr>
        <w:t xml:space="preserve"> </w:t>
      </w:r>
      <w:r w:rsidRPr="00723D20">
        <w:rPr>
          <w:color w:val="000000" w:themeColor="text1"/>
          <w:szCs w:val="24"/>
        </w:rPr>
        <w:t>and in a desert species of the Brassicaceae</w:t>
      </w:r>
      <w:r w:rsidR="00D5536E">
        <w:rPr>
          <w:color w:val="000000" w:themeColor="text1"/>
          <w:szCs w:val="24"/>
        </w:rPr>
        <w:t>,</w:t>
      </w:r>
      <w:r w:rsidRPr="00723D20">
        <w:rPr>
          <w:color w:val="000000" w:themeColor="text1"/>
          <w:szCs w:val="24"/>
        </w:rPr>
        <w:t xml:space="preserve"> lateral root branch number increased</w:t>
      </w:r>
      <w:r>
        <w:rPr>
          <w:color w:val="000000" w:themeColor="text1"/>
          <w:szCs w:val="24"/>
        </w:rPr>
        <w:t xml:space="preserve"> when grown at high density </w:t>
      </w:r>
      <w:r>
        <w:rPr>
          <w:color w:val="000000" w:themeColor="text1"/>
          <w:szCs w:val="24"/>
        </w:rPr>
        <w:fldChar w:fldCharType="begin" w:fldLock="1"/>
      </w:r>
      <w:r w:rsidR="002D6F75">
        <w:rPr>
          <w:color w:val="000000" w:themeColor="text1"/>
          <w:szCs w:val="24"/>
        </w:rPr>
        <w:instrText>ADDIN CSL_CITATION {"citationItems":[{"id":"ITEM-1","itemData":{"DOI":"10.1007/BF02803094","ISSN":"1211-9520","author":[{"dropping-particle":"","family":"Volis","given":"Sergei","non-dropping-particle":"","parse-names":false,"suffix":""},{"dropping-particle":"","family":"Shani","given":"Udi","non-dropping-particle":"","parse-names":false,"suffix":""}],"container-title":"Folia Geobotanica","id":"ITEM-1","issue":"2","issued":{"date-parts":[["2000","6"]]},"page":"161-168","title":"The effect of neighbors on the root system of the desert annual Eremobium aegyptiacum","type":"article-journal","volume":"35"},"uris":["http://www.mendeley.com/documents/?uuid=6a005d66-a4ed-486e-9807-43e5aa6d08c6"]}],"mendeley":{"formattedCitation":"(Volis and Shani, 2000)","plainTextFormattedCitation":"(Volis and Shani, 2000)","previouslyFormattedCitation":"(Volis and Shani, 2000)"},"properties":{"noteIndex":0},"schema":"https://github.com/citation-style-language/schema/raw/master/csl-citation.json"}</w:instrText>
      </w:r>
      <w:r>
        <w:rPr>
          <w:color w:val="000000" w:themeColor="text1"/>
          <w:szCs w:val="24"/>
        </w:rPr>
        <w:fldChar w:fldCharType="separate"/>
      </w:r>
      <w:r w:rsidRPr="00723D20">
        <w:rPr>
          <w:noProof/>
          <w:color w:val="000000" w:themeColor="text1"/>
          <w:szCs w:val="24"/>
        </w:rPr>
        <w:t>(Volis and Shani, 2000)</w:t>
      </w:r>
      <w:r>
        <w:rPr>
          <w:color w:val="000000" w:themeColor="text1"/>
          <w:szCs w:val="24"/>
        </w:rPr>
        <w:fldChar w:fldCharType="end"/>
      </w:r>
      <w:r>
        <w:rPr>
          <w:szCs w:val="24"/>
        </w:rPr>
        <w:t xml:space="preserve">. </w:t>
      </w:r>
    </w:p>
    <w:p w14:paraId="3E0036B1" w14:textId="77777777" w:rsidR="00EC23E7" w:rsidRDefault="00EC23E7" w:rsidP="00EC23E7">
      <w:pPr>
        <w:spacing w:line="480" w:lineRule="auto"/>
        <w:rPr>
          <w:szCs w:val="24"/>
        </w:rPr>
      </w:pPr>
      <w:r>
        <w:rPr>
          <w:szCs w:val="24"/>
        </w:rPr>
        <w:lastRenderedPageBreak/>
        <w:t xml:space="preserve">Increased understanding of how plants detect each other in neighbour dense scenarios could lead to the production of varieties which remain high yielding even when subjected to dense sowing regimes. </w:t>
      </w:r>
    </w:p>
    <w:p w14:paraId="0332290B" w14:textId="77777777" w:rsidR="009C0CC2" w:rsidRPr="00C20121" w:rsidRDefault="009C0CC2" w:rsidP="00EC23E7">
      <w:pPr>
        <w:spacing w:line="480" w:lineRule="auto"/>
        <w:rPr>
          <w:szCs w:val="24"/>
        </w:rPr>
      </w:pPr>
    </w:p>
    <w:p w14:paraId="66B01B31" w14:textId="4D5B8C7D" w:rsidR="00EC23E7" w:rsidRDefault="009C0CC2" w:rsidP="00743E4C">
      <w:pPr>
        <w:pStyle w:val="Heading3"/>
      </w:pPr>
      <w:bookmarkStart w:id="15" w:name="_Toc154331428"/>
      <w:r w:rsidRPr="009C0CC2">
        <w:t>Neighbour detection using root exudates</w:t>
      </w:r>
      <w:bookmarkEnd w:id="15"/>
    </w:p>
    <w:p w14:paraId="6E32272D" w14:textId="77777777" w:rsidR="009C0CC2" w:rsidRPr="009C0CC2" w:rsidRDefault="009C0CC2" w:rsidP="009C0CC2"/>
    <w:p w14:paraId="2E4755C1" w14:textId="5B296AA7" w:rsidR="00EC23E7" w:rsidRPr="00AB3CAB" w:rsidRDefault="00EC23E7" w:rsidP="00EC23E7">
      <w:pPr>
        <w:spacing w:line="480" w:lineRule="auto"/>
        <w:rPr>
          <w:szCs w:val="24"/>
        </w:rPr>
      </w:pPr>
      <w:r>
        <w:rPr>
          <w:szCs w:val="24"/>
        </w:rPr>
        <w:t xml:space="preserve">There are a very large number of chemicals, organic molecules, primary and secondary metabolites and signals exuded by plant roots </w:t>
      </w:r>
      <w:r>
        <w:rPr>
          <w:szCs w:val="24"/>
        </w:rPr>
        <w:fldChar w:fldCharType="begin" w:fldLock="1"/>
      </w:r>
      <w:r w:rsidR="005450BE">
        <w:rPr>
          <w:szCs w:val="24"/>
        </w:rPr>
        <w:instrText>ADDIN CSL_CITATION {"citationItems":[{"id":"ITEM-1","itemData":{"DOI":"10.1126/science.1083245","ISSN":"0036-8075","abstract":"Here we present evidence that Centaurea maculosa (spotted knapweed), an invasive species in the western United States, displaces native plant species by exuding the phytotoxin (–)-catechin from its roots. Our results show inhibition of native species' growth and germination in field soils at natural concentrations of (–)-catechin. In susceptible species such as Arabidopsis thaliana , the allelochemical triggers a wave of reactive oxygen species (ROS) initiated at the root meristem, which leads to a Ca 2 + signaling cascade triggering genome-wide changes in gene expression and, ultimately, death of the root system. Our results support a “novel weapons hypothesis” for invasive success.","author":[{"dropping-particle":"","family":"Bais","given":"Harsh P.","non-dropping-particle":"","parse-names":false,"suffix":""},{"dropping-particle":"","family":"Vepachedu","given":"Ramarao","non-dropping-particle":"","parse-names":false,"suffix":""},{"dropping-particle":"","family":"Gilroy","given":"Simon","non-dropping-particle":"","parse-names":false,"suffix":""},{"dropping-particle":"","family":"Callaway","given":"Ragan M.","non-dropping-particle":"","parse-names":false,"suffix":""},{"dropping-particle":"","family":"Vivanco","given":"Jorge M.","non-dropping-particle":"","parse-names":false,"suffix":""}],"container-title":"Science","id":"ITEM-1","issue":"5638","issued":{"date-parts":[["2003","9","5"]]},"page":"1377-1380","title":"Allelopathy and exotic plant invasion: From molecules and genes to species interactions","type":"article-journal","volume":"301"},"uris":["http://www.mendeley.com/documents/?uuid=92c93675-3e34-460e-9162-76db21247189"]},{"id":"ITEM-2","itemData":{"DOI":"10.1016/j.tree.2020.04.001","ISSN":"01695347","author":[{"dropping-particle":"","family":"Ehlers","given":"Bodil K.","non-dropping-particle":"","parse-names":false,"suffix":""},{"dropping-particle":"","family":"Berg","given":"Matty P.","non-dropping-particle":"","parse-names":false,"suffix":""},{"dropping-particle":"","family":"Staudt","given":"Michael","non-dropping-particle":"","parse-names":false,"suffix":""},{"dropping-particle":"","family":"Holmstrup","given":"Martin","non-dropping-particle":"","parse-names":false,"suffix":""},{"dropping-particle":"","family":"Glasius","given":"Marianne","non-dropping-particle":"","parse-names":false,"suffix":""},{"dropping-particle":"","family":"Ellers","given":"Jacintha","non-dropping-particle":"","parse-names":false,"suffix":""},{"dropping-particle":"","family":"Tomiolo","given":"Sara","non-dropping-particle":"","parse-names":false,"suffix":""},{"dropping-particle":"","family":"Madsen","given":"René B.","non-dropping-particle":"","parse-names":false,"suffix":""},{"dropping-particle":"","family":"Slotsbo","given":"Stine","non-dropping-particle":"","parse-names":false,"suffix":""},{"dropping-particle":"","family":"Penuelas","given":"Josep","non-dropping-particle":"","parse-names":false,"suffix":""}],"container-title":"Trends in Ecology &amp; Evolution","id":"ITEM-2","issue":"8","issued":{"date-parts":[["2020","8"]]},"page":"716-730","title":"Plant secondary compounds in soil and their role in belowground species interactions","type":"article-journal","volume":"35"},"uris":["http://www.mendeley.com/documents/?uuid=bc5d4b78-844f-467d-95e7-62adbe8a25b8"]},{"id":"ITEM-3","itemData":{"DOI":"10.1016/j.mib.2019.10.003","ISSN":"13695274","author":[{"dropping-particle":"","family":"Rolfe","given":"Stephen A","non-dropping-particle":"","parse-names":false,"suffix":""},{"dropping-particle":"","family":"Griffiths","given":"Joseph","non-dropping-particle":"","parse-names":false,"suffix":""},{"dropping-particle":"","family":"Ton","given":"Jurriaan","non-dropping-particle":"","parse-names":false,"suffix":""}],"container-title":"Current Opinion in Microbiology","id":"ITEM-3","issued":{"date-parts":[["2019","6"]]},"page":"73-82","title":"Crying out for help with root exudates: adaptive mechanisms by which stressed plants assemble health-promoting soil microbiomes","type":"article-journal","volume":"49"},"uris":["http://www.mendeley.com/documents/?uuid=b981e8c5-ceae-4c2a-9c00-15327a462f9c"]},{"id":"ITEM-4","itemData":{"DOI":"10.1111/pce.13892","ISSN":"0140-7791","author":[{"dropping-particle":"","family":"Wang","given":"Nan</w:instrText>
      </w:r>
      <w:r w:rsidR="005450BE">
        <w:rPr>
          <w:rFonts w:ascii="Cambria Math" w:hAnsi="Cambria Math" w:cs="Cambria Math"/>
          <w:szCs w:val="24"/>
        </w:rPr>
        <w:instrText>‐</w:instrText>
      </w:r>
      <w:r w:rsidR="005450BE">
        <w:rPr>
          <w:szCs w:val="24"/>
        </w:rPr>
        <w:instrText>Qi","non-dropping-particle":"","parse-names":false,"suffix":""},{"dropping-particle":"","family":"Kong","given":"Chui</w:instrText>
      </w:r>
      <w:r w:rsidR="005450BE">
        <w:rPr>
          <w:rFonts w:ascii="Cambria Math" w:hAnsi="Cambria Math" w:cs="Cambria Math"/>
          <w:szCs w:val="24"/>
        </w:rPr>
        <w:instrText>‐</w:instrText>
      </w:r>
      <w:r w:rsidR="005450BE">
        <w:rPr>
          <w:szCs w:val="24"/>
        </w:rPr>
        <w:instrText>Hua","non-dropping-particle":"","parse-names":false,"suffix":""},{"dropping-particle":"","family":"Wang","given":"Peng","non-dropping-particle":"","parse-names":false,"suffix":""},{"dropping-particle":"","family":"Meiners","given":"Scott J.","non-dropping-particle":"","parse-names":false,"suffix":""}],"container-title":"Plant, Cell &amp; Environment","id":"ITEM-4","issue":"4","issued":{"date-parts":[["2021","4","7"]]},"page":"1044-1058","title":"Root exudate signals in plant–plant interactions","type":"article-journal","volume":"44"},"uris":["http://www.mendeley.com/documents/?uuid=ded10ba8-49ef-4767-9b7d-9b5253ad6db1"]}],"mendeley":{"formattedCitation":"(Bais et al., 2003; Rolfe et al., 2019; Ehlers et al., 2020; Wang et al., 2021)","plainTextFormattedCitation":"(Bais et al., 2003; Rolfe et al., 2019; Ehlers et al., 2020; Wang et al., 2021)","previouslyFormattedCitation":"(Bais et al., 2003; Rolfe et al., 2019; Ehlers et al., 2020; Wang et al., 2021)"},"properties":{"noteIndex":0},"schema":"https://github.com/citation-style-language/schema/raw/master/csl-citation.json"}</w:instrText>
      </w:r>
      <w:r>
        <w:rPr>
          <w:szCs w:val="24"/>
        </w:rPr>
        <w:fldChar w:fldCharType="separate"/>
      </w:r>
      <w:r w:rsidRPr="00D366EC">
        <w:rPr>
          <w:noProof/>
          <w:szCs w:val="24"/>
        </w:rPr>
        <w:t>(Bais et al., 2003; Rolfe et al., 2019; Ehlers et al., 2020; Wang et al., 2021)</w:t>
      </w:r>
      <w:r>
        <w:rPr>
          <w:szCs w:val="24"/>
        </w:rPr>
        <w:fldChar w:fldCharType="end"/>
      </w:r>
      <w:r>
        <w:rPr>
          <w:szCs w:val="24"/>
        </w:rPr>
        <w:t>. They can be found in t</w:t>
      </w:r>
      <w:r w:rsidRPr="004D06D6">
        <w:rPr>
          <w:szCs w:val="24"/>
        </w:rPr>
        <w:t xml:space="preserve">he soil environment </w:t>
      </w:r>
      <w:r w:rsidR="00D5536E">
        <w:rPr>
          <w:szCs w:val="24"/>
        </w:rPr>
        <w:t>directly</w:t>
      </w:r>
      <w:r w:rsidRPr="004D06D6">
        <w:rPr>
          <w:szCs w:val="24"/>
        </w:rPr>
        <w:t xml:space="preserve"> around plant roots</w:t>
      </w:r>
      <w:r>
        <w:rPr>
          <w:szCs w:val="24"/>
        </w:rPr>
        <w:t>, which is referred to as the rhizosphere</w:t>
      </w:r>
      <w:r w:rsidR="00406C14">
        <w:rPr>
          <w:szCs w:val="24"/>
        </w:rPr>
        <w:t xml:space="preserve"> </w:t>
      </w:r>
      <w:r w:rsidR="00406C14">
        <w:rPr>
          <w:szCs w:val="24"/>
        </w:rPr>
        <w:fldChar w:fldCharType="begin" w:fldLock="1"/>
      </w:r>
      <w:r w:rsidR="00406C14">
        <w:rPr>
          <w:szCs w:val="24"/>
        </w:rPr>
        <w:instrText>ADDIN CSL_CITATION {"citationItems":[{"id":"ITEM-1","itemData":{"DOI":"10.3389/fpls.2013.00165","ISSN":"1664-462X","author":[{"dropping-particle":"","family":"Bakker","given":"Peter A. H. M.","non-dropping-particle":"","parse-names":false,"suffix":""},{"dropping-particle":"","family":"Berendsen","given":"Roeland L.","non-dropping-particle":"","parse-names":false,"suffix":""},{"dropping-particle":"","family":"Doornbos","given":"Rogier F.","non-dropping-particle":"","parse-names":false,"suffix":""},{"dropping-particle":"","family":"Wintermans","given":"Paul C. A.","non-dropping-particle":"","parse-names":false,"suffix":""},{"dropping-particle":"","family":"Pieterse","given":"Corné M. J.","non-dropping-particle":"","parse-names":false,"suffix":""}],"container-title":"Frontiers in Plant Science","id":"ITEM-1","issued":{"date-parts":[["2013"]]},"title":"The rhizosphere revisited: root microbiomics","type":"article-journal","volume":"4"},"uris":["http://www.mendeley.com/documents/?uuid=15e67bf1-8c6c-4d40-8d5c-27956736c11c"]},{"id":"ITEM-2","itemData":{"DOI":"10.1016/j.tplants.2012.04.001","ISSN":"13601385","author":[{"dropping-particle":"","family":"Berendsen","given":"Roeland L.","non-dropping-particle":"","parse-names":false,"suffix":""},{"dropping-particle":"","family":"Pieterse","given":"Corné M.J.","non-dropping-particle":"","parse-names":false,"suffix":""},{"dropping-particle":"","family":"Bakker","given":"Peter A.H.M.","non-dropping-particle":"","parse-names":false,"suffix":""}],"container-title":"Trends in Plant Science","id":"ITEM-2","issue":"8","issued":{"date-parts":[["2012","8"]]},"page":"478-486","title":"The rhizosphere microbiome and plant health","type":"article-journal","volume":"17"},"uris":["http://www.mendeley.com/documents/?uuid=9c5c5e66-611b-4b6b-b848-bf306b0d4341"]}],"mendeley":{"formattedCitation":"(Berendsen et al., 2012; Bakker et al., 2013)","plainTextFormattedCitation":"(Berendsen et al., 2012; Bakker et al., 2013)","previouslyFormattedCitation":"(Berendsen et al., 2012; Bakker et al., 2013)"},"properties":{"noteIndex":0},"schema":"https://github.com/citation-style-language/schema/raw/master/csl-citation.json"}</w:instrText>
      </w:r>
      <w:r w:rsidR="00406C14">
        <w:rPr>
          <w:szCs w:val="24"/>
        </w:rPr>
        <w:fldChar w:fldCharType="separate"/>
      </w:r>
      <w:r w:rsidR="00406C14" w:rsidRPr="00406C14">
        <w:rPr>
          <w:noProof/>
          <w:szCs w:val="24"/>
        </w:rPr>
        <w:t>(Berendsen et al., 2012; Bakker et al., 2013)</w:t>
      </w:r>
      <w:r w:rsidR="00406C14">
        <w:rPr>
          <w:szCs w:val="24"/>
        </w:rPr>
        <w:fldChar w:fldCharType="end"/>
      </w:r>
      <w:r>
        <w:rPr>
          <w:szCs w:val="24"/>
        </w:rPr>
        <w:t xml:space="preserve">. In addition to root exudates, the rhizosphere contains an array of microorganisms and together this makes the rhizosphere highly chemically complex compared to bulk soil </w:t>
      </w:r>
      <w:r>
        <w:rPr>
          <w:szCs w:val="24"/>
        </w:rPr>
        <w:fldChar w:fldCharType="begin" w:fldLock="1"/>
      </w:r>
      <w:r w:rsidR="00EB627E">
        <w:rPr>
          <w:szCs w:val="24"/>
        </w:rPr>
        <w:instrText>ADDIN CSL_CITATION {"citationItems":[{"id":"ITEM-1","itemData":{"DOI":"10.1016/j.tplants.2012.04.001","ISSN":"13601385","author":[{"dropping-particle":"","family":"Berendsen","given":"Roeland L.","non-dropping-particle":"","parse-names":false,"suffix":""},{"dropping-particle":"","family":"Pieterse","given":"Corné M.J.","non-dropping-particle":"","parse-names":false,"suffix":""},{"dropping-particle":"","family":"Bakker","given":"Peter A.H.M.","non-dropping-particle":"","parse-names":false,"suffix":""}],"container-title":"Trends in Plant Science","id":"ITEM-1","issue":"8","issued":{"date-parts":[["2012","8"]]},"page":"478-486","title":"The rhizosphere microbiome and plant health","type":"article-journal","volume":"17"},"uris":["http://www.mendeley.com/documents/?uuid=9c5c5e66-611b-4b6b-b848-bf306b0d4341"]},{"id":"ITEM-2","itemData":{"DOI":"10.3389/fpls.2013.00165","ISSN":"1664-462X","author":[{"dropping-particle":"","family":"Bakker","given":"Peter A. H. M.","non-dropping-particle":"","parse-names":false,"suffix":""},{"dropping-particle":"","family":"Berendsen","given":"Roeland L.","non-dropping-particle":"","parse-names":false,"suffix":""},{"dropping-particle":"","family":"Doornbos","given":"Rogier F.","non-dropping-particle":"","parse-names":false,"suffix":""},{"dropping-particle":"","family":"Wintermans","given":"Paul C. A.","non-dropping-particle":"","parse-names":false,"suffix":""},{"dropping-particle":"","family":"Pieterse","given":"Corné M. J.","non-dropping-particle":"","parse-names":false,"suffix":""}],"container-title":"Frontiers in Plant Science","id":"ITEM-2","issued":{"date-parts":[["2013"]]},"title":"The rhizosphere revisited: root microbiomics","type":"article-journal","volume":"4"},"uris":["http://www.mendeley.com/documents/?uuid=15e67bf1-8c6c-4d40-8d5c-27956736c11c"]}],"mendeley":{"formattedCitation":"(Berendsen et al., 2012; Bakker et al., 2013)","plainTextFormattedCitation":"(Berendsen et al., 2012; Bakker et al., 2013)","previouslyFormattedCitation":"(Berendsen et al., 2012; Bakker et al., 2013)"},"properties":{"noteIndex":0},"schema":"https://github.com/citation-style-language/schema/raw/master/csl-citation.json"}</w:instrText>
      </w:r>
      <w:r>
        <w:rPr>
          <w:szCs w:val="24"/>
        </w:rPr>
        <w:fldChar w:fldCharType="separate"/>
      </w:r>
      <w:r w:rsidR="00406C14" w:rsidRPr="00406C14">
        <w:rPr>
          <w:noProof/>
          <w:szCs w:val="24"/>
        </w:rPr>
        <w:t>(Berendsen et al., 2012; Bakker et al., 2013)</w:t>
      </w:r>
      <w:r>
        <w:rPr>
          <w:szCs w:val="24"/>
        </w:rPr>
        <w:fldChar w:fldCharType="end"/>
      </w:r>
      <w:r>
        <w:rPr>
          <w:color w:val="000000"/>
          <w:szCs w:val="24"/>
        </w:rPr>
        <w:t xml:space="preserve">. </w:t>
      </w:r>
      <w:r>
        <w:rPr>
          <w:szCs w:val="24"/>
        </w:rPr>
        <w:t xml:space="preserve">Some root exudates promote beneficial relationships with microorganisms </w:t>
      </w:r>
      <w:r>
        <w:rPr>
          <w:szCs w:val="24"/>
        </w:rPr>
        <w:fldChar w:fldCharType="begin" w:fldLock="1"/>
      </w:r>
      <w:r w:rsidR="005450BE">
        <w:rPr>
          <w:szCs w:val="24"/>
        </w:rPr>
        <w:instrText>ADDIN CSL_CITATION {"citationItems":[{"id":"ITEM-1","itemData":{"DOI":"10.1093/jxb/erx432","ISSN":"14602431","abstract":"Strigolactones (SLs) first evolved as regulators of simple developmental processes in very ancient plant lineages, and then assumed new roles to sustain the increasing biological complexity of land plants. Their versatility is also shown by the fact that during evolution they have been exploited, once released in the rhizosphere, as a communication system towards plant-interacting organisms even belonging to different kingdoms. Here, we reviewed the impact of SLs on soil microbes, paying particular attention to arbuscular mycorrhizal fungi (AMF). SLs induce several responses in AMF, including spore germination, hyphal branching, mitochondrial metabolism, transcriptional reprogramming, and production of chitin oligosaccharides which, in turn, stimulate early symbiotic responses in the host plant. In the specific case study of the AMF Gigaspora margarita, SLs are also perceived, directly or indirectly, by the well-characterized population of endobacteria, with an increase of bacterial divisions and the activation of specific transcriptional responses. The dynamics of SLs during AM root colonization were also surveyed. Although not essential for the establishment of this mutualistic association, SLs act as positive regulators as they are relevant to achieve the full extent of colonization. This possibly occurs through a complex crosstalk with other hormones such as auxin, abscisic acid, and gibberellins.","author":[{"dropping-particle":"","family":"Lanfranco","given":"Luisa","non-dropping-particle":"","parse-names":false,"suffix":""},{"dropping-particle":"","family":"Fiorilli","given":"Valentina","non-dropping-particle":"","parse-names":false,"suffix":""},{"dropping-particle":"","family":"Venice","given":"Francesco","non-dropping-particle":"","parse-names":false,"suffix":""},{"dropping-particle":"","family":"Bonfante","given":"Paola","non-dropping-particle":"","parse-names":false,"suffix":""}],"container-title":"Journal of Experimental Botany","id":"ITEM-1","issue":"9","issued":{"date-parts":[["2018","4","13"]]},"page":"2175-2188","publisher":"Oxford University Press","title":"Strigolactones cross the kingdoms: Plants, fungi, and bacteria in the arbuscular mycorrhizal symbiosis","type":"article","volume":"69"},"uris":["http://www.mendeley.com/documents/?uuid=63181968-d6ad-3d47-b76c-c7607360a05b"]},{"id":"ITEM-2","itemData":{"DOI":"10.1016/j.tree.2020.04.001","ISSN":"01695347","author":[{"dropping-particle":"","family":"Ehlers","given":"Bodil K.","non-dropping-particle":"","parse-names":false,"suffix":""},{"dropping-particle":"","family":"Berg","given":"Matty P.","non-dropping-particle":"","parse-names":false,"suffix":""},{"dropping-particle":"","family":"Staudt","given":"Michael","non-dropping-particle":"","parse-names":false,"suffix":""},{"dropping-particle":"","family":"Holmstrup","given":"Martin","non-dropping-particle":"","parse-names":false,"suffix":""},{"dropping-particle":"","family":"Glasius","given":"Marianne","non-dropping-particle":"","parse-names":false,"suffix":""},{"dropping-particle":"","family":"Ellers","given":"Jacintha","non-dropping-particle":"","parse-names":false,"suffix":""},{"dropping-particle":"","family":"Tomiolo","given":"Sara","non-dropping-particle":"","parse-names":false,"suffix":""},{"dropping-particle":"","family":"Madsen","given":"René B.","non-dropping-particle":"","parse-names":false,"suffix":""},{"dropping-particle":"","family":"Slotsbo","given":"Stine","non-dropping-particle":"","parse-names":false,"suffix":""},{"dropping-particle":"","family":"Penuelas","given":"Josep","non-dropping-particle":"","parse-names":false,"suffix":""}],"container-title":"Trends in Ecology &amp; Evolution","id":"ITEM-2","issue":"8","issued":{"date-parts":[["2020","8"]]},"page":"716-730","title":"Plant secondary compounds in soil and their role in belowground species interactions","type":"article-journal","volume":"35"},"uris":["http://www.mendeley.com/documents/?uuid=bc5d4b78-844f-467d-95e7-62adbe8a25b8"]}],"mendeley":{"formattedCitation":"(Lanfranco et al., 2018; Ehlers et al., 2020)","plainTextFormattedCitation":"(Lanfranco et al., 2018; Ehlers et al., 2020)","previouslyFormattedCitation":"(Lanfranco et al., 2018; Ehlers et al., 2020)"},"properties":{"noteIndex":0},"schema":"https://github.com/citation-style-language/schema/raw/master/csl-citation.json"}</w:instrText>
      </w:r>
      <w:r>
        <w:rPr>
          <w:szCs w:val="24"/>
        </w:rPr>
        <w:fldChar w:fldCharType="separate"/>
      </w:r>
      <w:r w:rsidRPr="00BC0188">
        <w:rPr>
          <w:noProof/>
          <w:szCs w:val="24"/>
        </w:rPr>
        <w:t>(Lanfranco et al., 2018; Ehlers et al., 2020)</w:t>
      </w:r>
      <w:r>
        <w:rPr>
          <w:szCs w:val="24"/>
        </w:rPr>
        <w:fldChar w:fldCharType="end"/>
      </w:r>
      <w:r>
        <w:rPr>
          <w:szCs w:val="24"/>
        </w:rPr>
        <w:t xml:space="preserve"> and </w:t>
      </w:r>
      <w:r>
        <w:rPr>
          <w:color w:val="000000"/>
          <w:szCs w:val="24"/>
        </w:rPr>
        <w:t xml:space="preserve">others promote detrimental relationships with organisms such as parasitic plants and plant parasitic nematodes (PPN) </w:t>
      </w:r>
      <w:r>
        <w:rPr>
          <w:color w:val="000000"/>
          <w:szCs w:val="24"/>
        </w:rPr>
        <w:fldChar w:fldCharType="begin" w:fldLock="1"/>
      </w:r>
      <w:r w:rsidR="00205DAD">
        <w:rPr>
          <w:color w:val="000000"/>
          <w:szCs w:val="24"/>
        </w:rPr>
        <w:instrText>ADDIN CSL_CITATION {"citationItems":[{"id":"ITEM-1","itemData":{"DOI":"10.1038/nature03608","ISSN":"00280836","abstract":"Arbuscular mycorrhizal (AM) fungi form mutualistic, symbiotic associations with the roots of more than 80% of land plants. The fungi are incapable of completing their life cycle in the absence of a host root. Their spores can germinate and grow in the absence of a host, but their hyphal growth is very limited. Little is known about the molecular mechanisms that govern signalling and recognition between AM fungi and their host plants. In one of the first stages of host recognition, the hyphae of AM fungi show extensive branching in the vicinity of host roots before formation of the appressorium, the structure used to penetrate the plant root. Host roots are known to release signalling molecules that trigger hyphal branching, but these branching factors have not been isolated. Here we have isolated a branching factor from the root exudates of Lotus japonicus and used spectroscopic analysis and chemical synthesis to identify it as a strigolactone, 5-deoxy-strigol. Strigolactones are a group of sesquiterpene lactones, previously isolated as seed-germination stimulants for the parasitic weeds Striga and Orobanche. The natural strigolactones 5-deoxy-strigol, sorgolactone and strigol, and a synthetic analogue, GR24, induced extensive hyphal branching in germinating spores of the AM fungus Gigaspora margarita at very low concentrations.","author":[{"dropping-particle":"","family":"Akiyama","given":"Kohki","non-dropping-particle":"","parse-names":false,"suffix":""},{"dropping-particle":"","family":"Matsuzaki","given":"Ken Ichi","non-dropping-particle":"","parse-names":false,"suffix":""},{"dropping-particle":"","family":"Hayashi","given":"Hideo","non-dropping-particle":"","parse-names":false,"suffix":""}],"container-title":"Nature","id":"ITEM-1","issue":"7043","issued":{"date-parts":[["2005","6","9"]]},"page":"824-827","title":"Plant sesquiterpenes induce hyphal branching in arbuscular mycorrhizal fungi","type":"article-journal","volume":"435"},"uris":["http://www.mendeley.com/documents/?uuid=46db45e2-f5d5-3c3a-a373-f5a032120231"]},{"id":"ITEM-2","itemData":{"DOI":"10.1016/j.pbi.2017.12.001","ISSN":"13695266","author":[{"dropping-particle":"","family":"Masson-Boivin","given":"Catherine","non-dropping-particle":"","parse-names":false,"suffix":""},{"dropping-particle":"","family":"Sachs","given":"Joel L","non-dropping-particle":"","parse-names":false,"suffix":""}],"container-title":"Current Opinion in Plant Biology","id":"ITEM-2","issued":{"date-parts":[["2018","8"]]},"page":"7-15","title":"Symbiotic nitrogen fixation by rhizobia — the roots of a success story","type":"article-journal","volume":"44"},"uris":["http://www.mendeley.com/documents/?uuid=36fc196f-0f36-499b-b990-9392d7dc8eda"]},{"id":"ITEM-3","itemData":{"DOI":"10.3390/ijms22147418","ISSN":"1422-0067","abstract":"Parasitic angiosperms, comprising a diverse group of flowering plants, are partially or fully dependent on their hosts to acquire water, mineral nutrients and organic compounds. Some have detrimental effects on agriculturally important crop plants. They are also intriguing model systems to study adaptive mechanisms required for the transition from an autotrophic to a heterotrophic metabolism. No less than any other plant, parasitic plants are affected by abiotic stress factors such as drought and changes in temperature, saline soils or contamination with metals or herbicides. These effects may be attributed to the direct influence of the stress, but also to diminished host availability and suitability. Although several studies on abiotic stress response of parasitic plants are available, still little is known about how abiotic factors affect host preferences, defense mechanisms of both hosts and parasites and the effects of combinations of abiotic and biotic stress experienced by the host plants. The latter effects are of specific interest as parasitic plants pose additional pressure on contemporary agriculture in times of climate change. This review summarizes the existing literature on abiotic stress response of parasitic plants, highlighting knowledge gaps and discussing perspectives for future research and potential agricultural applications.","author":[{"dropping-particle":"","family":"Zagorchev","given":"Lyuben","non-dropping-particle":"","parse-names":false,"suffix":""},{"dropping-particle":"","family":"Stöggl","given":"Wolfgang","non-dropping-particle":"","parse-names":false,"suffix":""},{"dropping-particle":"","family":"Teofanova","given":"Denitsa","non-dropping-particle":"","parse-names":false,"suffix":""},{"dropping-particle":"","family":"Li","given":"Junmin","non-dropping-particle":"","parse-names":false,"suffix":""},{"dropping-particle":"","family":"Kranner","given":"Ilse","non-dropping-particle":"","parse-names":false,"suffix":""}],"container-title":"International Journal of Molecular Sciences","id":"ITEM-3","issue":"14","issued":{"date-parts":[["2021","7","10"]]},"page":"7418","title":"Plant Parasites under Pressure: Effects of abiotic stress on the interactions between parasitic plants and their hosts","type":"article-journal","volume":"22"},"uris":["http://www.mendeley.com/documents/?uuid=e0197156-b062-425a-bb04-9495ea840d74"]}],"mendeley":{"formattedCitation":"(Akiyama et al., 2005; Masson-Boivin and Sachs, 2018; Zagorchev et al., 2021)","plainTextFormattedCitation":"(Akiyama et al., 2005; Masson-Boivin and Sachs, 2018; Zagorchev et al., 2021)","previouslyFormattedCitation":"(Akiyama et al., 2005; Masson-Boivin and Sachs, 2018; Zagorchev et al., 2021)"},"properties":{"noteIndex":0},"schema":"https://github.com/citation-style-language/schema/raw/master/csl-citation.json"}</w:instrText>
      </w:r>
      <w:r>
        <w:rPr>
          <w:color w:val="000000"/>
          <w:szCs w:val="24"/>
        </w:rPr>
        <w:fldChar w:fldCharType="separate"/>
      </w:r>
      <w:r w:rsidRPr="00B138E2">
        <w:rPr>
          <w:noProof/>
          <w:color w:val="000000"/>
          <w:szCs w:val="24"/>
        </w:rPr>
        <w:t>(Akiyama et al., 2005; Masson-Boivin and Sachs, 2018; Zagorchev et al., 2021)</w:t>
      </w:r>
      <w:r>
        <w:rPr>
          <w:color w:val="000000"/>
          <w:szCs w:val="24"/>
        </w:rPr>
        <w:fldChar w:fldCharType="end"/>
      </w:r>
      <w:r>
        <w:rPr>
          <w:color w:val="000000"/>
          <w:szCs w:val="24"/>
        </w:rPr>
        <w:t xml:space="preserve">. Therefore, plants must carefully balance between exuding signals with the aim of attracting beneficial organisms and disclosing their location to a detrimental organism. The benefits must provide a strong enough survival reward to make their location disclosure worthwhile </w:t>
      </w:r>
      <w:r>
        <w:rPr>
          <w:color w:val="000000"/>
          <w:szCs w:val="24"/>
        </w:rPr>
        <w:fldChar w:fldCharType="begin" w:fldLock="1"/>
      </w:r>
      <w:r>
        <w:rPr>
          <w:color w:val="000000"/>
          <w:szCs w:val="24"/>
        </w:rPr>
        <w:instrText>ADDIN CSL_CITATION {"citationItems":[{"id":"ITEM-1","itemData":{"DOI":"10.1093/jxb/erad335","ISSN":"0022-0957","abstract":"The rhizosphere is a complex physical and chemical interface between plants and their underground environment, both biotic and abiotic. Plants exude large number of chemicals into the rhizosphere in order to manipulate these biotic and abiotic components. Among such chemicals are strigolactones, ancient signalling molecules that in flowering plants act as both internal hormones and external rhizosphere signals. Plants exude strigolactones to communicate with their preferred symbiotic partners and neighbouring plants, but at least some classes of parasitic organisms are able to ‘crack’ these private messages and eavesdrop on the signals. In this review, we examine the intentional consequences of strigolactone exudation, and also the unintentional consequences caused by eavesdroppers. We examine the molecular mechanisms by which strigolactones act within the rhizosphere, and attempt to understand the enigma of the strigolactone molecular diversity synthesised and exude into the rhizosphere by plants. We conclude by looking at the prospects of using improved understanding of strigolactones in agricultural contexts.","author":[{"dropping-particle":"","family":"Clark","given":"Jed","non-dropping-particle":"","parse-names":false,"suffix":""},{"dropping-particle":"","family":"Bennett","given":"Tom","non-dropping-particle":"","parse-names":false,"suffix":""}],"container-title":"Journal of Experimental Botany","id":"ITEM-1","issued":{"date-parts":[["2023","8","25"]]},"title":"Cracking the enigma: understanding strigolactone signalling in the rhizosphere","type":"article-journal"},"uris":["http://www.mendeley.com/documents/?uuid=223d5d7f-913a-477a-9b37-5f64d6024807"]}],"mendeley":{"formattedCitation":"(Clark and Bennett, 2023)","plainTextFormattedCitation":"(Clark and Bennett, 2023)","previouslyFormattedCitation":"(Clark and Bennett, 2023)"},"properties":{"noteIndex":0},"schema":"https://github.com/citation-style-language/schema/raw/master/csl-citation.json"}</w:instrText>
      </w:r>
      <w:r>
        <w:rPr>
          <w:color w:val="000000"/>
          <w:szCs w:val="24"/>
        </w:rPr>
        <w:fldChar w:fldCharType="separate"/>
      </w:r>
      <w:r w:rsidRPr="00B27588">
        <w:rPr>
          <w:noProof/>
          <w:color w:val="000000"/>
          <w:szCs w:val="24"/>
        </w:rPr>
        <w:t>(Clark and Bennett, 2023)</w:t>
      </w:r>
      <w:r>
        <w:rPr>
          <w:color w:val="000000"/>
          <w:szCs w:val="24"/>
        </w:rPr>
        <w:fldChar w:fldCharType="end"/>
      </w:r>
      <w:r>
        <w:rPr>
          <w:color w:val="000000"/>
          <w:szCs w:val="24"/>
        </w:rPr>
        <w:t xml:space="preserve">. </w:t>
      </w:r>
    </w:p>
    <w:p w14:paraId="01B1AC20" w14:textId="56C46F3E" w:rsidR="00EC23E7" w:rsidRDefault="00EC23E7" w:rsidP="00EC23E7">
      <w:pPr>
        <w:spacing w:line="480" w:lineRule="auto"/>
        <w:rPr>
          <w:color w:val="000000"/>
          <w:szCs w:val="24"/>
        </w:rPr>
      </w:pPr>
      <w:r>
        <w:rPr>
          <w:color w:val="000000"/>
          <w:szCs w:val="24"/>
        </w:rPr>
        <w:t xml:space="preserve">The chemically ‘noisy’ characteristic of the rhizosphere provides a complicated setting to explore plant-to-plant detection and response via root exudates. </w:t>
      </w:r>
      <w:r>
        <w:rPr>
          <w:szCs w:val="24"/>
        </w:rPr>
        <w:t xml:space="preserve">Several studies have shown that the application of root exudates </w:t>
      </w:r>
      <w:r>
        <w:rPr>
          <w:szCs w:val="24"/>
        </w:rPr>
        <w:lastRenderedPageBreak/>
        <w:t xml:space="preserve">from other plants to test plants can cause changes in plant growth, such as </w:t>
      </w:r>
      <w:r w:rsidR="00F459D9">
        <w:rPr>
          <w:szCs w:val="24"/>
        </w:rPr>
        <w:t xml:space="preserve">root biomass and </w:t>
      </w:r>
      <w:r>
        <w:rPr>
          <w:szCs w:val="24"/>
        </w:rPr>
        <w:t xml:space="preserve">root system architecture, even when the </w:t>
      </w:r>
      <w:r w:rsidR="00F459D9">
        <w:rPr>
          <w:szCs w:val="24"/>
        </w:rPr>
        <w:t xml:space="preserve">plant </w:t>
      </w:r>
      <w:r>
        <w:rPr>
          <w:szCs w:val="24"/>
        </w:rPr>
        <w:t xml:space="preserve">provider of such exudates is absent from the environment </w:t>
      </w:r>
      <w:r>
        <w:rPr>
          <w:szCs w:val="24"/>
        </w:rPr>
        <w:fldChar w:fldCharType="begin" w:fldLock="1"/>
      </w:r>
      <w:r>
        <w:rPr>
          <w:szCs w:val="24"/>
        </w:rPr>
        <w:instrText>ADDIN CSL_CITATION {"citationItems":[{"id":"ITEM-1","itemData":{"PMID":"20539778","abstract":"Though recent work has demonstrated that plants can recognize species, kin versus strangers, and self/non-self roots, no mechanism for identity recognition in plants has yet been found. Here we examined the role of soluble chemicals in signaling among roots. Utilizing Arabidopsis thaliana, we exposed young seedlings to liquid media containing exudates from siblings, strangers (non-siblings), or only their own exudates. In one experiment, root secretions were inhibited by sodium orthovanadate and root length and number of lateral roots were measured. In a second experiment, responses to siblings, strangers, and their own exudates were measured for several accessions (genotypes), and the traits of length of the longest lateral root and hypocotyl length were also measured. The exposure of plants to the root exudates of strangers induced greater lateral root formation than exposure of plants to sibling exudates. Stranger recognition was abolished upon treatment with the secretion inhibitor. In one experiment, plants exposed to sibling or stranger exudates have shorter roots than plants only exposed to their own exudates. This self/non-self recognition response was not affected by the secretion inhibitor. The results demonstrate that that kin recognition and self/non-self are two separate identity recognition systems involving soluble chemicals. Kin recognition requires active secretion by roots.","author":[{"dropping-particle":"","family":"Biedrzycki","given":"Meredith L","non-dropping-particle":"","parse-names":false,"suffix":""},{"dropping-particle":"","family":"Jilany","given":"Tafari A","non-dropping-particle":"","parse-names":false,"suffix":""},{"dropping-particle":"","family":"Dudley","given":"Susan A","non-dropping-particle":"","parse-names":false,"suffix":""},{"dropping-particle":"","family":"Bais","given":"Harsh P","non-dropping-particle":"","parse-names":false,"suffix":""}],"container-title":"Communicative &amp; Integrative biology","id":"ITEM-1","issue":"1","issued":{"date-parts":[["2010","1"]]},"page":"28-35","publisher":"Taylor &amp; Francis","title":"Root exudates mediate kin recognition in plants.","type":"article-journal","volume":"3"},"uris":["http://www.mendeley.com/documents/?uuid=3de2dc97-1bb1-3e42-b868-a34c9e440b2d"]},{"id":"ITEM-2","itemData":{"DOI":"10.1111/nph.15296","ISSN":"14698137","abstract":"Kin recognition is an important mediator of interactions within individuals of a species. Despite increasing evidence of kin recognition in natural plant populations, relatively little is known about kin recognition in crop species where numerous cultivars have been generated by artificial selection. We identified rice (Oryza sativa) cultivars with the ability for kin recognition from two sets of indica-inbred and indica-hybrid lines at different levels of genetic relatedness. We then assessed this ability among kin and nonkin and tested potential mechanisms in a series of controlled experiments and field trails. Rice cultivars with the ability for kin recognition were capable of detecting the presence of kin and nonkin and responded to them by altering root behavior and biomass allocation, particularly for grain yield. Furthermore, we assessed the role of root exudates and found a root-secreted nitrogen-rich allantoin component to be responsible for kin recognition in rice lines. Kin recognition in rice lines mediated by root exudates occurs in a cultivar-dependent manner. Rice cultivars with the ability for kin recognition may increase grain yield in the presence of kin. Such an improvement of grain yield by kin recognition of cultivar mixtures offers many implications and applications in rice production.","author":[{"dropping-particle":"","family":"Yang","given":"Xue Fang","non-dropping-particle":"","parse-names":false,"suffix":""},{"dropping-particle":"","family":"Li","given":"Lei Lei","non-dropping-particle":"","parse-names":false,"suffix":""},{"dropping-particle":"","family":"Xu","given":"You","non-dropping-particle":"","parse-names":false,"suffix":""},{"dropping-particle":"","family":"Kong","given":"Chui Hua","non-dropping-particle":"","parse-names":false,"suffix":""}],"container-title":"New Phytologist","id":"ITEM-2","issue":"2","issued":{"date-parts":[["2018","10","1"]]},"page":"567-578","publisher":"Blackwell Publishing Ltd","title":"Kin recognition in rice (Oryza sativa) lines","type":"article-journal","volume":"220"},"uris":["http://www.mendeley.com/documents/?uuid=b16268a0-a6bd-378e-905e-ecdd46be0ad4"]},{"id":"ITEM-3","itemData":{"DOI":"10.1038/s41467-018-06429-1","ISSN":"2041-1723","author":[{"dropping-particle":"","family":"Kong","given":"Chui-Hua","non-dropping-particle":"","parse-names":false,"suffix":""},{"dropping-particle":"","family":"Zhang","given":"Song-Zhu","non-dropping-particle":"","parse-names":false,"suffix":""},{"dropping-particle":"","family":"Li","given":"Yong-Hua","non-dropping-particle":"","parse-names":false,"suffix":""},{"dropping-particle":"","family":"Xia","given":"Zhi-Chao","non-dropping-particle":"","parse-names":false,"suffix":""},{"dropping-particle":"","family":"Yang","given":"Xue-Fang","non-dropping-particle":"","parse-names":false,"suffix":""},{"dropping-particle":"","family":"Meiners","given":"Scott J.","non-dropping-particle":"","parse-names":false,"suffix":""},{"dropping-particle":"","family":"Wang","given":"Peng","non-dropping-particle":"","parse-names":false,"suffix":""}],"container-title":"Nature Communications","id":"ITEM-3","issue":"1","issued":{"date-parts":[["2018","12","24"]]},"page":"3867","title":"Plant neighbor detection and allelochemical response are driven by root-secreted signaling chemicals","type":"article-journal","volume":"9"},"uris":["http://www.mendeley.com/documents/?uuid=ed434030-e65c-3266-bb4f-d2cb579ec9ea"]},{"id":"ITEM-4","itemData":{"DOI":"10.1111/nph.12930","ISSN":"0028646X","author":[{"dropping-particle":"","family":"Semchenko","given":"Marina","non-dropping-particle":"","parse-names":false,"suffix":""},{"dropping-particle":"","family":"Saar","given":"Sirgi","non-dropping-particle":"","parse-names":false,"suffix":""},{"dropping-particle":"","family":"Lepik","given":"Anu","non-dropping-particle":"","parse-names":false,"suffix":""}],"container-title":"New Phytologist","id":"ITEM-4","issue":"3","issued":{"date-parts":[["2014","11","1"]]},"page":"631-637","publisher":"John Wiley &amp; Sons, Ltd (10.1111)","title":"Plant root exudates mediate neighbour recognition and trigger complex behavioural changes","type":"article-journal","volume":"204"},"uris":["http://www.mendeley.com/documents/?uuid=f27d5dfa-26df-34af-a880-0bfc785e0bb3"]}],"mendeley":{"formattedCitation":"(Biedrzycki et al., 2010; Semchenko et al., 2014; Yang et al., 2018; Kong et al., 2018)","plainTextFormattedCitation":"(Biedrzycki et al., 2010; Semchenko et al., 2014; Yang et al., 2018; Kong et al., 2018)","previouslyFormattedCitation":"(Biedrzycki et al., 2010; Semchenko et al., 2014; Yang et al., 2018; Kong et al., 2018)"},"properties":{"noteIndex":0},"schema":"https://github.com/citation-style-language/schema/raw/master/csl-citation.json"}</w:instrText>
      </w:r>
      <w:r>
        <w:rPr>
          <w:szCs w:val="24"/>
        </w:rPr>
        <w:fldChar w:fldCharType="separate"/>
      </w:r>
      <w:r w:rsidRPr="00DA6B6F">
        <w:rPr>
          <w:noProof/>
          <w:szCs w:val="24"/>
        </w:rPr>
        <w:t>(Biedrzycki et al., 2010; Semchenko et al., 2014; Yang et al., 2018; Kong et al., 2018)</w:t>
      </w:r>
      <w:r>
        <w:rPr>
          <w:szCs w:val="24"/>
        </w:rPr>
        <w:fldChar w:fldCharType="end"/>
      </w:r>
      <w:r>
        <w:rPr>
          <w:szCs w:val="24"/>
        </w:rPr>
        <w:t xml:space="preserve">. This </w:t>
      </w:r>
      <w:r w:rsidR="00F459D9">
        <w:rPr>
          <w:szCs w:val="24"/>
        </w:rPr>
        <w:t>highlights</w:t>
      </w:r>
      <w:r>
        <w:rPr>
          <w:szCs w:val="24"/>
        </w:rPr>
        <w:t xml:space="preserve"> the possibility that the concentration of root exudates surrounding plants may indicate the relative distance from neighbours </w:t>
      </w:r>
      <w:r>
        <w:rPr>
          <w:szCs w:val="24"/>
        </w:rPr>
        <w:fldChar w:fldCharType="begin" w:fldLock="1"/>
      </w:r>
      <w:r>
        <w:rPr>
          <w:szCs w:val="24"/>
        </w:rPr>
        <w:instrText>ADDIN CSL_CITATION {"citationItems":[{"id":"ITEM-1","itemData":{"DOI":"10.1073/pnas.1222821110","ISSN":"00278424","PMID":"23362379","abstract":"Root system growth and development is highly plastic and is influenced by the surrounding environment. Roots frequently grow in heterogeneous environments that include interactions from neighboring plants and physical impediments in the rhizosphere. To investigate how planting density and physical objects affect root system growth, we grew rice in a transparent gel system in close proximity with another plant or a physical object. Root systems were imaged and reconstructed in three dimensions. Root-root interaction strength was calculated using quantitative metrics that characterize the extent towhich the reconstructed root systems overlap each other. Surprisingly, we found the overlap of root systems of the same genotype was significantly higher than that of root systems of different genotypes. Root systems of the same genotype tended to grow toward each other but those of different genotypes appeared to avoid each other. Shoot separation experiments excluded the possibility of aerial interactions, suggesting root communication. Staggered plantings indicated that interactions likely occur at root tips in close proximity. Recognition of obstacles also occurred through root tips, but through physical contact in a size-dependent manner. These results indicate that root systems use two different forms of communication to recognize objects and alter root architecture: root-root recognition, possibly mediated through root exudates, and root-object recognition mediated by physical contact at the root tips. This finding suggests that root tips act as local sensors that integrate rhizosphere information into global root architectural changes.","author":[{"dropping-particle":"","family":"Fang","given":"Suqin","non-dropping-particle":"","parse-names":false,"suffix":""},{"dropping-particle":"","family":"Clark","given":"Randy T.","non-dropping-particle":"","parse-names":false,"suffix":""},{"dropping-particle":"","family":"Zheng","given":"Ying","non-dropping-particle":"","parse-names":false,"suffix":""},{"dropping-particle":"","family":"Iyer-Pascuzzi","given":"Anjali S.","non-dropping-particle":"","parse-names":false,"suffix":""},{"dropping-particle":"","family":"Weitz","given":"Joshua S.","non-dropping-particle":"","parse-names":false,"suffix":""},{"dropping-particle":"V.","family":"Kochian","given":"Leon","non-dropping-particle":"","parse-names":false,"suffix":""},{"dropping-particle":"","family":"Edelsbrunner","given":"Herbert","non-dropping-particle":"","parse-names":false,"suffix":""},{"dropping-particle":"","family":"Liao","given":"Hong","non-dropping-particle":"","parse-names":false,"suffix":""},{"dropping-particle":"","family":"Benfey","given":"Philip N.","non-dropping-particle":"","parse-names":false,"suffix":""}],"container-title":"Proceedings of the National Academy of Sciences of the United States of America","id":"ITEM-1","issue":"7","issued":{"date-parts":[["2013","2","12"]]},"page":"2670-2675","publisher":"National Academy of Sciences","title":"Genotypic recognition and spatial responses by rice roots","type":"article-journal","volume":"110"},"uris":["http://www.mendeley.com/documents/?uuid=1af83ed3-6e5b-362a-8d87-2d58151feb40"]}],"mendeley":{"formattedCitation":"(Fang et al., 2013)","plainTextFormattedCitation":"(Fang et al., 2013)","previouslyFormattedCitation":"(Fang et al., 2013)"},"properties":{"noteIndex":0},"schema":"https://github.com/citation-style-language/schema/raw/master/csl-citation.json"}</w:instrText>
      </w:r>
      <w:r>
        <w:rPr>
          <w:szCs w:val="24"/>
        </w:rPr>
        <w:fldChar w:fldCharType="separate"/>
      </w:r>
      <w:r w:rsidRPr="00ED51D6">
        <w:rPr>
          <w:noProof/>
          <w:szCs w:val="24"/>
        </w:rPr>
        <w:t>(Fang et al., 2013)</w:t>
      </w:r>
      <w:r>
        <w:rPr>
          <w:szCs w:val="24"/>
        </w:rPr>
        <w:fldChar w:fldCharType="end"/>
      </w:r>
      <w:r>
        <w:rPr>
          <w:szCs w:val="24"/>
        </w:rPr>
        <w:t xml:space="preserve">. Therefore, this could act in a similar manner to obstacle avoidance described earlier </w:t>
      </w:r>
      <w:r>
        <w:rPr>
          <w:szCs w:val="24"/>
        </w:rPr>
        <w:fldChar w:fldCharType="begin" w:fldLock="1"/>
      </w:r>
      <w:r>
        <w:rPr>
          <w:szCs w:val="24"/>
        </w:rPr>
        <w:instrText>ADDIN CSL_CITATION {"citationItems":[{"id":"ITEM-1","itemData":{"DOI":"10.1111/j.1365-3040.2005.01304.x","ISSN":"0140-7791","author":[{"dropping-particle":"","family":"Falik","given":"OMER","non-dropping-particle":"","parse-names":false,"suffix":""},{"dropping-particle":"","family":"Reides","given":"PERLA","non-dropping-particle":"","parse-names":false,"suffix":""},{"dropping-particle":"","family":"Gersani","given":"MORDECHAI","non-dropping-particle":"","parse-names":false,"suffix":""},{"dropping-particle":"","family":"Novoplansky","given":"ARIEL","non-dropping-particle":"","parse-names":false,"suffix":""}],"container-title":"Plant, Cell and Environment","id":"ITEM-1","issue":"4","issued":{"date-parts":[["2005","4"]]},"page":"562-569","title":"Root navigation by self inhibition","type":"article-journal","volume":"28"},"uris":["http://www.mendeley.com/documents/?uuid=043d6547-05a1-318a-9d09-471ab03850e3"]}],"mendeley":{"formattedCitation":"(Falik et al., 2005)","plainTextFormattedCitation":"(Falik et al., 2005)","previouslyFormattedCitation":"(Falik et al., 2005)"},"properties":{"noteIndex":0},"schema":"https://github.com/citation-style-language/schema/raw/master/csl-citation.json"}</w:instrText>
      </w:r>
      <w:r>
        <w:rPr>
          <w:szCs w:val="24"/>
        </w:rPr>
        <w:fldChar w:fldCharType="separate"/>
      </w:r>
      <w:r w:rsidRPr="00B67EA6">
        <w:rPr>
          <w:noProof/>
          <w:szCs w:val="24"/>
        </w:rPr>
        <w:t>(Falik et al., 2005)</w:t>
      </w:r>
      <w:r>
        <w:rPr>
          <w:szCs w:val="24"/>
        </w:rPr>
        <w:fldChar w:fldCharType="end"/>
      </w:r>
      <w:r>
        <w:rPr>
          <w:szCs w:val="24"/>
        </w:rPr>
        <w:t>.</w:t>
      </w:r>
      <w:r>
        <w:rPr>
          <w:color w:val="000000"/>
          <w:szCs w:val="24"/>
        </w:rPr>
        <w:t xml:space="preserve"> Additionally, it has been suggested that some of the rhizosphere </w:t>
      </w:r>
      <w:r w:rsidR="00F96539">
        <w:rPr>
          <w:color w:val="000000"/>
          <w:szCs w:val="24"/>
        </w:rPr>
        <w:t xml:space="preserve">components </w:t>
      </w:r>
      <w:r>
        <w:rPr>
          <w:color w:val="000000"/>
          <w:szCs w:val="24"/>
        </w:rPr>
        <w:t xml:space="preserve">may be present for long periods of time, and hence can potentially influence the </w:t>
      </w:r>
      <w:r w:rsidR="00F96539">
        <w:rPr>
          <w:color w:val="000000"/>
          <w:szCs w:val="24"/>
        </w:rPr>
        <w:t>other</w:t>
      </w:r>
      <w:r>
        <w:rPr>
          <w:color w:val="000000"/>
          <w:szCs w:val="24"/>
        </w:rPr>
        <w:t xml:space="preserve"> plants and organisms</w:t>
      </w:r>
      <w:r w:rsidR="00F96539">
        <w:rPr>
          <w:color w:val="000000"/>
          <w:szCs w:val="24"/>
        </w:rPr>
        <w:t xml:space="preserve"> which may occupy that environment</w:t>
      </w:r>
      <w:r w:rsidR="00EB627E">
        <w:rPr>
          <w:color w:val="000000"/>
          <w:szCs w:val="24"/>
        </w:rPr>
        <w:t xml:space="preserve"> at a later time point</w:t>
      </w:r>
      <w:r>
        <w:rPr>
          <w:color w:val="000000"/>
          <w:szCs w:val="24"/>
        </w:rPr>
        <w:t xml:space="preserve"> </w:t>
      </w:r>
      <w:r>
        <w:rPr>
          <w:color w:val="000000"/>
          <w:szCs w:val="24"/>
        </w:rPr>
        <w:fldChar w:fldCharType="begin" w:fldLock="1"/>
      </w:r>
      <w:r>
        <w:rPr>
          <w:color w:val="000000"/>
          <w:szCs w:val="24"/>
        </w:rPr>
        <w:instrText>ADDIN CSL_CITATION {"citationItems":[{"id":"ITEM-1","itemData":{"author":[{"dropping-particle":"","family":"Karlovsky","given":"P.","non-dropping-particle":"","parse-names":false,"suffix":""}],"container-title":"Secondary metabolites in soil ecology","id":"ITEM-1","issued":{"date-parts":[["2008"]]},"page":"1-19","publisher":"Berlin, Heidelberg: Springer Berlin Heidelberg.","title":"Secondary metabolites in soil ecology.","type":"chapter"},"uris":["http://www.mendeley.com/documents/?uuid=5bfbfc6f-65a9-4cbf-9ffd-a0155bf66b4f"]},{"id":"ITEM-2","itemData":{"DOI":"10.1111/1365-2745.12054","ISSN":"00220477","author":[{"dropping-particle":"","family":"Putten","given":"Wim H.","non-dropping-particle":"van der","parse-names":false,"suffix":""},{"dropping-particle":"","family":"Bardgett","given":"Richard D.","non-dropping-particle":"","parse-names":false,"suffix":""},{"dropping-particle":"","family":"Bever","given":"James D.","non-dropping-particle":"","parse-names":false,"suffix":""},{"dropping-particle":"","family":"Bezemer","given":"T. Martijn","non-dropping-particle":"","parse-names":false,"suffix":""},{"dropping-particle":"","family":"Casper","given":"Brenda B.","non-dropping-particle":"","parse-names":false,"suffix":""},{"dropping-particle":"","family":"Fukami","given":"Tadashi","non-dropping-particle":"","parse-names":false,"suffix":""},{"dropping-particle":"","family":"Kardol","given":"Paul","non-dropping-particle":"","parse-names":false,"suffix":""},{"dropping-particle":"","family":"Klironomos","given":"John N.","non-dropping-particle":"","parse-names":false,"suffix":""},{"dropping-particle":"","family":"Kulmatiski","given":"Andrew","non-dropping-particle":"","parse-names":false,"suffix":""},{"dropping-particle":"","family":"Schweitzer","given":"Jennifer A.","non-dropping-particle":"","parse-names":false,"suffix":""},{"dropping-particle":"","family":"Suding","given":"Katherine N.","non-dropping-particle":"","parse-names":false,"suffix":""},{"dropping-particle":"","family":"Voorde","given":"Tess F. J.","non-dropping-particle":"Van de","parse-names":false,"suffix":""},{"dropping-particle":"","family":"Wardle","given":"David A.","non-dropping-particle":"","parse-names":false,"suffix":""}],"container-title":"Journal of Ecology","editor":[{"dropping-particle":"","family":"Hutchings","given":"Michael","non-dropping-particle":"","parse-names":false,"suffix":""}],"id":"ITEM-2","issue":"2","issued":{"date-parts":[["2013","3"]]},"page":"265-276","title":"Plant-soil feedbacks: the past, the present and future challenges","type":"article-journal","volume":"101"},"uris":["http://www.mendeley.com/documents/?uuid=b4ca66fb-623e-4f35-8eb2-04625be28434"]},{"id":"ITEM-3","itemData":{"DOI":"10.1038/s41467-018-05122-7","ISSN":"2041-1723","abstract":"By changing soil properties, plants can modify their growth environment. Although the soil microbiota is known to play a key role in the resulting plant-soil feedbacks, the proximal mechanisms underlying this phenomenon remain unknown. We found that benzoxazinoids, a class of defensive secondary metabolites that are released by roots of cereals such as wheat and maize, alter root-associated fungal and bacterial communities, decrease plant growth, increase jasmonate signaling and plant defenses, and suppress herbivore performance in the next plant generation. Complementation experiments demonstrate that the benzoxazinoid breakdown product 6-methoxy-benzoxazolin-2-one (MBOA), which accumulates in the soil during the conditioning phase, is both sufficient and necessary to trigger the observed phenotypic changes. Sterilization, fungal and bacterial profiling and complementation experiments reveal that MBOA acts indirectly by altering root-associated microbiota. Our results reveal a mechanism by which plants determine the composition of rhizosphere microbiota, plant performance and plant-herbivore interactions of the next generation.","author":[{"dropping-particle":"","family":"Hu","given":"Lingfei","non-dropping-particle":"","parse-names":false,"suffix":""},{"dropping-particle":"","family":"Robert","given":"Christelle A. M.","non-dropping-particle":"","parse-names":false,"suffix":""},{"dropping-particle":"","family":"Cadot","given":"Selma","non-dropping-particle":"","parse-names":false,"suffix":""},{"dropping-particle":"","family":"Zhang","given":"Xi","non-dropping-particle":"","parse-names":false,"suffix":""},{"dropping-particle":"","family":"Ye","given":"Meng","non-dropping-particle":"","parse-names":false,"suffix":""},{"dropping-particle":"","family":"Li","given":"Beibei","non-dropping-particle":"","parse-names":false,"suffix":""},{"dropping-particle":"","family":"Manzo","given":"Daniele","non-dropping-particle":"","parse-names":false,"suffix":""},{"dropping-particle":"","family":"Chervet","given":"Noemie","non-dropping-particle":"","parse-names":false,"suffix":""},{"dropping-particle":"","family":"Steinger","given":"Thomas","non-dropping-particle":"","parse-names":false,"suffix":""},{"dropping-particle":"","family":"Heijden","given":"Marcel G. A.","non-dropping-particle":"van der","parse-names":false,"suffix":""},{"dropping-particle":"","family":"Schlaeppi","given":"Klaus","non-dropping-particle":"","parse-names":false,"suffix":""},{"dropping-particle":"","family":"Erb","given":"Matthias","non-dropping-particle":"","parse-names":false,"suffix":""}],"container-title":"Nature Communications","id":"ITEM-3","issue":"1","issued":{"date-parts":[["2018","7","16"]]},"page":"2738","title":"Root exudate metabolites drive plant-soil feedbacks on growth and defense by shaping the rhizosphere microbiota","type":"article-journal","volume":"9"},"uris":["http://www.mendeley.com/documents/?uuid=383c10a0-2fae-459c-89fa-5063d329f6fb"]}],"mendeley":{"formattedCitation":"(Karlovsky, 2008; van der Putten et al., 2013; Hu et al., 2018)","plainTextFormattedCitation":"(Karlovsky, 2008; van der Putten et al., 2013; Hu et al., 2018)","previouslyFormattedCitation":"(Karlovsky, 2008; van der Putten et al., 2013; Hu et al., 2018)"},"properties":{"noteIndex":0},"schema":"https://github.com/citation-style-language/schema/raw/master/csl-citation.json"}</w:instrText>
      </w:r>
      <w:r>
        <w:rPr>
          <w:color w:val="000000"/>
          <w:szCs w:val="24"/>
        </w:rPr>
        <w:fldChar w:fldCharType="separate"/>
      </w:r>
      <w:r w:rsidRPr="00B138E2">
        <w:rPr>
          <w:noProof/>
          <w:color w:val="000000"/>
          <w:szCs w:val="24"/>
        </w:rPr>
        <w:t>(Karlovsky, 2008; van der Putten et al., 2013; Hu et al., 2018)</w:t>
      </w:r>
      <w:r>
        <w:rPr>
          <w:color w:val="000000"/>
          <w:szCs w:val="24"/>
        </w:rPr>
        <w:fldChar w:fldCharType="end"/>
      </w:r>
      <w:r>
        <w:rPr>
          <w:color w:val="000000"/>
          <w:szCs w:val="24"/>
        </w:rPr>
        <w:t xml:space="preserve">, this could negatively affect </w:t>
      </w:r>
      <w:r w:rsidR="00EB627E">
        <w:rPr>
          <w:color w:val="000000"/>
          <w:szCs w:val="24"/>
        </w:rPr>
        <w:t xml:space="preserve">a </w:t>
      </w:r>
      <w:r>
        <w:rPr>
          <w:color w:val="000000"/>
          <w:szCs w:val="24"/>
        </w:rPr>
        <w:t>plants’ ability to make decisions about their future growth.</w:t>
      </w:r>
    </w:p>
    <w:p w14:paraId="18250764" w14:textId="4A5DA808" w:rsidR="00EC23E7" w:rsidRDefault="00EC23E7" w:rsidP="00EC23E7">
      <w:pPr>
        <w:spacing w:line="480" w:lineRule="auto"/>
        <w:rPr>
          <w:color w:val="000000"/>
          <w:szCs w:val="24"/>
        </w:rPr>
      </w:pPr>
      <w:r>
        <w:rPr>
          <w:color w:val="000000"/>
          <w:szCs w:val="24"/>
        </w:rPr>
        <w:t xml:space="preserve">The ability to recognise neighbours is important as this allows plants to determine current and future ‘competition’ for below- and aboveground resources. There have been suggestions that some species are able to identify that other plants in their environment are different to them (not self) </w:t>
      </w:r>
      <w:r>
        <w:rPr>
          <w:color w:val="000000"/>
          <w:szCs w:val="24"/>
        </w:rPr>
        <w:fldChar w:fldCharType="begin" w:fldLock="1"/>
      </w:r>
      <w:r>
        <w:rPr>
          <w:color w:val="000000"/>
          <w:szCs w:val="24"/>
        </w:rPr>
        <w:instrText>ADDIN CSL_CITATION {"citationItems":[{"id":"ITEM-1","itemData":{"author":[{"dropping-particle":"","family":"Karban","given":"R","non-dropping-particle":"","parse-names":false,"suffix":""}],"id":"ITEM-1","issued":{"date-parts":[["2015"]]},"publisher":"University of Chicago Press","publisher-place":"Chicago, IL, USA","title":"Plant sensing and communication","type":"book"},"uris":["http://www.mendeley.com/documents/?uuid=bfcc279e-1fbf-4ad0-abe6-c813e5673591"]},{"id":"ITEM-2","itemData":{"DOI":"10.1186/1471-2229-10-115","ISSN":"1471-2229","author":[{"dropping-particle":"","family":"Broz","given":"Amanda K","non-dropping-particle":"","parse-names":false,"suffix":""},{"dropping-particle":"","family":"Broeckling","given":"Corey D","non-dropping-particle":"","parse-names":false,"suffix":""},{"dropping-particle":"","family":"De-la-Peña","given":"Clelia","non-dropping-particle":"","parse-names":false,"suffix":""},{"dropping-particle":"","family":"Lewis","given":"Matthew R","non-dropping-particle":"","parse-names":false,"suffix":""},{"dropping-particle":"","family":"Greene","given":"Erick","non-dropping-particle":"","parse-names":false,"suffix":""},{"dropping-particle":"","family":"Callaway","given":"Ragan M","non-dropping-particle":"","parse-names":false,"suffix":""},{"dropping-particle":"","family":"Sumner","given":"Lloyd W","non-dropping-particle":"","parse-names":false,"suffix":""},{"dropping-particle":"","family":"Vivanco","given":"Jorge M","non-dropping-particle":"","parse-names":false,"suffix":""}],"container-title":"BMC Plant Biology","id":"ITEM-2","issue":"1","issued":{"date-parts":[["2010","12","17"]]},"page":"115","title":"Plant neighbor identity influences plant biochemistry and physiology related to defense","type":"article-journal","volume":"10"},"uris":["http://www.mendeley.com/documents/?uuid=c7f077bb-ce9b-4714-98ce-2d0ac1d9e42a"]},{"id":"ITEM-3","itemData":{"DOI":"10.1111/1365-2435.12010","ISSN":"0269-8463","abstract":"Plant competition determines the diversity and species abundance of natural communities as well as potential yields in agricultural systems. Understanding the mechanisms of plant competition is instrumental to understanding plant performance in true vegetations. In this review, we will address various components of competition between plant individuals with a specific focus on molecular aspects. As plant–plant interactions during competition are multiple and complex, we will focus here on a restricted set of examples of plant traits that are thought to enhance their performance during competition. To respond to competition by neighbours, plants first need to detect these competitors in a reliable way. We discuss the various ways of molecular detection of competition through light</w:instrText>
      </w:r>
      <w:r>
        <w:rPr>
          <w:rFonts w:ascii="Cambria Math" w:hAnsi="Cambria Math" w:cs="Cambria Math"/>
          <w:color w:val="000000"/>
          <w:szCs w:val="24"/>
        </w:rPr>
        <w:instrText>‐</w:instrText>
      </w:r>
      <w:r>
        <w:rPr>
          <w:color w:val="000000"/>
          <w:szCs w:val="24"/>
        </w:rPr>
        <w:instrText>quality signals, nutrient levels, soluble root exudates and volatile organic compounds emitted by neighbouring plants. Once perceived, these signals are translated into responses such as shade avoidance, root foraging and allelopathy. We integrate the various molecular patterns of signal detection and subsequent plant responses, both above</w:instrText>
      </w:r>
      <w:r>
        <w:rPr>
          <w:rFonts w:ascii="Cambria Math" w:hAnsi="Cambria Math" w:cs="Cambria Math"/>
          <w:color w:val="000000"/>
          <w:szCs w:val="24"/>
        </w:rPr>
        <w:instrText>‐</w:instrText>
      </w:r>
      <w:r>
        <w:rPr>
          <w:color w:val="000000"/>
          <w:szCs w:val="24"/>
        </w:rPr>
        <w:instrText xml:space="preserve"> and below</w:instrText>
      </w:r>
      <w:r>
        <w:rPr>
          <w:rFonts w:ascii="Cambria Math" w:hAnsi="Cambria Math" w:cs="Cambria Math"/>
          <w:color w:val="000000"/>
          <w:szCs w:val="24"/>
        </w:rPr>
        <w:instrText>‐</w:instrText>
      </w:r>
      <w:r>
        <w:rPr>
          <w:color w:val="000000"/>
          <w:szCs w:val="24"/>
        </w:rPr>
        <w:instrText>ground and including their interaction. We outline research strategies towards creating a general, mechanistic understanding of how plants increase their performance during competition.","author":[{"dropping-particle":"","family":"Pierik","given":"Ronald","non-dropping-particle":"","parse-names":false,"suffix":""},{"dropping-particle":"","family":"Mommer","given":"Liesje","non-dropping-particle":"","parse-names":false,"suffix":""},{"dropping-particle":"","family":"Voesenek","given":"Laurentius ACJ","non-dropping-particle":"","parse-names":false,"suffix":""}],"container-title":"Functional Ecology","editor":[{"dropping-particle":"","family":"Robinson","given":"David","non-dropping-particle":"","parse-names":false,"suffix":""}],"id":"ITEM-3","issue":"4","issued":{"date-parts":[["2013","8","16"]]},"page":"841-853","title":"Molecular mechanisms of plant competition: neighbour detection and response strategies","type":"article-journal","volume":"27"},"uris":["http://www.mendeley.com/documents/?uuid=7f2689b8-dead-4773-8b9e-a7d8b191d11f"]}],"mendeley":{"formattedCitation":"(Broz et al., 2010; Pierik et al., 2013; Karban, 2015)","plainTextFormattedCitation":"(Broz et al., 2010; Pierik et al., 2013; Karban, 2015)","previouslyFormattedCitation":"(Broz et al., 2010; Pierik et al., 2013; Karban, 2015)"},"properties":{"noteIndex":0},"schema":"https://github.com/citation-style-language/schema/raw/master/csl-citation.json"}</w:instrText>
      </w:r>
      <w:r>
        <w:rPr>
          <w:color w:val="000000"/>
          <w:szCs w:val="24"/>
        </w:rPr>
        <w:fldChar w:fldCharType="separate"/>
      </w:r>
      <w:r w:rsidRPr="001A1EB5">
        <w:rPr>
          <w:noProof/>
          <w:color w:val="000000"/>
          <w:szCs w:val="24"/>
        </w:rPr>
        <w:t>(Broz et al., 2010; Pierik et al., 2013; Karban, 2015)</w:t>
      </w:r>
      <w:r>
        <w:rPr>
          <w:color w:val="000000"/>
          <w:szCs w:val="24"/>
        </w:rPr>
        <w:fldChar w:fldCharType="end"/>
      </w:r>
      <w:r>
        <w:rPr>
          <w:color w:val="000000"/>
          <w:szCs w:val="24"/>
        </w:rPr>
        <w:t xml:space="preserve">, and taking this a step further, some studies have indicated that plants can determine if the neighbour is kin or non-kin </w:t>
      </w:r>
      <w:r>
        <w:rPr>
          <w:color w:val="000000"/>
          <w:szCs w:val="24"/>
        </w:rPr>
        <w:fldChar w:fldCharType="begin" w:fldLock="1"/>
      </w:r>
      <w:r>
        <w:rPr>
          <w:color w:val="000000"/>
          <w:szCs w:val="24"/>
        </w:rPr>
        <w:instrText>ADDIN CSL_CITATION {"citationItems":[{"id":"ITEM-1","itemData":{"DOI":"10.1098/rsbl.2007.0232","ISSN":"1744-9561","abstract":"Kin recognition is important in animal social systems. However, though plants often compete with kin, there has been as yet no direct evidence that plants recognize kin in competitive interactions. Here we show in the annual plant Cakile edentula, allocation to roots increased when groups of strangers shared a common pot, but not when groups of siblings shared a pot. Our results demonstrate that plants can discriminate kin in competitive interactions and indicate that the root interactions may provide the cue for kin recognition. Because greater root allocation is argued to increase below-ground competitive ability, the results are consistent with kin selection. © 2007 The Royal Society.","author":[{"dropping-particle":"","family":"Dudley","given":"Susan A","non-dropping-particle":"","parse-names":false,"suffix":""},{"dropping-particle":"","family":"File","given":"Amanda L","non-dropping-particle":"","parse-names":false,"suffix":""}],"container-title":"Biology Letters","id":"ITEM-1","issue":"4","issued":{"date-parts":[["2007","8","22"]]},"page":"435-438","publisher":"Royal Society","title":"Kin recognition in an annual plant","type":"article-journal","volume":"3"},"uris":["http://www.mendeley.com/documents/?uuid=2a29e6f6-7039-3eb1-9d33-603721c85311"]},{"id":"ITEM-2","itemData":{"DOI":"10.1111/nph.15296","ISSN":"14698137","abstract":"Kin recognition is an important mediator of interactions within individuals of a species. Despite increasing evidence of kin recognition in natural plant populations, relatively little is known about kin recognition in crop species where numerous cultivars have been generated by artificial selection. We identified rice (Oryza sativa) cultivars with the ability for kin recognition from two sets of indica-inbred and indica-hybrid lines at different levels of genetic relatedness. We then assessed this ability among kin and nonkin and tested potential mechanisms in a series of controlled experiments and field trails. Rice cultivars with the ability for kin recognition were capable of detecting the presence of kin and nonkin and responded to them by altering root behavior and biomass allocation, particularly for grain yield. Furthermore, we assessed the role of root exudates and found a root-secreted nitrogen-rich allantoin component to be responsible for kin recognition in rice lines. Kin recognition in rice lines mediated by root exudates occurs in a cultivar-dependent manner. Rice cultivars with the ability for kin recognition may increase grain yield in the presence of kin. Such an improvement of grain yield by kin recognition of cultivar mixtures offers many implications and applications in rice production.","author":[{"dropping-particle":"","family":"Yang","given":"Xue Fang","non-dropping-particle":"","parse-names":false,"suffix":""},{"dropping-particle":"","family":"Li","given":"Lei Lei","non-dropping-particle":"","parse-names":false,"suffix":""},{"dropping-particle":"","family":"Xu","given":"You","non-dropping-particle":"","parse-names":false,"suffix":""},{"dropping-particle":"","family":"Kong","given":"Chui Hua","non-dropping-particle":"","parse-names":false,"suffix":""}],"container-title":"New Phytologist","id":"ITEM-2","issue":"2","issued":{"date-parts":[["2018","10","1"]]},"page":"567-578","publisher":"Blackwell Publishing Ltd","title":"Kin recognition in rice (Oryza sativa) lines","type":"article-journal","volume":"220"},"uris":["http://www.mendeley.com/documents/?uuid=b16268a0-a6bd-378e-905e-ecdd46be0ad4"]},{"id":"ITEM-3","itemData":{"DOI":"10.1111/pce.14011","ISSN":"0140-7791","abstract":"The phenomenon that organisms can distinguish genetically related individuals from strangers (i.e., kin recognition) and exhibit more cooperative behaviours towards their relatives (i.e., positive kin discrimination) has been documented in a wide variety of organisms. However, its occurrence in plants has been considered only recently. Despite the concerns about some methodologies used to document kin recognition, there is sufficient evidence to state that it exists in plants. Effects of kin recognition go well beyond reducing resource competition between related plants and involve interactions with symbionts (e.g., mycorrhizal networks). Kin recognition thus likely has important implications for evolution of plant traits, diversity of plant populations, ecological networks and community structures. Moreover, as kin selection may result in less competitive traits and thus greater population performance, it holds potential promise for crop breeding. Exploration of these evo</w:instrText>
      </w:r>
      <w:r>
        <w:rPr>
          <w:rFonts w:ascii="Cambria Math" w:hAnsi="Cambria Math" w:cs="Cambria Math"/>
          <w:color w:val="000000"/>
          <w:szCs w:val="24"/>
        </w:rPr>
        <w:instrText>‐</w:instrText>
      </w:r>
      <w:r>
        <w:rPr>
          <w:color w:val="000000"/>
          <w:szCs w:val="24"/>
        </w:rPr>
        <w:instrText>ecological and agricultural implications requires adequate control and measurements of relatedness, sufficient replication at genotypic level and comprehensive measurements of performance/fitness effects of kin discrimination. The primary questions that need to be answered are: when, where and by how much positive kin discrimination improves population performance.","author":[{"dropping-particle":"","family":"Anten","given":"Niels P. R.","non-dropping-particle":"","parse-names":false,"suffix":""},{"dropping-particle":"","family":"Chen","given":"Bin J. W.","non-dropping-particle":"","parse-names":false,"suffix":""}],"container-title":"Plant, Cell &amp; Environment","id":"ITEM-3","issue":"4","issued":{"date-parts":[["2021","4","18"]]},"page":"1059-1071","title":"Detect thy family: Mechanisms, ecology and agricultural aspects of kin recognition in plants","type":"article-journal","volume":"44"},"uris":["http://www.mendeley.com/documents/?uuid=2772082a-cf88-42b8-8146-de3cca92d941"]}],"mendeley":{"formattedCitation":"(Dudley and File, 2007; Yang et al., 2018; Anten and Chen, 2021)","plainTextFormattedCitation":"(Dudley and File, 2007; Yang et al., 2018; Anten and Chen, 2021)","previouslyFormattedCitation":"(Dudley and File, 2007; Yang et al., 2018; Anten and Chen, 2021)"},"properties":{"noteIndex":0},"schema":"https://github.com/citation-style-language/schema/raw/master/csl-citation.json"}</w:instrText>
      </w:r>
      <w:r>
        <w:rPr>
          <w:color w:val="000000"/>
          <w:szCs w:val="24"/>
        </w:rPr>
        <w:fldChar w:fldCharType="separate"/>
      </w:r>
      <w:r w:rsidRPr="00D4451A">
        <w:rPr>
          <w:noProof/>
          <w:color w:val="000000"/>
          <w:szCs w:val="24"/>
        </w:rPr>
        <w:t>(Dudley and File, 2007; Yang et al., 2018; Anten and Chen, 2021)</w:t>
      </w:r>
      <w:r>
        <w:rPr>
          <w:color w:val="000000"/>
          <w:szCs w:val="24"/>
        </w:rPr>
        <w:fldChar w:fldCharType="end"/>
      </w:r>
      <w:r>
        <w:rPr>
          <w:color w:val="000000"/>
          <w:szCs w:val="24"/>
        </w:rPr>
        <w:t xml:space="preserve">. Understanding kin recognition could be highly important in agricultural settings where plants are densely sown with others that are close relatives </w:t>
      </w:r>
      <w:r>
        <w:rPr>
          <w:color w:val="000000"/>
          <w:szCs w:val="24"/>
        </w:rPr>
        <w:fldChar w:fldCharType="begin" w:fldLock="1"/>
      </w:r>
      <w:r>
        <w:rPr>
          <w:color w:val="000000"/>
          <w:szCs w:val="24"/>
        </w:rPr>
        <w:instrText>ADDIN CSL_CITATION {"citationItems":[{"id":"ITEM-1","itemData":{"DOI":"10.1111/nph.15296","ISSN":"14698137","abstract":"Kin recognition is an important mediator of interactions within individuals of a species. Despite increasing evidence of kin recognition in natural plant populations, relatively little is known about kin recognition in crop species where numerous cultivars have been generated by artificial selection. We identified rice (Oryza sativa) cultivars with the ability for kin recognition from two sets of indica-inbred and indica-hybrid lines at different levels of genetic relatedness. We then assessed this ability among kin and nonkin and tested potential mechanisms in a series of controlled experiments and field trails. Rice cultivars with the ability for kin recognition were capable of detecting the presence of kin and nonkin and responded to them by altering root behavior and biomass allocation, particularly for grain yield. Furthermore, we assessed the role of root exudates and found a root-secreted nitrogen-rich allantoin component to be responsible for kin recognition in rice lines. Kin recognition in rice lines mediated by root exudates occurs in a cultivar-dependent manner. Rice cultivars with the ability for kin recognition may increase grain yield in the presence of kin. Such an improvement of grain yield by kin recognition of cultivar mixtures offers many implications and applications in rice production.","author":[{"dropping-particle":"","family":"Yang","given":"Xue Fang","non-dropping-particle":"","parse-names":false,"suffix":""},{"dropping-particle":"","family":"Li","given":"Lei Lei","non-dropping-particle":"","parse-names":false,"suffix":""},{"dropping-particle":"","family":"Xu","given":"You","non-dropping-particle":"","parse-names":false,"suffix":""},{"dropping-particle":"","family":"Kong","given":"Chui Hua","non-dropping-particle":"","parse-names":false,"suffix":""}],"container-title":"New Phytologist","id":"ITEM-1","issue":"2","issued":{"date-parts":[["2018","10","1"]]},"page":"567-578","publisher":"Blackwell Publishing Ltd","title":"Kin recognition in rice (Oryza sativa) lines","type":"article-journal","volume":"220"},"uris":["http://www.mendeley.com/documents/?uuid=b16268a0-a6bd-378e-905e-ecdd46be0ad4"]}],"mendeley":{"formattedCitation":"(Yang et al., 2018)","plainTextFormattedCitation":"(Yang et al., 2018)","previouslyFormattedCitation":"(Yang et al., 2018)"},"properties":{"noteIndex":0},"schema":"https://github.com/citation-style-language/schema/raw/master/csl-citation.json"}</w:instrText>
      </w:r>
      <w:r>
        <w:rPr>
          <w:color w:val="000000"/>
          <w:szCs w:val="24"/>
        </w:rPr>
        <w:fldChar w:fldCharType="separate"/>
      </w:r>
      <w:r w:rsidRPr="00FC2250">
        <w:rPr>
          <w:noProof/>
          <w:color w:val="000000"/>
          <w:szCs w:val="24"/>
        </w:rPr>
        <w:t>(Yang et al., 2018)</w:t>
      </w:r>
      <w:r>
        <w:rPr>
          <w:color w:val="000000"/>
          <w:szCs w:val="24"/>
        </w:rPr>
        <w:fldChar w:fldCharType="end"/>
      </w:r>
      <w:r>
        <w:rPr>
          <w:color w:val="000000"/>
          <w:szCs w:val="24"/>
        </w:rPr>
        <w:t xml:space="preserve">. It would be hoped to result in scenarios where plants cooperate rather than compete with their neighbours allowing for increases in yield </w:t>
      </w:r>
      <w:r>
        <w:rPr>
          <w:color w:val="000000"/>
          <w:szCs w:val="24"/>
        </w:rPr>
        <w:fldChar w:fldCharType="begin" w:fldLock="1"/>
      </w:r>
      <w:r w:rsidR="00677EA2">
        <w:rPr>
          <w:color w:val="000000"/>
          <w:szCs w:val="24"/>
        </w:rPr>
        <w:instrText>ADDIN CSL_CITATION {"citationItems":[{"id":"ITEM-1","itemData":{"DOI":"10.1016/j.plantsci.2012.07.006","ISSN":"01689452","abstract":"Some plant species increase root allocation at the expense of reproduction in the presence of non-self and non-kin neighbors, indicating the capacity of neighbor-identity recognition at the root level. Yet in spite of the potential consequences of root identity recognition for the relationship between plant interactions and community structure and functioning, this phenomenon still remains poorly understood. We first critically assess the evidence for the existence of self/non-self and kin recognition at the root level in plants. While root identity recognition most likely exists to some degree, there remain valid points of criticism regarding experiments that have documented this, particularly concerning the effects of pot volume in self/non-self recognition experiments and the roles of size inequality and asymmetric competition in kin recognition studies. Subsequently we review and propose some plausible physiological mechanisms that may underlie these responses. Finally we briefly discuss the relation between under- and aboveground interactions and the potential consequences of root identity recognition for agriculture, and conclude with raising several questions for future studies. © 2012 Elsevier Ireland Ltd.","author":[{"dropping-particle":"","family":"Chen","given":"Bin J.W.","non-dropping-particle":"","parse-names":false,"suffix":""},{"dropping-particle":"","family":"During","given":"Heinjo J.","non-dropping-particle":"","parse-names":false,"suffix":""},{"dropping-particle":"","family":"Anten","given":"Niels P.R.","non-dropping-particle":"","parse-names":false,"suffix":""}],"container-title":"Plant Science","id":"ITEM-1","issued":{"date-parts":[["2012","10"]]},"page":"157-167","title":"Detect thy neighbor: Identity recognition at the root level in plants","type":"article","volume":"195"},"uris":["http://www.mendeley.com/documents/?uuid=c4fd9829-08c1-3166-855a-dd906da62ade"]},{"id":"ITEM-2","itemData":{"DOI":"10.1098/rstb.2013.0367","ISSN":"14712970","abstract":"Trade-offs between individual fitness and the collective performance of crop and below-ground symbiont communities are common in agriculture. Plant competitiveness for light and soil resources is key to individual fitness, but higher investments in stems and roots by a plant community to compete for those resources ultimately reduce crop yields. Similarly, rhizobia and mycorrhizal fungi may increase their individual fitness by diverting resources to their own reproduction, even if they could have benefited collectively by providing their shared crop host with more nitrogen and phosphorus, respectively. Past selection for inclusive fitness (benefits to others, weighted by their relatedness) is unlikely to have favoured community performance over individual fitness. The limited evidence for kin recognition in plants and microbes changes this conclusion only slightly. We therefore argue that there is still ample opportunity for human-imposed selection to improve cooperation among crop plants and their symbionts so that they use limited resources more efficiently. This evolutionarily informed approach will require a better understanding of how interactions among crops, and interactions with their symbionts, affected their inclusive fitness in the past and what that implies for current interactions.","author":[{"dropping-particle":"","family":"Kiers","given":"E. Toby","non-dropping-particle":"","parse-names":false,"suffix":""},{"dropping-particle":"","family":"Denison","given":"R. Ford","non-dropping-particle":"","parse-names":false,"suffix":""}],"container-title":"Philosophical Transactions of the Royal Society B: Biological Sciences","id":"ITEM-2","issue":"1642","issued":{"date-parts":[["2014","5","19"]]},"publisher":"Royal Society","title":"Inclusive fitness in agriculture","type":"article","volume":"369"},"uris":["http://www.mendeley.com/documents/?uuid=a2b02ae9-8647-3d92-a6ea-1224c9d6ab0b"]},{"id":"ITEM-3","itemData":{"DOI":"10.1098/rsos.160879","ISSN":"20545703","abstract":"© 2017 The Authors. Identity recognition systems allow plants to tailor competitive phenotypes in response to the genetic relatedness of neighbours. There is limited evidence for the existence of recognition systems in crop species and whether they operate at a level that would allow for identification of different degrees of relatedness. Here, we test the responses of commercial soya bean cultivars to neighbours of varying genetic relatedness consisting of other commercial cultivars (intraspecific), its wild progenitor Glycine soja, and another leguminous species Phaseolus vulgaris (interspecific). We found, for the first time to our knowledge, that a commercial soya bean cultivar, OAC Wallace, showed identity recognition responses to neighbours at different levels of genetic relatedness. OAC Wallace showed no response when grown with other commercial soya bean cultivars (intra-specific neighbours), showed increased allocation to leaves compared with stems with wild soya beans (highly related wild progenitor species), and increased allocation to leaves compared with stems and roots with white beans (interspecific neighbours). Wild soya bean also responded to identity recognition but these responses involved changes in biomass allocation towards stems instead of leaves suggesting that identity recognition responses are species-specific and consistent with the ecology of the species. In conclusion, elucidating identity recognition in crops may provide further knowledge into mechanisms of crop competition and the relationship between crop density and yield.","author":[{"dropping-particle":"","family":"Murphy","given":"Guillermo P.","non-dropping-particle":"","parse-names":false,"suffix":""},{"dropping-particle":"","family":"Acker","given":"Rene","non-dropping-particle":"van","parse-names":false,"suffix":""},{"dropping-particle":"","family":"Rajcan","given":"Istvan","non-dropping-particle":"","parse-names":false,"suffix":""},{"dropping-particle":"","family":"Swanton","given":"Clarence J.","non-dropping-particle":"","parse-names":false,"suffix":""}],"container-title":"Royal Society Open Science","id":"ITEM-3","issue":"1","issued":{"date-parts":[["2017","1","1"]]},"publisher":"Royal Society Publishing","title":"Identity recognition in response to different levels of genetic relatedness in commercial soya bean","type":"article-journal","volume":"4"},"uris":["http://www.mendeley.com/documents/?uuid=84dafbc8-7271-31de-bc38-245445ca0b8d"]},{"id":"ITEM-4","itemData":{"DOI":"10.1111/pce.13965","ISSN":"0140-7791","author":[{"dropping-particle":"","family":"Bilas","given":"Roza D.","non-dropping-particle":"","parse-names":false,"suffix":""},{"dropping-particle":"","family":"Bretman","given":"Amanda","non-dropping-particle":"","parse-names":false,"suffix":""},{"dropping-particle":"","family":"Bennett","given":"Tom","non-dropping-particle":"","parse-names":false,"suffix":""}],"container-title":"Plant, Cell &amp; Environment","id":"ITEM-4","issue":"4","issued":{"date-parts":[["2021","4","15"]]},"page":"997-1013","title":"Friends, neighbours and enemies: an overview of the communal and social biology of plants","type":"article-journal","volume":"44"},"uris":["http://www.mendeley.com/documents/?uuid=6f5d77a1-17e6-4994-9d2e-af28f1a99d3c"]}],"mendeley":{"formattedCitation":"(Chen et al., 2012; Kiers and Denison, 2014; Murphy et al., 2017; Bilas et al., 2021)","plainTextFormattedCitation":"(Chen et al., 2012; Kiers and Denison, 2014; Murphy et al., 2017; Bilas et al., 2021)","previouslyFormattedCitation":"(Chen et al., 2012; Kiers and Denison, 2014; Murphy et al., 2017; Bilas et al., 2021)"},"properties":{"noteIndex":0},"schema":"https://github.com/citation-style-language/schema/raw/master/csl-citation.json"}</w:instrText>
      </w:r>
      <w:r>
        <w:rPr>
          <w:color w:val="000000"/>
          <w:szCs w:val="24"/>
        </w:rPr>
        <w:fldChar w:fldCharType="separate"/>
      </w:r>
      <w:r w:rsidR="00EB627E" w:rsidRPr="00EB627E">
        <w:rPr>
          <w:noProof/>
          <w:color w:val="000000"/>
          <w:szCs w:val="24"/>
        </w:rPr>
        <w:t>(Chen et al., 2012; Kiers and Denison, 2014; Murphy et al., 2017; Bilas et al., 2021)</w:t>
      </w:r>
      <w:r>
        <w:rPr>
          <w:color w:val="000000"/>
          <w:szCs w:val="24"/>
        </w:rPr>
        <w:fldChar w:fldCharType="end"/>
      </w:r>
      <w:r>
        <w:rPr>
          <w:color w:val="000000"/>
          <w:szCs w:val="24"/>
        </w:rPr>
        <w:t xml:space="preserve">. Fang et al (2011) suggested that intensive breeding may have </w:t>
      </w:r>
      <w:r>
        <w:rPr>
          <w:color w:val="000000"/>
          <w:szCs w:val="24"/>
        </w:rPr>
        <w:lastRenderedPageBreak/>
        <w:t xml:space="preserve">caused some crops to no longer be able to detect the identity of their neighbours in conditions where </w:t>
      </w:r>
      <w:r w:rsidR="00677EA2">
        <w:rPr>
          <w:color w:val="000000"/>
          <w:szCs w:val="24"/>
        </w:rPr>
        <w:t xml:space="preserve">nutrients and other </w:t>
      </w:r>
      <w:r>
        <w:rPr>
          <w:color w:val="000000"/>
          <w:szCs w:val="24"/>
        </w:rPr>
        <w:t>resources are abundant, however this is not the case for all</w:t>
      </w:r>
      <w:r w:rsidR="00677EA2">
        <w:rPr>
          <w:color w:val="000000"/>
          <w:szCs w:val="24"/>
        </w:rPr>
        <w:t>,</w:t>
      </w:r>
      <w:r>
        <w:rPr>
          <w:color w:val="000000"/>
          <w:szCs w:val="24"/>
        </w:rPr>
        <w:t xml:space="preserve"> as some </w:t>
      </w:r>
      <w:r w:rsidR="00677EA2">
        <w:rPr>
          <w:color w:val="000000"/>
          <w:szCs w:val="24"/>
        </w:rPr>
        <w:t>varieties of crops</w:t>
      </w:r>
      <w:r>
        <w:rPr>
          <w:color w:val="000000"/>
          <w:szCs w:val="24"/>
        </w:rPr>
        <w:t xml:space="preserve"> have been shown to respond differently to neighbours depending on </w:t>
      </w:r>
      <w:r w:rsidR="00677EA2">
        <w:rPr>
          <w:color w:val="000000"/>
          <w:szCs w:val="24"/>
        </w:rPr>
        <w:t xml:space="preserve">how closely related they are </w:t>
      </w:r>
      <w:r>
        <w:rPr>
          <w:color w:val="000000"/>
          <w:szCs w:val="24"/>
        </w:rPr>
        <w:fldChar w:fldCharType="begin" w:fldLock="1"/>
      </w:r>
      <w:r w:rsidR="00866E1E">
        <w:rPr>
          <w:color w:val="000000"/>
          <w:szCs w:val="24"/>
        </w:rPr>
        <w:instrText>ADDIN CSL_CITATION {"citationItems":[{"id":"ITEM-1","itemData":{"DOI":"10.1073/pnas.1222821110","ISSN":"00278424","PMID":"23362379","abstract":"Root system growth and development is highly plastic and is influenced by the surrounding environment. Roots frequently grow in heterogeneous environments that include interactions from neighboring plants and physical impediments in the rhizosphere. To investigate how planting density and physical objects affect root system growth, we grew rice in a transparent gel system in close proximity with another plant or a physical object. Root systems were imaged and reconstructed in three dimensions. Root-root interaction strength was calculated using quantitative metrics that characterize the extent towhich the reconstructed root systems overlap each other. Surprisingly, we found the overlap of root systems of the same genotype was significantly higher than that of root systems of different genotypes. Root systems of the same genotype tended to grow toward each other but those of different genotypes appeared to avoid each other. Shoot separation experiments excluded the possibility of aerial interactions, suggesting root communication. Staggered plantings indicated that interactions likely occur at root tips in close proximity. Recognition of obstacles also occurred through root tips, but through physical contact in a size-dependent manner. These results indicate that root systems use two different forms of communication to recognize objects and alter root architecture: root-root recognition, possibly mediated through root exudates, and root-object recognition mediated by physical contact at the root tips. This finding suggests that root tips act as local sensors that integrate rhizosphere information into global root architectural changes.","author":[{"dropping-particle":"","family":"Fang","given":"Suqin","non-dropping-particle":"","parse-names":false,"suffix":""},{"dropping-particle":"","family":"Clark","given":"Randy T.","non-dropping-particle":"","parse-names":false,"suffix":""},{"dropping-particle":"","family":"Zheng","given":"Ying","non-dropping-particle":"","parse-names":false,"suffix":""},{"dropping-particle":"","family":"Iyer-Pascuzzi","given":"Anjali S.","non-dropping-particle":"","parse-names":false,"suffix":""},{"dropping-particle":"","family":"Weitz","given":"Joshua S.","non-dropping-particle":"","parse-names":false,"suffix":""},{"dropping-particle":"V.","family":"Kochian","given":"Leon","non-dropping-particle":"","parse-names":false,"suffix":""},{"dropping-particle":"","family":"Edelsbrunner","given":"Herbert","non-dropping-particle":"","parse-names":false,"suffix":""},{"dropping-particle":"","family":"Liao","given":"Hong","non-dropping-particle":"","parse-names":false,"suffix":""},{"dropping-particle":"","family":"Benfey","given":"Philip N.","non-dropping-particle":"","parse-names":false,"suffix":""}],"container-title":"Proceedings of the National Academy of Sciences of the United States of America","id":"ITEM-1","issue":"7","issued":{"date-parts":[["2013","2","12"]]},"page":"2670-2675","publisher":"National Academy of Sciences","title":"Genotypic recognition and spatial responses by rice roots","type":"article-journal","volume":"110"},"uris":["http://www.mendeley.com/documents/?uuid=1af83ed3-6e5b-362a-8d87-2d58151feb40"]},{"id":"ITEM-2","itemData":{"DOI":"10.1104/pp.110.167304","ISSN":"1532-2548","abstract":"Root is a primary organ to respond to environmental stimuli and percept signals from neighboring plants. In this study, root responses in maize (Zea mays)/soybean (Glycine max) intercropping systems recognized soil phosphorus (P) status and neighboring plants in the field. Compared to self culture, the maize variety GZ1 intercropping with soybean HX3 grew much better on low P, but not in another maize variety, NE1. This genotypic response decreased with increasing distance between plants, suggesting that root interactions were important. We further conducted a detailed and quantitative study of root behavior in situ using a gel system to reconstruct the three-dimensional root architecture. The results showed that plant roots could integrate information on P status and root behavior of neighboring plants. When intercropped with its kin, maize or soybean roots grew close to each other. However, when maize GZ1 was grown with soybean HX3, the roots on each plant tended to avoid each other and became shallower on stratified P supply, but not found with maize NE1. Furthermore, root behavior in gel was highly correlated to shoot biomass and P content for field-grown plants grown in close proximity. This study provides new insights into the dynamics and complexity of root behavior and kin recognition among crop species in response to nutrient status and neighboring plants. These findings also indicate that root behavior not only depends on neighbor recognition but also on a coordinated response to soil P status, which could be the underlying cause for the different growth responses in the field.","author":[{"dropping-particle":"","family":"Fang","given":"Suqin","non-dropping-particle":"","parse-names":false,"suffix":""},{"dropping-particle":"","family":"Gao","given":"Xiang","non-dropping-particle":"","parse-names":false,"suffix":""},{"dropping-particle":"","family":"Deng","given":"Yan","non-dropping-particle":"","parse-names":false,"suffix":""},{"dropping-particle":"","family":"Chen","given":"Xinping","non-dropping-particle":"","parse-names":false,"suffix":""},{"dropping-particle":"","family":"Liao","given":"Hong","non-dropping-particle":"","parse-names":false,"suffix":""}],"container-title":"Plant Physiology","id":"ITEM-2","issue":"3","issued":{"date-parts":[["2011","3","1"]]},"page":"1277-1285","title":"Crop root behavior coordinates phosphorus status and neighbors: From field studies to three-dimensional in situ reconstruction of root system architecture","type":"article-journal","volume":"155"},"uris":["http://www.mendeley.com/documents/?uuid=adbf51e9-b0e6-4fc3-96fe-ca950303631c"]},{"id":"ITEM-3","itemData":{"DOI":"10.1111/nph.15296","ISSN":"14698137","abstract":"Kin recognition is an important mediator of interactions within individuals of a species. Despite increasing evidence of kin recognition in natural plant populations, relatively little is known about kin recognition in crop species where numerous cultivars have been generated by artificial selection. We identified rice (Oryza sativa) cultivars with the ability for kin recognition from two sets of indica-inbred and indica-hybrid lines at different levels of genetic relatedness. We then assessed this ability among kin and nonkin and tested potential mechanisms in a series of controlled experiments and field trails. Rice cultivars with the ability for kin recognition were capable of detecting the presence of kin and nonkin and responded to them by altering root behavior and biomass allocation, particularly for grain yield. Furthermore, we assessed the role of root exudates and found a root-secreted nitrogen-rich allantoin component to be responsible for kin recognition in rice lines. Kin recognition in rice lines mediated by root exudates occurs in a cultivar-dependent manner. Rice cultivars with the ability for kin recognition may increase grain yield in the presence of kin. Such an improvement of grain yield by kin recognition of cultivar mixtures offers many implications and applications in rice production.","author":[{"dropping-particle":"","family":"Yang","given":"Xue Fang","non-dropping-particle":"","parse-names":false,"suffix":""},{"dropping-particle":"","family":"Li","given":"Lei Lei","non-dropping-particle":"","parse-names":false,"suffix":""},{"dropping-particle":"","family":"Xu","given":"You","non-dropping-particle":"","parse-names":false,"suffix":""},{"dropping-particle":"","family":"Kong","given":"Chui Hua","non-dropping-particle":"","parse-names":false,"suffix":""}],"container-title":"New Phytologist","id":"ITEM-3","issue":"2","issued":{"date-parts":[["2018","10","1"]]},"page":"567-578","publisher":"Blackwell Publishing Ltd","title":"Kin recognition in rice (Oryza sativa) lines","type":"article-journal","volume":"220"},"uris":["http://www.mendeley.com/documents/?uuid=b16268a0-a6bd-378e-905e-ecdd46be0ad4"]}],"mendeley":{"formattedCitation":"(Fang et al., 2011; Fang et al., 2013; Yang et al., 2018)","plainTextFormattedCitation":"(Fang et al., 2011; Fang et al., 2013; Yang et al., 2018)","previouslyFormattedCitation":"(Fang et al., 2011; Fang et al., 2013; Yang et al., 2018)"},"properties":{"noteIndex":0},"schema":"https://github.com/citation-style-language/schema/raw/master/csl-citation.json"}</w:instrText>
      </w:r>
      <w:r>
        <w:rPr>
          <w:color w:val="000000"/>
          <w:szCs w:val="24"/>
        </w:rPr>
        <w:fldChar w:fldCharType="separate"/>
      </w:r>
      <w:r w:rsidRPr="00357634">
        <w:rPr>
          <w:noProof/>
          <w:color w:val="000000"/>
          <w:szCs w:val="24"/>
        </w:rPr>
        <w:t>(Fang et al., 2011; Fang et al., 2013; Yang et al., 2018)</w:t>
      </w:r>
      <w:r>
        <w:rPr>
          <w:color w:val="000000"/>
          <w:szCs w:val="24"/>
        </w:rPr>
        <w:fldChar w:fldCharType="end"/>
      </w:r>
      <w:r>
        <w:rPr>
          <w:color w:val="000000"/>
          <w:szCs w:val="24"/>
        </w:rPr>
        <w:t xml:space="preserve">. In rice for example, </w:t>
      </w:r>
      <w:r w:rsidR="00677EA2">
        <w:rPr>
          <w:color w:val="000000"/>
          <w:szCs w:val="24"/>
        </w:rPr>
        <w:t xml:space="preserve">root based growth changes </w:t>
      </w:r>
      <w:r>
        <w:rPr>
          <w:color w:val="000000"/>
          <w:szCs w:val="24"/>
        </w:rPr>
        <w:t xml:space="preserve">have been evident in response to closely related and more distantly related cultivars thus suggesting that kin recognition is mediated through the root system </w:t>
      </w:r>
      <w:r>
        <w:rPr>
          <w:color w:val="000000"/>
          <w:szCs w:val="24"/>
        </w:rPr>
        <w:fldChar w:fldCharType="begin" w:fldLock="1"/>
      </w:r>
      <w:r>
        <w:rPr>
          <w:color w:val="000000"/>
          <w:szCs w:val="24"/>
        </w:rPr>
        <w:instrText>ADDIN CSL_CITATION {"citationItems":[{"id":"ITEM-1","itemData":{"DOI":"10.1073/pnas.1222821110","ISSN":"00278424","PMID":"23362379","abstract":"Root system growth and development is highly plastic and is influenced by the surrounding environment. Roots frequently grow in heterogeneous environments that include interactions from neighboring plants and physical impediments in the rhizosphere. To investigate how planting density and physical objects affect root system growth, we grew rice in a transparent gel system in close proximity with another plant or a physical object. Root systems were imaged and reconstructed in three dimensions. Root-root interaction strength was calculated using quantitative metrics that characterize the extent towhich the reconstructed root systems overlap each other. Surprisingly, we found the overlap of root systems of the same genotype was significantly higher than that of root systems of different genotypes. Root systems of the same genotype tended to grow toward each other but those of different genotypes appeared to avoid each other. Shoot separation experiments excluded the possibility of aerial interactions, suggesting root communication. Staggered plantings indicated that interactions likely occur at root tips in close proximity. Recognition of obstacles also occurred through root tips, but through physical contact in a size-dependent manner. These results indicate that root systems use two different forms of communication to recognize objects and alter root architecture: root-root recognition, possibly mediated through root exudates, and root-object recognition mediated by physical contact at the root tips. This finding suggests that root tips act as local sensors that integrate rhizosphere information into global root architectural changes.","author":[{"dropping-particle":"","family":"Fang","given":"Suqin","non-dropping-particle":"","parse-names":false,"suffix":""},{"dropping-particle":"","family":"Clark","given":"Randy T.","non-dropping-particle":"","parse-names":false,"suffix":""},{"dropping-particle":"","family":"Zheng","given":"Ying","non-dropping-particle":"","parse-names":false,"suffix":""},{"dropping-particle":"","family":"Iyer-Pascuzzi","given":"Anjali S.","non-dropping-particle":"","parse-names":false,"suffix":""},{"dropping-particle":"","family":"Weitz","given":"Joshua S.","non-dropping-particle":"","parse-names":false,"suffix":""},{"dropping-particle":"V.","family":"Kochian","given":"Leon","non-dropping-particle":"","parse-names":false,"suffix":""},{"dropping-particle":"","family":"Edelsbrunner","given":"Herbert","non-dropping-particle":"","parse-names":false,"suffix":""},{"dropping-particle":"","family":"Liao","given":"Hong","non-dropping-particle":"","parse-names":false,"suffix":""},{"dropping-particle":"","family":"Benfey","given":"Philip N.","non-dropping-particle":"","parse-names":false,"suffix":""}],"container-title":"Proceedings of the National Academy of Sciences of the United States of America","id":"ITEM-1","issue":"7","issued":{"date-parts":[["2013","2","12"]]},"page":"2670-2675","publisher":"National Academy of Sciences","title":"Genotypic recognition and spatial responses by rice roots","type":"article-journal","volume":"110"},"uris":["http://www.mendeley.com/documents/?uuid=1af83ed3-6e5b-362a-8d87-2d58151feb40"]}],"mendeley":{"formattedCitation":"(Fang et al., 2013)","plainTextFormattedCitation":"(Fang et al., 2013)","previouslyFormattedCitation":"(Fang et al., 2013)"},"properties":{"noteIndex":0},"schema":"https://github.com/citation-style-language/schema/raw/master/csl-citation.json"}</w:instrText>
      </w:r>
      <w:r>
        <w:rPr>
          <w:color w:val="000000"/>
          <w:szCs w:val="24"/>
        </w:rPr>
        <w:fldChar w:fldCharType="separate"/>
      </w:r>
      <w:r w:rsidRPr="00E855C2">
        <w:rPr>
          <w:noProof/>
          <w:color w:val="000000"/>
          <w:szCs w:val="24"/>
        </w:rPr>
        <w:t>(Fang et al., 2013)</w:t>
      </w:r>
      <w:r>
        <w:rPr>
          <w:color w:val="000000"/>
          <w:szCs w:val="24"/>
        </w:rPr>
        <w:fldChar w:fldCharType="end"/>
      </w:r>
      <w:r>
        <w:rPr>
          <w:color w:val="000000"/>
          <w:szCs w:val="24"/>
        </w:rPr>
        <w:t xml:space="preserve">. </w:t>
      </w:r>
    </w:p>
    <w:p w14:paraId="5F9950E9" w14:textId="3F08E3E9" w:rsidR="00EC23E7" w:rsidRDefault="00EC23E7" w:rsidP="00EC23E7">
      <w:pPr>
        <w:spacing w:line="480" w:lineRule="auto"/>
        <w:rPr>
          <w:color w:val="000000"/>
          <w:szCs w:val="24"/>
        </w:rPr>
      </w:pPr>
      <w:r>
        <w:rPr>
          <w:color w:val="000000"/>
          <w:szCs w:val="24"/>
        </w:rPr>
        <w:t>Despite many studies identifying variations in shoot and root responses to genetically identical or distantly related species using root exuded chemicals, there have been few characterised root exudates with which to attribute plant-to-plant detection. Yang et al (2018), identified that rice (</w:t>
      </w:r>
      <w:r w:rsidRPr="00CB3FB6">
        <w:rPr>
          <w:i/>
          <w:iCs/>
          <w:color w:val="000000"/>
          <w:szCs w:val="24"/>
        </w:rPr>
        <w:t>Oryza sativa</w:t>
      </w:r>
      <w:r>
        <w:rPr>
          <w:color w:val="000000"/>
          <w:szCs w:val="24"/>
        </w:rPr>
        <w:t xml:space="preserve">) plants grown with others of the same or closely related cultivars produced less root biomass, root length and total root area than those grown with distantly related cultivars. </w:t>
      </w:r>
      <w:r w:rsidR="00677EA2">
        <w:rPr>
          <w:color w:val="000000"/>
          <w:szCs w:val="24"/>
        </w:rPr>
        <w:t>These f</w:t>
      </w:r>
      <w:r>
        <w:rPr>
          <w:color w:val="000000"/>
          <w:szCs w:val="24"/>
        </w:rPr>
        <w:t>indings were similar when root exudate mixtures from distantly related lines were exogenously applied to the root system without the presence of the distantly related cultivar, highlighting that elements of the root exudates were responsible for this response</w:t>
      </w:r>
      <w:r w:rsidR="00677EA2">
        <w:rPr>
          <w:color w:val="000000"/>
          <w:szCs w:val="24"/>
        </w:rPr>
        <w:t xml:space="preserve"> </w:t>
      </w:r>
      <w:r w:rsidR="00677EA2">
        <w:rPr>
          <w:color w:val="000000"/>
          <w:szCs w:val="24"/>
        </w:rPr>
        <w:fldChar w:fldCharType="begin" w:fldLock="1"/>
      </w:r>
      <w:r w:rsidR="00226BAB">
        <w:rPr>
          <w:color w:val="000000"/>
          <w:szCs w:val="24"/>
        </w:rPr>
        <w:instrText>ADDIN CSL_CITATION {"citationItems":[{"id":"ITEM-1","itemData":{"DOI":"10.1111/nph.15296","ISSN":"14698137","abstract":"Kin recognition is an important mediator of interactions within individuals of a species. Despite increasing evidence of kin recognition in natural plant populations, relatively little is known about kin recognition in crop species where numerous cultivars have been generated by artificial selection. We identified rice (Oryza sativa) cultivars with the ability for kin recognition from two sets of indica-inbred and indica-hybrid lines at different levels of genetic relatedness. We then assessed this ability among kin and nonkin and tested potential mechanisms in a series of controlled experiments and field trails. Rice cultivars with the ability for kin recognition were capable of detecting the presence of kin and nonkin and responded to them by altering root behavior and biomass allocation, particularly for grain yield. Furthermore, we assessed the role of root exudates and found a root-secreted nitrogen-rich allantoin component to be responsible for kin recognition in rice lines. Kin recognition in rice lines mediated by root exudates occurs in a cultivar-dependent manner. Rice cultivars with the ability for kin recognition may increase grain yield in the presence of kin. Such an improvement of grain yield by kin recognition of cultivar mixtures offers many implications and applications in rice production.","author":[{"dropping-particle":"","family":"Yang","given":"Xue Fang","non-dropping-particle":"","parse-names":false,"suffix":""},{"dropping-particle":"","family":"Li","given":"Lei Lei","non-dropping-particle":"","parse-names":false,"suffix":""},{"dropping-particle":"","family":"Xu","given":"You","non-dropping-particle":"","parse-names":false,"suffix":""},{"dropping-particle":"","family":"Kong","given":"Chui Hua","non-dropping-particle":"","parse-names":false,"suffix":""}],"container-title":"New Phytologist","id":"ITEM-1","issue":"2","issued":{"date-parts":[["2018","10","1"]]},"page":"567-578","publisher":"Blackwell Publishing Ltd","title":"Kin recognition in rice (Oryza sativa) lines","type":"article-journal","volume":"220"},"uris":["http://www.mendeley.com/documents/?uuid=b16268a0-a6bd-378e-905e-ecdd46be0ad4"]}],"mendeley":{"formattedCitation":"(Yang et al., 2018)","plainTextFormattedCitation":"(Yang et al., 2018)","previouslyFormattedCitation":"(Yang et al., 2018)"},"properties":{"noteIndex":0},"schema":"https://github.com/citation-style-language/schema/raw/master/csl-citation.json"}</w:instrText>
      </w:r>
      <w:r w:rsidR="00677EA2">
        <w:rPr>
          <w:color w:val="000000"/>
          <w:szCs w:val="24"/>
        </w:rPr>
        <w:fldChar w:fldCharType="separate"/>
      </w:r>
      <w:r w:rsidR="00677EA2" w:rsidRPr="00677EA2">
        <w:rPr>
          <w:noProof/>
          <w:color w:val="000000"/>
          <w:szCs w:val="24"/>
        </w:rPr>
        <w:t>(Yang et al., 2018)</w:t>
      </w:r>
      <w:r w:rsidR="00677EA2">
        <w:rPr>
          <w:color w:val="000000"/>
          <w:szCs w:val="24"/>
        </w:rPr>
        <w:fldChar w:fldCharType="end"/>
      </w:r>
      <w:r>
        <w:rPr>
          <w:color w:val="000000"/>
          <w:szCs w:val="24"/>
        </w:rPr>
        <w:t xml:space="preserve">. They identified that a root exudate named allantoin was present in the cultivars and varied greatly with genotype. Furthermore, allantoin was able to strongly influence root growth at low concentrations but its effects reduced with increasing concentration </w:t>
      </w:r>
      <w:r>
        <w:rPr>
          <w:color w:val="000000"/>
          <w:szCs w:val="24"/>
        </w:rPr>
        <w:fldChar w:fldCharType="begin" w:fldLock="1"/>
      </w:r>
      <w:r>
        <w:rPr>
          <w:color w:val="000000"/>
          <w:szCs w:val="24"/>
        </w:rPr>
        <w:instrText>ADDIN CSL_CITATION {"citationItems":[{"id":"ITEM-1","itemData":{"DOI":"10.1111/nph.15296","ISSN":"14698137","abstract":"Kin recognition is an important mediator of interactions within individuals of a species. Despite increasing evidence of kin recognition in natural plant populations, relatively little is known about kin recognition in crop species where numerous cultivars have been generated by artificial selection. We identified rice (Oryza sativa) cultivars with the ability for kin recognition from two sets of indica-inbred and indica-hybrid lines at different levels of genetic relatedness. We then assessed this ability among kin and nonkin and tested potential mechanisms in a series of controlled experiments and field trails. Rice cultivars with the ability for kin recognition were capable of detecting the presence of kin and nonkin and responded to them by altering root behavior and biomass allocation, particularly for grain yield. Furthermore, we assessed the role of root exudates and found a root-secreted nitrogen-rich allantoin component to be responsible for kin recognition in rice lines. Kin recognition in rice lines mediated by root exudates occurs in a cultivar-dependent manner. Rice cultivars with the ability for kin recognition may increase grain yield in the presence of kin. Such an improvement of grain yield by kin recognition of cultivar mixtures offers many implications and applications in rice production.","author":[{"dropping-particle":"","family":"Yang","given":"Xue Fang","non-dropping-particle":"","parse-names":false,"suffix":""},{"dropping-particle":"","family":"Li","given":"Lei Lei","non-dropping-particle":"","parse-names":false,"suffix":""},{"dropping-particle":"","family":"Xu","given":"You","non-dropping-particle":"","parse-names":false,"suffix":""},{"dropping-particle":"","family":"Kong","given":"Chui Hua","non-dropping-particle":"","parse-names":false,"suffix":""}],"container-title":"New Phytologist","id":"ITEM-1","issue":"2","issued":{"date-parts":[["2018","10","1"]]},"page":"567-578","publisher":"Blackwell Publishing Ltd","title":"Kin recognition in rice (Oryza sativa) lines","type":"article-journal","volume":"220"},"uris":["http://www.mendeley.com/documents/?uuid=b16268a0-a6bd-378e-905e-ecdd46be0ad4"]}],"mendeley":{"formattedCitation":"(Yang et al., 2018)","plainTextFormattedCitation":"(Yang et al., 2018)","previouslyFormattedCitation":"(Yang et al., 2018)"},"properties":{"noteIndex":0},"schema":"https://github.com/citation-style-language/schema/raw/master/csl-citation.json"}</w:instrText>
      </w:r>
      <w:r>
        <w:rPr>
          <w:color w:val="000000"/>
          <w:szCs w:val="24"/>
        </w:rPr>
        <w:fldChar w:fldCharType="separate"/>
      </w:r>
      <w:r w:rsidRPr="00897B21">
        <w:rPr>
          <w:noProof/>
          <w:color w:val="000000"/>
          <w:szCs w:val="24"/>
        </w:rPr>
        <w:t>(Yang et al., 2018)</w:t>
      </w:r>
      <w:r>
        <w:rPr>
          <w:color w:val="000000"/>
          <w:szCs w:val="24"/>
        </w:rPr>
        <w:fldChar w:fldCharType="end"/>
      </w:r>
      <w:r>
        <w:rPr>
          <w:color w:val="000000"/>
          <w:szCs w:val="24"/>
        </w:rPr>
        <w:t>.</w:t>
      </w:r>
    </w:p>
    <w:p w14:paraId="17C1D35D" w14:textId="4855BCA7" w:rsidR="00EC23E7" w:rsidRDefault="00EC23E7" w:rsidP="00EC23E7">
      <w:pPr>
        <w:spacing w:line="480" w:lineRule="auto"/>
        <w:rPr>
          <w:color w:val="000000"/>
          <w:szCs w:val="24"/>
        </w:rPr>
      </w:pPr>
      <w:r>
        <w:rPr>
          <w:color w:val="000000"/>
          <w:szCs w:val="24"/>
        </w:rPr>
        <w:t>In the same year, two other root exudates, jasmonic acid and (-)-loliolide, were identified in wheat</w:t>
      </w:r>
      <w:r w:rsidR="00677EA2">
        <w:rPr>
          <w:color w:val="000000"/>
          <w:szCs w:val="24"/>
        </w:rPr>
        <w:t>,</w:t>
      </w:r>
      <w:r>
        <w:rPr>
          <w:color w:val="000000"/>
          <w:szCs w:val="24"/>
        </w:rPr>
        <w:t xml:space="preserve"> and these were shown to induce the production of an allelochemical called DIMBOA </w:t>
      </w:r>
      <w:r w:rsidRPr="00A72C6B">
        <w:rPr>
          <w:color w:val="000000"/>
          <w:szCs w:val="24"/>
        </w:rPr>
        <w:t>(2,4-dihydroxy-7-methoxy-1,4-benzoxazin-3-</w:t>
      </w:r>
      <w:r w:rsidRPr="00A72C6B">
        <w:rPr>
          <w:color w:val="000000"/>
          <w:szCs w:val="24"/>
        </w:rPr>
        <w:lastRenderedPageBreak/>
        <w:t>one)</w:t>
      </w:r>
      <w:r>
        <w:rPr>
          <w:color w:val="000000"/>
          <w:szCs w:val="24"/>
        </w:rPr>
        <w:t xml:space="preserve"> </w:t>
      </w:r>
      <w:r>
        <w:rPr>
          <w:color w:val="000000"/>
          <w:szCs w:val="24"/>
        </w:rPr>
        <w:fldChar w:fldCharType="begin" w:fldLock="1"/>
      </w:r>
      <w:r>
        <w:rPr>
          <w:color w:val="000000"/>
          <w:szCs w:val="24"/>
        </w:rPr>
        <w:instrText>ADDIN CSL_CITATION {"citationItems":[{"id":"ITEM-1","itemData":{"DOI":"10.1038/s41467-018-06429-1","ISSN":"2041-1723","author":[{"dropping-particle":"","family":"Kong","given":"Chui-Hua","non-dropping-particle":"","parse-names":false,"suffix":""},{"dropping-particle":"","family":"Zhang","given":"Song-Zhu","non-dropping-particle":"","parse-names":false,"suffix":""},{"dropping-particle":"","family":"Li","given":"Yong-Hua","non-dropping-particle":"","parse-names":false,"suffix":""},{"dropping-particle":"","family":"Xia","given":"Zhi-Chao","non-dropping-particle":"","parse-names":false,"suffix":""},{"dropping-particle":"","family":"Yang","given":"Xue-Fang","non-dropping-particle":"","parse-names":false,"suffix":""},{"dropping-particle":"","family":"Meiners","given":"Scott J.","non-dropping-particle":"","parse-names":false,"suffix":""},{"dropping-particle":"","family":"Wang","given":"Peng","non-dropping-particle":"","parse-names":false,"suffix":""}],"container-title":"Nature Communications","id":"ITEM-1","issue":"1","issued":{"date-parts":[["2018","12","24"]]},"page":"3867","title":"Plant neighbor detection and allelochemical response are driven by root-secreted signaling chemicals","type":"article-journal","volume":"9"},"uris":["http://www.mendeley.com/documents/?uuid=ed434030-e65c-3266-bb4f-d2cb579ec9ea"]}],"mendeley":{"formattedCitation":"(Kong et al., 2018)","plainTextFormattedCitation":"(Kong et al., 2018)","previouslyFormattedCitation":"(Kong et al., 2018)"},"properties":{"noteIndex":0},"schema":"https://github.com/citation-style-language/schema/raw/master/csl-citation.json"}</w:instrText>
      </w:r>
      <w:r>
        <w:rPr>
          <w:color w:val="000000"/>
          <w:szCs w:val="24"/>
        </w:rPr>
        <w:fldChar w:fldCharType="separate"/>
      </w:r>
      <w:r w:rsidRPr="00502E1B">
        <w:rPr>
          <w:noProof/>
          <w:color w:val="000000"/>
          <w:szCs w:val="24"/>
        </w:rPr>
        <w:t>(Kong et al., 2018)</w:t>
      </w:r>
      <w:r>
        <w:rPr>
          <w:color w:val="000000"/>
          <w:szCs w:val="24"/>
        </w:rPr>
        <w:fldChar w:fldCharType="end"/>
      </w:r>
      <w:r>
        <w:rPr>
          <w:color w:val="000000"/>
          <w:szCs w:val="24"/>
        </w:rPr>
        <w:t xml:space="preserve">. Allelochemicals are suggested to cause inhibition of neighbouring plant growth to diminish their survival ability </w:t>
      </w:r>
      <w:r>
        <w:rPr>
          <w:color w:val="000000"/>
          <w:szCs w:val="24"/>
        </w:rPr>
        <w:fldChar w:fldCharType="begin" w:fldLock="1"/>
      </w:r>
      <w:r>
        <w:rPr>
          <w:color w:val="000000"/>
          <w:szCs w:val="24"/>
        </w:rPr>
        <w:instrText>ADDIN CSL_CITATION {"citationItems":[{"id":"ITEM-1","itemData":{"DOI":"10.1007/s11258-012-0078-5","ISSN":"1385-0237","author":[{"dropping-particle":"","family":"Meiners","given":"Scott J.","non-dropping-particle":"","parse-names":false,"suffix":""},{"dropping-particle":"","family":"Kong","given":"Chui-Hua","non-dropping-particle":"","parse-names":false,"suffix":""},{"dropping-particle":"","family":"Ladwig","given":"Laura M.","non-dropping-particle":"","parse-names":false,"suffix":""},{"dropping-particle":"","family":"Pisula","given":"Nikki L.","non-dropping-particle":"","parse-names":false,"suffix":""},{"dropping-particle":"","family":"Lang","given":"Kimberly A.","non-dropping-particle":"","parse-names":false,"suffix":""}],"container-title":"Plant Ecology","id":"ITEM-1","issue":"8","issued":{"date-parts":[["2012","8","21"]]},"page":"1221-1227","title":"Developing an ecological context for allelopathy","type":"article-journal","volume":"213"},"uris":["http://www.mendeley.com/documents/?uuid=6f0ceb1b-d12f-4371-b663-61a016d287fe"]},{"id":"ITEM-2","itemData":{"DOI":"10.1111/pce.13965","ISSN":"0140-7791","author":[{"dropping-particle":"","family":"Bilas","given":"Roza D.","non-dropping-particle":"","parse-names":false,"suffix":""},{"dropping-particle":"","family":"Bretman","given":"Amanda","non-dropping-particle":"","parse-names":false,"suffix":""},{"dropping-particle":"","family":"Bennett","given":"Tom","non-dropping-particle":"","parse-names":false,"suffix":""}],"container-title":"Plant, Cell &amp; Environment","id":"ITEM-2","issue":"4","issued":{"date-parts":[["2021","4","15"]]},"page":"997-1013","title":"Friends, neighbours and enemies: an overview of the communal and social biology of plants","type":"article-journal","volume":"44"},"uris":["http://www.mendeley.com/documents/?uuid=6f5d77a1-17e6-4994-9d2e-af28f1a99d3c"]}],"mendeley":{"formattedCitation":"(Meiners et al., 2012; Bilas et al., 2021)","plainTextFormattedCitation":"(Meiners et al., 2012; Bilas et al., 2021)","previouslyFormattedCitation":"(Meiners et al., 2012; Bilas et al., 2021)"},"properties":{"noteIndex":0},"schema":"https://github.com/citation-style-language/schema/raw/master/csl-citation.json"}</w:instrText>
      </w:r>
      <w:r>
        <w:rPr>
          <w:color w:val="000000"/>
          <w:szCs w:val="24"/>
        </w:rPr>
        <w:fldChar w:fldCharType="separate"/>
      </w:r>
      <w:r w:rsidRPr="00E72C8B">
        <w:rPr>
          <w:noProof/>
          <w:color w:val="000000"/>
          <w:szCs w:val="24"/>
        </w:rPr>
        <w:t>(Meiners et al., 2012; Bilas et al., 2021)</w:t>
      </w:r>
      <w:r>
        <w:rPr>
          <w:color w:val="000000"/>
          <w:szCs w:val="24"/>
        </w:rPr>
        <w:fldChar w:fldCharType="end"/>
      </w:r>
      <w:r>
        <w:rPr>
          <w:color w:val="000000"/>
          <w:szCs w:val="24"/>
        </w:rPr>
        <w:t xml:space="preserve">, and DIMBOA was previously shown to be </w:t>
      </w:r>
      <w:r w:rsidR="00677EA2">
        <w:rPr>
          <w:color w:val="000000"/>
          <w:szCs w:val="24"/>
        </w:rPr>
        <w:t>produc</w:t>
      </w:r>
      <w:r>
        <w:rPr>
          <w:color w:val="000000"/>
          <w:szCs w:val="24"/>
        </w:rPr>
        <w:t xml:space="preserve">ed in wheat roots experiencing crowded scenarios with neighbours </w:t>
      </w:r>
      <w:r w:rsidR="00226BAB">
        <w:rPr>
          <w:color w:val="000000"/>
          <w:szCs w:val="24"/>
        </w:rPr>
        <w:t xml:space="preserve">of a variety of species </w:t>
      </w:r>
      <w:r>
        <w:rPr>
          <w:color w:val="000000"/>
          <w:szCs w:val="24"/>
        </w:rPr>
        <w:t xml:space="preserve">including weeds </w:t>
      </w:r>
      <w:r>
        <w:rPr>
          <w:color w:val="000000"/>
          <w:szCs w:val="24"/>
        </w:rPr>
        <w:fldChar w:fldCharType="begin" w:fldLock="1"/>
      </w:r>
      <w:r w:rsidR="00EE28AB">
        <w:rPr>
          <w:color w:val="000000"/>
          <w:szCs w:val="24"/>
        </w:rPr>
        <w:instrText>ADDIN CSL_CITATION {"citationItems":[{"id":"ITEM-1","itemData":{"DOI":"10.1002/ps.3985","ISSN":"1526498X","author":[{"dropping-particle":"","family":"Zhang","given":"Song-Zhu","non-dropping-particle":"","parse-names":false,"suffix":""},{"dropping-particle":"","family":"Li","given":"Yong-Hua","non-dropping-particle":"","parse-names":false,"suffix":""},{"dropping-particle":"","family":"Kong","given":"Chui-Hua","non-dropping-particle":"","parse-names":false,"suffix":""},{"dropping-particle":"","family":"Xu","given":"Xiao-Hua","non-dropping-particle":"","parse-names":false,"suffix":""}],"container-title":"Pest Management Science","id":"ITEM-1","issue":"1","issued":{"date-parts":[["2016","1"]]},"page":"172-178","title":"Interference of allelopathic wheat with different weeds","type":"article-journal","volume":"72"},"uris":["http://www.mendeley.com/documents/?uuid=81abb050-10b6-46db-871a-8935b83912de"]},{"id":"ITEM-2","itemData":{"DOI":"10.1002/ps.4246","ISSN":"1526-498X","author":[{"dropping-particle":"","family":"Li","given":"Yong</w:instrText>
      </w:r>
      <w:r w:rsidR="00EE28AB">
        <w:rPr>
          <w:rFonts w:ascii="Cambria Math" w:hAnsi="Cambria Math" w:cs="Cambria Math"/>
          <w:color w:val="000000"/>
          <w:szCs w:val="24"/>
        </w:rPr>
        <w:instrText>‐</w:instrText>
      </w:r>
      <w:r w:rsidR="00EE28AB">
        <w:rPr>
          <w:color w:val="000000"/>
          <w:szCs w:val="24"/>
        </w:rPr>
        <w:instrText>Hua","non-dropping-particle":"","parse-names":false,"suffix":""},{"dropping-particle":"","family":"Xia","given":"Zhi</w:instrText>
      </w:r>
      <w:r w:rsidR="00EE28AB">
        <w:rPr>
          <w:rFonts w:ascii="Cambria Math" w:hAnsi="Cambria Math" w:cs="Cambria Math"/>
          <w:color w:val="000000"/>
          <w:szCs w:val="24"/>
        </w:rPr>
        <w:instrText>‐</w:instrText>
      </w:r>
      <w:r w:rsidR="00EE28AB">
        <w:rPr>
          <w:color w:val="000000"/>
          <w:szCs w:val="24"/>
        </w:rPr>
        <w:instrText>Chao","non-dropping-particle":"","parse-names":false,"suffix":""},{"dropping-particle":"","family":"Kong","given":"Chui</w:instrText>
      </w:r>
      <w:r w:rsidR="00EE28AB">
        <w:rPr>
          <w:rFonts w:ascii="Cambria Math" w:hAnsi="Cambria Math" w:cs="Cambria Math"/>
          <w:color w:val="000000"/>
          <w:szCs w:val="24"/>
        </w:rPr>
        <w:instrText>‐</w:instrText>
      </w:r>
      <w:r w:rsidR="00EE28AB">
        <w:rPr>
          <w:color w:val="000000"/>
          <w:szCs w:val="24"/>
        </w:rPr>
        <w:instrText>Hua","non-dropping-particle":"","parse-names":false,"suffix":""}],"container-title":"Pest Management Science","id":"ITEM-2","issue":"11","issued":{"date-parts":[["2016","11","2"]]},"page":"2146-2153","title":"Allelobiosis in the interference of allelopathic wheat with weeds","type":"article-journal","volume":"72"},"uris":["http://www.mendeley.com/documents/?uuid=056b7f63-76a9-4806-ad23-6feb28be81c3"]}],"mendeley":{"formattedCitation":"(S.-Z. Zhang et al., 2016; Li et al., 2016)","plainTextFormattedCitation":"(S.-Z. Zhang et al., 2016; Li et al., 2016)","previouslyFormattedCitation":"(S.-Z. Zhang et al., 2016; Li et al., 2016)"},"properties":{"noteIndex":0},"schema":"https://github.com/citation-style-language/schema/raw/master/csl-citation.json"}</w:instrText>
      </w:r>
      <w:r>
        <w:rPr>
          <w:color w:val="000000"/>
          <w:szCs w:val="24"/>
        </w:rPr>
        <w:fldChar w:fldCharType="separate"/>
      </w:r>
      <w:r w:rsidR="0008677B" w:rsidRPr="0008677B">
        <w:rPr>
          <w:noProof/>
          <w:color w:val="000000"/>
          <w:szCs w:val="24"/>
        </w:rPr>
        <w:t>(S.-Z. Zhang et al., 2016; Li et al., 2016)</w:t>
      </w:r>
      <w:r>
        <w:rPr>
          <w:color w:val="000000"/>
          <w:szCs w:val="24"/>
        </w:rPr>
        <w:fldChar w:fldCharType="end"/>
      </w:r>
      <w:r>
        <w:rPr>
          <w:color w:val="000000"/>
          <w:szCs w:val="24"/>
        </w:rPr>
        <w:t xml:space="preserve">. </w:t>
      </w:r>
    </w:p>
    <w:p w14:paraId="1547B9E0" w14:textId="0AF9EA38" w:rsidR="00EC23E7" w:rsidRPr="009C0CC2" w:rsidRDefault="00EC23E7" w:rsidP="00EC23E7">
      <w:pPr>
        <w:spacing w:line="480" w:lineRule="auto"/>
        <w:rPr>
          <w:color w:val="000000"/>
          <w:szCs w:val="24"/>
        </w:rPr>
      </w:pPr>
      <w:r>
        <w:rPr>
          <w:szCs w:val="24"/>
        </w:rPr>
        <w:t>Combinations of different root exudates may be able to present enough ‘information’ about the neighbours in their environment to enable them to adjust their growth accordingly to ensure they are not too large to sustain with the future availability of resources</w:t>
      </w:r>
      <w:r w:rsidR="00226BAB">
        <w:rPr>
          <w:szCs w:val="24"/>
        </w:rPr>
        <w:t xml:space="preserve"> </w:t>
      </w:r>
      <w:r w:rsidR="00226BAB">
        <w:rPr>
          <w:szCs w:val="24"/>
        </w:rPr>
        <w:fldChar w:fldCharType="begin" w:fldLock="1"/>
      </w:r>
      <w:r w:rsidR="00A90EAB">
        <w:rPr>
          <w:szCs w:val="24"/>
        </w:rPr>
        <w:instrText>ADDIN CSL_CITATION {"citationItems":[{"id":"ITEM-1","itemData":{"DOI":"10.1111/pce.13965","ISSN":"0140-7791","author":[{"dropping-particle":"","family":"Bilas","given":"Roza D.","non-dropping-particle":"","parse-names":false,"suffix":""},{"dropping-particle":"","family":"Bretman","given":"Amanda","non-dropping-particle":"","parse-names":false,"suffix":""},{"dropping-particle":"","family":"Bennett","given":"Tom","non-dropping-particle":"","parse-names":false,"suffix":""}],"container-title":"Plant, Cell &amp; Environment","id":"ITEM-1","issue":"4","issued":{"date-parts":[["2021","4","15"]]},"page":"997-1013","title":"Friends, neighbours and enemies: an overview of the communal and social biology of plants","type":"article-journal","volume":"44"},"uris":["http://www.mendeley.com/documents/?uuid=6f5d77a1-17e6-4994-9d2e-af28f1a99d3c"]}],"mendeley":{"formattedCitation":"(Bilas et al., 2021)","plainTextFormattedCitation":"(Bilas et al., 2021)","previouslyFormattedCitation":"(Bilas et al., 2021)"},"properties":{"noteIndex":0},"schema":"https://github.com/citation-style-language/schema/raw/master/csl-citation.json"}</w:instrText>
      </w:r>
      <w:r w:rsidR="00226BAB">
        <w:rPr>
          <w:szCs w:val="24"/>
        </w:rPr>
        <w:fldChar w:fldCharType="separate"/>
      </w:r>
      <w:r w:rsidR="00226BAB" w:rsidRPr="00226BAB">
        <w:rPr>
          <w:noProof/>
          <w:szCs w:val="24"/>
        </w:rPr>
        <w:t>(Bilas et al., 2021)</w:t>
      </w:r>
      <w:r w:rsidR="00226BAB">
        <w:rPr>
          <w:szCs w:val="24"/>
        </w:rPr>
        <w:fldChar w:fldCharType="end"/>
      </w:r>
      <w:r>
        <w:rPr>
          <w:szCs w:val="24"/>
        </w:rPr>
        <w:t xml:space="preserve">. However, this presumes that different species would have the </w:t>
      </w:r>
      <w:r w:rsidRPr="0016360A">
        <w:rPr>
          <w:szCs w:val="24"/>
        </w:rPr>
        <w:t>abilit</w:t>
      </w:r>
      <w:r w:rsidR="009A596D" w:rsidRPr="0016360A">
        <w:rPr>
          <w:szCs w:val="24"/>
        </w:rPr>
        <w:t>y</w:t>
      </w:r>
      <w:r>
        <w:rPr>
          <w:szCs w:val="24"/>
        </w:rPr>
        <w:t xml:space="preserve"> to ‘understand’ what these signals mean </w:t>
      </w:r>
      <w:r>
        <w:rPr>
          <w:szCs w:val="24"/>
        </w:rPr>
        <w:fldChar w:fldCharType="begin" w:fldLock="1"/>
      </w:r>
      <w:r>
        <w:rPr>
          <w:szCs w:val="24"/>
        </w:rPr>
        <w:instrText>ADDIN CSL_CITATION {"citationItems":[{"id":"ITEM-1","itemData":{"DOI":"10.1111/pce.13965","ISSN":"0140-7791","author":[{"dropping-particle":"","family":"Bilas","given":"Roza D.","non-dropping-particle":"","parse-names":false,"suffix":""},{"dropping-particle":"","family":"Bretman","given":"Amanda","non-dropping-particle":"","parse-names":false,"suffix":""},{"dropping-particle":"","family":"Bennett","given":"Tom","non-dropping-particle":"","parse-names":false,"suffix":""}],"container-title":"Plant, Cell &amp; Environment","id":"ITEM-1","issue":"4","issued":{"date-parts":[["2021","4","15"]]},"page":"997-1013","title":"Friends, neighbours and enemies: an overview of the communal and social biology of plants","type":"article-journal","volume":"44"},"uris":["http://www.mendeley.com/documents/?uuid=6f5d77a1-17e6-4994-9d2e-af28f1a99d3c"]}],"mendeley":{"formattedCitation":"(Bilas et al., 2021)","plainTextFormattedCitation":"(Bilas et al., 2021)","previouslyFormattedCitation":"(Bilas et al., 2021)"},"properties":{"noteIndex":0},"schema":"https://github.com/citation-style-language/schema/raw/master/csl-citation.json"}</w:instrText>
      </w:r>
      <w:r>
        <w:rPr>
          <w:szCs w:val="24"/>
        </w:rPr>
        <w:fldChar w:fldCharType="separate"/>
      </w:r>
      <w:r w:rsidRPr="00AE0D74">
        <w:rPr>
          <w:noProof/>
          <w:szCs w:val="24"/>
        </w:rPr>
        <w:t>(Bilas et al., 2021)</w:t>
      </w:r>
      <w:r>
        <w:rPr>
          <w:szCs w:val="24"/>
        </w:rPr>
        <w:fldChar w:fldCharType="end"/>
      </w:r>
      <w:r>
        <w:rPr>
          <w:szCs w:val="24"/>
        </w:rPr>
        <w:t xml:space="preserve">. </w:t>
      </w:r>
      <w:r>
        <w:rPr>
          <w:color w:val="000000"/>
          <w:szCs w:val="24"/>
        </w:rPr>
        <w:t>Aside from the few root exudates identified above, there have been no other root exudates identified to be plant-to-plant signals to date. Given the high complexity of the rhizosphere, there are likely many other exudates that can influence plant growth in response to neighbours that are yet to be identified. Can</w:t>
      </w:r>
      <w:r w:rsidRPr="00E04E21">
        <w:rPr>
          <w:color w:val="000000"/>
          <w:szCs w:val="24"/>
        </w:rPr>
        <w:t xml:space="preserve"> some signals act </w:t>
      </w:r>
      <w:r>
        <w:rPr>
          <w:color w:val="000000"/>
          <w:szCs w:val="24"/>
        </w:rPr>
        <w:t>as more</w:t>
      </w:r>
      <w:r w:rsidRPr="00E04E21">
        <w:rPr>
          <w:color w:val="000000"/>
          <w:szCs w:val="24"/>
        </w:rPr>
        <w:t xml:space="preserve"> general </w:t>
      </w:r>
      <w:r>
        <w:rPr>
          <w:color w:val="000000"/>
          <w:szCs w:val="24"/>
        </w:rPr>
        <w:t xml:space="preserve">signposts </w:t>
      </w:r>
      <w:r w:rsidRPr="00E04E21">
        <w:rPr>
          <w:color w:val="000000"/>
          <w:szCs w:val="24"/>
        </w:rPr>
        <w:t>that plants can recognise even if they are unrelated?</w:t>
      </w:r>
    </w:p>
    <w:p w14:paraId="75E13FCD" w14:textId="2742D5D3" w:rsidR="00EC23E7" w:rsidRDefault="009C0CC2" w:rsidP="00743E4C">
      <w:pPr>
        <w:pStyle w:val="Heading2"/>
      </w:pPr>
      <w:bookmarkStart w:id="16" w:name="_Toc154331429"/>
      <w:r w:rsidRPr="009C0CC2">
        <w:t>Strigolactones</w:t>
      </w:r>
      <w:bookmarkEnd w:id="16"/>
    </w:p>
    <w:p w14:paraId="28619900" w14:textId="77777777" w:rsidR="009C0CC2" w:rsidRPr="009C0CC2" w:rsidRDefault="009C0CC2" w:rsidP="009C0CC2"/>
    <w:p w14:paraId="7797554E" w14:textId="0668EFC9" w:rsidR="00EC23E7" w:rsidRDefault="00EC23E7" w:rsidP="00EC23E7">
      <w:pPr>
        <w:spacing w:line="480" w:lineRule="auto"/>
        <w:rPr>
          <w:color w:val="000000"/>
          <w:szCs w:val="24"/>
        </w:rPr>
      </w:pPr>
      <w:r>
        <w:rPr>
          <w:szCs w:val="24"/>
        </w:rPr>
        <w:t>Strigolactones (SLs) are small signalling molecules that were f</w:t>
      </w:r>
      <w:r w:rsidRPr="00604A5E">
        <w:rPr>
          <w:szCs w:val="24"/>
        </w:rPr>
        <w:t>irst</w:t>
      </w:r>
      <w:r>
        <w:rPr>
          <w:szCs w:val="24"/>
        </w:rPr>
        <w:t xml:space="preserve"> identified in cotton (</w:t>
      </w:r>
      <w:r w:rsidRPr="00604A5E">
        <w:rPr>
          <w:i/>
          <w:iCs/>
          <w:szCs w:val="24"/>
        </w:rPr>
        <w:t>Gossypium arboretum</w:t>
      </w:r>
      <w:r>
        <w:rPr>
          <w:szCs w:val="24"/>
        </w:rPr>
        <w:t>) root exudates which were found to induce germination of parasitic plants in the Orobanchaceae family, such as witchweed (</w:t>
      </w:r>
      <w:r w:rsidRPr="00D77345">
        <w:rPr>
          <w:i/>
          <w:iCs/>
          <w:szCs w:val="24"/>
        </w:rPr>
        <w:t>Striga</w:t>
      </w:r>
      <w:r>
        <w:rPr>
          <w:szCs w:val="24"/>
        </w:rPr>
        <w:t xml:space="preserve"> </w:t>
      </w:r>
      <w:r w:rsidRPr="00370F26">
        <w:rPr>
          <w:i/>
          <w:iCs/>
          <w:szCs w:val="24"/>
        </w:rPr>
        <w:t>lutea</w:t>
      </w:r>
      <w:r>
        <w:rPr>
          <w:szCs w:val="24"/>
        </w:rPr>
        <w:t>) and broomrape (</w:t>
      </w:r>
      <w:r w:rsidRPr="00604A5E">
        <w:rPr>
          <w:i/>
          <w:iCs/>
          <w:szCs w:val="24"/>
        </w:rPr>
        <w:t>Phelipanche and Orobanche</w:t>
      </w:r>
      <w:r w:rsidRPr="00D77345">
        <w:rPr>
          <w:i/>
          <w:iCs/>
          <w:szCs w:val="24"/>
        </w:rPr>
        <w:t xml:space="preserve"> </w:t>
      </w:r>
      <w:r w:rsidRPr="00D77345">
        <w:rPr>
          <w:szCs w:val="24"/>
        </w:rPr>
        <w:t>spp</w:t>
      </w:r>
      <w:r>
        <w:rPr>
          <w:szCs w:val="24"/>
        </w:rPr>
        <w:t xml:space="preserve">) </w:t>
      </w:r>
      <w:r>
        <w:rPr>
          <w:szCs w:val="24"/>
        </w:rPr>
        <w:fldChar w:fldCharType="begin" w:fldLock="1"/>
      </w:r>
      <w:r w:rsidR="00452A84">
        <w:rPr>
          <w:szCs w:val="24"/>
        </w:rPr>
        <w:instrText>ADDIN CSL_CITATION {"citationItems":[{"id":"ITEM-1","itemData":{"DOI":"10.1126/science.154.3753.1189","ISSN":"0036-8075","PMID":"17780042","abstract":"A crystalline germination stimulant (trivial name strigol) for the rootparasite, witchweed (Striga lutea Lour.), has been isolated from cotton rootexudates and characterized as a C(19)H(22)O(6) compound. Although apparently different from known plant hormones, the stimulant is active at hormonal levels, causing germination at concentrations less than 1O(-5) part per million.","author":[{"dropping-particle":"","family":"Cook","given":"C E","non-dropping-particle":"","parse-names":false,"suffix":""},{"dropping-particle":"","family":"Whichard","given":"L P","non-dropping-particle":"","parse-names":false,"suffix":""},{"dropping-particle":"","family":"Turner","given":"B","non-dropping-particle":"","parse-names":false,"suffix":""},{"dropping-particle":"","family":"Wall","given":"M E","non-dropping-particle":"","parse-names":false,"suffix":""},{"dropping-particle":"","family":"Egley","given":"G H","non-dropping-particle":"","parse-names":false,"suffix":""}],"container-title":"Science (New York, N.Y.)","id":"ITEM-1","issue":"3753","issued":{"date-parts":[["1966","12","2"]]},"page":"1189-1190","publisher":"American Association for the Advancement of Science","title":"Germination of Witchweed (Striga lutea Lour.): Isolation and properties of a potent stimulant.","type":"article-journal","volume":"154"},"uris":["http://www.mendeley.com/documents/?uuid=8c3fecbd-b8bc-3d26-8526-b366791979a1"]},{"id":"ITEM-2","itemData":{"DOI":"10.1146/ANNUREV-PHYTO-073009-114453","ISSN":"00664286","PMID":"20687831","abstract":"Strigolactones (SLs) were originally isolated from plant root exudates as germination stimulants for root parasitic plants of the family Orobanchaceae, including witchweeds (Striga spp.), broomrape...","author":[{"dropping-particle":"","family":"Xie","given":"Xiaonan","non-dropping-particle":"","parse-names":false,"suffix":""},{"dropping-particle":"","family":"Yoneyama","given":"Kaori","non-dropping-particle":"","parse-names":false,"suffix":""},{"dropping-particle":"","family":"Yoneyama","given":"Koichi","non-dropping-particle":"","parse-names":false,"suffix":""}],"container-title":"https://doi.org/10.1146/annurev-phyto-073009-114453","id":"ITEM-2","issued":{"date-parts":[["2010","8","5"]]},"page":"93-117","publisher":"Annual Reviews","title":"The strigolactone story","type":"article-journal","volume":"48"},"uris":["http://www.mendeley.com/documents/?uuid=8634f2b5-cf9b-345c-b0b9-a145fcd65b5e"]}],"mendeley":{"formattedCitation":"(Cook et al., 1966; Xie et al., 2010)","plainTextFormattedCitation":"(Cook et al., 1966; Xie et al., 2010)","previouslyFormattedCitation":"(Cook et al., 1966; Xie et al., 2010)"},"properties":{"noteIndex":0},"schema":"https://github.com/citation-style-language/schema/raw/master/csl-citation.json"}</w:instrText>
      </w:r>
      <w:r>
        <w:rPr>
          <w:szCs w:val="24"/>
        </w:rPr>
        <w:fldChar w:fldCharType="separate"/>
      </w:r>
      <w:r w:rsidRPr="0050754C">
        <w:rPr>
          <w:noProof/>
          <w:szCs w:val="24"/>
        </w:rPr>
        <w:t>(Cook et al., 1966; Xie et al., 2010)</w:t>
      </w:r>
      <w:r>
        <w:rPr>
          <w:szCs w:val="24"/>
        </w:rPr>
        <w:fldChar w:fldCharType="end"/>
      </w:r>
      <w:r>
        <w:rPr>
          <w:color w:val="000000"/>
          <w:szCs w:val="24"/>
        </w:rPr>
        <w:t xml:space="preserve">. The negative symbiosis caused by the advertisement of the host plant’s location in the soil environment to the Orobanchaceae plants was intriguing, because why would plants exude SLs </w:t>
      </w:r>
      <w:r>
        <w:rPr>
          <w:color w:val="000000"/>
          <w:szCs w:val="24"/>
        </w:rPr>
        <w:lastRenderedPageBreak/>
        <w:t xml:space="preserve">if this leaves them open to parasitism? However subsequent identification of beneficial interactions of plants with arbuscular mycorrhizal fungi (AMF) stimulated by root exuded SLs </w:t>
      </w:r>
      <w:r>
        <w:rPr>
          <w:color w:val="000000"/>
          <w:szCs w:val="24"/>
        </w:rPr>
        <w:fldChar w:fldCharType="begin" w:fldLock="1"/>
      </w:r>
      <w:r>
        <w:rPr>
          <w:color w:val="000000"/>
          <w:szCs w:val="24"/>
        </w:rPr>
        <w:instrText>ADDIN CSL_CITATION {"citationItems":[{"id":"ITEM-1","itemData":{"DOI":"10.1016/j.pbi.2014.04.003","ISSN":"13695266","author":[{"dropping-particle":"","family":"Gutjahr","given":"Caroline","non-dropping-particle":"","parse-names":false,"suffix":""}],"container-title":"Current Opinion in Plant Biology","id":"ITEM-1","issued":{"date-parts":[["2014","8"]]},"page":"26-34","title":"Phytohormone signaling in arbuscular mycorhiza development","type":"article-journal","volume":"20"},"uris":["http://www.mendeley.com/documents/?uuid=8044f5bd-72a6-49bd-bb46-fd171d50953e"]},{"id":"ITEM-2","itemData":{"DOI":"10.1038/nature03608","ISSN":"00280836","abstract":"Arbuscular mycorrhizal (AM) fungi form mutualistic, symbiotic associations with the roots of more than 80% of land plants. The fungi are incapable of completing their life cycle in the absence of a host root. Their spores can germinate and grow in the absence of a host, but their hyphal growth is very limited. Little is known about the molecular mechanisms that govern signalling and recognition between AM fungi and their host plants. In one of the first stages of host recognition, the hyphae of AM fungi show extensive branching in the vicinity of host roots before formation of the appressorium, the structure used to penetrate the plant root. Host roots are known to release signalling molecules that trigger hyphal branching, but these branching factors have not been isolated. Here we have isolated a branching factor from the root exudates of Lotus japonicus and used spectroscopic analysis and chemical synthesis to identify it as a strigolactone, 5-deoxy-strigol. Strigolactones are a group of sesquiterpene lactones, previously isolated as seed-germination stimulants for the parasitic weeds Striga and Orobanche. The natural strigolactones 5-deoxy-strigol, sorgolactone and strigol, and a synthetic analogue, GR24, induced extensive hyphal branching in germinating spores of the AM fungus Gigaspora margarita at very low concentrations.","author":[{"dropping-particle":"","family":"Akiyama","given":"Kohki","non-dropping-particle":"","parse-names":false,"suffix":""},{"dropping-particle":"","family":"Matsuzaki","given":"Ken Ichi","non-dropping-particle":"","parse-names":false,"suffix":""},{"dropping-particle":"","family":"Hayashi","given":"Hideo","non-dropping-particle":"","parse-names":false,"suffix":""}],"container-title":"Nature","id":"ITEM-2","issue":"7043","issued":{"date-parts":[["2005","6","9"]]},"page":"824-827","title":"Plant sesquiterpenes induce hyphal branching in arbuscular mycorrhizal fungi","type":"article-journal","volume":"435"},"uris":["http://www.mendeley.com/documents/?uuid=46db45e2-f5d5-3c3a-a373-f5a032120231"]}],"mendeley":{"formattedCitation":"(Akiyama et al., 2005; Gutjahr, 2014)","plainTextFormattedCitation":"(Akiyama et al., 2005; Gutjahr, 2014)","previouslyFormattedCitation":"(Akiyama et al., 2005; Gutjahr, 2014)"},"properties":{"noteIndex":0},"schema":"https://github.com/citation-style-language/schema/raw/master/csl-citation.json"}</w:instrText>
      </w:r>
      <w:r>
        <w:rPr>
          <w:color w:val="000000"/>
          <w:szCs w:val="24"/>
        </w:rPr>
        <w:fldChar w:fldCharType="separate"/>
      </w:r>
      <w:r w:rsidRPr="00A26906">
        <w:rPr>
          <w:noProof/>
          <w:color w:val="000000"/>
          <w:szCs w:val="24"/>
        </w:rPr>
        <w:t>(Akiyama et al., 2005; Gutjahr, 2014)</w:t>
      </w:r>
      <w:r>
        <w:rPr>
          <w:color w:val="000000"/>
          <w:szCs w:val="24"/>
        </w:rPr>
        <w:fldChar w:fldCharType="end"/>
      </w:r>
      <w:r>
        <w:rPr>
          <w:color w:val="000000"/>
          <w:szCs w:val="24"/>
        </w:rPr>
        <w:t xml:space="preserve"> have provided some explanation for this. Upregulation of SL synthesis and exudation has been seen in phosphate deprived environments </w:t>
      </w:r>
      <w:r w:rsidR="00A90EAB">
        <w:rPr>
          <w:color w:val="000000"/>
          <w:szCs w:val="24"/>
        </w:rPr>
        <w:fldChar w:fldCharType="begin" w:fldLock="1"/>
      </w:r>
      <w:r w:rsidR="00E10428">
        <w:rPr>
          <w:color w:val="000000"/>
          <w:szCs w:val="24"/>
        </w:rPr>
        <w:instrText>ADDIN CSL_CITATION {"citationItems":[{"id":"ITEM-1","itemData":{"DOI":"10.1007/s00425-011-1568-8","ISSN":"00320935","abstract":"Plants exude strigolactones (SLs) to attract symbiotic arbuscular mycorrhizal fungi in the rhizosphere. Previous studies have demonstrated that phosphorus (P) deficiency, but not nitrogen (N) deficiency, significantly promotes SL exudation in red clover, while in sorghum not only P deficiency but also N deficiency enhances SL exudation. There are differences between plant species in SL exudation under P- and N-deficient conditions, which may possibly be related to differences between legumes and non-legumes. To investigate this possibility in detail, the effects of N and P deficiencies on SL exudation were examined in Fabaceae (alfalfa and Chinese milk vetch), Asteraceae (marigold and lettuce), Solanaceae (tomato), and Poaceae (wheat) plants. In alfalfa as expected, and unexpectedly in tomato, only P deficiency promoted SL exudation. In contrast, in Chinese milk vetch, a leguminous plant, and in the other non-leguminous plants examined, N deficiency as well as P deficiency enhanced SL exudation. Distinct reductions in shoot P levels were observed in plants grown under N deficiency, except for tomato, in which shoot P level was increased by N starvation, suggesting that the P status of the shoot regulates SL exudation. There seems to be a correlation between shoot P levels and SL exudation across the species/families investigated. © 2011 The Author(s).","author":[{"dropping-particle":"","family":"Yoneyama","given":"Kaori","non-dropping-particle":"","parse-names":false,"suffix":""},{"dropping-particle":"","family":"Xie","given":"Xiaonan","non-dropping-particle":"","parse-names":false,"suffix":""},{"dropping-particle":"Il","family":"Kim","given":"Hyun","non-dropping-particle":"","parse-names":false,"suffix":""},{"dropping-particle":"","family":"Kisugi","given":"Takaya","non-dropping-particle":"","parse-names":false,"suffix":""},{"dropping-particle":"","family":"Nomura","given":"Takahito","non-dropping-particle":"","parse-names":false,"suffix":""},{"dropping-particle":"","family":"Sekimoto","given":"Hitoshi","non-dropping-particle":"","parse-names":false,"suffix":""},{"dropping-particle":"","family":"Yokota","given":"Takao","non-dropping-particle":"","parse-names":false,"suffix":""},{"dropping-particle":"","family":"Yoneyama","given":"Koichi","non-dropping-particle":"","parse-names":false,"suffix":""}],"container-title":"Planta","id":"ITEM-1","issue":"6","issued":{"date-parts":[["2012","6"]]},"page":"1197-1207","publisher":"Springer","title":"How do nitrogen and phosphorus deficiencies affect strigolactone production and exudation?","type":"article-journal","volume":"235"},"uris":["http://www.mendeley.com/documents/?uuid=ace5135e-b241-3986-b322-6f736e5a070d"]}],"mendeley":{"formattedCitation":"(Yoneyama et al., 2012)","plainTextFormattedCitation":"(Yoneyama et al., 2012)","previouslyFormattedCitation":"(Yoneyama et al., 2012)"},"properties":{"noteIndex":0},"schema":"https://github.com/citation-style-language/schema/raw/master/csl-citation.json"}</w:instrText>
      </w:r>
      <w:r w:rsidR="00A90EAB">
        <w:rPr>
          <w:color w:val="000000"/>
          <w:szCs w:val="24"/>
        </w:rPr>
        <w:fldChar w:fldCharType="separate"/>
      </w:r>
      <w:r w:rsidR="00A90EAB" w:rsidRPr="00A90EAB">
        <w:rPr>
          <w:noProof/>
          <w:color w:val="000000"/>
          <w:szCs w:val="24"/>
        </w:rPr>
        <w:t>(Yoneyama et al., 2012)</w:t>
      </w:r>
      <w:r w:rsidR="00A90EAB">
        <w:rPr>
          <w:color w:val="000000"/>
          <w:szCs w:val="24"/>
        </w:rPr>
        <w:fldChar w:fldCharType="end"/>
      </w:r>
      <w:r w:rsidR="00A90EAB">
        <w:rPr>
          <w:color w:val="000000"/>
          <w:szCs w:val="24"/>
        </w:rPr>
        <w:t xml:space="preserve"> </w:t>
      </w:r>
      <w:r>
        <w:rPr>
          <w:color w:val="000000"/>
          <w:szCs w:val="24"/>
        </w:rPr>
        <w:t xml:space="preserve">and the symbiosis with AMF can overcome phosphate limitation </w:t>
      </w:r>
      <w:r>
        <w:rPr>
          <w:color w:val="000000"/>
          <w:szCs w:val="24"/>
        </w:rPr>
        <w:fldChar w:fldCharType="begin" w:fldLock="1"/>
      </w:r>
      <w:r>
        <w:rPr>
          <w:color w:val="000000"/>
          <w:szCs w:val="24"/>
        </w:rPr>
        <w:instrText>ADDIN CSL_CITATION {"citationItems":[{"id":"ITEM-1","itemData":{"DOI":"10.1111/j.1469-8137.2008.02406.x","ISSN":"0028-646X","abstract":"DOI: 10.1111/j.1469-8137.2008.02463.x Commentary p 695","author":[{"dropping-particle":"","family":"López</w:instrText>
      </w:r>
      <w:r>
        <w:rPr>
          <w:rFonts w:ascii="Cambria Math" w:hAnsi="Cambria Math" w:cs="Cambria Math"/>
          <w:color w:val="000000"/>
          <w:szCs w:val="24"/>
        </w:rPr>
        <w:instrText>‐</w:instrText>
      </w:r>
      <w:r>
        <w:rPr>
          <w:color w:val="000000"/>
          <w:szCs w:val="24"/>
        </w:rPr>
        <w:instrText>Ráez","given":"Juan Antonio","non-dropping-particle":"","parse-names":false,"suffix":""},{"dropping-particle":"","family":"Charnikhova","given":"Tatsiana","non-dropping-particle":"","parse-names":false,"suffix":""},{"dropping-particle":"","family":"Gómez</w:instrText>
      </w:r>
      <w:r>
        <w:rPr>
          <w:rFonts w:ascii="Cambria Math" w:hAnsi="Cambria Math" w:cs="Cambria Math"/>
          <w:color w:val="000000"/>
          <w:szCs w:val="24"/>
        </w:rPr>
        <w:instrText>‐</w:instrText>
      </w:r>
      <w:r>
        <w:rPr>
          <w:color w:val="000000"/>
          <w:szCs w:val="24"/>
        </w:rPr>
        <w:instrText>Roldán","given":"Victoria","non-dropping-particle":"","parse-names":false,"suffix":""},{"dropping-particle":"","family":"Matusova","given":"Radoslava","non-dropping-particle":"","parse-names":false,"suffix":""},{"dropping-particle":"","family":"Kohlen","given":"Wouter","non-dropping-particle":"","parse-names":false,"suffix":""},{"dropping-particle":"","family":"Vos","given":"Ric","non-dropping-particle":"De","parse-names":false,"suffix":""},{"dropping-particle":"","family":"Verstappen","given":"Francel","non-dropping-particle":"","parse-names":false,"suffix":""},{"dropping-particle":"","family":"Puech</w:instrText>
      </w:r>
      <w:r>
        <w:rPr>
          <w:rFonts w:ascii="Cambria Math" w:hAnsi="Cambria Math" w:cs="Cambria Math"/>
          <w:color w:val="000000"/>
          <w:szCs w:val="24"/>
        </w:rPr>
        <w:instrText>‐</w:instrText>
      </w:r>
      <w:r>
        <w:rPr>
          <w:color w:val="000000"/>
          <w:szCs w:val="24"/>
        </w:rPr>
        <w:instrText>Pages","given":"Virginie","non-dropping-particle":"","parse-names":false,"suffix":""},{"dropping-particle":"","family":"Bécard","given":"Guillaume","non-dropping-particle":"","parse-names":false,"suffix":""},{"dropping-particle":"","family":"Mulder","given":"Patrick","non-dropping-particle":"","parse-names":false,"suffix":""},{"dropping-particle":"","family":"Bouwmeester","given":"Harro","non-dropping-particle":"","parse-names":false,"suffix":""}],"container-title":"New Phytologist","id":"ITEM-1","issue":"4","issued":{"date-parts":[["2008","6","11"]]},"page":"863-874","title":"Tomato strigolactones are derived from carotenoids and their biosynthesis is promoted by phosphate starvation","type":"article-journal","volume":"178"},"uris":["http://www.mendeley.com/documents/?uuid=e3f90c8f-1c51-4a0a-95a4-6f3ce780f980"]}],"mendeley":{"formattedCitation":"(López</w:instrText>
      </w:r>
      <w:r>
        <w:rPr>
          <w:rFonts w:ascii="Cambria Math" w:hAnsi="Cambria Math" w:cs="Cambria Math"/>
          <w:color w:val="000000"/>
          <w:szCs w:val="24"/>
        </w:rPr>
        <w:instrText>‐</w:instrText>
      </w:r>
      <w:r>
        <w:rPr>
          <w:color w:val="000000"/>
          <w:szCs w:val="24"/>
        </w:rPr>
        <w:instrText>Ráez et al., 2008)","plainTextFormattedCitation":"(López</w:instrText>
      </w:r>
      <w:r>
        <w:rPr>
          <w:rFonts w:ascii="Cambria Math" w:hAnsi="Cambria Math" w:cs="Cambria Math"/>
          <w:color w:val="000000"/>
          <w:szCs w:val="24"/>
        </w:rPr>
        <w:instrText>‐</w:instrText>
      </w:r>
      <w:r>
        <w:rPr>
          <w:color w:val="000000"/>
          <w:szCs w:val="24"/>
        </w:rPr>
        <w:instrText>Ráez et al., 2008)","previouslyFormattedCitation":"(López</w:instrText>
      </w:r>
      <w:r>
        <w:rPr>
          <w:rFonts w:ascii="Cambria Math" w:hAnsi="Cambria Math" w:cs="Cambria Math"/>
          <w:color w:val="000000"/>
          <w:szCs w:val="24"/>
        </w:rPr>
        <w:instrText>‐</w:instrText>
      </w:r>
      <w:r>
        <w:rPr>
          <w:color w:val="000000"/>
          <w:szCs w:val="24"/>
        </w:rPr>
        <w:instrText>Ráez et al., 2008)"},"properties":{"noteIndex":0},"schema":"https://github.com/citation-style-language/schema/raw/master/csl-citation.json"}</w:instrText>
      </w:r>
      <w:r>
        <w:rPr>
          <w:color w:val="000000"/>
          <w:szCs w:val="24"/>
        </w:rPr>
        <w:fldChar w:fldCharType="separate"/>
      </w:r>
      <w:r w:rsidRPr="00C707F2">
        <w:rPr>
          <w:noProof/>
          <w:color w:val="000000"/>
          <w:szCs w:val="24"/>
        </w:rPr>
        <w:t>(López</w:t>
      </w:r>
      <w:r w:rsidRPr="00C707F2">
        <w:rPr>
          <w:rFonts w:ascii="Cambria Math" w:hAnsi="Cambria Math" w:cs="Cambria Math"/>
          <w:noProof/>
          <w:color w:val="000000"/>
          <w:szCs w:val="24"/>
        </w:rPr>
        <w:t>‐</w:t>
      </w:r>
      <w:r w:rsidRPr="00C707F2">
        <w:rPr>
          <w:noProof/>
          <w:color w:val="000000"/>
          <w:szCs w:val="24"/>
        </w:rPr>
        <w:t>Ráez et al., 2008)</w:t>
      </w:r>
      <w:r>
        <w:rPr>
          <w:color w:val="000000"/>
          <w:szCs w:val="24"/>
        </w:rPr>
        <w:fldChar w:fldCharType="end"/>
      </w:r>
      <w:r>
        <w:rPr>
          <w:color w:val="000000"/>
          <w:szCs w:val="24"/>
        </w:rPr>
        <w:t xml:space="preserve">. Phosphate limitation has subsequently been utilised in experimental settings to stimulate SL exudation allowing for easier quantification and identification of SLs </w:t>
      </w:r>
      <w:r>
        <w:rPr>
          <w:color w:val="000000"/>
          <w:szCs w:val="24"/>
        </w:rPr>
        <w:fldChar w:fldCharType="begin" w:fldLock="1"/>
      </w:r>
      <w:r w:rsidR="00DD48A6">
        <w:rPr>
          <w:color w:val="000000"/>
          <w:szCs w:val="24"/>
        </w:rPr>
        <w:instrText>ADDIN CSL_CITATION {"citationItems":[{"id":"ITEM-1","itemData":{"DOI":"10.1093/mp/sss139","ISSN":"16742052","author":[{"dropping-particle":"","family":"Xie","given":"Xiaonan","non-dropping-particle":"","parse-names":false,"suffix":""},{"dropping-particle":"","family":"Yoneyama","given":"Kaori","non-dropping-particle":"","parse-names":false,"suffix":""},{"dropping-particle":"","family":"Kisugi","given":"Takaya","non-dropping-particle":"","parse-names":false,"suffix":""},{"dropping-particle":"","family":"Uchida","given":"Kenichi","non-dropping-particle":"","parse-names":false,"suffix":""},{"dropping-particle":"","family":"Ito","given":"Seisuke","non-dropping-particle":"","parse-names":false,"suffix":""},{"dropping-particle":"","family":"Akiyama","given":"Kohki","non-dropping-particle":"","parse-names":false,"suffix":""},{"dropping-particle":"","family":"Hayashi","given":"Hideo","non-dropping-particle":"","parse-names":false,"suffix":""},{"dropping-particle":"","family":"Yokota","given":"Takao","non-dropping-particle":"","parse-names":false,"suffix":""},{"dropping-particle":"","family":"Nomura","given":"Takahito","non-dropping-particle":"","parse-names":false,"suffix":""},{"dropping-particle":"","family":"Yoneyama","given":"Koichi","non-dropping-particle":"","parse-names":false,"suffix":""}],"container-title":"Molecular Plant","id":"ITEM-1","issue":"1","issued":{"date-parts":[["2013","1"]]},"page":"153-163","title":"Confirming stereochemical structures of strigolactones produced by Rice and Tobacco","type":"article-journal","volume":"6"},"uris":["http://www.mendeley.com/documents/?uuid=76653db2-95bf-48f4-a6cc-7ab7452d9e62"]},{"id":"ITEM-2","itemData":{"DOI":"10.1111/j.1469-8137.2008.02462.x","ISSN":"0028646X","abstract":"Both root parasitic plants and arbuscular mycorrhizal (AM) fungi take advantage of strigolactones, released from plant roots as signal molecules in the initial communication with host plants, in order to commence parasitism and mutualism, respectively. In this study, strigolactones in root exudates from 12 Fabaceae plants, including hydroponically grown white lupin (Lupinus albus), a nonhost of AM fungi, were characterized by comparing retention times of germination stimulants on reverse-phase high-performance liquid chromatography (HPLC) with those of standards and by using tandem mass spectrometry (LC/MS/MS). All the plant species examined were found to exude known strigolactones, such as orobanchol, orobanchyl acetate, and 5-deoxystrigol, suggesting that these strigolactones are widely distributed in the Fabaceae. It should be noted that even the nonmycotrophic L. albus exuded orobanchol, orobanchyl acetate, 5-deoxystrigol, and novel germination stimulants. By contrast to the mycotrophic Fabaceae plant Trifolium pratense, in which phosphorus deficiency promoted strigolactone exudation, neither phosphorus nor nitrogen deficiency increased exudation of these strigolactones in L. albus. Therefore, the regulation of strigolactone production and/or exudation seems to be closely related to the nutrient acquisition strategy of the plants.","author":[{"dropping-particle":"","family":"Yoneyama","given":"Kaori","non-dropping-particle":"","parse-names":false,"suffix":""},{"dropping-particle":"","family":"Xie","given":"Xiaonan","non-dropping-particle":"","parse-names":false,"suffix":""},{"dropping-particle":"","family":"Sekimoto","given":"Hitoshi","non-dropping-particle":"","parse-names":false,"suffix":""},{"dropping-particle":"","family":"Takeuchi","given":"Yasutomo","non-dropping-particle":"","parse-names":false,"suffix":""},{"dropping-particle":"","family":"Ogasawara","given":"Shin","non-dropping-particle":"","parse-names":false,"suffix":""},{"dropping-particle":"","family":"Akiyama","given":"Kohki","non-dropping-particle":"","parse-names":false,"suffix":""},{"dropping-particle":"","family":"Hayashi","given":"Hideo","non-dropping-particle":"","parse-names":false,"suffix":""},{"dropping-particle":"","family":"Yoneyama","given":"Koichi","non-dropping-particle":"","parse-names":false,"suffix":""}],"container-title":"New Phytologist","id":"ITEM-2","issue":"2","issued":{"date-parts":[["2008","7"]]},"page":"484-494","title":"Strigolactones, host recognition signals for root parasitic plants and arbuscular mycorrhizal fungi, from Fabaceae plants","type":"article-journal","volume":"179"},"uris":["http://www.mendeley.com/documents/?uuid=c9e39de9-2964-33f2-ae90-4afff79a5791"]},{"id":"ITEM-3","itemData":{"DOI":"10.1016/j.cub.2022.06.063","ISSN":"18790445","PMID":"35839764","abstract":"There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Biology","id":"ITEM-3","issue":"16","issued":{"date-parts":[["2022"]]},"page":"3593-3600.e3","publisher":"The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pea","type":"article-journal","volume":"32"},"uris":["http://www.mendeley.com/documents/?uuid=7883806e-2a76-4f53-bb1a-22950167e6e2"]}],"mendeley":{"formattedCitation":"(Yoneyama et al., 2008; Xie et al., 2013; Wheeldon et al., 2022)","plainTextFormattedCitation":"(Yoneyama et al., 2008; Xie et al., 2013; Wheeldon et al., 2022)","previouslyFormattedCitation":"(Yoneyama et al., 2008; Xie et al., 2013; Wheeldon et al., 2022)"},"properties":{"noteIndex":0},"schema":"https://github.com/citation-style-language/schema/raw/master/csl-citation.json"}</w:instrText>
      </w:r>
      <w:r>
        <w:rPr>
          <w:color w:val="000000"/>
          <w:szCs w:val="24"/>
        </w:rPr>
        <w:fldChar w:fldCharType="separate"/>
      </w:r>
      <w:r w:rsidRPr="00EB2F39">
        <w:rPr>
          <w:noProof/>
          <w:color w:val="000000"/>
          <w:szCs w:val="24"/>
        </w:rPr>
        <w:t>(Yoneyama et al., 2008; Xie et al., 2013; Wheeldon et al., 2022)</w:t>
      </w:r>
      <w:r>
        <w:rPr>
          <w:color w:val="000000"/>
          <w:szCs w:val="24"/>
        </w:rPr>
        <w:fldChar w:fldCharType="end"/>
      </w:r>
      <w:r>
        <w:rPr>
          <w:color w:val="000000"/>
          <w:szCs w:val="24"/>
        </w:rPr>
        <w:t xml:space="preserve">. </w:t>
      </w:r>
    </w:p>
    <w:p w14:paraId="03B08328" w14:textId="4A60F5F9" w:rsidR="00EC23E7" w:rsidRDefault="00EC23E7" w:rsidP="00EC23E7">
      <w:pPr>
        <w:spacing w:line="480" w:lineRule="auto"/>
        <w:rPr>
          <w:color w:val="000000"/>
          <w:szCs w:val="24"/>
        </w:rPr>
      </w:pPr>
      <w:r>
        <w:rPr>
          <w:color w:val="000000"/>
          <w:szCs w:val="24"/>
        </w:rPr>
        <w:t xml:space="preserve">SLs were later identified as plant hormones which regulate shoot branching, where SL synthesis and signalling mutants </w:t>
      </w:r>
      <w:r w:rsidR="00A90EAB">
        <w:rPr>
          <w:color w:val="000000"/>
          <w:szCs w:val="24"/>
        </w:rPr>
        <w:t>possess a characteristic</w:t>
      </w:r>
      <w:r>
        <w:rPr>
          <w:color w:val="000000"/>
          <w:szCs w:val="24"/>
        </w:rPr>
        <w:t xml:space="preserve"> high </w:t>
      </w:r>
      <w:r w:rsidR="00A90EAB">
        <w:rPr>
          <w:color w:val="000000"/>
          <w:szCs w:val="24"/>
        </w:rPr>
        <w:t xml:space="preserve">level of </w:t>
      </w:r>
      <w:r>
        <w:rPr>
          <w:color w:val="000000"/>
          <w:szCs w:val="24"/>
        </w:rPr>
        <w:t xml:space="preserve">shoot branching and semi-dwarf phenotypes </w:t>
      </w:r>
      <w:r>
        <w:rPr>
          <w:color w:val="000000"/>
          <w:szCs w:val="24"/>
        </w:rPr>
        <w:fldChar w:fldCharType="begin" w:fldLock="1"/>
      </w:r>
      <w:r>
        <w:rPr>
          <w:color w:val="000000"/>
          <w:szCs w:val="24"/>
        </w:rPr>
        <w:instrText>ADDIN CSL_CITATION {"citationItems":[{"id":"ITEM-1","itemData":{"DOI":"10.1038/nature07271","ISSN":"00280836","abstract":"A carotenoid-derived hormonal signal that inhibits shoot branching in plants has long escaped identification. Strigolactones are compounds thought to be derived from carotenoids and are known to trigger the germination of parasitic plant seeds and stimulate symbiotic fungi. Here we present evidence that carotenoid cleavage dioxygenase 8 shoot branching mutants of pea are strigolactone deficient and that strigolactone application restores the wild-type branching phenotype to ccd8 mutants. Moreover, we show that other branching mutants previously characterized as lacking a response to the branching inhibition signal also lack strigolactone response, and are not deficient in strigolactones. These responses are conserved in Arabidopsis. In agreement with the expected properties of the hormonal signal, exogenous strigolactone can be transported in shoots and act at low concentrations. We suggest that endogenous strigolactones or related compounds inhibit shoot branching in plants. Furthermore, ccd8 mutants demonstrate the diverse effects of strigolactones in shoot branching, mycorrhizal symbiosis and parasitic weed interaction.","author":[{"dropping-particle":"","family":"Gomez-Roldan","given":"Victoria","non-dropping-particle":"","parse-names":false,"suffix":""},{"dropping-particle":"","family":"Fermas","given":"Soraya","non-dropping-particle":"","parse-names":false,"suffix":""},{"dropping-particle":"","family":"Brewer","given":"Philip B.","non-dropping-particle":"","parse-names":false,"suffix":""},{"dropping-particle":"","family":"Puech-Pagès","given":"Virginie","non-dropping-particle":"","parse-names":false,"suffix":""},{"dropping-particle":"","family":"Dun","given":"Elizabeth A.","non-dropping-particle":"","parse-names":false,"suffix":""},{"dropping-particle":"","family":"Pillot","given":"Jean Paul","non-dropping-particle":"","parse-names":false,"suffix":""},{"dropping-particle":"","family":"Letisse","given":"Fabien","non-dropping-particle":"","parse-names":false,"suffix":""},{"dropping-particle":"","family":"Matusova","given":"Radoslava","non-dropping-particle":"","parse-names":false,"suffix":""},{"dropping-particle":"","family":"Danoun","given":"Saida","non-dropping-particle":"","parse-names":false,"suffix":""},{"dropping-particle":"","family":"Portais","given":"Jean Charles","non-dropping-particle":"","parse-names":false,"suffix":""},{"dropping-particle":"","family":"Bouwmeester","given":"Harro","non-dropping-particle":"","parse-names":false,"suffix":""},{"dropping-particle":"","family":"Bécard","given":"Guillaume","non-dropping-particle":"","parse-names":false,"suffix":""},{"dropping-particle":"","family":"Beveridge","given":"Christine A.","non-dropping-particle":"","parse-names":false,"suffix":""},{"dropping-particle":"","family":"Rameau","given":"Catherine","non-dropping-particle":"","parse-names":false,"suffix":""},{"dropping-particle":"","family":"Rochange","given":"Soizic F.","non-dropping-particle":"","parse-names":false,"suffix":""}],"container-title":"Nature","id":"ITEM-1","issue":"7210","issued":{"date-parts":[["2008","9"]]},"page":"189-194","title":"Strigolactone inhibition of shoot branching","type":"article-journal","volume":"455"},"uris":["http://www.mendeley.com/documents/?uuid=ec1a41e3-3358-357b-a7fb-54308a4379c1"]},{"id":"ITEM-2","itemData":{"DOI":"10.1038/nature07272","ISSN":"00280836","PMID":"18690207","abstract":"Shoot branching is a major determinant of plant architecture and is highly regulated by endogenous and environmental cues. Two classes of hormones, auxin and cytokinin, have long been known to have an important involvement in controlling shoot branching. Previous studies using a series of mutants with enhanced shoot branching suggested the existence of a third class of hormone(s) that is derived from carotenoids, but its chemical identity has been unknown. Here we show that levels of strigolactones, a group of terpenoid lactones, are significantly reduced in some of the branching mutants. Furthermore, application of strigolactones inhibits shoot branching in these mutants. Strigolactones were previously found in root exudates acting as communication chemicals with parasitic weeds and symbiotic arbuscular mycorrhizal fungi. Thus, we propose that strigolactones act as a new hormone class - or their biosynthetic precursors - in regulating above-ground plant architecture, and also have a function in underground communication with other neighbouring organisms. ©2008 Macmillan Publishers Limited. All rights reserved.","author":[{"dropping-particle":"","family":"Umehara","given":"Mikihisa","non-dropping-particle":"","parse-names":false,"suffix":""},{"dropping-particle":"","family":"Hanada","given":"Atsushi","non-dropping-particle":"","parse-names":false,"suffix":""},{"dropping-particle":"","family":"Yoshida","given":"Satoko","non-dropping-particle":"","parse-names":false,"suffix":""},{"dropping-particle":"","family":"Akiyama","given":"Kohki","non-dropping-particle":"","parse-names":false,"suffix":""},{"dropping-particle":"","family":"Arite","given":"Tomotsugu","non-dropping-particle":"","parse-names":false,"suffix":""},{"dropping-particle":"","family":"Takeda-Kamiya","given":"Noriko","non-dropping-particle":"","parse-names":false,"suffix":""},{"dropping-particle":"","family":"Magome","given":"Hiroshi","non-dropping-particle":"","parse-names":false,"suffix":""},{"dropping-particle":"","family":"Kamiya","given":"Yuji","non-dropping-particle":"","parse-names":false,"suffix":""},{"dropping-particle":"","family":"Shirasu","given":"Ken","non-dropping-particle":"","parse-names":false,"suffix":""},{"dropping-particle":"","family":"Yoneyama","given":"Koichi","non-dropping-particle":"","parse-names":false,"suffix":""},{"dropping-particle":"","family":"Kyozuka","given":"Junko","non-dropping-particle":"","parse-names":false,"suffix":""},{"dropping-particle":"","family":"Yamaguchi","given":"Shinjiro","non-dropping-particle":"","parse-names":false,"suffix":""}],"container-title":"Nature","id":"ITEM-2","issue":"7210","issued":{"date-parts":[["2008","9"]]},"page":"195-200","title":"Inhibition of shoot branching by new terpenoid plant hormones","type":"article-journal","volume":"455"},"uris":["http://www.mendeley.com/documents/?uuid=7319a5c9-fe7f-39d1-97d8-0c2381bd399e"]}],"mendeley":{"formattedCitation":"(Gomez-Roldan et al., 2008; Umehara et al., 2008)","plainTextFormattedCitation":"(Gomez-Roldan et al., 2008; Umehara et al., 2008)","previouslyFormattedCitation":"(Gomez-Roldan et al., 2008; Umehara et al., 2008)"},"properties":{"noteIndex":0},"schema":"https://github.com/citation-style-language/schema/raw/master/csl-citation.json"}</w:instrText>
      </w:r>
      <w:r>
        <w:rPr>
          <w:color w:val="000000"/>
          <w:szCs w:val="24"/>
        </w:rPr>
        <w:fldChar w:fldCharType="separate"/>
      </w:r>
      <w:r w:rsidRPr="0050754C">
        <w:rPr>
          <w:noProof/>
          <w:color w:val="000000"/>
          <w:szCs w:val="24"/>
        </w:rPr>
        <w:t>(Gomez-Roldan et al., 2008; Umehara et al., 2008)</w:t>
      </w:r>
      <w:r>
        <w:rPr>
          <w:color w:val="000000"/>
          <w:szCs w:val="24"/>
        </w:rPr>
        <w:fldChar w:fldCharType="end"/>
      </w:r>
      <w:r>
        <w:rPr>
          <w:color w:val="000000"/>
          <w:szCs w:val="24"/>
        </w:rPr>
        <w:t xml:space="preserve">. Genes in the SL synthesis pathway have been identified in all land plants </w:t>
      </w:r>
      <w:r>
        <w:rPr>
          <w:color w:val="000000"/>
          <w:szCs w:val="24"/>
        </w:rPr>
        <w:fldChar w:fldCharType="begin" w:fldLock="1"/>
      </w:r>
      <w:r>
        <w:rPr>
          <w:color w:val="000000"/>
          <w:szCs w:val="24"/>
        </w:rPr>
        <w:instrText>ADDIN CSL_CITATION {"citationItems":[{"id":"ITEM-1","itemData":{"DOI":"10.1186/s12915-019-0689-6","ISSN":"17417007","abstract":"BACKGROUND: Strigolactones (SLs) are an important class of carotenoid-derived signalling molecule in plants, which function both as exogenous signals in the rhizosphere and as endogenous plant hormones. In flowering plants, SLs are synthesized by a core pathway of four enzymes and are perceived by the DWARF14 (D14) receptor, leading to degradation of SMAX1-LIKE7 (SMXL7) target proteins in a manner dependent on the SCFMAX2 ubiquitin ligase. The evolutionary history of SLs is poorly understood, and it is not clear whether SL synthesis and signalling are present in all land plant lineages, nor when these traits evolved. RESULTS: We have utilized recently-generated genomic and transcriptomic sequences from across the land plant clade to resolve the origin of each known component of SL synthesis and signalling. We show that all enzymes in the core SL synthesis pathway originated at or before the base of land plants, consistent with the previously observed distribution of SLs themselves in land plant lineages. We also show that the late-acting enzyme LATERAL BRANCHING OXIDOREDUCTASE (LBO) may be considerably more ancient than previously thought. We perform a detailed phylogenetic analysis of SMXL proteins and show that specific SL target proteins only arose in flowering plants. We also assess diversity and protein structure in the SMXL family, identifying several previously unknown clades. CONCLUSIONS: Overall, our results suggest that SL synthesis is much more ancient than canonical SL signalling, consistent with the idea that SLs first evolved as rhizosphere signals and were only recruited much later as hormonal signals.","author":[{"dropping-particle":"","family":"Walker","given":"Catriona H.","non-dropping-particle":"","parse-names":false,"suffix":""},{"dropping-particle":"","family":"Siu-Ting","given":"Karen","non-dropping-particle":"","parse-names":false,"suffix":""},{"dropping-particle":"","family":"Taylor","given":"Alysha","non-dropping-particle":"","parse-names":false,"suffix":""},{"dropping-particle":"","family":"O'Connell","given":"Mary J.","non-dropping-particle":"","parse-names":false,"suffix":""},{"dropping-particle":"","family":"Bennett","given":"Tom","non-dropping-particle":"","parse-names":false,"suffix":""}],"container-title":"BMC biology","id":"ITEM-1","issue":"1","issued":{"date-parts":[["2019","9","5"]]},"page":"70","publisher":"NLM (Medline)","title":"Strigolactone synthesis is ancestral in land plants, but canonical strigolactone signalling is a flowering plant innovation","type":"article-journal","volume":"17"},"uris":["http://www.mendeley.com/documents/?uuid=ace24bf0-b797-35b6-803a-fcede9c0e702"]},{"id":"ITEM-2","itemData":{"DOI":"10.1016/j.semcdb.2020.06.011","ISSN":"10849521","author":[{"dropping-particle":"","family":"Wheeldon","given":"Cara D.","non-dropping-particle":"","parse-names":false,"suffix":""},{"dropping-particle":"","family":"Bennett","given":"Tom","non-dropping-particle":"","parse-names":false,"suffix":""}],"container-title":"Seminars in Cell &amp; Developmental Biology","id":"ITEM-2","issued":{"date-parts":[["2021","1"]]},"page":"55-67","title":"There and back again: An evolutionary perspective on long-distance coordination of plant growth and development","type":"article-journal","volume":"109"},"uris":["http://www.mendeley.com/documents/?uuid=390ed452-5e79-4e13-b4a6-c95e1e5d7bb8"]}],"mendeley":{"formattedCitation":"(Walker et al., 2019; Wheeldon and Bennett, 2021)","plainTextFormattedCitation":"(Walker et al., 2019; Wheeldon and Bennett, 2021)","previouslyFormattedCitation":"(Walker et al., 2019; Wheeldon and Bennett, 2021)"},"properties":{"noteIndex":0},"schema":"https://github.com/citation-style-language/schema/raw/master/csl-citation.json"}</w:instrText>
      </w:r>
      <w:r>
        <w:rPr>
          <w:color w:val="000000"/>
          <w:szCs w:val="24"/>
        </w:rPr>
        <w:fldChar w:fldCharType="separate"/>
      </w:r>
      <w:r w:rsidRPr="003068E2">
        <w:rPr>
          <w:noProof/>
          <w:color w:val="000000"/>
          <w:szCs w:val="24"/>
        </w:rPr>
        <w:t>(Walker et al., 2019; Wheeldon and Bennett, 2021)</w:t>
      </w:r>
      <w:r>
        <w:rPr>
          <w:color w:val="000000"/>
          <w:szCs w:val="24"/>
        </w:rPr>
        <w:fldChar w:fldCharType="end"/>
      </w:r>
      <w:r>
        <w:rPr>
          <w:color w:val="000000"/>
          <w:szCs w:val="24"/>
        </w:rPr>
        <w:t xml:space="preserve"> Elements of the signalling pathways however have been limited to flowering plants </w:t>
      </w:r>
      <w:r>
        <w:rPr>
          <w:color w:val="000000"/>
          <w:szCs w:val="24"/>
        </w:rPr>
        <w:fldChar w:fldCharType="begin" w:fldLock="1"/>
      </w:r>
      <w:r>
        <w:rPr>
          <w:color w:val="000000"/>
          <w:szCs w:val="24"/>
        </w:rPr>
        <w:instrText>ADDIN CSL_CITATION {"citationItems":[{"id":"ITEM-1","itemData":{"DOI":"10.1186/s12915-019-0689-6","ISSN":"17417007","abstract":"BACKGROUND: Strigolactones (SLs) are an important class of carotenoid-derived signalling molecule in plants, which function both as exogenous signals in the rhizosphere and as endogenous plant hormones. In flowering plants, SLs are synthesized by a core pathway of four enzymes and are perceived by the DWARF14 (D14) receptor, leading to degradation of SMAX1-LIKE7 (SMXL7) target proteins in a manner dependent on the SCFMAX2 ubiquitin ligase. The evolutionary history of SLs is poorly understood, and it is not clear whether SL synthesis and signalling are present in all land plant lineages, nor when these traits evolved. RESULTS: We have utilized recently-generated genomic and transcriptomic sequences from across the land plant clade to resolve the origin of each known component of SL synthesis and signalling. We show that all enzymes in the core SL synthesis pathway originated at or before the base of land plants, consistent with the previously observed distribution of SLs themselves in land plant lineages. We also show that the late-acting enzyme LATERAL BRANCHING OXIDOREDUCTASE (LBO) may be considerably more ancient than previously thought. We perform a detailed phylogenetic analysis of SMXL proteins and show that specific SL target proteins only arose in flowering plants. We also assess diversity and protein structure in the SMXL family, identifying several previously unknown clades. CONCLUSIONS: Overall, our results suggest that SL synthesis is much more ancient than canonical SL signalling, consistent with the idea that SLs first evolved as rhizosphere signals and were only recruited much later as hormonal signals.","author":[{"dropping-particle":"","family":"Walker","given":"Catriona H.","non-dropping-particle":"","parse-names":false,"suffix":""},{"dropping-particle":"","family":"Siu-Ting","given":"Karen","non-dropping-particle":"","parse-names":false,"suffix":""},{"dropping-particle":"","family":"Taylor","given":"Alysha","non-dropping-particle":"","parse-names":false,"suffix":""},{"dropping-particle":"","family":"O'Connell","given":"Mary J.","non-dropping-particle":"","parse-names":false,"suffix":""},{"dropping-particle":"","family":"Bennett","given":"Tom","non-dropping-particle":"","parse-names":false,"suffix":""}],"container-title":"BMC biology","id":"ITEM-1","issue":"1","issued":{"date-parts":[["2019","9","5"]]},"page":"70","publisher":"NLM (Medline)","title":"Strigolactone synthesis is ancestral in land plants, but canonical strigolactone signalling is a flowering plant innovation","type":"article-journal","volume":"17"},"uris":["http://www.mendeley.com/documents/?uuid=ace24bf0-b797-35b6-803a-fcede9c0e702"]}],"mendeley":{"formattedCitation":"(Walker et al., 2019)","plainTextFormattedCitation":"(Walker et al., 2019)","previouslyFormattedCitation":"(Walker et al., 2019)"},"properties":{"noteIndex":0},"schema":"https://github.com/citation-style-language/schema/raw/master/csl-citation.json"}</w:instrText>
      </w:r>
      <w:r>
        <w:rPr>
          <w:color w:val="000000"/>
          <w:szCs w:val="24"/>
        </w:rPr>
        <w:fldChar w:fldCharType="separate"/>
      </w:r>
      <w:r w:rsidRPr="000345F0">
        <w:rPr>
          <w:noProof/>
          <w:color w:val="000000"/>
          <w:szCs w:val="24"/>
        </w:rPr>
        <w:t>(Walker et al., 2019)</w:t>
      </w:r>
      <w:r>
        <w:rPr>
          <w:color w:val="000000"/>
          <w:szCs w:val="24"/>
        </w:rPr>
        <w:fldChar w:fldCharType="end"/>
      </w:r>
      <w:r>
        <w:rPr>
          <w:color w:val="000000"/>
          <w:szCs w:val="24"/>
        </w:rPr>
        <w:t>.</w:t>
      </w:r>
    </w:p>
    <w:p w14:paraId="7C74D052" w14:textId="77777777" w:rsidR="009C0CC2" w:rsidRDefault="009C0CC2" w:rsidP="00EC23E7">
      <w:pPr>
        <w:spacing w:line="480" w:lineRule="auto"/>
        <w:rPr>
          <w:color w:val="000000"/>
          <w:szCs w:val="24"/>
        </w:rPr>
      </w:pPr>
    </w:p>
    <w:p w14:paraId="18E1A668" w14:textId="056760B9" w:rsidR="00EC23E7" w:rsidRDefault="009C0CC2" w:rsidP="00743E4C">
      <w:pPr>
        <w:pStyle w:val="Heading3"/>
      </w:pPr>
      <w:bookmarkStart w:id="17" w:name="_Toc154331430"/>
      <w:r w:rsidRPr="009C0CC2">
        <w:t>Strigolactone biosynthesis</w:t>
      </w:r>
      <w:bookmarkEnd w:id="17"/>
    </w:p>
    <w:p w14:paraId="58D05EFC" w14:textId="77777777" w:rsidR="009C0CC2" w:rsidRPr="009C0CC2" w:rsidRDefault="009C0CC2" w:rsidP="009C0CC2"/>
    <w:p w14:paraId="2537A1F2" w14:textId="03B9CD1D" w:rsidR="00EC23E7" w:rsidRDefault="00EC23E7" w:rsidP="00EC23E7">
      <w:pPr>
        <w:spacing w:line="480" w:lineRule="auto"/>
        <w:rPr>
          <w:color w:val="000000"/>
          <w:szCs w:val="24"/>
        </w:rPr>
      </w:pPr>
      <w:r>
        <w:rPr>
          <w:color w:val="000000"/>
          <w:szCs w:val="24"/>
        </w:rPr>
        <w:t xml:space="preserve">All strigolactones contain a butanolide moiety known as a D ring, however, canonical SLs also contain a tri-cyclic lactone moiety known as the ABC rings which are joined with an enol-ether bridge to the D-ring </w:t>
      </w:r>
      <w:r>
        <w:rPr>
          <w:color w:val="000000"/>
          <w:szCs w:val="24"/>
        </w:rPr>
        <w:fldChar w:fldCharType="begin" w:fldLock="1"/>
      </w:r>
      <w:r>
        <w:rPr>
          <w:color w:val="000000"/>
          <w:szCs w:val="24"/>
        </w:rPr>
        <w:instrText>ADDIN CSL_CITATION {"citationItems":[{"id":"ITEM-1","itemData":{"DOI":"10.1093/jxb/ery090","abstract":"Strigolactones (SLs) can be classified into two structurally distinct groups: canonical and non-canonical SLs. Canonical SLs contain the ABCD ring system, and non-canonical SLs lack the A, B, or C ring but have the enol ether-D ring moiety, which is essential for biological activities. The simplest non-canonical SL is the SL biosynthetic intermediate carlactone. In plants, carlactone and its oxidized metabolites, such as carlactonoic acid and methyl carlactono-ate, are present in root and shoot tissues. In some plant species, including black oat (Avena strigosa), sunflower (Helianthus annuus), and maize (Zea mays), non-canonical SLs in the root exudates are major germination stimulants. Various plant species, such as tomato (Solanum lycopersicum), Arabidopsis, and poplar (Populus spp.), release car-lactonoic acid into the rhizosphere. These observations suggest that both canonical and non-canonical SLs act as host-recognition signals in the rhizosphere. In contrast, the limited distribution of canonical SLs in the plant kingdom, and the structure-specific and stereospecific transportation of canonical SLs from roots to shoots, suggest that plant hormones inhibiting shoot branching are not canonical SLs but, rather, are non-canonical SLs.","author":[{"dropping-particle":"","family":"Yoneyama","given":"Koichi","non-dropping-particle":"","parse-names":false,"suffix":""},{"dropping-particle":"","family":"Xie","given":"Xiaonan","non-dropping-particle":"","parse-names":false,"suffix":""},{"dropping-particle":"","family":"Yoneyama","given":"Kaori","non-dropping-particle":"","parse-names":false,"suffix":""},{"dropping-particle":"","family":"Kisugi","given":"Takaya","non-dropping-particle":"","parse-names":false,"suffix":""},{"dropping-particle":"","family":"Nomura","given":"Takahito","non-dropping-particle":"","parse-names":false,"suffix":""},{"dropping-particle":"","family":"Nakatani","given":"Yoshifumi","non-dropping-particle":"","parse-names":false,"suffix":""},{"dropping-particle":"","family":"Akiyama","given":"Kohki","non-dropping-particle":"","parse-names":false,"suffix":""},{"dropping-particle":"","family":"Mcerlean","given":"Christopher S P","non-dropping-particle":"","parse-names":false,"suffix":""}],"container-title":"Journal of Experimental Botany","id":"ITEM-1","issue":"9","issued":{"date-parts":[["2018"]]},"page":"2231-2239","title":"Which are the major players, canonical or non-canonical strigolactones?","type":"article-journal","volume":"69"},"uris":["http://www.mendeley.com/documents/?uuid=ac8d04da-660c-3ef2-b4fe-bd00d46dd4be"]},{"id":"ITEM-2","itemData":{"DOI":"10.1111/nph.16135","ISSN":"0028-646X","author":[{"dropping-particle":"","family":"Machin","given":"Darren C.","non-dropping-particle":"","parse-names":false,"suffix":""},{"dropping-particle":"","family":"Hamon</w:instrText>
      </w:r>
      <w:r>
        <w:rPr>
          <w:rFonts w:ascii="Cambria Math" w:hAnsi="Cambria Math" w:cs="Cambria Math"/>
          <w:color w:val="000000"/>
          <w:szCs w:val="24"/>
        </w:rPr>
        <w:instrText>‐</w:instrText>
      </w:r>
      <w:r>
        <w:rPr>
          <w:color w:val="000000"/>
          <w:szCs w:val="24"/>
        </w:rPr>
        <w:instrText>Josse","given":"Maxime","non-dropping-particle":"","parse-names":false,"suffix":""},{"dropping-particle":"","family":"Bennett","given":"Tom","non-dropping-particle":"","parse-names":false,"suffix":""}],"container-title":"New Phytologist","id":"ITEM-2","issue":"2","issued":{"date-parts":[["2019","1","17"]]},"page":"621-636","title":"Fellowship of the rings: a saga of strigolactones and other small signals","type":"article-journal","volume":"225"},"uris":["http://www.mendeley.com/documents/?uuid=3503036a-5cde-3273-bae2-6d8a696d9afb"]}],"mendeley":{"formattedCitation":"(Koichi Yoneyama et al., 2018; Machin et al., 2019)","plainTextFormattedCitation":"(Koichi Yoneyama et al., 2018; Machin et al., 2019)","previouslyFormattedCitation":"(Koichi Yoneyama et al., 2018; Machin et al., 2019)"},"properties":{"noteIndex":0},"schema":"https://github.com/citation-style-language/schema/raw/master/csl-citation.json"}</w:instrText>
      </w:r>
      <w:r>
        <w:rPr>
          <w:color w:val="000000"/>
          <w:szCs w:val="24"/>
        </w:rPr>
        <w:fldChar w:fldCharType="separate"/>
      </w:r>
      <w:r w:rsidRPr="00C072CB">
        <w:rPr>
          <w:noProof/>
          <w:color w:val="000000"/>
          <w:szCs w:val="24"/>
        </w:rPr>
        <w:t>(Koichi Yoneyama et al., 2018; Machin et al., 2019)</w:t>
      </w:r>
      <w:r>
        <w:rPr>
          <w:color w:val="000000"/>
          <w:szCs w:val="24"/>
        </w:rPr>
        <w:fldChar w:fldCharType="end"/>
      </w:r>
      <w:r>
        <w:rPr>
          <w:color w:val="000000"/>
          <w:szCs w:val="24"/>
        </w:rPr>
        <w:t xml:space="preserve">. The biosynthesis of SLs is primarily located in the roots and begins with the conversion of </w:t>
      </w:r>
      <w:r w:rsidRPr="00352CF1">
        <w:rPr>
          <w:color w:val="000000"/>
          <w:szCs w:val="24"/>
        </w:rPr>
        <w:t>β-carotene to carlactone</w:t>
      </w:r>
      <w:r>
        <w:rPr>
          <w:color w:val="000000"/>
          <w:szCs w:val="24"/>
        </w:rPr>
        <w:t xml:space="preserve"> (CL) by </w:t>
      </w:r>
      <w:r>
        <w:rPr>
          <w:color w:val="000000"/>
          <w:szCs w:val="24"/>
        </w:rPr>
        <w:lastRenderedPageBreak/>
        <w:t>DWARF27</w:t>
      </w:r>
      <w:r w:rsidRPr="00352CF1">
        <w:rPr>
          <w:color w:val="000000"/>
          <w:szCs w:val="24"/>
        </w:rPr>
        <w:t xml:space="preserve"> (D27) and CAROTENOID CLEAVAGE DIOXYGENASE7/8 </w:t>
      </w:r>
      <w:r>
        <w:rPr>
          <w:color w:val="000000"/>
          <w:szCs w:val="24"/>
        </w:rPr>
        <w:t>(</w:t>
      </w:r>
      <w:r w:rsidRPr="00352CF1">
        <w:rPr>
          <w:color w:val="000000"/>
          <w:szCs w:val="24"/>
        </w:rPr>
        <w:t>CCD7, CCD8)</w:t>
      </w:r>
      <w:r>
        <w:rPr>
          <w:color w:val="000000"/>
          <w:szCs w:val="24"/>
        </w:rPr>
        <w:t xml:space="preserve"> </w:t>
      </w:r>
      <w:r>
        <w:rPr>
          <w:color w:val="000000"/>
          <w:szCs w:val="24"/>
        </w:rPr>
        <w:fldChar w:fldCharType="begin" w:fldLock="1"/>
      </w:r>
      <w:r>
        <w:rPr>
          <w:color w:val="000000"/>
          <w:szCs w:val="24"/>
        </w:rPr>
        <w:instrText>ADDIN CSL_CITATION {"citationItems":[{"id":"ITEM-1","itemData":{"DOI":"10.1126/science.1218094","ISSN":"10959203","abstract":"Strigolactones, phytohormones with diverse signaling activities, have a common structure consisting of two lactones connected by an enol-ether bridge. Strigolactones derive from carotenoids via a pathway involving the carotenoid cleavage dioxygenases 7 and 8 (CCD7 and CCD8) and the iron-binding protein D27. We show that D27 is a β-carotene isomerase that converts all-trans-β-carotene into 9-cis-β-carotene, which is cleaved by CCD7 into a 9-cis - configured aldehyde. CCD8 incorporates three oxygens into 9-cis-β-apo-10′-carotenal and performs molecular rearrangement, linking carotenoids with strigolactones and producing carlactone, a compound with strigolactone-like biological activities. Knowledge of the structure of carlactone will be crucial for understanding the biology of strigolactones and may have applications in combating parasitic weeds.","author":[{"dropping-particle":"","family":"Alder","given":"Adrian","non-dropping-particle":"","parse-names":false,"suffix":""},{"dropping-particle":"","family":"Jamil","given":"Muhammad","non-dropping-particle":"","parse-names":false,"suffix":""},{"dropping-particle":"","family":"Marzorati","given":"Mattia","non-dropping-particle":"","parse-names":false,"suffix":""},{"dropping-particle":"","family":"Bruno","given":"Mark","non-dropping-particle":"","parse-names":false,"suffix":""},{"dropping-particle":"","family":"Vermathen","given":"Martina","non-dropping-particle":"","parse-names":false,"suffix":""},{"dropping-particle":"","family":"Bigler","given":"Peter","non-dropping-particle":"","parse-names":false,"suffix":""},{"dropping-particle":"","family":"Ghisla","given":"Sandro","non-dropping-particle":"","parse-names":false,"suffix":""},{"dropping-particle":"","family":"Bouwmeester","given":"Harro","non-dropping-particle":"","parse-names":false,"suffix":""},{"dropping-particle":"","family":"Beyer","given":"Peter","non-dropping-particle":"","parse-names":false,"suffix":""},{"dropping-particle":"","family":"Al-Babili","given":"Salim","non-dropping-particle":"","parse-names":false,"suffix":""}],"container-title":"Science","id":"ITEM-1","issue":"6074","issued":{"date-parts":[["2012","3","16"]]},"page":"1348-1351","publisher":"American Association for the Advancement of Science","title":"The path from β-carotene to carlactone, a strigolactone-like plant hormone","type":"article-journal","volume":"335"},"uris":["http://www.mendeley.com/documents/?uuid=ccb07ee1-bc17-3b2f-a363-e60b7462fe3e"]}],"mendeley":{"formattedCitation":"(Alder et al., 2012)","plainTextFormattedCitation":"(Alder et al., 2012)","previouslyFormattedCitation":"(Alder et al., 2012)"},"properties":{"noteIndex":0},"schema":"https://github.com/citation-style-language/schema/raw/master/csl-citation.json"}</w:instrText>
      </w:r>
      <w:r>
        <w:rPr>
          <w:color w:val="000000"/>
          <w:szCs w:val="24"/>
        </w:rPr>
        <w:fldChar w:fldCharType="separate"/>
      </w:r>
      <w:r w:rsidRPr="00A87581">
        <w:rPr>
          <w:noProof/>
          <w:color w:val="000000"/>
          <w:szCs w:val="24"/>
        </w:rPr>
        <w:t>(Alder et al., 2012)</w:t>
      </w:r>
      <w:r>
        <w:rPr>
          <w:color w:val="000000"/>
          <w:szCs w:val="24"/>
        </w:rPr>
        <w:fldChar w:fldCharType="end"/>
      </w:r>
      <w:r>
        <w:rPr>
          <w:color w:val="000000"/>
          <w:szCs w:val="24"/>
        </w:rPr>
        <w:t>. Carlactone (CL) is then converted to carlactonic acid (CLA) by MAX1 homologs (</w:t>
      </w:r>
      <w:r w:rsidRPr="00C26FCF">
        <w:rPr>
          <w:i/>
          <w:iCs/>
          <w:color w:val="000000"/>
          <w:szCs w:val="24"/>
        </w:rPr>
        <w:t>Arabidopsis thaliana</w:t>
      </w:r>
      <w:r>
        <w:rPr>
          <w:color w:val="000000"/>
          <w:szCs w:val="24"/>
        </w:rPr>
        <w:t xml:space="preserve">; CYP711A1 / AtMAX1, </w:t>
      </w:r>
      <w:r>
        <w:rPr>
          <w:i/>
          <w:iCs/>
          <w:color w:val="000000"/>
          <w:szCs w:val="24"/>
        </w:rPr>
        <w:t xml:space="preserve">Pisum sativum; </w:t>
      </w:r>
      <w:r>
        <w:rPr>
          <w:color w:val="000000"/>
          <w:szCs w:val="24"/>
        </w:rPr>
        <w:t xml:space="preserve">CYP711A2 and </w:t>
      </w:r>
      <w:r w:rsidRPr="00757823">
        <w:rPr>
          <w:i/>
          <w:iCs/>
          <w:color w:val="000000"/>
          <w:szCs w:val="24"/>
        </w:rPr>
        <w:t>Oryza sativa</w:t>
      </w:r>
      <w:r>
        <w:rPr>
          <w:i/>
          <w:iCs/>
          <w:color w:val="000000"/>
          <w:szCs w:val="24"/>
        </w:rPr>
        <w:t xml:space="preserve">; </w:t>
      </w:r>
      <w:r>
        <w:rPr>
          <w:color w:val="000000"/>
          <w:szCs w:val="24"/>
        </w:rPr>
        <w:t>CYP711A1/2/3)</w:t>
      </w:r>
      <w:r>
        <w:rPr>
          <w:color w:val="000000"/>
          <w:szCs w:val="24"/>
        </w:rPr>
        <w:fldChar w:fldCharType="begin" w:fldLock="1"/>
      </w:r>
      <w:r w:rsidR="004A5B77">
        <w:rPr>
          <w:color w:val="000000"/>
          <w:szCs w:val="24"/>
        </w:rPr>
        <w:instrText>ADDIN CSL_CITATION {"citationItems":[{"id":"ITEM-1","itemData":{"DOI":"10.1073/pnas.1410801111","ISSN":"10916490","abstract":"Strigolactones (SLs) stimulate seed germination of root parasitic plants and induce hyphal branching of arbuscular mycorrhizal fungi in the rhizosphere. In addition, they have been classified as a new group of plant hormones essential for shoot branching inhibition. It has been demonstrated thus far that SLs are derived from carotenoid via a biosynthetic precursor carlactone (CL), which is produced by sequential reactions of DWARF27 (D27) enzyme and two carotenoid cleavage dioxygenases CCD7 and CCD8. We previously found an extreme accumulation of CL in the more axillary growth1 (max1) mutant of Arabidopsis, which exhibits increased lateral inflorescences due to SL deficiency, indicating that CL is a probable substrate for MAX1 (CYP711A1), a cytochrome P450 monooxygenase. To elucidate the enzymatic function of MAX1 in SL biosynthesis, we incubated CL with a recombinant MAX1 protein expressed in yeast microsomes. MAX1 catalyzed consecutive oxidations at C-19 of CL to convert the C-19 methyl group into carboxylic acid, 9-desmethyl-9-carboxy-CL [designated as carlactonoic acid (CLA)]. We also identified endogenous CLA and its methyl ester [methyl carlactonoate (MeCLA)] in Arabidopsis plants using LC-MS/MS. Although an exogenous application of either CLA or MeCLA suppressed the growth of lateral inflorescences of the max1 mutant, MeCLA, but not CLA, interacted with Arabidopsis thaliana DWARF14 (AtD14) protein, a putative SL receptor, as shown by differential scanning fluorimetry and hydrolysis activity tests. These results indicate that not only known SLs but also MeCLA are biologically active in inhibiting shoot branching in Arabidopsis.","author":[{"dropping-particle":"","family":"Abe","given":"Satoko","non-dropping-particle":"","parse-names":false,"suffix":""},{"dropping-particle":"","family":"Sado","given":"Aika","non-dropping-particle":"","parse-names":false,"suffix":""},{"dropping-particle":"","family":"Tanaka","given":"Kai","non-dropping-particle":"","parse-names":false,"suffix":""},{"dropping-particle":"","family":"Kisugi","given":"Takaya","non-dropping-particle":"","parse-names":false,"suffix":""},{"dropping-particle":"","family":"Asami","given":"Kei","non-dropping-particle":"","parse-names":false,"suffix":""},{"dropping-particle":"","family":"Ota","given":"Saeko","non-dropping-particle":"","parse-names":false,"suffix":""},{"dropping-particle":"","family":"Kim","given":"Hyun","non-dropping-particle":"Il","parse-names":false,"suffix":""},{"dropping-particle":"","family":"Yoneyama","given":"Kaori","non-dropping-particle":"","parse-names":false,"suffix":""},{"dropping-particle":"","family":"Xie","given":"Xiaonan","non-dropping-particle":"","parse-names":false,"suffix":""},{"dropping-particle":"","family":"Ohnishi","given":"Toshiyuki","non-dropping-particle":"","parse-names":false,"suffix":""},{"dropping-particle":"","family":"Seto","given":"Yoshiya","non-dropping-particle":"","parse-names":false,"suffix":""},{"dropping-particle":"","family":"Yamaguchi","given":"Shinjiro","non-dropping-particle":"","parse-names":false,"suffix":""},{"dropping-particle":"","family":"Akiyama","given":"Kohki","non-dropping-particle":"","parse-names":false,"suffix":""},{"dropping-particle":"","family":"Yoneyama","given":"Koichi","non-dropping-particle":"","parse-names":false,"suffix":""},{"dropping-particle":"","family":"Nomura","given":"Takahito","non-dropping-particle":"","parse-names":false,"suffix":""}],"container-title":"Proceedings of the National Academy of Sciences of the United States of America","id":"ITEM-1","issue":"50","issued":{"date-parts":[["2014","12","16"]]},"page":"18084-18089","publisher":"National Academy of Sciences","title":"Carlactone is converted to carlactonoic acid by MAX1 in Arabidopsis and its methyl ester can directly interact with AtD14 in vitro","type":"article-journal","volume":"111"},"uris":["http://www.mendeley.com/documents/?uuid=865d55e8-82c2-3706-be5f-767f6f711720"]},{"id":"ITEM-2","itemData":{"DOI":"10.1038/ncomms4274","ISSN":"2041-1723","abstract":"Cytokinins are a major group of phytohormones regulating plant growth, development and stress responses. However, in contrast to the well-defined polar transport of auxins, the molecular basis of cytokinin transport is poorly understood. Here we show that an ATP-binding cassette transporter in Arabidopsis, AtABCG14, is essential for the acropetal (root to shoot) translocation of the root-synthesized cytokinins. AtABCG14 is expressed primarily in the pericycle and stelar cells of roots. Knocking out AtABCG14 strongly impairs the translocation of trans-zeatin (tZ)-type cytokinins from roots to shoots, thereby affecting the plant's growth and development. AtABCG14 localizes to the plasma membrane of transformed cells. In planta feeding of C(14) or C(13)-labelled tZ suggests that it acts as an efflux pump and its presence in the cells directly correlates with the transport of the fed cytokinin. Therefore, AtABCG14 is a transporter likely involved in the long-distance translocation of cytokinins in planta.","author":[{"dropping-particle":"","family":"Zhang","given":"Kewei","non-dropping-particle":"","parse-names":false,"suffix":""},{"dropping-particle":"","family":"Novak","given":"Ondrej","non-dropping-particle":"","parse-names":false,"suffix":""},{"dropping-particle":"","family":"Wei","given":"Zhaoyang","non-dropping-particle":"","parse-names":false,"suffix":""},{"dropping-particle":"","family":"Gou","given":"Mingyue","non-dropping-particle":"","parse-names":false,"suffix":""},{"dropping-particle":"","family":"Zhang","given":"Xuebin","non-dropping-particle":"","parse-names":false,"suffix":""},{"dropping-particle":"","family":"Yu","given":"Yong","non-dropping-particle":"","parse-names":false,"suffix":""},{"dropping-particle":"","family":"Yang","given":"Huijun","non-dropping-particle":"","parse-names":false,"suffix":""},{"dropping-particle":"","family":"Cai","given":"Yuanheng","non-dropping-particle":"","parse-names":false,"suffix":""},{"dropping-particle":"","family":"Strnad","given":"Miroslav","non-dropping-particle":"","parse-names":false,"suffix":""},{"dropping-particle":"","family":"Liu","given":"Chang-Jun","non-dropping-particle":"","parse-names":false,"suffix":""}],"container-title":"Nature Communications","id":"ITEM-2","issue":"1","issued":{"date-parts":[["2014","2","11"]]},"page":"3274","title":"Arabidopsis ABCG14 protein controls the acropetal translocation of root-synthesized cytokinins","type":"article-journal","volume":"5"},"uris":["http://www.mendeley.com/documents/?uuid=eaa8b473-22f7-3aad-b5b9-82b25eb946e8"]},{"id":"ITEM-3","itemData":{"DOI":"10.1111/nph.15055","ISSN":"0028-646X","abstract":"Strigolactones ( SL s) are a class of plant hormones which regulate shoot branching and function as host recognition signals for symbionts and parasites in the rhizosphere. However, steps in SL biosynthesis after carlactone ( CL ) formation remain elusive. This study elucidated the common and diverse functions of MAX 1 homologs which catalyze CL oxidation. We have reported previously that Arabidopsis MAX 1 converts CL to carlactonoic acid ( CLA ), whereas a rice MAX 1 homolog has been shown to catalyze the conversion of CL to 4</w:instrText>
      </w:r>
      <w:r w:rsidR="004A5B77">
        <w:rPr>
          <w:rFonts w:ascii="Cambria Math" w:hAnsi="Cambria Math" w:cs="Cambria Math"/>
          <w:color w:val="000000"/>
          <w:szCs w:val="24"/>
        </w:rPr>
        <w:instrText>‐</w:instrText>
      </w:r>
      <w:r w:rsidR="004A5B77">
        <w:rPr>
          <w:color w:val="000000"/>
          <w:szCs w:val="24"/>
        </w:rPr>
        <w:instrText>deoxyorobanchol (4 DO ). To determine which reaction is conserved in the plant kingdom, we investigated the enzymatic function of MAX 1 homologs in Arabidopsis , rice, maize, tomato, poplar and Selaginella moellendorffii . The conversion of CL to CLA was found to be a common reaction catalyzed by MAX 1 homologs, and MAX 1s can be classified into three types: A1</w:instrText>
      </w:r>
      <w:r w:rsidR="004A5B77">
        <w:rPr>
          <w:rFonts w:ascii="Cambria Math" w:hAnsi="Cambria Math" w:cs="Cambria Math"/>
          <w:color w:val="000000"/>
          <w:szCs w:val="24"/>
        </w:rPr>
        <w:instrText>‐</w:instrText>
      </w:r>
      <w:r w:rsidR="004A5B77">
        <w:rPr>
          <w:color w:val="000000"/>
          <w:szCs w:val="24"/>
        </w:rPr>
        <w:instrText>type, converting CL to CLA ; A2</w:instrText>
      </w:r>
      <w:r w:rsidR="004A5B77">
        <w:rPr>
          <w:rFonts w:ascii="Cambria Math" w:hAnsi="Cambria Math" w:cs="Cambria Math"/>
          <w:color w:val="000000"/>
          <w:szCs w:val="24"/>
        </w:rPr>
        <w:instrText>‐</w:instrText>
      </w:r>
      <w:r w:rsidR="004A5B77">
        <w:rPr>
          <w:color w:val="000000"/>
          <w:szCs w:val="24"/>
        </w:rPr>
        <w:instrText>type, converting CL to 4 DO via CLA ; and A3</w:instrText>
      </w:r>
      <w:r w:rsidR="004A5B77">
        <w:rPr>
          <w:rFonts w:ascii="Cambria Math" w:hAnsi="Cambria Math" w:cs="Cambria Math"/>
          <w:color w:val="000000"/>
          <w:szCs w:val="24"/>
        </w:rPr>
        <w:instrText>‐</w:instrText>
      </w:r>
      <w:r w:rsidR="004A5B77">
        <w:rPr>
          <w:color w:val="000000"/>
          <w:szCs w:val="24"/>
        </w:rPr>
        <w:instrText>type, converting CL to CLA and 4 DO to orobanchol. CLA was detected in root exudates from poplar and Selaginella , but not ubiquitously in other plants examined in this study, suggesting its role as a species</w:instrText>
      </w:r>
      <w:r w:rsidR="004A5B77">
        <w:rPr>
          <w:rFonts w:ascii="Cambria Math" w:hAnsi="Cambria Math" w:cs="Cambria Math"/>
          <w:color w:val="000000"/>
          <w:szCs w:val="24"/>
        </w:rPr>
        <w:instrText>‐</w:instrText>
      </w:r>
      <w:r w:rsidR="004A5B77">
        <w:rPr>
          <w:color w:val="000000"/>
          <w:szCs w:val="24"/>
        </w:rPr>
        <w:instrText>specific signal in the rhizosphere. This study provides new insights into the roles of MAX 1 in endogenous and rhizosphere signaling.","author":[{"dropping-particle":"","family":"Yoneyama","given":"Kaori","non-dropping-particle":"","parse-names":false,"suffix":""},{"dropping-particle":"","family":"Mori","given":"Narumi","non-dropping-particle":"","parse-names":false,"suffix":""},{"dropping-particle":"","family":"Sato","given":"Tomoyasu","non-dropping-particle":"","parse-names":false,"suffix":""},{"dropping-particle":"","family":"Yoda","given":"Akiyoshi","non-dropping-particle":"","parse-names":false,"suffix":""},{"dropping-particle":"","family":"Xie","given":"Xiaonan","non-dropping-particle":"","parse-names":false,"suffix":""},{"dropping-particle":"","family":"Okamoto","given":"Masanori","non-dropping-particle":"","parse-names":false,"suffix":""},{"dropping-particle":"","family":"Iwanaga","given":"Masashi","non-dropping-particle":"","parse-names":false,"suffix":""},{"dropping-particle":"","family":"Ohnishi","given":"Toshiyuki","non-dropping-particle":"","parse-names":false,"suffix":""},{"dropping-particle":"","family":"Nishiwaki","given":"Hisashi","non-dropping-particle":"","parse-names":false,"suffix":""},{"dropping-particle":"","family":"Asami","given":"Tadao","non-dropping-particle":"","parse-names":false,"suffix":""},{"dropping-particle":"","family":"Yokota","given":"Takao","non-dropping-particle":"","parse-names":false,"suffix":""},{"dropping-particle":"","family":"Akiyama","given":"Kohki","non-dropping-particle":"","parse-names":false,"suffix":""},{"dropping-particle":"","family":"Yoneyama","given":"Koichi","non-dropping-particle":"","parse-names":false,"suffix":""},{"dropping-particle":"","family":"Nomura","given":"Takahito","non-dropping-particle":"","parse-names":false,"suffix":""}],"container-title":"New Phytologist","id":"ITEM-3","issue":"4","issued":{"date-parts":[["2018","6","26"]]},"page":"1522-1533","title":"Conversion of carlactone to carlactonoic acid is a conserved function of MAX1 homologs in strigolactone biosynthesis","type":"article-journal","volume":"218"},"uris":["http://www.mendeley.com/documents/?uuid=0c432ba7-1934-4267-aa96-0f2691aa1ce2"]},{"id":"ITEM-4","itemData":{"DOI":"10.1016/j.cub.2022.06.063","ISSN":"18790445","PMID":"35839764","abstract":"There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Biology","id":"ITEM-4","issue":"16","issued":{"date-parts":[["2022"]]},"page":"3593-3600.e3","publisher":"The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pea","type":"article-journal","volume":"32"},"uris":["http://www.mendeley.com/documents/?uuid=7883806e-2a76-4f53-bb1a-22950167e6e2"]}],"mendeley":{"formattedCitation":"(K. Zhang et al., 2014; Abe et al., 2014; Kaori Yoneyama et al., 2018; Wheeldon et al., 2022)","plainTextFormattedCitation":"(K. Zhang et al., 2014; Abe et al., 2014; Kaori Yoneyama et al., 2018; Wheeldon et al., 2022)","previouslyFormattedCitation":"(K. Zhang et al., 2014; Abe et al., 2014; Kaori Yoneyama et al., 2018; Wheeldon et al., 2022)"},"properties":{"noteIndex":0},"schema":"https://github.com/citation-style-language/schema/raw/master/csl-citation.json"}</w:instrText>
      </w:r>
      <w:r>
        <w:rPr>
          <w:color w:val="000000"/>
          <w:szCs w:val="24"/>
        </w:rPr>
        <w:fldChar w:fldCharType="separate"/>
      </w:r>
      <w:r w:rsidRPr="00380601">
        <w:rPr>
          <w:noProof/>
          <w:color w:val="000000"/>
          <w:szCs w:val="24"/>
        </w:rPr>
        <w:t>(K. Zhang et al., 2014; Abe et al., 2014; Kaori Yoneyama et al., 2018; Wheeldon et al., 2022)</w:t>
      </w:r>
      <w:r>
        <w:rPr>
          <w:color w:val="000000"/>
          <w:szCs w:val="24"/>
        </w:rPr>
        <w:fldChar w:fldCharType="end"/>
      </w:r>
      <w:r>
        <w:rPr>
          <w:color w:val="000000"/>
          <w:szCs w:val="24"/>
        </w:rPr>
        <w:t xml:space="preserve"> (Fig. 1.1). The subsequent structures vary between species and can be segregated into canonical and non-canonical strigolactones (Fig. 1.1). The steps subsequent to CL and CLA have evolved repeatedly</w:t>
      </w:r>
      <w:r w:rsidR="00CC44BA">
        <w:rPr>
          <w:color w:val="000000"/>
          <w:szCs w:val="24"/>
        </w:rPr>
        <w:t>,</w:t>
      </w:r>
      <w:r>
        <w:rPr>
          <w:color w:val="000000"/>
          <w:szCs w:val="24"/>
        </w:rPr>
        <w:t xml:space="preserve"> and has </w:t>
      </w:r>
      <w:r w:rsidR="00CC44BA">
        <w:rPr>
          <w:color w:val="000000"/>
          <w:szCs w:val="24"/>
        </w:rPr>
        <w:t>led</w:t>
      </w:r>
      <w:r>
        <w:rPr>
          <w:color w:val="000000"/>
          <w:szCs w:val="24"/>
        </w:rPr>
        <w:t xml:space="preserve"> </w:t>
      </w:r>
      <w:r w:rsidR="00132012">
        <w:rPr>
          <w:b/>
          <w:bCs/>
          <w:noProof/>
          <w:color w:val="000000"/>
        </w:rPr>
        <w:drawing>
          <wp:anchor distT="0" distB="0" distL="114300" distR="114300" simplePos="0" relativeHeight="251467264" behindDoc="0" locked="0" layoutInCell="1" allowOverlap="1" wp14:anchorId="5E7B55CD" wp14:editId="7A9A92A9">
            <wp:simplePos x="0" y="0"/>
            <wp:positionH relativeFrom="margin">
              <wp:align>left</wp:align>
            </wp:positionH>
            <wp:positionV relativeFrom="paragraph">
              <wp:posOffset>3204161</wp:posOffset>
            </wp:positionV>
            <wp:extent cx="5153891" cy="4181302"/>
            <wp:effectExtent l="0" t="0" r="8890" b="0"/>
            <wp:wrapSquare wrapText="bothSides"/>
            <wp:docPr id="1897365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65271" name="Picture 189736527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53891" cy="4181302"/>
                    </a:xfrm>
                    <a:prstGeom prst="rect">
                      <a:avLst/>
                    </a:prstGeom>
                  </pic:spPr>
                </pic:pic>
              </a:graphicData>
            </a:graphic>
          </wp:anchor>
        </w:drawing>
      </w:r>
      <w:r>
        <w:rPr>
          <w:color w:val="000000"/>
          <w:szCs w:val="24"/>
        </w:rPr>
        <w:t xml:space="preserve">to a diverse mix of SLs produced in many species </w:t>
      </w:r>
      <w:r>
        <w:rPr>
          <w:color w:val="000000"/>
          <w:szCs w:val="24"/>
        </w:rPr>
        <w:fldChar w:fldCharType="begin" w:fldLock="1"/>
      </w:r>
      <w:r>
        <w:rPr>
          <w:color w:val="000000"/>
          <w:szCs w:val="24"/>
        </w:rPr>
        <w:instrText>ADDIN CSL_CITATION {"citationItems":[{"id":"ITEM-1","itemData":{"DOI":"10.1093/jxb/erad335","ISSN":"0022-0957","abstract":"The rhizosphere is a complex physical and chemical interface between plants and their underground environment, both biotic and abiotic. Plants exude large number of chemicals into the rhizosphere in order to manipulate these biotic and abiotic components. Among such chemicals are strigolactones, ancient signalling molecules that in flowering plants act as both internal hormones and external rhizosphere signals. Plants exude strigolactones to communicate with their preferred symbiotic partners and neighbouring plants, but at least some classes of parasitic organisms are able to ‘crack’ these private messages and eavesdrop on the signals. In this review, we examine the intentional consequences of strigolactone exudation, and also the unintentional consequences caused by eavesdroppers. We examine the molecular mechanisms by which strigolactones act within the rhizosphere, and attempt to understand the enigma of the strigolactone molecular diversity synthesised and exude into the rhizosphere by plants. We conclude by looking at the prospects of using improved understanding of strigolactones in agricultural contexts.","author":[{"dropping-particle":"","family":"Clark","given":"Jed","non-dropping-particle":"","parse-names":false,"suffix":""},{"dropping-particle":"","family":"Bennett","given":"Tom","non-dropping-particle":"","parse-names":false,"suffix":""}],"container-title":"Journal of Experimental Botany","id":"ITEM-1","issued":{"date-parts":[["2023","8","25"]]},"title":"Cracking the enigma: understanding strigolactone signalling in the rhizosphere","type":"article-journal"},"uris":["http://www.mendeley.com/documents/?uuid=223d5d7f-913a-477a-9b37-5f64d6024807"]}],"mendeley":{"formattedCitation":"(Clark and Bennett, 2023)","plainTextFormattedCitation":"(Clark and Bennett, 2023)","previouslyFormattedCitation":"(Clark and Bennett, 2023)"},"properties":{"noteIndex":0},"schema":"https://github.com/citation-style-language/schema/raw/master/csl-citation.json"}</w:instrText>
      </w:r>
      <w:r>
        <w:rPr>
          <w:color w:val="000000"/>
          <w:szCs w:val="24"/>
        </w:rPr>
        <w:fldChar w:fldCharType="separate"/>
      </w:r>
      <w:r w:rsidRPr="001906DB">
        <w:rPr>
          <w:noProof/>
          <w:color w:val="000000"/>
          <w:szCs w:val="24"/>
        </w:rPr>
        <w:t>(Clark and Bennett, 2023)</w:t>
      </w:r>
      <w:r>
        <w:rPr>
          <w:color w:val="000000"/>
          <w:szCs w:val="24"/>
        </w:rPr>
        <w:fldChar w:fldCharType="end"/>
      </w:r>
      <w:r>
        <w:rPr>
          <w:color w:val="000000"/>
          <w:szCs w:val="24"/>
        </w:rPr>
        <w:t>.</w:t>
      </w:r>
    </w:p>
    <w:p w14:paraId="2FA1F8AC" w14:textId="03C8D7B1" w:rsidR="000749E5" w:rsidRDefault="000749E5" w:rsidP="00EC23E7">
      <w:pPr>
        <w:spacing w:line="240" w:lineRule="auto"/>
        <w:rPr>
          <w:b/>
          <w:bCs/>
          <w:color w:val="000000"/>
        </w:rPr>
      </w:pPr>
    </w:p>
    <w:p w14:paraId="6513666E" w14:textId="70E3DFB8" w:rsidR="0004291F" w:rsidRDefault="0004291F" w:rsidP="005C2AEA">
      <w:pPr>
        <w:pStyle w:val="Caption"/>
      </w:pPr>
      <w:bookmarkStart w:id="18" w:name="_Toc146657524"/>
      <w:bookmarkStart w:id="19" w:name="_Toc154331525"/>
      <w:r>
        <w:t xml:space="preserve">Figure </w:t>
      </w:r>
      <w:r w:rsidR="00D82C7E">
        <w:t>1</w:t>
      </w:r>
      <w:r>
        <w:t>.</w:t>
      </w:r>
      <w:r>
        <w:fldChar w:fldCharType="begin"/>
      </w:r>
      <w:r>
        <w:rPr>
          <w:b w:val="0"/>
          <w:bCs w:val="0"/>
        </w:rPr>
        <w:instrText xml:space="preserve"> SEQ Figure \* ARABIC \s 1 </w:instrText>
      </w:r>
      <w:r>
        <w:fldChar w:fldCharType="separate"/>
      </w:r>
      <w:r w:rsidR="004B7F70">
        <w:rPr>
          <w:b w:val="0"/>
          <w:bCs w:val="0"/>
          <w:noProof/>
        </w:rPr>
        <w:t>1</w:t>
      </w:r>
      <w:r>
        <w:rPr>
          <w:noProof/>
        </w:rPr>
        <w:fldChar w:fldCharType="end"/>
      </w:r>
      <w:r>
        <w:t xml:space="preserve"> Strigolactone biosynthesis pathway</w:t>
      </w:r>
      <w:bookmarkEnd w:id="18"/>
      <w:bookmarkEnd w:id="19"/>
    </w:p>
    <w:p w14:paraId="3970C533" w14:textId="5AB2E207" w:rsidR="00EC23E7" w:rsidRPr="003E4337" w:rsidRDefault="00EC23E7" w:rsidP="000749E5">
      <w:pPr>
        <w:pStyle w:val="Description"/>
      </w:pPr>
      <w:r w:rsidRPr="003E4337">
        <w:t xml:space="preserve">Figure showing the biosynthesis pathway of strigolactones in </w:t>
      </w:r>
      <w:r w:rsidRPr="003E4337">
        <w:rPr>
          <w:i/>
          <w:iCs/>
        </w:rPr>
        <w:t>Pisum sativum</w:t>
      </w:r>
      <w:r w:rsidRPr="003E4337">
        <w:t xml:space="preserve"> (pea), </w:t>
      </w:r>
      <w:r w:rsidRPr="003E4337">
        <w:rPr>
          <w:i/>
          <w:iCs/>
        </w:rPr>
        <w:t>Oryza sativa</w:t>
      </w:r>
      <w:r w:rsidRPr="003E4337">
        <w:t xml:space="preserve"> </w:t>
      </w:r>
      <w:r w:rsidR="00C42DCD">
        <w:t xml:space="preserve">(rice) </w:t>
      </w:r>
      <w:r w:rsidRPr="003E4337">
        <w:t xml:space="preserve">and </w:t>
      </w:r>
      <w:r w:rsidRPr="003E4337">
        <w:rPr>
          <w:i/>
          <w:iCs/>
        </w:rPr>
        <w:t>Arabidopsis thaliana</w:t>
      </w:r>
      <w:r w:rsidRPr="003E4337">
        <w:t xml:space="preserve"> (Arabidopsis). Pea genes are shown in green, rice in red and Arabidopsis in purple. * indicates SLs which have been found to be exuded. </w:t>
      </w:r>
      <w:r w:rsidR="00132012">
        <w:t>(Additional information on</w:t>
      </w:r>
      <w:r w:rsidR="00D023C5">
        <w:t xml:space="preserve"> the</w:t>
      </w:r>
      <w:r w:rsidR="00132012">
        <w:t xml:space="preserve"> following page)</w:t>
      </w:r>
    </w:p>
    <w:p w14:paraId="4BA4C766" w14:textId="6E97A98F" w:rsidR="00EC23E7" w:rsidRDefault="00EC23E7" w:rsidP="00121BC7">
      <w:pPr>
        <w:pStyle w:val="Description"/>
        <w:keepLines w:val="0"/>
      </w:pPr>
      <w:r w:rsidRPr="003E4337">
        <w:lastRenderedPageBreak/>
        <w:t xml:space="preserve">Figure modified from Wheeldon et al, 2022 and </w:t>
      </w:r>
      <w:r w:rsidR="007A76D8">
        <w:t>supplemented with further detail from the co</w:t>
      </w:r>
      <w:r w:rsidRPr="003E4337">
        <w:t xml:space="preserve">mpanion paper Yoneyama et al 2022, </w:t>
      </w:r>
      <w:r w:rsidR="007A76D8">
        <w:t>and</w:t>
      </w:r>
      <w:r w:rsidRPr="003E4337">
        <w:t xml:space="preserve"> further detail from </w:t>
      </w:r>
      <w:r w:rsidRPr="003E4337">
        <w:fldChar w:fldCharType="begin" w:fldLock="1"/>
      </w:r>
      <w:r>
        <w:instrText>ADDIN CSL_CITATION {"citationItems":[{"id":"ITEM-1","itemData":{"DOI":"10.1073/pnas.1410801111","ISSN":"10916490","abstract":"Strigolactones (SLs) stimulate seed germination of root parasitic plants and induce hyphal branching of arbuscular mycorrhizal fungi in the rhizosphere. In addition, they have been classified as a new group of plant hormones essential for shoot branching inhibition. It has been demonstrated thus far that SLs are derived from carotenoid via a biosynthetic precursor carlactone (CL), which is produced by sequential reactions of DWARF27 (D27) enzyme and two carotenoid cleavage dioxygenases CCD7 and CCD8. We previously found an extreme accumulation of CL in the more axillary growth1 (max1) mutant of Arabidopsis, which exhibits increased lateral inflorescences due to SL deficiency, indicating that CL is a probable substrate for MAX1 (CYP711A1), a cytochrome P450 monooxygenase. To elucidate the enzymatic function of MAX1 in SL biosynthesis, we incubated CL with a recombinant MAX1 protein expressed in yeast microsomes. MAX1 catalyzed consecutive oxidations at C-19 of CL to convert the C-19 methyl group into carboxylic acid, 9-desmethyl-9-carboxy-CL [designated as carlactonoic acid (CLA)]. We also identified endogenous CLA and its methyl ester [methyl carlactonoate (MeCLA)] in Arabidopsis plants using LC-MS/MS. Although an exogenous application of either CLA or MeCLA suppressed the growth of lateral inflorescences of the max1 mutant, MeCLA, but not CLA, interacted with Arabidopsis thaliana DWARF14 (AtD14) protein, a putative SL receptor, as shown by differential scanning fluorimetry and hydrolysis activity tests. These results indicate that not only known SLs but also MeCLA are biologically active in inhibiting shoot branching in Arabidopsis.","author":[{"dropping-particle":"","family":"Abe","given":"Satoko","non-dropping-particle":"","parse-names":false,"suffix":""},{"dropping-particle":"","family":"Sado","given":"Aika","non-dropping-particle":"","parse-names":false,"suffix":""},{"dropping-particle":"","family":"Tanaka","given":"Kai","non-dropping-particle":"","parse-names":false,"suffix":""},{"dropping-particle":"","family":"Kisugi","given":"Takaya","non-dropping-particle":"","parse-names":false,"suffix":""},{"dropping-particle":"","family":"Asami","given":"Kei","non-dropping-particle":"","parse-names":false,"suffix":""},{"dropping-particle":"","family":"Ota","given":"Saeko","non-dropping-particle":"","parse-names":false,"suffix":""},{"dropping-particle":"","family":"Kim","given":"Hyun","non-dropping-particle":"Il","parse-names":false,"suffix":""},{"dropping-particle":"","family":"Yoneyama","given":"Kaori","non-dropping-particle":"","parse-names":false,"suffix":""},{"dropping-particle":"","family":"Xie","given":"Xiaonan","non-dropping-particle":"","parse-names":false,"suffix":""},{"dropping-particle":"","family":"Ohnishi","given":"Toshiyuki","non-dropping-particle":"","parse-names":false,"suffix":""},{"dropping-particle":"","family":"Seto","given":"Yoshiya","non-dropping-particle":"","parse-names":false,"suffix":""},{"dropping-particle":"","family":"Yamaguchi","given":"Shinjiro","non-dropping-particle":"","parse-names":false,"suffix":""},{"dropping-particle":"","family":"Akiyama","given":"Kohki","non-dropping-particle":"","parse-names":false,"suffix":""},{"dropping-particle":"","family":"Yoneyama","given":"Koichi","non-dropping-particle":"","parse-names":false,"suffix":""},{"dropping-particle":"","family":"Nomura","given":"Takahito","non-dropping-particle":"","parse-names":false,"suffix":""}],"container-title":"Proceedings of the National Academy of Sciences of the United States of America","id":"ITEM-1","issue":"50","issued":{"date-parts":[["2014","12","16"]]},"page":"18084-18089","publisher":"National Academy of Sciences","title":"Carlactone is converted to carlactonoic acid by MAX1 in Arabidopsis and its methyl ester can directly interact with AtD14 in vitro","type":"article-journal","volume":"111"},"uris":["http://www.mendeley.com/documents/?uuid=865d55e8-82c2-3706-be5f-767f6f711720"]},{"id":"ITEM-2","itemData":{"DOI":"10.1038/nchembio.1660","ISSN":"1552-4450","author":[{"dropping-particle":"","family":"Zhang","given":"Yanxia","non-dropping-particle":"","parse-names":false,"suffix":""},{"dropping-particle":"","family":"Dijk","given":"Aalt D J","non-dropping-particle":"van","parse-names":false,"suffix":""},{"dropping-particle":"","family":"Scaffidi","given":"Adrian","non-dropping-particle":"","parse-names":false,"suffix":""},{"dropping-particle":"","family":"Flematti","given":"Gavin R","non-dropping-particle":"","parse-names":false,"suffix":""},{"dropping-particle":"","family":"Hofmann","given":"Manuel","non-dropping-particle":"","parse-names":false,"suffix":""},{"dropping-particle":"","family":"Charnikhova","given":"Tatsiana","non-dropping-particle":"","parse-names":false,"suffix":""},{"dropping-particle":"","family":"Verstappen","given":"Francel","non-dropping-particle":"","parse-names":false,"suffix":""},{"dropping-particle":"","family":"Hepworth","given":"Jo","non-dropping-particle":"","parse-names":false,"suffix":""},{"dropping-particle":"","family":"Krol","given":"Sander","non-dropping-particle":"van der","parse-names":false,"suffix":""},{"dropping-particle":"","family":"Leyser","given":"Ottoline","non-dropping-particle":"","parse-names":false,"suffix":""},{"dropping-particle":"","family":"Smith","given":"Steven M","non-dropping-particle":"","parse-names":false,"suffix":""},{"dropping-particle":"","family":"Zwanenburg","given":"Binne","non-dropping-particle":"","parse-names":false,"suffix":""},{"dropping-particle":"","family":"Al-Babili","given":"Salim","non-dropping-particle":"","parse-names":false,"suffix":""},{"dropping-particle":"","family":"Ruyter-Spira","given":"Carolien","non-dropping-particle":"","parse-names":false,"suffix":""},{"dropping-particle":"","family":"Bouwmeester","given":"Harro J","non-dropping-particle":"","parse-names":false,"suffix":""}],"container-title":"Nature Chemical Biology","id":"ITEM-2","issue":"12","issued":{"date-parts":[["2014","12","26"]]},"page":"1028-1033","title":"Rice cytochrome P450 MAX1 homologs catalyze distinct steps in strigolactone biosynthesis","type":"article-journal","volume":"10"},"uris":["http://www.mendeley.com/documents/?uuid=6690763a-0683-4e93-bd27-d8b648380a65"]},{"id":"ITEM-3","itemData":{"DOI":"10.1111/nph.15055","ISSN":"0028-646X","abstract":"Strigolactones ( SL s) are a class of plant hormones which regulate shoot branching and function as host recognition signals for symbionts and parasites in the rhizosphere. However, steps in SL biosynthesis after carlactone ( CL ) formation remain elusive. This study elucidated the common and diverse functions of MAX 1 homologs which catalyze CL oxidation. We have reported previously that Arabidopsis MAX 1 converts CL to carlactonoic acid ( CLA ), whereas a rice MAX 1 homolog has been shown to catalyze the conversion of CL to 4</w:instrText>
      </w:r>
      <w:r>
        <w:rPr>
          <w:rFonts w:ascii="Cambria Math" w:hAnsi="Cambria Math" w:cs="Cambria Math"/>
        </w:rPr>
        <w:instrText>‐</w:instrText>
      </w:r>
      <w:r>
        <w:instrText>deoxyorobanchol (4 DO ). To determine which reaction is conserved in the plant kingdom, we investigated the enzymatic function of MAX 1 homologs in Arabidopsis , rice, maize, tomato, poplar and Selaginella moellendorffii . The conversion of CL to CLA was found to be a common reaction catalyzed by MAX 1 homologs, and MAX 1s can be classified into three types: A1</w:instrText>
      </w:r>
      <w:r>
        <w:rPr>
          <w:rFonts w:ascii="Cambria Math" w:hAnsi="Cambria Math" w:cs="Cambria Math"/>
        </w:rPr>
        <w:instrText>‐</w:instrText>
      </w:r>
      <w:r>
        <w:instrText>type, converting CL to CLA ; A2</w:instrText>
      </w:r>
      <w:r>
        <w:rPr>
          <w:rFonts w:ascii="Cambria Math" w:hAnsi="Cambria Math" w:cs="Cambria Math"/>
        </w:rPr>
        <w:instrText>‐</w:instrText>
      </w:r>
      <w:r>
        <w:instrText>type, converting CL to 4 DO via CLA ; and A3</w:instrText>
      </w:r>
      <w:r>
        <w:rPr>
          <w:rFonts w:ascii="Cambria Math" w:hAnsi="Cambria Math" w:cs="Cambria Math"/>
        </w:rPr>
        <w:instrText>‐</w:instrText>
      </w:r>
      <w:r>
        <w:instrText>type, converting CL to CLA and 4 DO to orobanchol. CLA was detected in root exudates from poplar and Selaginella , but not ubiquitously in other plants examined in this study, suggesting its role as a species</w:instrText>
      </w:r>
      <w:r>
        <w:rPr>
          <w:rFonts w:ascii="Cambria Math" w:hAnsi="Cambria Math" w:cs="Cambria Math"/>
        </w:rPr>
        <w:instrText>‐</w:instrText>
      </w:r>
      <w:r>
        <w:instrText>specific signal in the rhizosphere. This study provides new insights into the roles of MAX 1 in endogenous and rhizosphere signaling.","author":[{"dropping-particle":"","family":"Yoneyama","given":"Kaori","non-dropping-particle":"","parse-names":false,"suffix":""},{"dropping-particle":"","family":"Mori","given":"Narumi","non-dropping-particle":"","parse-names":false,"suffix":""},{"dropping-particle":"","family":"Sato","given":"Tomoyasu","non-dropping-particle":"","parse-names":false,"suffix":""},{"dropping-particle":"","family":"Yoda","given":"Akiyoshi","non-dropping-particle":"","parse-names":false,"suffix":""},{"dropping-particle":"","family":"Xie","given":"Xiaonan","non-dropping-particle":"","parse-names":false,"suffix":""},{"dropping-particle":"","family":"Okamoto","given":"Masanori","non-dropping-particle":"","parse-names":false,"suffix":""},{"dropping-particle":"","family":"Iwanaga","given":"Masashi","non-dropping-particle":"","parse-names":false,"suffix":""},{"dropping-particle":"","family":"Ohnishi","given":"Toshiyuki","non-dropping-particle":"","parse-names":false,"suffix":""},{"dropping-particle":"","family":"Nishiwaki","given":"Hisashi","non-dropping-particle":"","parse-names":false,"suffix":""},{"dropping-particle":"","family":"Asami","given":"Tadao","non-dropping-particle":"","parse-names":false,"suffix":""},{"dropping-particle":"","family":"Yokota","given":"Takao","non-dropping-particle":"","parse-names":false,"suffix":""},{"dropping-particle":"","family":"Akiyama","given":"Kohki","non-dropping-particle":"","parse-names":false,"suffix":""},{"dropping-particle":"","family":"Yoneyama","given":"Koichi","non-dropping-particle":"","parse-names":false,"suffix":""},{"dropping-particle":"","family":"Nomura","given":"Takahito","non-dropping-particle":"","parse-names":false,"suffix":""}],"container-title":"New Phytologist","id":"ITEM-3","issue":"4","issued":{"date-parts":[["2018","6","26"]]},"page":"1522-1533","title":"Conversion of carlactone to carlactonoic acid is a conserved function of MAX1 homologs in strigolactone biosynthesis","type":"article-journal","volume":"218"},"uris":["http://www.mendeley.com/documents/?uuid=0c432ba7-1934-4267-aa96-0f2691aa1ce2"]}],"mendeley":{"formattedCitation":"(Abe et al., 2014; Y. Zhang et al., 2014; Kaori Yoneyama et al., 2018)","plainTextFormattedCitation":"(Abe et al., 2014; Y. Zhang et al., 2014; Kaori Yoneyama et al., 2018)","previouslyFormattedCitation":"(Abe et al., 2014; Y. Zhang et al., 2014; Kaori Yoneyama et al., 2018)"},"properties":{"noteIndex":0},"schema":"https://github.com/citation-style-language/schema/raw/master/csl-citation.json"}</w:instrText>
      </w:r>
      <w:r w:rsidRPr="003E4337">
        <w:fldChar w:fldCharType="separate"/>
      </w:r>
      <w:r w:rsidRPr="00380601">
        <w:rPr>
          <w:noProof/>
        </w:rPr>
        <w:t>(Abe et al., 2014; Y. Zhang et al., 2014; Kaori Yoneyama et al., 2018)</w:t>
      </w:r>
      <w:r w:rsidRPr="003E4337">
        <w:fldChar w:fldCharType="end"/>
      </w:r>
    </w:p>
    <w:p w14:paraId="5EE529AD" w14:textId="77777777" w:rsidR="009C0CC2" w:rsidRDefault="009C0CC2" w:rsidP="009C0CC2"/>
    <w:p w14:paraId="041DB63B" w14:textId="1C31A52F" w:rsidR="009C0CC2" w:rsidRDefault="009C0CC2" w:rsidP="00743E4C">
      <w:pPr>
        <w:pStyle w:val="Heading3"/>
      </w:pPr>
      <w:bookmarkStart w:id="20" w:name="_Toc154331431"/>
      <w:r w:rsidRPr="009C0CC2">
        <w:t>Canonical and non-canonical strigolactones</w:t>
      </w:r>
      <w:bookmarkEnd w:id="20"/>
    </w:p>
    <w:p w14:paraId="48557777" w14:textId="77777777" w:rsidR="009C0CC2" w:rsidRDefault="009C0CC2" w:rsidP="009C0CC2"/>
    <w:p w14:paraId="1E03CF6A" w14:textId="1A06A42E" w:rsidR="009C0CC2" w:rsidRDefault="009C0CC2" w:rsidP="009C0CC2">
      <w:pPr>
        <w:spacing w:line="480" w:lineRule="auto"/>
        <w:rPr>
          <w:color w:val="000000"/>
          <w:szCs w:val="24"/>
        </w:rPr>
      </w:pPr>
      <w:r>
        <w:rPr>
          <w:color w:val="000000"/>
          <w:szCs w:val="24"/>
        </w:rPr>
        <w:t xml:space="preserve">In pea, the production of canonical strigolactones is the result of CYP711A2 and CYP711A3 genes which lead to the synthesis of orobanchol (OB), </w:t>
      </w:r>
      <w:r w:rsidR="00EE5CBA" w:rsidRPr="00D158B7">
        <w:rPr>
          <w:color w:val="000000"/>
          <w:szCs w:val="24"/>
        </w:rPr>
        <w:t>or</w:t>
      </w:r>
      <w:r w:rsidRPr="00D158B7">
        <w:rPr>
          <w:color w:val="000000"/>
          <w:szCs w:val="24"/>
        </w:rPr>
        <w:t>obanchyl acetate</w:t>
      </w:r>
      <w:r>
        <w:rPr>
          <w:color w:val="000000"/>
          <w:szCs w:val="24"/>
        </w:rPr>
        <w:t xml:space="preserve"> (OA) and </w:t>
      </w:r>
      <w:r w:rsidR="00EE5CBA" w:rsidRPr="00D158B7">
        <w:rPr>
          <w:color w:val="000000"/>
          <w:szCs w:val="24"/>
        </w:rPr>
        <w:t>f</w:t>
      </w:r>
      <w:r w:rsidRPr="00D158B7">
        <w:rPr>
          <w:color w:val="000000"/>
          <w:szCs w:val="24"/>
        </w:rPr>
        <w:t>abacyl acetate</w:t>
      </w:r>
      <w:r>
        <w:rPr>
          <w:color w:val="000000"/>
          <w:szCs w:val="24"/>
        </w:rPr>
        <w:t xml:space="preserve"> (FA)</w:t>
      </w:r>
      <w:r w:rsidR="00E10428">
        <w:rPr>
          <w:color w:val="000000"/>
          <w:szCs w:val="24"/>
        </w:rPr>
        <w:t xml:space="preserve"> </w:t>
      </w:r>
      <w:r w:rsidR="00E10428">
        <w:rPr>
          <w:color w:val="000000"/>
          <w:szCs w:val="24"/>
        </w:rPr>
        <w:fldChar w:fldCharType="begin" w:fldLock="1"/>
      </w:r>
      <w:r w:rsidR="00E10428">
        <w:rPr>
          <w:color w:val="000000"/>
          <w:szCs w:val="24"/>
        </w:rPr>
        <w:instrText>ADDIN CSL_CITATION {"citationItems":[{"id":"ITEM-1","itemData":{"DOI":"10.1242/dev.120006","ISSN":"1477-9129","abstract":"Strigolactones (SLs), first identified for their role in parasitic and symbiotic interactions in the rhizosphere, constitute the most recently discovered group of plant hormones. They are best known for their role in shoot branching but, more recently, roles for SLs in other aspects of plant development have emerged. In the last five years, insights into the SL biosynthetic pathway have also been revealed and several key components of the SL signaling pathway have been identified. Here, and in the accompanying poster, we summarize our current understanding of the SL pathway and discuss how this pathway regulates plant development.","author":[{"dropping-particle":"","family":"Lopez-Obando","given":"Mauricio","non-dropping-particle":"","parse-names":false,"suffix":""},{"dropping-particle":"","family":"Ligerot","given":"Yasmine","non-dropping-particle":"","parse-names":false,"suffix":""},{"dropping-particle":"","family":"Bonhomme","given":"Sandrine","non-dropping-particle":"","parse-names":false,"suffix":""},{"dropping-particle":"","family":"Boyer","given":"François-Didier Didier","non-dropping-particle":"","parse-names":false,"suffix":""},{"dropping-particle":"","family":"Rameau","given":"Catherine","non-dropping-particle":"","parse-names":false,"suffix":""}],"container-title":"Development","id":"ITEM-1","issue":"21","issued":{"date-parts":[["2015","11","1"]]},"page":"3615-3619","publisher":"Company of Biologists Ltd","title":"Strigolactone biosynthesis and signaling in plant development","type":"article-journal","volume":"142"},"uris":["http://www.mendeley.com/documents/?uuid=42852ce3-4c00-43b1-8100-d158826add70"]},{"id":"ITEM-2","itemData":{"DOI":"10.1584/jpestics.D19-084","ISSN":"1348-589X","author":[{"dropping-particle":"","family":"Yoneyama","given":"Koichi","non-dropping-particle":"","parse-names":false,"suffix":""}],"container-title":"Journal of Pesticide Science","id":"ITEM-2","issue":"2","issued":{"date-parts":[["2020","5","20"]]},"page":"45-53","title":"Recent progress in the chemistry and biochemistry of strigolactones","type":"article-journal","volume":"45"},"uris":["http://www.mendeley.com/documents/?uuid=2e10d73b-ccb1-49a6-b923-21d0ec424f29"]},{"id":"ITEM-3","itemData":{"DOI":"10.1016/j.cub.2022.06.063","ISSN":"18790445","PMID":"35839764","abstract":"There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Biology","id":"ITEM-3","issue":"16","issued":{"date-parts":[["2022"]]},"page":"3593-3600.e3","publisher":"The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pea","type":"article-journal","volume":"32"},"uris":["http://www.mendeley.com/documents/?uuid=7883806e-2a76-4f53-bb1a-22950167e6e2"]}],"mendeley":{"formattedCitation":"(Lopez-Obando et al., 2015; Yoneyama, 2020; Wheeldon et al., 2022)","plainTextFormattedCitation":"(Lopez-Obando et al., 2015; Yoneyama, 2020; Wheeldon et al., 2022)","previouslyFormattedCitation":"(Lopez-Obando et al., 2015; Yoneyama, 2020; Wheeldon et al., 2022)"},"properties":{"noteIndex":0},"schema":"https://github.com/citation-style-language/schema/raw/master/csl-citation.json"}</w:instrText>
      </w:r>
      <w:r w:rsidR="00E10428">
        <w:rPr>
          <w:color w:val="000000"/>
          <w:szCs w:val="24"/>
        </w:rPr>
        <w:fldChar w:fldCharType="separate"/>
      </w:r>
      <w:r w:rsidR="00E10428" w:rsidRPr="00E10428">
        <w:rPr>
          <w:noProof/>
          <w:color w:val="000000"/>
          <w:szCs w:val="24"/>
        </w:rPr>
        <w:t>(Lopez-Obando et al., 2015; Yoneyama, 2020; Wheeldon et al., 2022)</w:t>
      </w:r>
      <w:r w:rsidR="00E10428">
        <w:rPr>
          <w:color w:val="000000"/>
          <w:szCs w:val="24"/>
        </w:rPr>
        <w:fldChar w:fldCharType="end"/>
      </w:r>
      <w:r>
        <w:rPr>
          <w:color w:val="000000"/>
          <w:szCs w:val="24"/>
        </w:rPr>
        <w:t xml:space="preserve">. In rice, the same genes result in the production of and 4-deoxyorobanchol (4DO) and orobanchol (OB) </w:t>
      </w:r>
      <w:r>
        <w:rPr>
          <w:color w:val="000000"/>
          <w:szCs w:val="24"/>
        </w:rPr>
        <w:fldChar w:fldCharType="begin" w:fldLock="1"/>
      </w:r>
      <w:r w:rsidR="00BF00F8">
        <w:rPr>
          <w:color w:val="000000"/>
          <w:szCs w:val="24"/>
        </w:rPr>
        <w:instrText>ADDIN CSL_CITATION {"citationItems":[{"id":"ITEM-1","itemData":{"DOI":"10.1093/jxb/ery090","abstract":"Strigolactones (SLs) can be classified into two structurally distinct groups: canonical and non-canonical SLs. Canonical SLs contain the ABCD ring system, and non-canonical SLs lack the A, B, or C ring but have the enol ether-D ring moiety, which is essential for biological activities. The simplest non-canonical SL is the SL biosynthetic intermediate carlactone. In plants, carlactone and its oxidized metabolites, such as carlactonoic acid and methyl carlactono-ate, are present in root and shoot tissues. In some plant species, including black oat (Avena strigosa), sunflower (Helianthus annuus), and maize (Zea mays), non-canonical SLs in the root exudates are major germination stimulants. Various plant species, such as tomato (Solanum lycopersicum), Arabidopsis, and poplar (Populus spp.), release car-lactonoic acid into the rhizosphere. These observations suggest that both canonical and non-canonical SLs act as host-recognition signals in the rhizosphere. In contrast, the limited distribution of canonical SLs in the plant kingdom, and the structure-specific and stereospecific transportation of canonical SLs from roots to shoots, suggest that plant hormones inhibiting shoot branching are not canonical SLs but, rather, are non-canonical SLs.","author":[{"dropping-particle":"","family":"Yoneyama","given":"Koichi","non-dropping-particle":"","parse-names":false,"suffix":""},{"dropping-particle":"","family":"Xie","given":"Xiaonan","non-dropping-particle":"","parse-names":false,"suffix":""},{"dropping-particle":"","family":"Yoneyama","given":"Kaori","non-dropping-particle":"","parse-names":false,"suffix":""},{"dropping-particle":"","family":"Kisugi","given":"Takaya","non-dropping-particle":"","parse-names":false,"suffix":""},{"dropping-particle":"","family":"Nomura","given":"Takahito","non-dropping-particle":"","parse-names":false,"suffix":""},{"dropping-particle":"","family":"Nakatani","given":"Yoshifumi","non-dropping-particle":"","parse-names":false,"suffix":""},{"dropping-particle":"","family":"Akiyama","given":"Kohki","non-dropping-particle":"","parse-names":false,"suffix":""},{"dropping-particle":"","family":"Mcerlean","given":"Christopher S P","non-dropping-particle":"","parse-names":false,"suffix":""}],"container-title":"Journal of Experimental Botany","id":"ITEM-1","issue":"9","issued":{"date-parts":[["2018"]]},"page":"2231-2239","title":"Which are the major players, canonical or non-canonical strigolactones?","type":"article-journal","volume":"69"},"uris":["http://www.mendeley.com/documents/?uuid=ac8d04da-660c-3ef2-b4fe-bd00d46dd4be"]},{"id":"ITEM-2","itemData":{"DOI":"10.1111/nph.15055","ISSN":"0028-646X","abstract":"Strigolactones ( SL s) are a class of plant hormones which regulate shoot branching and function as host recognition signals for symbionts and parasites in the rhizosphere. However, steps in SL biosynthesis after carlactone ( CL ) formation remain elusive. This study elucidated the common and diverse functions of MAX 1 homologs which catalyze CL oxidation. We have reported previously that Arabidopsis MAX 1 converts CL to carlactonoic acid ( CLA ), whereas a rice MAX 1 homolog has been shown to catalyze the conversion of CL to 4</w:instrText>
      </w:r>
      <w:r w:rsidR="00BF00F8">
        <w:rPr>
          <w:rFonts w:ascii="Cambria Math" w:hAnsi="Cambria Math" w:cs="Cambria Math"/>
          <w:color w:val="000000"/>
          <w:szCs w:val="24"/>
        </w:rPr>
        <w:instrText>‐</w:instrText>
      </w:r>
      <w:r w:rsidR="00BF00F8">
        <w:rPr>
          <w:color w:val="000000"/>
          <w:szCs w:val="24"/>
        </w:rPr>
        <w:instrText>deoxyorobanchol (4 DO ). To determine which reaction is conserved in the plant kingdom, we investigated the enzymatic function of MAX 1 homologs in Arabidopsis , rice, maize, tomato, poplar and Selaginella moellendorffii . The conversion of CL to CLA was found to be a common reaction catalyzed by MAX 1 homologs, and MAX 1s can be classified into three types: A1</w:instrText>
      </w:r>
      <w:r w:rsidR="00BF00F8">
        <w:rPr>
          <w:rFonts w:ascii="Cambria Math" w:hAnsi="Cambria Math" w:cs="Cambria Math"/>
          <w:color w:val="000000"/>
          <w:szCs w:val="24"/>
        </w:rPr>
        <w:instrText>‐</w:instrText>
      </w:r>
      <w:r w:rsidR="00BF00F8">
        <w:rPr>
          <w:color w:val="000000"/>
          <w:szCs w:val="24"/>
        </w:rPr>
        <w:instrText>type, converting CL to CLA ; A2</w:instrText>
      </w:r>
      <w:r w:rsidR="00BF00F8">
        <w:rPr>
          <w:rFonts w:ascii="Cambria Math" w:hAnsi="Cambria Math" w:cs="Cambria Math"/>
          <w:color w:val="000000"/>
          <w:szCs w:val="24"/>
        </w:rPr>
        <w:instrText>‐</w:instrText>
      </w:r>
      <w:r w:rsidR="00BF00F8">
        <w:rPr>
          <w:color w:val="000000"/>
          <w:szCs w:val="24"/>
        </w:rPr>
        <w:instrText>type, converting CL to 4 DO via CLA ; and A3</w:instrText>
      </w:r>
      <w:r w:rsidR="00BF00F8">
        <w:rPr>
          <w:rFonts w:ascii="Cambria Math" w:hAnsi="Cambria Math" w:cs="Cambria Math"/>
          <w:color w:val="000000"/>
          <w:szCs w:val="24"/>
        </w:rPr>
        <w:instrText>‐</w:instrText>
      </w:r>
      <w:r w:rsidR="00BF00F8">
        <w:rPr>
          <w:color w:val="000000"/>
          <w:szCs w:val="24"/>
        </w:rPr>
        <w:instrText>type, converting CL to CLA and 4 DO to orobanchol. CLA was detected in root exudates from poplar and Selaginella , but not ubiquitously in other plants examined in this study, suggesting its role as a species</w:instrText>
      </w:r>
      <w:r w:rsidR="00BF00F8">
        <w:rPr>
          <w:rFonts w:ascii="Cambria Math" w:hAnsi="Cambria Math" w:cs="Cambria Math"/>
          <w:color w:val="000000"/>
          <w:szCs w:val="24"/>
        </w:rPr>
        <w:instrText>‐</w:instrText>
      </w:r>
      <w:r w:rsidR="00BF00F8">
        <w:rPr>
          <w:color w:val="000000"/>
          <w:szCs w:val="24"/>
        </w:rPr>
        <w:instrText>specific signal in the rhizosphere. This study provides new insights into the roles of MAX 1 in endogenous and rhizosphere signaling.","author":[{"dropping-particle":"","family":"Yoneyama","given":"Kaori","non-dropping-particle":"","parse-names":false,"suffix":""},{"dropping-particle":"","family":"Mori","given":"Narumi","non-dropping-particle":"","parse-names":false,"suffix":""},{"dropping-particle":"","family":"Sato","given":"Tomoyasu","non-dropping-particle":"","parse-names":false,"suffix":""},{"dropping-particle":"","family":"Yoda","given":"Akiyoshi","non-dropping-particle":"","parse-names":false,"suffix":""},{"dropping-particle":"","family":"Xie","given":"Xiaonan","non-dropping-particle":"","parse-names":false,"suffix":""},{"dropping-particle":"","family":"Okamoto","given":"Masanori","non-dropping-particle":"","parse-names":false,"suffix":""},{"dropping-particle":"","family":"Iwanaga","given":"Masashi","non-dropping-particle":"","parse-names":false,"suffix":""},{"dropping-particle":"","family":"Ohnishi","given":"Toshiyuki","non-dropping-particle":"","parse-names":false,"suffix":""},{"dropping-particle":"","family":"Nishiwaki","given":"Hisashi","non-dropping-particle":"","parse-names":false,"suffix":""},{"dropping-particle":"","family":"Asami","given":"Tadao","non-dropping-particle":"","parse-names":false,"suffix":""},{"dropping-particle":"","family":"Yokota","given":"Takao","non-dropping-particle":"","parse-names":false,"suffix":""},{"dropping-particle":"","family":"Akiyama","given":"Kohki","non-dropping-particle":"","parse-names":false,"suffix":""},{"dropping-particle":"","family":"Yoneyama","given":"Koichi","non-dropping-particle":"","parse-names":false,"suffix":""},{"dropping-particle":"","family":"Nomura","given":"Takahito","non-dropping-particle":"","parse-names":false,"suffix":""}],"container-title":"New Phytologist","id":"ITEM-2","issue":"4","issued":{"date-parts":[["2018","6","26"]]},"page":"1522-1533","title":"Conversion of carlactone to carlactonoic acid is a conserved function of MAX1 homologs in strigolactone biosynthesis","type":"article-journal","volume":"218"},"uris":["http://www.mendeley.com/documents/?uuid=0c432ba7-1934-4267-aa96-0f2691aa1ce2"]},{"id":"ITEM-3","itemData":{"DOI":"10.1016/j.cub.2022.06.047","ISSN":"18790445","PMID":"35839765","abstract":"Plants have evolved elaborate mechanisms to detect neighboring plants, which typically involve the perception of “cues” inadvertently produced by the neighbor.1 Strigolactones are hormonal signaling molecules2,3 that are also exuded into the rhizosphere by most flowering plant species to promote arbuscular mycorrhizal symbioses.4 Since flowering plants have an endogenous perception system for strigolactones,5 strigolactones are obvious candidates to act as a cue for neighbor presence, but have not been shown to act as such. To test this hypothesis in rice plants, we quantified two major strigolactones of rice plants, orobanchol and 4-deoxyorobanchol, in root exudates by using LC-MS/MS (MRM) and examined feedback regulation of strigolactone biosynthesis and changes in shoot branching phenotypes in rice plants grown at different densities in hydroponics and soil culture. We show that the presence of neighboring plants, or greater root volume, results in rapidly induced changes in strigolactone biosynthesis, sensitivity, and exudation and the subsequent longer-term changes in shoot architecture. These changes require intact strigolactone biosynthesis in neighboring plants and intact strigolactone signaling in focal plants. These results suggest that strigolactone biosynthesis and exudation in rice plants are driven by supra-organismal environmental strigolactone levels. Strigolactones thus act as a cue for neighbor presence in rice plants, but also seem to act as a more general root density-sensing mechanism in flowering plants that integrates soil volume and neighbor density and allows plants to adapt to the limitations of the rhizosphere.","author":[{"dropping-particle":"","family":"Yoneyama","given":"Kaori","non-dropping-particle":"","parse-names":false,"suffix":""},{"dropping-particle":"","family":"Xie","given":"Xiaonan","non-dropping-particle":"","parse-names":false,"suffix":""},{"dropping-particle":"","family":"Nomura","given":"Takahito","non-dropping-particle":"","parse-names":false,"suffix":""},{"dropping-particle":"","family":"Yoneyama","given":"Koichi","non-dropping-particle":"","parse-names":false,"suffix":""},{"dropping-particle":"","family":"Bennett","given":"Tom","non-dropping-particle":"","parse-names":false,"suffix":""}],"container-title":"Current Biology","id":"ITEM-3","issue":"16","issued":{"date-parts":[["2022"]]},"page":"3601-3608.e3","publisher":"Elsevier Inc.","title":"Supra-organismal regulation of strigolactone exudation and plant development in response to rhizospheric cues in rice","type":"article-journal","volume":"32"},"uris":["http://www.mendeley.com/documents/?uuid=4c628643-9300-4288-a8ad-ed115777b710"]},{"id":"ITEM-4","itemData":{"DOI":"10.1126/sciadv.aax9067","ISSN":"2375-2548","abstract":"P450 CYP722C is a key enzyme catalyzing orobanchol synthesis and orobanchol is undetectable in root exudates after gene knockout.","author":[{"dropping-particle":"","family":"Wakabayashi","given":"Takatoshi","non-dropping-particle":"","parse-names":false,"suffix":""},{"dropping-particle":"","family":"Hamana","given":"Misaki","non-dropping-particle":"","parse-names":false,"suffix":""},{"dropping-particle":"","family":"Mori","given":"Ayami","non-dropping-particle":"","parse-names":false,"suffix":""},{"dropping-particle":"","family":"Akiyama","given":"Ryota","non-dropping-particle":"","parse-names":false,"suffix":""},{"dropping-particle":"","family":"Ueno","given":"Kotomi","non-dropping-particle":"","parse-names":false,"suffix":""},{"dropping-particle":"","family":"Osakabe","given":"Keishi","non-dropping-particle":"","parse-names":false,"suffix":""},{"dropping-particle":"","family":"Osakabe","given":"Yuriko","non-dropping-particle":"","parse-names":false,"suffix":""},{"dropping-particle":"","family":"Suzuki","given":"Hideyuki","non-dropping-particle":"","parse-names":false,"suffix":""},{"dropping-particle":"","family":"Takikawa","given":"Hirosato","non-dropping-particle":"","parse-names":false,"suffix":""},{"dropping-particle":"","family":"Mizutani","given":"Masaharu","non-dropping-particle":"","parse-names":false,"suffix":""},{"dropping-particle":"","family":"Sugimoto","given":"Yukihiro","non-dropping-particle":"","parse-names":false,"suffix":""}],"container-title":"Science Advances","id":"ITEM-4","issue":"12","issued":{"date-parts":[["2019","12","6"]]},"page":"eaax9067","title":"Direct conversion of carlactonoic acid to orobanchol by cytochrome P450 CYP722C in strigolactone biosynthesis","type":"article-journal","volume":"5"},"uris":["http://www.mendeley.com/documents/?uuid=04b71bdb-d50c-45e8-a089-4f1f5bde5944"]}],"mendeley":{"formattedCitation":"(Koichi Yoneyama et al., 2018; Kaori Yoneyama et al., 2018; Wakabayashi et al., 2019; Yoneyama et al., 2022)","plainTextFormattedCitation":"(Koichi Yoneyama et al., 2018; Kaori Yoneyama et al., 2018; Wakabayashi et al., 2019; Yoneyama et al., 2022)","previouslyFormattedCitation":"(Koichi Yoneyama et al., 2018; Kaori Yoneyama et al., 2018; Wakabayashi et al., 2019; Yoneyama et al., 2022)"},"properties":{"noteIndex":0},"schema":"https://github.com/citation-style-language/schema/raw/master/csl-citation.json"}</w:instrText>
      </w:r>
      <w:r>
        <w:rPr>
          <w:color w:val="000000"/>
          <w:szCs w:val="24"/>
        </w:rPr>
        <w:fldChar w:fldCharType="separate"/>
      </w:r>
      <w:r w:rsidR="00E10428" w:rsidRPr="00E10428">
        <w:rPr>
          <w:noProof/>
          <w:color w:val="000000"/>
          <w:szCs w:val="24"/>
        </w:rPr>
        <w:t>(Koichi Yoneyama et al., 2018; Kaori Yoneyama et al., 2018; Wakabayashi et al., 2019; Yoneyama et al., 2022)</w:t>
      </w:r>
      <w:r>
        <w:rPr>
          <w:color w:val="000000"/>
          <w:szCs w:val="24"/>
        </w:rPr>
        <w:fldChar w:fldCharType="end"/>
      </w:r>
      <w:r w:rsidR="00E10428">
        <w:rPr>
          <w:color w:val="000000"/>
          <w:szCs w:val="24"/>
        </w:rPr>
        <w:t>.</w:t>
      </w:r>
    </w:p>
    <w:p w14:paraId="1338D367" w14:textId="259DC1BC" w:rsidR="009C0CC2" w:rsidRDefault="009C0CC2" w:rsidP="009C0CC2">
      <w:pPr>
        <w:spacing w:line="480" w:lineRule="auto"/>
        <w:rPr>
          <w:color w:val="000000"/>
          <w:szCs w:val="24"/>
        </w:rPr>
      </w:pPr>
      <w:r>
        <w:rPr>
          <w:color w:val="000000"/>
          <w:szCs w:val="24"/>
        </w:rPr>
        <w:t xml:space="preserve">As mentioned earlier canonical and non-canonical strigolactones can be differentiated by their structures </w:t>
      </w:r>
      <w:r>
        <w:rPr>
          <w:color w:val="000000"/>
          <w:szCs w:val="24"/>
        </w:rPr>
        <w:fldChar w:fldCharType="begin" w:fldLock="1"/>
      </w:r>
      <w:r>
        <w:rPr>
          <w:color w:val="000000"/>
          <w:szCs w:val="24"/>
        </w:rPr>
        <w:instrText>ADDIN CSL_CITATION {"citationItems":[{"id":"ITEM-1","itemData":{"DOI":"10.1111/nph.16135","ISSN":"0028-646X","author":[{"dropping-particle":"","family":"Machin","given":"Darren C.","non-dropping-particle":"","parse-names":false,"suffix":""},{"dropping-particle":"","family":"Hamon</w:instrText>
      </w:r>
      <w:r>
        <w:rPr>
          <w:rFonts w:ascii="Cambria Math" w:hAnsi="Cambria Math" w:cs="Cambria Math"/>
          <w:color w:val="000000"/>
          <w:szCs w:val="24"/>
        </w:rPr>
        <w:instrText>‐</w:instrText>
      </w:r>
      <w:r>
        <w:rPr>
          <w:color w:val="000000"/>
          <w:szCs w:val="24"/>
        </w:rPr>
        <w:instrText>Josse","given":"Maxime","non-dropping-particle":"","parse-names":false,"suffix":""},{"dropping-particle":"","family":"Bennett","given":"Tom","non-dropping-particle":"","parse-names":false,"suffix":""}],"container-title":"New Phytologist","id":"ITEM-1","issue":"2","issued":{"date-parts":[["2019","1","17"]]},"page":"621-636","title":"Fellowship of the rings: a saga of strigolactones and other small signals","type":"article-journal","volume":"225"},"uris":["http://www.mendeley.com/documents/?uuid=3503036a-5cde-3273-bae2-6d8a696d9afb"]},{"id":"ITEM-2","itemData":{"DOI":"10.1093/jxb/ery090","abstract":"Strigolactones (SLs) can be classified into two structurally distinct groups: canonical and non-canonical SLs. Canonical SLs contain the ABCD ring system, and non-canonical SLs lack the A, B, or C ring but have the enol ether-D ring moiety, which is essential for biological activities. The simplest non-canonical SL is the SL biosynthetic intermediate carlactone. In plants, carlactone and its oxidized metabolites, such as carlactonoic acid and methyl carlactono-ate, are present in root and shoot tissues. In some plant species, including black oat (Avena strigosa), sunflower (Helianthus annuus), and maize (Zea mays), non-canonical SLs in the root exudates are major germination stimulants. Various plant species, such as tomato (Solanum lycopersicum), Arabidopsis, and poplar (Populus spp.), release car-lactonoic acid into the rhizosphere. These observations suggest that both canonical and non-canonical SLs act as host-recognition signals in the rhizosphere. In contrast, the limited distribution of canonical SLs in the plant kingdom, and the structure-specific and stereospecific transportation of canonical SLs from roots to shoots, suggest that plant hormones inhibiting shoot branching are not canonical SLs but, rather, are non-canonical SLs.","author":[{"dropping-particle":"","family":"Yoneyama","given":"Koichi","non-dropping-particle":"","parse-names":false,"suffix":""},{"dropping-particle":"","family":"Xie","given":"Xiaonan","non-dropping-particle":"","parse-names":false,"suffix":""},{"dropping-particle":"","family":"Yoneyama","given":"Kaori","non-dropping-particle":"","parse-names":false,"suffix":""},{"dropping-particle":"","family":"Kisugi","given":"Takaya","non-dropping-particle":"","parse-names":false,"suffix":""},{"dropping-particle":"","family":"Nomura","given":"Takahito","non-dropping-particle":"","parse-names":false,"suffix":""},{"dropping-particle":"","family":"Nakatani","given":"Yoshifumi","non-dropping-particle":"","parse-names":false,"suffix":""},{"dropping-particle":"","family":"Akiyama","given":"Kohki","non-dropping-particle":"","parse-names":false,"suffix":""},{"dropping-particle":"","family":"Mcerlean","given":"Christopher S P","non-dropping-particle":"","parse-names":false,"suffix":""}],"container-title":"Journal of Experimental Botany","id":"ITEM-2","issue":"9","issued":{"date-parts":[["2018"]]},"page":"2231-2239","title":"Which are the major players, canonical or non-canonical strigolactones?","type":"article-journal","volume":"69"},"uris":["http://www.mendeley.com/documents/?uuid=ac8d04da-660c-3ef2-b4fe-bd00d46dd4be"]}],"mendeley":{"formattedCitation":"(Koichi Yoneyama et al., 2018; Machin et al., 2019)","manualFormatting":"(Yoneyama et al., 2018; Machin et al., 2019)","plainTextFormattedCitation":"(Koichi Yoneyama et al., 2018; Machin et al., 2019)","previouslyFormattedCitation":"(Koichi Yoneyama et al., 2018; Machin et al., 2019)"},"properties":{"noteIndex":0},"schema":"https://github.com/citation-style-language/schema/raw/master/csl-citation.json"}</w:instrText>
      </w:r>
      <w:r>
        <w:rPr>
          <w:color w:val="000000"/>
          <w:szCs w:val="24"/>
        </w:rPr>
        <w:fldChar w:fldCharType="separate"/>
      </w:r>
      <w:r w:rsidRPr="00801B90">
        <w:rPr>
          <w:noProof/>
          <w:color w:val="000000"/>
          <w:szCs w:val="24"/>
        </w:rPr>
        <w:t>(Yoneyama et al., 2018; Machin et al., 2019)</w:t>
      </w:r>
      <w:r>
        <w:rPr>
          <w:color w:val="000000"/>
          <w:szCs w:val="24"/>
        </w:rPr>
        <w:fldChar w:fldCharType="end"/>
      </w:r>
      <w:r>
        <w:rPr>
          <w:color w:val="000000"/>
          <w:szCs w:val="24"/>
        </w:rPr>
        <w:t>. The structure of non-canonical SLs allows them to be much more diverse than canonical SLs and therefore likely means there will be more non-canonical SLs identified in the future</w:t>
      </w:r>
      <w:r w:rsidR="00E10428">
        <w:rPr>
          <w:color w:val="000000"/>
          <w:szCs w:val="24"/>
        </w:rPr>
        <w:t xml:space="preserve"> </w:t>
      </w:r>
      <w:r w:rsidR="00E10428">
        <w:rPr>
          <w:color w:val="000000"/>
          <w:szCs w:val="24"/>
        </w:rPr>
        <w:fldChar w:fldCharType="begin" w:fldLock="1"/>
      </w:r>
      <w:r w:rsidR="00A01B89">
        <w:rPr>
          <w:color w:val="000000"/>
          <w:szCs w:val="24"/>
        </w:rPr>
        <w:instrText>ADDIN CSL_CITATION {"citationItems":[{"id":"ITEM-1","itemData":{"DOI":"10.1093/jxb/ery090","abstract":"Strigolactones (SLs) can be classified into two structurally distinct groups: canonical and non-canonical SLs. Canonical SLs contain the ABCD ring system, and non-canonical SLs lack the A, B, or C ring but have the enol ether-D ring moiety, which is essential for biological activities. The simplest non-canonical SL is the SL biosynthetic intermediate carlactone. In plants, carlactone and its oxidized metabolites, such as carlactonoic acid and methyl carlactono-ate, are present in root and shoot tissues. In some plant species, including black oat (Avena strigosa), sunflower (Helianthus annuus), and maize (Zea mays), non-canonical SLs in the root exudates are major germination stimulants. Various plant species, such as tomato (Solanum lycopersicum), Arabidopsis, and poplar (Populus spp.), release car-lactonoic acid into the rhizosphere. These observations suggest that both canonical and non-canonical SLs act as host-recognition signals in the rhizosphere. In contrast, the limited distribution of canonical SLs in the plant kingdom, and the structure-specific and stereospecific transportation of canonical SLs from roots to shoots, suggest that plant hormones inhibiting shoot branching are not canonical SLs but, rather, are non-canonical SLs.","author":[{"dropping-particle":"","family":"Yoneyama","given":"Koichi","non-dropping-particle":"","parse-names":false,"suffix":""},{"dropping-particle":"","family":"Xie","given":"Xiaonan","non-dropping-particle":"","parse-names":false,"suffix":""},{"dropping-particle":"","family":"Yoneyama","given":"Kaori","non-dropping-particle":"","parse-names":false,"suffix":""},{"dropping-particle":"","family":"Kisugi","given":"Takaya","non-dropping-particle":"","parse-names":false,"suffix":""},{"dropping-particle":"","family":"Nomura","given":"Takahito","non-dropping-particle":"","parse-names":false,"suffix":""},{"dropping-particle":"","family":"Nakatani","given":"Yoshifumi","non-dropping-particle":"","parse-names":false,"suffix":""},{"dropping-particle":"","family":"Akiyama","given":"Kohki","non-dropping-particle":"","parse-names":false,"suffix":""},{"dropping-particle":"","family":"Mcerlean","given":"Christopher S P","non-dropping-particle":"","parse-names":false,"suffix":""}],"container-title":"Journal of Experimental Botany","id":"ITEM-1","issue":"9","issued":{"date-parts":[["2018"]]},"page":"2231-2239","title":"Which are the major players, canonical or non-canonical strigolactones?","type":"article-journal","volume":"69"},"uris":["http://www.mendeley.com/documents/?uuid=ac8d04da-660c-3ef2-b4fe-bd00d46dd4be"]}],"mendeley":{"formattedCitation":"(Koichi Yoneyama et al., 2018)","plainTextFormattedCitation":"(Koichi Yoneyama et al., 2018)","previouslyFormattedCitation":"(Koichi Yoneyama et al., 2018)"},"properties":{"noteIndex":0},"schema":"https://github.com/citation-style-language/schema/raw/master/csl-citation.json"}</w:instrText>
      </w:r>
      <w:r w:rsidR="00E10428">
        <w:rPr>
          <w:color w:val="000000"/>
          <w:szCs w:val="24"/>
        </w:rPr>
        <w:fldChar w:fldCharType="separate"/>
      </w:r>
      <w:r w:rsidR="00E10428" w:rsidRPr="00E10428">
        <w:rPr>
          <w:noProof/>
          <w:color w:val="000000"/>
          <w:szCs w:val="24"/>
        </w:rPr>
        <w:t>(Koichi Yoneyama et al., 2018)</w:t>
      </w:r>
      <w:r w:rsidR="00E10428">
        <w:rPr>
          <w:color w:val="000000"/>
          <w:szCs w:val="24"/>
        </w:rPr>
        <w:fldChar w:fldCharType="end"/>
      </w:r>
      <w:r>
        <w:rPr>
          <w:color w:val="000000"/>
          <w:szCs w:val="24"/>
        </w:rPr>
        <w:t xml:space="preserve">. So far, </w:t>
      </w:r>
      <w:r w:rsidR="00672EFF">
        <w:rPr>
          <w:color w:val="000000"/>
          <w:szCs w:val="24"/>
        </w:rPr>
        <w:t xml:space="preserve">35 SLs have been identified, with a higher proportion of these being canonical SLs </w:t>
      </w:r>
      <w:r>
        <w:rPr>
          <w:color w:val="000000"/>
          <w:szCs w:val="24"/>
        </w:rPr>
        <w:fldChar w:fldCharType="begin" w:fldLock="1"/>
      </w:r>
      <w:r w:rsidR="006068FB">
        <w:rPr>
          <w:color w:val="000000"/>
          <w:szCs w:val="24"/>
        </w:rPr>
        <w:instrText>ADDIN CSL_CITATION {"citationItems":[{"id":"ITEM-1","itemData":{"DOI":"10.1093/jxb/ery090","abstract":"Strigolactones (SLs) can be classified into two structurally distinct groups: canonical and non-canonical SLs. Canonical SLs contain the ABCD ring system, and non-canonical SLs lack the A, B, or C ring but have the enol ether-D ring moiety, which is essential for biological activities. The simplest non-canonical SL is the SL biosynthetic intermediate carlactone. In plants, carlactone and its oxidized metabolites, such as carlactonoic acid and methyl carlactono-ate, are present in root and shoot tissues. In some plant species, including black oat (Avena strigosa), sunflower (Helianthus annuus), and maize (Zea mays), non-canonical SLs in the root exudates are major germination stimulants. Various plant species, such as tomato (Solanum lycopersicum), Arabidopsis, and poplar (Populus spp.), release car-lactonoic acid into the rhizosphere. These observations suggest that both canonical and non-canonical SLs act as host-recognition signals in the rhizosphere. In contrast, the limited distribution of canonical SLs in the plant kingdom, and the structure-specific and stereospecific transportation of canonical SLs from roots to shoots, suggest that plant hormones inhibiting shoot branching are not canonical SLs but, rather, are non-canonical SLs.","author":[{"dropping-particle":"","family":"Yoneyama","given":"Koichi","non-dropping-particle":"","parse-names":false,"suffix":""},{"dropping-particle":"","family":"Xie","given":"Xiaonan","non-dropping-particle":"","parse-names":false,"suffix":""},{"dropping-particle":"","family":"Yoneyama","given":"Kaori","non-dropping-particle":"","parse-names":false,"suffix":""},{"dropping-particle":"","family":"Kisugi","given":"Takaya","non-dropping-particle":"","parse-names":false,"suffix":""},{"dropping-particle":"","family":"Nomura","given":"Takahito","non-dropping-particle":"","parse-names":false,"suffix":""},{"dropping-particle":"","family":"Nakatani","given":"Yoshifumi","non-dropping-particle":"","parse-names":false,"suffix":""},{"dropping-particle":"","family":"Akiyama","given":"Kohki","non-dropping-particle":"","parse-names":false,"suffix":""},{"dropping-particle":"","family":"Mcerlean","given":"Christopher S P","non-dropping-particle":"","parse-names":false,"suffix":""}],"container-title":"Journal of Experimental Botany","id":"ITEM-1","issue":"9","issued":{"date-parts":[["2018"]]},"page":"2231-2239","title":"Which are the major players, canonical or non-canonical strigolactones?","type":"article-journal","volume":"69"},"uris":["http://www.mendeley.com/documents/?uuid=ac8d04da-660c-3ef2-b4fe-bd00d46dd4be"]},{"id":"ITEM-2","itemData":{"DOI":"10.1093/jxb/erad335","ISSN":"0022-0957","abstract":"The rhizosphere is a complex physical and chemical interface between plants and their underground environment, both biotic and abiotic. Plants exude large number of chemicals into the rhizosphere in order to manipulate these biotic and abiotic components. Among such chemicals are strigolactones, ancient signalling molecules that in flowering plants act as both internal hormones and external rhizosphere signals. Plants exude strigolactones to communicate with their preferred symbiotic partners and neighbouring plants, but at least some classes of parasitic organisms are able to ‘crack’ these private messages and eavesdrop on the signals. In this review, we examine the intentional consequences of strigolactone exudation, and also the unintentional consequences caused by eavesdroppers. We examine the molecular mechanisms by which strigolactones act within the rhizosphere, and attempt to understand the enigma of the strigolactone molecular diversity synthesised and exude into the rhizosphere by plants. We conclude by looking at the prospects of using improved understanding of strigolactones in agricultural contexts.","author":[{"dropping-particle":"","family":"Clark","given":"Jed","non-dropping-particle":"","parse-names":false,"suffix":""},{"dropping-particle":"","family":"Bennett","given":"Tom","non-dropping-particle":"","parse-names":false,"suffix":""}],"container-title":"Journal of Experimental Botany","id":"ITEM-2","issued":{"date-parts":[["2023","8","25"]]},"title":"Cracking the enigma: understanding strigolactone signalling in the rhizosphere","type":"article-journal"},"uris":["http://www.mendeley.com/documents/?uuid=223d5d7f-913a-477a-9b37-5f64d6024807"]},{"id":"ITEM-3","itemData":{"DOI":"10.1111/tpj.15059","ISSN":"0960-7412","abstract":"Strigolactones (SLs) are plant hormones that regulate diverse developmental processes and environmental responses. They are also known to be root</w:instrText>
      </w:r>
      <w:r w:rsidR="006068FB">
        <w:rPr>
          <w:rFonts w:ascii="Cambria Math" w:hAnsi="Cambria Math" w:cs="Cambria Math"/>
          <w:color w:val="000000"/>
          <w:szCs w:val="24"/>
        </w:rPr>
        <w:instrText>‐</w:instrText>
      </w:r>
      <w:r w:rsidR="006068FB">
        <w:rPr>
          <w:color w:val="000000"/>
          <w:szCs w:val="24"/>
        </w:rPr>
        <w:instrText>derived chemical signals that regulate symbiotic and parasitic interactions with arbuscular mycorrhizal fungi and root parasitic plants, respectively. Since the discovery of the hormonal function of SLs in 2008, there has been much progress in the SL research field. In particular, a number of breakthroughs have been achieved in our understanding of SL biosynthesis, transport and perception. The discovery of the hormonal function of SL was quite valuable not only as the identification of a new class of plant hormones, but also as the discovery of the long</w:instrText>
      </w:r>
      <w:r w:rsidR="006068FB">
        <w:rPr>
          <w:rFonts w:ascii="Cambria Math" w:hAnsi="Cambria Math" w:cs="Cambria Math"/>
          <w:color w:val="000000"/>
          <w:szCs w:val="24"/>
        </w:rPr>
        <w:instrText>‐</w:instrText>
      </w:r>
      <w:r w:rsidR="006068FB">
        <w:rPr>
          <w:color w:val="000000"/>
          <w:szCs w:val="24"/>
        </w:rPr>
        <w:instrText>sought</w:instrText>
      </w:r>
      <w:r w:rsidR="006068FB">
        <w:rPr>
          <w:rFonts w:ascii="Cambria Math" w:hAnsi="Cambria Math" w:cs="Cambria Math"/>
          <w:color w:val="000000"/>
          <w:szCs w:val="24"/>
        </w:rPr>
        <w:instrText>‐</w:instrText>
      </w:r>
      <w:r w:rsidR="006068FB">
        <w:rPr>
          <w:color w:val="000000"/>
          <w:szCs w:val="24"/>
        </w:rPr>
        <w:instrText>after SL biosynthetic and response mutants. These mutants in several plant species provided us the genetic resources to address fundamental questions regarding SL biosynthesis and perception. Such mutants were further characterized later, and biochemical analyses of these genetically identified factors have uncovered the outline of SL biosynthesis and perception so far. Moreover, new genes involved in SL transport have been discovered through reverse genetic analyses. In this review, we summarize recent advances in SL research with a focus on biosynthesis, transport and perception.","author":[{"dropping-particle":"","family":"Mashiguchi","given":"Kiyoshi","non-dropping-particle":"","parse-names":false,"suffix":""},{"dropping-particle":"","family":"Seto","given":"Yoshiya","non-dropping-particle":"","parse-names":false,"suffix":""},{"dropping-particle":"","family":"Yamaguchi","given":"Shinjiro","non-dropping-particle":"","parse-names":false,"suffix":""}],"container-title":"The Plant Journal","id":"ITEM-3","issue":"2","issued":{"date-parts":[["2021","1","27"]]},"page":"335-350","title":"Strigolactone biosynthesis, transport and perception","type":"article-journal","volume":"105"},"uris":["http://www.mendeley.com/documents/?uuid=eda92643-65e2-414b-8810-988190b2d310"]},{"id":"ITEM-4","itemData":{"DOI":"10.1126/science.abq4775","ISSN":"0036-8075","abstract":"Maize ( Zea mays ) is a major staple crop in Africa, where its yield and the livelihood of millions are compromised by the parasitic witchweed Striga . Germination of Striga is induced by strigolactones exuded from maize roots into the rhizosphere. In a maize germplasm collection, we identified two strigolactones, zealactol and zealactonoic acid, which stimulate less Striga germination than the major maize strigolactone, zealactone. We then showed that a single cytochrome P450, ZmCYP706C37, catalyzes a series of oxidative steps in the maize-strigolactone biosynthetic pathway. Reduction in activity of this enzyme and two others involved in the pathway, ZmMAX1b and ZmCLAMT1, can change strigolactone composition and reduce Striga germination and infection. These results offer prospects for breeding Striga -resistant maize.","author":[{"dropping-particle":"","family":"Li","given":"C.","non-dropping-particle":"","parse-names":false,"suffix":""},{"dropping-particle":"","family":"Dong","given":"L.","non-dropping-particle":"","parse-names":false,"suffix":""},{"dropping-particle":"","family":"Durairaj","given":"J.","non-dropping-particle":"","parse-names":false,"suffix":""},{"dropping-particle":"","family":"Guan","given":"J.-C.","non-dropping-particle":"","parse-names":false,"suffix":""},{"dropping-particle":"","family":"Yoshimura","given":"M.","non-dropping-particle":"","parse-names":false,"suffix":""},{"dropping-particle":"","family":"Quinodoz","given":"P.","non-dropping-particle":"","parse-names":false,"suffix":""},{"dropping-particle":"","family":"Horber","given":"R.","non-dropping-particle":"","parse-names":false,"suffix":""},{"dropping-particle":"","family":"Gaus","given":"K.","non-dropping-particle":"","parse-names":false,"suffix":""},{"dropping-particle":"","family":"Li","given":"J.","non-dropping-particle":"","parse-names":false,"suffix":""},{"dropping-particle":"","family":"Setotaw","given":"Y. B.","non-dropping-particle":"","parse-names":false,"suffix":""},{"dropping-particle":"","family":"Qi","given":"J.","non-dropping-particle":"","parse-names":false,"suffix":""},{"dropping-particle":"","family":"Groote","given":"H.","non-dropping-particle":"De","parse-names":false,"suffix":""},{"dropping-particle":"","family":"Wang","given":"Y.","non-dropping-particle":"","parse-names":false,"suffix":""},{"dropping-particle":"","family":"Thiombiano","given":"B.","non-dropping-particle":"","parse-names":false,"suffix":""},{"dropping-particle":"","family":"Floková","given":"K.","non-dropping-particle":"","parse-names":false,"suffix":""},{"dropping-particle":"","family":"Walmsley","given":"A.","non-dropping-particle":"","parse-names":false,"suffix":""},{"dropping-particle":"V.","family":"Charnikhova","given":"T.","non-dropping-particle":"","parse-names":false,"suffix":""},{"dropping-particle":"","family":"Chojnacka","given":"A.","non-dropping-particle":"","parse-names":false,"suffix":""},{"dropping-particle":"","family":"Correia de Lemos","given":"S.","non-dropping-particle":"","parse-names":false,"suffix":""},{"dropping-particle":"","family":"Ding","given":"Y.","non-dropping-particle":"","parse-names":false,"suffix":""},{"dropping-particle":"","family":"Skibbe","given":"D.","non-dropping-particle":"","parse-names":false,"suffix":""},{"dropping-particle":"","family":"Hermann","given":"K.","non-dropping-particle":"","parse-names":false,"suffix":""},{"dropping-particle":"","family":"Screpanti","given":"C.","non-dropping-particle":"","parse-names":false,"suffix":""},{"dropping-particle":"","family":"Mesmaeker","given":"A.","non-dropping-particle":"De","parse-names":false,"suffix":""},{"dropping-particle":"","family":"Schmelz","given":"E. A.","non-dropping-particle":"","parse-names":false,"suffix":""},{"dropping-particle":"","family":"Menkir","given":"A.","non-dropping-particle":"","parse-names":false,"suffix":""},{"dropping-particle":"","family":"Medema","given":"M.","non-dropping-particle":"","parse-names":false,"suffix":""},{"dropping-particle":"","family":"Dijk","given":"A. D. J.","non-dropping-particle":"Van","parse-names":false,"suffix":""},{"dropping-particle":"","family":"Wu","given":"J.","non-dropping-particle":"","parse-names":false,"suffix":""},{"dropping-particle":"","family":"Koch","given":"K. E.","non-dropping-particle":"","parse-names":false,"suffix":""},{"dropping-particle":"","family":"Bouwmeester","given":"H. J.","non-dropping-particle":"","parse-names":false,"suffix":""}],"container-title":"Science","id":"ITEM-4","issue":"6627","issued":{"date-parts":[["2023","1","6"]]},"page":"94-99","publisher":"American Association for the Advancement of Science","title":"Maize resistance to witchweed through changes in strigolactone biosynthesis","type":"article-journal","volume":"379"},"uris":["http://www.mendeley.com/documents/?uuid=796d4761-9d8f-3947-a6d0-48e170bb6024"]},{"id":"ITEM-5","itemData":{"DOI":"10.1093/plphys/kiaa066","ISSN":"0032-0889","abstract":"Parasitic plants are plants that connect with a haustorium to the vasculature of another, host, plant from which they absorb water, assimilates, and nutrients. Because of this parasitic lifestyle, parasitic plants need to coordinate their lifecycle with that of their host. Parasitic plants have evolved a number of host detection/host response mechanisms of which the germination in response to chemical host signals in one of the major families of parasitic plants, the Orobanchaceae, is a striking example. In this update review, we discuss these germination stimulants. We review the different compound classes that function as germination stimulants, how they are produced, and in which host plants. We discuss why they are reliable signals, how parasitic plants have evolved mechanisms that detect and respond to them, and whether they play a role in host specificity. The advances in the knowledge underlying this signaling relationship between host and parasitic plant have greatly improved our understanding of the evolution of plant parasitism and are facilitating the development of more effective control measures in cases where these parasitic plants have developed into weeds.","author":[{"dropping-particle":"","family":"Bouwmeester","given":"Harro","non-dropping-particle":"","parse-names":false,"suffix":""},{"dropping-particle":"","family":"Li","given":"Changsheng","non-dropping-particle":"","parse-names":false,"suffix":""},{"dropping-particle":"","family":"Thiombiano","given":"Benjamin","non-dropping-particle":"","parse-names":false,"suffix":""},{"dropping-particle":"","family":"Rahimi","given":"Mehran","non-dropping-particle":"","parse-names":false,"suffix":""},{"dropping-particle":"","family":"Dong","given":"Lemeng","non-dropping-particle":"","parse-names":false,"suffix":""}],"container-title":"Plant Physiology","id":"ITEM-5","issue":"4","issued":{"date-parts":[["2021","4","23"]]},"page":"1292-1308","title":"Adaptation of the parasitic plant lifecycle: germination is controlled by essential host signaling molecules","type":"article-journal","volume":"185"},"uris":["http://www.mendeley.com/documents/?uuid=96a89eec-cf4e-4d07-8c1b-238468fccddb"]}],"mendeley":{"formattedCitation":"(Koichi Yoneyama et al., 2018; Mashiguchi et al., 2021; Bouwmeester et al., 2021; C. Li et al., 2023; Clark and Bennett, 2023)","plainTextFormattedCitation":"(Koichi Yoneyama et al., 2018; Mashiguchi et al., 2021; Bouwmeester et al., 2021; C. Li et al., 2023; Clark and Bennett, 2023)","previouslyFormattedCitation":"(Koichi Yoneyama et al., 2018; Mashiguchi et al., 2021; Bouwmeester et al., 2021; C. Li et al., 2023; Clark and Bennett, 2023)"},"properties":{"noteIndex":0},"schema":"https://github.com/citation-style-language/schema/raw/master/csl-citation.json"}</w:instrText>
      </w:r>
      <w:r>
        <w:rPr>
          <w:color w:val="000000"/>
          <w:szCs w:val="24"/>
        </w:rPr>
        <w:fldChar w:fldCharType="separate"/>
      </w:r>
      <w:r w:rsidR="006068FB" w:rsidRPr="006068FB">
        <w:rPr>
          <w:noProof/>
          <w:color w:val="000000"/>
          <w:szCs w:val="24"/>
        </w:rPr>
        <w:t>(Koichi Yoneyama et al., 2018; Mashiguchi et al., 2021; Bouwmeester et al., 2021; C. Li et al., 2023; Clark and Bennett, 2023)</w:t>
      </w:r>
      <w:r>
        <w:rPr>
          <w:color w:val="000000"/>
          <w:szCs w:val="24"/>
        </w:rPr>
        <w:fldChar w:fldCharType="end"/>
      </w:r>
      <w:r>
        <w:rPr>
          <w:color w:val="000000"/>
          <w:szCs w:val="24"/>
        </w:rPr>
        <w:t xml:space="preserve">. </w:t>
      </w:r>
    </w:p>
    <w:p w14:paraId="0612CB3F" w14:textId="0DA4ED90" w:rsidR="009C0CC2" w:rsidRDefault="009C0CC2" w:rsidP="009C0CC2">
      <w:pPr>
        <w:spacing w:line="480" w:lineRule="auto"/>
        <w:rPr>
          <w:color w:val="000000"/>
          <w:szCs w:val="24"/>
        </w:rPr>
      </w:pPr>
      <w:r>
        <w:rPr>
          <w:color w:val="000000"/>
          <w:szCs w:val="24"/>
        </w:rPr>
        <w:t>The functionality of canonical and non-canonical strigolactones varies amongst species and it is not as simple as classifying one type as root exuded chemicals and the other type as hormonal signalling molecules. For example, in rice</w:t>
      </w:r>
      <w:r w:rsidR="00A01B89">
        <w:rPr>
          <w:color w:val="000000"/>
          <w:szCs w:val="24"/>
        </w:rPr>
        <w:t>,</w:t>
      </w:r>
      <w:r>
        <w:rPr>
          <w:color w:val="000000"/>
          <w:szCs w:val="24"/>
        </w:rPr>
        <w:t xml:space="preserve"> canonical SLs have been shown to act as germination stimulants and AMF signals, whereas non-canonical SLs have been shown to act hormonally</w:t>
      </w:r>
      <w:r w:rsidR="00A01B89">
        <w:rPr>
          <w:color w:val="000000"/>
          <w:szCs w:val="24"/>
        </w:rPr>
        <w:t xml:space="preserve"> influencing shoot growth</w:t>
      </w:r>
      <w:r>
        <w:rPr>
          <w:color w:val="000000"/>
          <w:szCs w:val="24"/>
        </w:rPr>
        <w:t xml:space="preserve"> </w:t>
      </w:r>
      <w:r>
        <w:rPr>
          <w:color w:val="000000"/>
          <w:szCs w:val="24"/>
        </w:rPr>
        <w:fldChar w:fldCharType="begin" w:fldLock="1"/>
      </w:r>
      <w:r w:rsidR="0083008E">
        <w:rPr>
          <w:color w:val="000000"/>
          <w:szCs w:val="24"/>
        </w:rPr>
        <w:instrText>ADDIN CSL_CITATION {"citationItems":[{"id":"ITEM-1","itemData":{"DOI":"10.1126/sciadv.add1278","ISSN":"2375-2548","abstract":"Strigolactones (SLs) are a plant hormone inhibiting shoot branching/tillering and a rhizospheric, chemical signal that triggers seed germination of the noxious root parasitic plant Striga and mediates symbiosis with beneficial arbuscular mycorrhizal fungi. Identifying specific roles of canonical and noncanonical SLs, the two SL subfamilies, is important for developing Striga -resistant cereals and for engineering plant architecture. Here, we report that rice mutants lacking canonical SLs do not show the shoot phenotypes known for SL-deficient plants, exhibiting only a delay in establishing arbuscular mycorrhizal symbiosis, but release exudates with a significantly decreased Striga seed–germinating activity. Blocking the biosynthesis of canonical SLs by TIS108, a specific enzyme inhibitor, significantly lowered Striga infestation without affecting rice growth. These results indicate that canonical SLs are not the determinant of shoot architecture and pave the way for increasing crop resistance by gene editing or chemical treatment.","author":[{"dropping-particle":"","family":"Ito","given":"Shinsaku","non-dropping-particle":"","parse-names":false,"suffix":""},{"dropping-particle":"","family":"Braguy","given":"Justine","non-dropping-particle":"","parse-names":false,"suffix":""},{"dropping-particle":"","family":"Wang","given":"Jian You","non-dropping-particle":"","parse-names":false,"suffix":""},{"dropping-particle":"","family":"Yoda","given":"Akiyoshi","non-dropping-particle":"","parse-names":false,"suffix":""},{"dropping-particle":"","family":"Fiorilli","given":"Valentina","non-dropping-particle":"","parse-names":false,"suffix":""},{"dropping-particle":"","family":"Takahashi","given":"Ikuo","non-dropping-particle":"","parse-names":false,"suffix":""},{"dropping-particle":"","family":"Jamil","given":"Muhammad","non-dropping-particle":"","parse-names":false,"suffix":""},{"dropping-particle":"","family":"Felemban","given":"Abrar","non-dropping-particle":"","parse-names":false,"suffix":""},{"dropping-particle":"","family":"Miyazaki","given":"Sho","non-dropping-particle":"","parse-names":false,"suffix":""},{"dropping-particle":"","family":"Mazzarella","given":"Teresa","non-dropping-particle":"","parse-names":false,"suffix":""},{"dropping-particle":"","family":"Chen","given":"Guan-Ting Erica","non-dropping-particle":"","parse-names":false,"suffix":""},{"dropping-particle":"","family":"Shinozawa","given":"Akihisa","non-dropping-particle":"","parse-names":false,"suffix":""},{"dropping-particle":"","family":"Balakrishna","given":"Aparna","non-dropping-particle":"","parse-names":false,"suffix":""},{"dropping-particle":"","family":"Berqdar","given":"Lamis","non-dropping-particle":"","parse-names":false,"suffix":""},{"dropping-particle":"","family":"Rajan","given":"Chakravarty","non-dropping-particle":"","parse-names":false,"suffix":""},{"dropping-particle":"","family":"Ali","given":"Shawkat","non-dropping-particle":"","parse-names":false,"suffix":""},{"dropping-particle":"","family":"Haider","given":"Imran","non-dropping-particle":"","parse-names":false,"suffix":""},{"dropping-particle":"","family":"Sasaki","given":"Yasuyuki","non-dropping-particle":"","parse-names":false,"suffix":""},{"dropping-particle":"","family":"Yajima","given":"Shunsuke","non-dropping-particle":"","parse-names":false,"suffix":""},{"dropping-particle":"","family":"Akiyama","given":"Kohki","non-dropping-particle":"","parse-names":false,"suffix":""},{"dropping-particle":"","family":"Lanfranco","given":"Luisa","non-dropping-particle":"","parse-names":false,"suffix":""},{"dropping-particle":"","family":"Zurbriggen","given":"Matias D.","non-dropping-particle":"","parse-names":false,"suffix":""},{"dropping-particle":"","family":"Nomura","given":"Takahito","non-dropping-particle":"","parse-names":false,"suffix":""},{"dropping-particle":"","family":"Asami","given":"Tadao","non-dropping-particle":"","parse-names":false,"suffix":""},{"dropping-particle":"","family":"Al-Babili","given":"Salim","non-dropping-particle":"","parse-names":false,"suffix":""}],"container-title":"Science Advances","id":"ITEM-1","issue":"44","issued":{"date-parts":[["2022","11","4"]]},"page":"eadd1278","title":"Canonical strigolactones are not the major determinant of tillering but important rhizospheric signals in rice","type":"article-journal","volume":"8"},"uris":["http://www.mendeley.com/documents/?uuid=2634d4af-bdfb-4987-b5b5-71b3bbb4ff0d"]},{"id":"ITEM-2","itemData":{"DOI":"10.1073/pnas.2111565119","ISSN":"0027-8424","abstract":"Strigolactones (SLs) are a group of apocarotenoid hormones, which regulates shoot branching and other diverse developmental processes in plants. The major bioactive form(s) of SLs as endogenous hormones has not yet been clarified. Here, we identify an Arabidopsis methyltransferase, CLAMT, responsible for the conversion of an inactive precursor to a biologically active SL that can interact with the SL receptor in vitro. Reverse genetic analysis showed that this enzyme plays an essential role in inhibiting shoot branching. This mutant also contributed to specifying the SL-related metabolites that could move from root to shoot in grafting experiments. Our work has identified a key enzyme necessary for the production of the bioactive form(s) of SLs.","author":[{"dropping-particle":"","family":"Mashiguchi","given":"Kiyoshi","non-dropping-particle":"","parse-names":false,"suffix":""},{"dropping-particle":"","family":"Seto","given":"Yoshiya","non-dropping-particle":"","parse-names":false,"suffix":""},{"dropping-particle":"","family":"Onozuka","given":"Yuta","non-dropping-particle":"","parse-names":false,"suffix":""},{"dropping-particle":"","family":"Suzuki","given":"Sarina","non-dropping-particle":"","parse-names":false,"suffix":""},{"dropping-particle":"","family":"Takemoto","given":"Kiyoko","non-dropping-particle":"","parse-names":false,"suffix":""},{"dropping-particle":"","family":"Wang","given":"Yanting","non-dropping-particle":"","parse-names":false,"suffix":""},{"dropping-particle":"","family":"Dong","given":"Lemeng","non-dropping-particle":"","parse-names":false,"suffix":""},{"dropping-particle":"","family":"Asami","given":"Kei","non-dropping-particle":"","parse-names":false,"suffix":""},{"dropping-particle":"","family":"Noda","given":"Ryota","non-dropping-particle":"","parse-names":false,"suffix":""},{"dropping-particle":"","family":"Kisugi","given":"Takaya","non-dropping-particle":"","parse-names":false,"suffix":""},{"dropping-particle":"","family":"Kitaoka","given":"Naoki","non-dropping-particle":"","parse-names":false,"suffix":""},{"dropping-particle":"","family":"Akiyama","given":"Kohki","non-dropping-particle":"","parse-names":false,"suffix":""},{"dropping-particle":"","family":"Bouwmeester","given":"Harro","non-dropping-particle":"","parse-names":false,"suffix":""},{"dropping-particle":"","family":"Yamaguchi","given":"Shinjiro","non-dropping-particle":"","parse-names":false,"suffix":""}],"container-title":"Proceedings of the National Academy of Sciences","id":"ITEM-2","issue":"14","issued":{"date-parts":[["2022","4","5"]]},"page":"e2111565119","title":"A carlactonoic acid methyltransferase that contributes to the inhibition of shoot branching in Arabidopsis","type":"article-journal","volume":"119"},"uris":["http://www.mendeley.com/documents/?uuid=50801c8a-5eb9-480c-b265-40ec7c67b15f"]}],"mendeley":{"formattedCitation":"(Mashiguchi et al., 2022; Ito et al., 2022)","plainTextFormattedCitation":"(Mashiguchi et al., 2022; Ito et al., 2022)","previouslyFormattedCitation":"(Mashiguchi et al., 2022; Ito et al., 2022)"},"properties":{"noteIndex":0},"schema":"https://github.com/citation-style-language/schema/raw/master/csl-citation.json"}</w:instrText>
      </w:r>
      <w:r>
        <w:rPr>
          <w:color w:val="000000"/>
          <w:szCs w:val="24"/>
        </w:rPr>
        <w:fldChar w:fldCharType="separate"/>
      </w:r>
      <w:r w:rsidRPr="00BA22D7">
        <w:rPr>
          <w:noProof/>
          <w:color w:val="000000"/>
          <w:szCs w:val="24"/>
        </w:rPr>
        <w:t>(Mashiguchi et al., 2022; Ito et al., 2022)</w:t>
      </w:r>
      <w:r>
        <w:rPr>
          <w:color w:val="000000"/>
          <w:szCs w:val="24"/>
        </w:rPr>
        <w:fldChar w:fldCharType="end"/>
      </w:r>
      <w:r>
        <w:rPr>
          <w:color w:val="000000"/>
          <w:szCs w:val="24"/>
        </w:rPr>
        <w:t xml:space="preserve">. In </w:t>
      </w:r>
      <w:r>
        <w:rPr>
          <w:color w:val="000000"/>
          <w:szCs w:val="24"/>
        </w:rPr>
        <w:lastRenderedPageBreak/>
        <w:t>Arabidopsis, non-canonical SLs also act as hormones, while Arabidopsis does not synthesise canonical SLs and has limited or no exudation of SLs</w:t>
      </w:r>
      <w:r w:rsidR="00E10428">
        <w:rPr>
          <w:color w:val="000000"/>
          <w:szCs w:val="24"/>
        </w:rPr>
        <w:t xml:space="preserve"> </w:t>
      </w:r>
      <w:r w:rsidR="00A01B89">
        <w:rPr>
          <w:color w:val="000000"/>
          <w:szCs w:val="24"/>
        </w:rPr>
        <w:fldChar w:fldCharType="begin" w:fldLock="1"/>
      </w:r>
      <w:r w:rsidR="00B94EC8">
        <w:rPr>
          <w:color w:val="000000"/>
          <w:szCs w:val="24"/>
        </w:rPr>
        <w:instrText>ADDIN CSL_CITATION {"citationItems":[{"id":"ITEM-1","itemData":{"DOI":"10.1002/pld3.219","ISSN":"2475-4455","abstract":"Strigolactones (SLs) regulate important aspects of plant growth and stress responses. Many diverse types of SL occur in plants, but a complete picture of biosynthesis remains unclear. In Arabidopsis thaliana , we have demonstrated that MAX1, a cytochrome P450 monooxygenase, converts carlactone (CL) into carlactonoic acid (CLA) and that LBO, a 2</w:instrText>
      </w:r>
      <w:r w:rsidR="00B94EC8">
        <w:rPr>
          <w:rFonts w:ascii="Cambria Math" w:hAnsi="Cambria Math" w:cs="Cambria Math"/>
          <w:color w:val="000000"/>
          <w:szCs w:val="24"/>
        </w:rPr>
        <w:instrText>‐</w:instrText>
      </w:r>
      <w:r w:rsidR="00B94EC8">
        <w:rPr>
          <w:color w:val="000000"/>
          <w:szCs w:val="24"/>
        </w:rPr>
        <w:instrText>oxoglutarate</w:instrText>
      </w:r>
      <w:r w:rsidR="00B94EC8">
        <w:rPr>
          <w:rFonts w:ascii="Cambria Math" w:hAnsi="Cambria Math" w:cs="Cambria Math"/>
          <w:color w:val="000000"/>
          <w:szCs w:val="24"/>
        </w:rPr>
        <w:instrText>‐</w:instrText>
      </w:r>
      <w:r w:rsidR="00B94EC8">
        <w:rPr>
          <w:color w:val="000000"/>
          <w:szCs w:val="24"/>
        </w:rPr>
        <w:instrText>dependent dioxygenase, can convert methyl carlactonoate (MeCLA) into a metabolite called [MeCLA + 16 Da]. In the present study, feeding experiments with deuterated MeCLAs revealed that [MeCLA + 16 Da] is hydroxymethyl carlactonoate (1'</w:instrText>
      </w:r>
      <w:r w:rsidR="00B94EC8">
        <w:rPr>
          <w:rFonts w:ascii="Cambria Math" w:hAnsi="Cambria Math" w:cs="Cambria Math"/>
          <w:color w:val="000000"/>
          <w:szCs w:val="24"/>
        </w:rPr>
        <w:instrText>‐</w:instrText>
      </w:r>
      <w:r w:rsidR="00B94EC8">
        <w:rPr>
          <w:color w:val="000000"/>
          <w:szCs w:val="24"/>
        </w:rPr>
        <w:instrText>HO</w:instrText>
      </w:r>
      <w:r w:rsidR="00B94EC8">
        <w:rPr>
          <w:rFonts w:ascii="Cambria Math" w:hAnsi="Cambria Math" w:cs="Cambria Math"/>
          <w:color w:val="000000"/>
          <w:szCs w:val="24"/>
        </w:rPr>
        <w:instrText>‐</w:instrText>
      </w:r>
      <w:r w:rsidR="00B94EC8">
        <w:rPr>
          <w:color w:val="000000"/>
          <w:szCs w:val="24"/>
        </w:rPr>
        <w:instrText>MeCLA). Importantly, this LBO metabolite was detected in plants. Interestingly, other related compounds, methyl 4</w:instrText>
      </w:r>
      <w:r w:rsidR="00B94EC8">
        <w:rPr>
          <w:rFonts w:ascii="Cambria Math" w:hAnsi="Cambria Math" w:cs="Cambria Math"/>
          <w:color w:val="000000"/>
          <w:szCs w:val="24"/>
        </w:rPr>
        <w:instrText>‐</w:instrText>
      </w:r>
      <w:r w:rsidR="00B94EC8">
        <w:rPr>
          <w:color w:val="000000"/>
          <w:szCs w:val="24"/>
        </w:rPr>
        <w:instrText>hydroxycarlactonoate (4</w:instrText>
      </w:r>
      <w:r w:rsidR="00B94EC8">
        <w:rPr>
          <w:rFonts w:ascii="Cambria Math" w:hAnsi="Cambria Math" w:cs="Cambria Math"/>
          <w:color w:val="000000"/>
          <w:szCs w:val="24"/>
        </w:rPr>
        <w:instrText>‐</w:instrText>
      </w:r>
      <w:r w:rsidR="00B94EC8">
        <w:rPr>
          <w:color w:val="000000"/>
          <w:szCs w:val="24"/>
        </w:rPr>
        <w:instrText>HO</w:instrText>
      </w:r>
      <w:r w:rsidR="00B94EC8">
        <w:rPr>
          <w:rFonts w:ascii="Cambria Math" w:hAnsi="Cambria Math" w:cs="Cambria Math"/>
          <w:color w:val="000000"/>
          <w:szCs w:val="24"/>
        </w:rPr>
        <w:instrText>‐</w:instrText>
      </w:r>
      <w:r w:rsidR="00B94EC8">
        <w:rPr>
          <w:color w:val="000000"/>
          <w:szCs w:val="24"/>
        </w:rPr>
        <w:instrText>MeCLA) and methyl 16</w:instrText>
      </w:r>
      <w:r w:rsidR="00B94EC8">
        <w:rPr>
          <w:rFonts w:ascii="Cambria Math" w:hAnsi="Cambria Math" w:cs="Cambria Math"/>
          <w:color w:val="000000"/>
          <w:szCs w:val="24"/>
        </w:rPr>
        <w:instrText>‐</w:instrText>
      </w:r>
      <w:r w:rsidR="00B94EC8">
        <w:rPr>
          <w:color w:val="000000"/>
          <w:szCs w:val="24"/>
        </w:rPr>
        <w:instrText>hydroxycarlactonoate (16</w:instrText>
      </w:r>
      <w:r w:rsidR="00B94EC8">
        <w:rPr>
          <w:rFonts w:ascii="Cambria Math" w:hAnsi="Cambria Math" w:cs="Cambria Math"/>
          <w:color w:val="000000"/>
          <w:szCs w:val="24"/>
        </w:rPr>
        <w:instrText>‐</w:instrText>
      </w:r>
      <w:r w:rsidR="00B94EC8">
        <w:rPr>
          <w:color w:val="000000"/>
          <w:szCs w:val="24"/>
        </w:rPr>
        <w:instrText>HO</w:instrText>
      </w:r>
      <w:r w:rsidR="00B94EC8">
        <w:rPr>
          <w:rFonts w:ascii="Cambria Math" w:hAnsi="Cambria Math" w:cs="Cambria Math"/>
          <w:color w:val="000000"/>
          <w:szCs w:val="24"/>
        </w:rPr>
        <w:instrText>‐</w:instrText>
      </w:r>
      <w:r w:rsidR="00B94EC8">
        <w:rPr>
          <w:color w:val="000000"/>
          <w:szCs w:val="24"/>
        </w:rPr>
        <w:instrText>MeCLA), were also found to accumulate in lbo mutants. 3</w:instrText>
      </w:r>
      <w:r w:rsidR="00B94EC8">
        <w:rPr>
          <w:rFonts w:ascii="Cambria Math" w:hAnsi="Cambria Math" w:cs="Cambria Math"/>
          <w:color w:val="000000"/>
          <w:szCs w:val="24"/>
        </w:rPr>
        <w:instrText>‐</w:instrText>
      </w:r>
      <w:r w:rsidR="00B94EC8">
        <w:rPr>
          <w:color w:val="000000"/>
          <w:szCs w:val="24"/>
        </w:rPr>
        <w:instrText>HO</w:instrText>
      </w:r>
      <w:r w:rsidR="00B94EC8">
        <w:rPr>
          <w:rFonts w:ascii="Cambria Math" w:hAnsi="Cambria Math" w:cs="Cambria Math"/>
          <w:color w:val="000000"/>
          <w:szCs w:val="24"/>
        </w:rPr>
        <w:instrText>‐</w:instrText>
      </w:r>
      <w:r w:rsidR="00B94EC8">
        <w:rPr>
          <w:color w:val="000000"/>
          <w:szCs w:val="24"/>
        </w:rPr>
        <w:instrText>, 4</w:instrText>
      </w:r>
      <w:r w:rsidR="00B94EC8">
        <w:rPr>
          <w:rFonts w:ascii="Cambria Math" w:hAnsi="Cambria Math" w:cs="Cambria Math"/>
          <w:color w:val="000000"/>
          <w:szCs w:val="24"/>
        </w:rPr>
        <w:instrText>‐</w:instrText>
      </w:r>
      <w:r w:rsidR="00B94EC8">
        <w:rPr>
          <w:color w:val="000000"/>
          <w:szCs w:val="24"/>
        </w:rPr>
        <w:instrText>HO</w:instrText>
      </w:r>
      <w:r w:rsidR="00B94EC8">
        <w:rPr>
          <w:rFonts w:ascii="Cambria Math" w:hAnsi="Cambria Math" w:cs="Cambria Math"/>
          <w:color w:val="000000"/>
          <w:szCs w:val="24"/>
        </w:rPr>
        <w:instrText>‐</w:instrText>
      </w:r>
      <w:r w:rsidR="00B94EC8">
        <w:rPr>
          <w:color w:val="000000"/>
          <w:szCs w:val="24"/>
        </w:rPr>
        <w:instrText>, and 16</w:instrText>
      </w:r>
      <w:r w:rsidR="00B94EC8">
        <w:rPr>
          <w:rFonts w:ascii="Cambria Math" w:hAnsi="Cambria Math" w:cs="Cambria Math"/>
          <w:color w:val="000000"/>
          <w:szCs w:val="24"/>
        </w:rPr>
        <w:instrText>‐</w:instrText>
      </w:r>
      <w:r w:rsidR="00B94EC8">
        <w:rPr>
          <w:color w:val="000000"/>
          <w:szCs w:val="24"/>
        </w:rPr>
        <w:instrText>HO</w:instrText>
      </w:r>
      <w:r w:rsidR="00B94EC8">
        <w:rPr>
          <w:rFonts w:ascii="Cambria Math" w:hAnsi="Cambria Math" w:cs="Cambria Math"/>
          <w:color w:val="000000"/>
          <w:szCs w:val="24"/>
        </w:rPr>
        <w:instrText>‐</w:instrText>
      </w:r>
      <w:r w:rsidR="00B94EC8">
        <w:rPr>
          <w:color w:val="000000"/>
          <w:szCs w:val="24"/>
        </w:rPr>
        <w:instrText>CL were detected in plants, but their expected corresponding metabolites, HO</w:instrText>
      </w:r>
      <w:r w:rsidR="00B94EC8">
        <w:rPr>
          <w:rFonts w:ascii="Cambria Math" w:hAnsi="Cambria Math" w:cs="Cambria Math"/>
          <w:color w:val="000000"/>
          <w:szCs w:val="24"/>
        </w:rPr>
        <w:instrText>‐</w:instrText>
      </w:r>
      <w:r w:rsidR="00B94EC8">
        <w:rPr>
          <w:color w:val="000000"/>
          <w:szCs w:val="24"/>
        </w:rPr>
        <w:instrText>CLAs, were absent in max1 mutants. These results suggest that HO</w:instrText>
      </w:r>
      <w:r w:rsidR="00B94EC8">
        <w:rPr>
          <w:rFonts w:ascii="Cambria Math" w:hAnsi="Cambria Math" w:cs="Cambria Math"/>
          <w:color w:val="000000"/>
          <w:szCs w:val="24"/>
        </w:rPr>
        <w:instrText>‐</w:instrText>
      </w:r>
      <w:r w:rsidR="00B94EC8">
        <w:rPr>
          <w:color w:val="000000"/>
          <w:szCs w:val="24"/>
        </w:rPr>
        <w:instrText>CL derivatives may be predominant SLs in Arabidopsis , produced through MAX1 and LBO.","author":[{"dropping-particle":"","family":"Yoneyama","given":"Kaori","non-dropping-particle":"","parse-names":false,"suffix":""},{"dropping-particle":"","family":"Akiyama","given":"Kohki","non-dropping-particle":"","parse-names":false,"suffix":""},{"dropping-particle":"","family":"Brewer","given":"Philip B.","non-dropping-particle":"","parse-names":false,"suffix":""},{"dropping-particle":"","family":"Mori","given":"Narumi","non-dropping-particle":"","parse-names":false,"suffix":""},{"dropping-particle":"","family":"Kawano</w:instrText>
      </w:r>
      <w:r w:rsidR="00B94EC8">
        <w:rPr>
          <w:rFonts w:ascii="Cambria Math" w:hAnsi="Cambria Math" w:cs="Cambria Math"/>
          <w:color w:val="000000"/>
          <w:szCs w:val="24"/>
        </w:rPr>
        <w:instrText>‐</w:instrText>
      </w:r>
      <w:r w:rsidR="00B94EC8">
        <w:rPr>
          <w:color w:val="000000"/>
          <w:szCs w:val="24"/>
        </w:rPr>
        <w:instrText>Kawada","given":"Miyuki","non-dropping-particle":"","parse-names":false,"suffix":""},{"dropping-particle":"","family":"Haruta","given":"Shinsuke","non-dropping-particle":"","parse-names":false,"suffix":""},{"dropping-particle":"","family":"Nishiwaki","given":"Hisashi","non-dropping-particle":"","parse-names":false,"suffix":""},{"dropping-particle":"","family":"Yamauchi","given":"Satoshi","non-dropping-particle":"","parse-names":false,"suffix":""},{"dropping-particle":"","family":"Xie","given":"Xiaonan","non-dropping-particle":"","parse-names":false,"suffix":""},{"dropping-particle":"","family":"Umehara","given":"Mikihisa","non-dropping-particle":"","parse-names":false,"suffix":""},{"dropping-particle":"","family":"Beveridge","given":"Christine A.","non-dropping-particle":"","parse-names":false,"suffix":""},{"dropping-particle":"","family":"Yoneyama","given":"Koichi","non-dropping-particle":"","parse-names":false,"suffix":""},{"dropping-particle":"","family":"Nomura","given":"Takahito","non-dropping-particle":"","parse-names":false,"suffix":""}],"container-title":"Plant Direct","id":"ITEM-1","issue":"5","issued":{"date-parts":[["2020","5","8"]]},"page":"1–14","title":"Hydroxyl carlactone derivatives are predominant strigolactones in Arabidopsis","type":"article-journal","volume":"4"},"uris":["http://www.mendeley.com/documents/?uuid=f75ca982-c53b-4eca-919b-20f6785997e7"]}],"mendeley":{"formattedCitation":"(Yoneyama et al., 2020)","plainTextFormattedCitation":"(Yoneyama et al., 2020)","previouslyFormattedCitation":"(Yoneyama et al., 2020)"},"properties":{"noteIndex":0},"schema":"https://github.com/citation-style-language/schema/raw/master/csl-citation.json"}</w:instrText>
      </w:r>
      <w:r w:rsidR="00A01B89">
        <w:rPr>
          <w:color w:val="000000"/>
          <w:szCs w:val="24"/>
        </w:rPr>
        <w:fldChar w:fldCharType="separate"/>
      </w:r>
      <w:r w:rsidR="00A01B89" w:rsidRPr="00A01B89">
        <w:rPr>
          <w:noProof/>
          <w:color w:val="000000"/>
          <w:szCs w:val="24"/>
        </w:rPr>
        <w:t>(Yoneyama et al., 2020)</w:t>
      </w:r>
      <w:r w:rsidR="00A01B89">
        <w:rPr>
          <w:color w:val="000000"/>
          <w:szCs w:val="24"/>
        </w:rPr>
        <w:fldChar w:fldCharType="end"/>
      </w:r>
      <w:r>
        <w:rPr>
          <w:color w:val="000000"/>
          <w:szCs w:val="24"/>
        </w:rPr>
        <w:t xml:space="preserve">. Intriguingly, a recent study in maize </w:t>
      </w:r>
      <w:r w:rsidR="00A01B89">
        <w:rPr>
          <w:color w:val="000000"/>
          <w:szCs w:val="24"/>
        </w:rPr>
        <w:t xml:space="preserve">which assessed SL biosynthesis in many cultivars, </w:t>
      </w:r>
      <w:r>
        <w:rPr>
          <w:color w:val="000000"/>
          <w:szCs w:val="24"/>
        </w:rPr>
        <w:t xml:space="preserve">demonstrated that SL biosynthesis is limited to non-canonical type SLs which have been shown to be exuded but these are also presumed to have a hormonal role </w:t>
      </w:r>
      <w:r>
        <w:rPr>
          <w:color w:val="000000"/>
          <w:szCs w:val="24"/>
        </w:rPr>
        <w:fldChar w:fldCharType="begin" w:fldLock="1"/>
      </w:r>
      <w:r w:rsidR="006068FB">
        <w:rPr>
          <w:color w:val="000000"/>
          <w:szCs w:val="24"/>
        </w:rPr>
        <w:instrText>ADDIN CSL_CITATION {"citationItems":[{"id":"ITEM-1","itemData":{"DOI":"10.1126/science.abq4775","ISSN":"0036-8075","abstract":"Maize ( Zea mays ) is a major staple crop in Africa, where its yield and the livelihood of millions are compromised by the parasitic witchweed Striga . Germination of Striga is induced by strigolactones exuded from maize roots into the rhizosphere. In a maize germplasm collection, we identified two strigolactones, zealactol and zealactonoic acid, which stimulate less Striga germination than the major maize strigolactone, zealactone. We then showed that a single cytochrome P450, ZmCYP706C37, catalyzes a series of oxidative steps in the maize-strigolactone biosynthetic pathway. Reduction in activity of this enzyme and two others involved in the pathway, ZmMAX1b and ZmCLAMT1, can change strigolactone composition and reduce Striga germination and infection. These results offer prospects for breeding Striga -resistant maize.","author":[{"dropping-particle":"","family":"Li","given":"C.","non-dropping-particle":"","parse-names":false,"suffix":""},{"dropping-particle":"","family":"Dong","given":"L.","non-dropping-particle":"","parse-names":false,"suffix":""},{"dropping-particle":"","family":"Durairaj","given":"J.","non-dropping-particle":"","parse-names":false,"suffix":""},{"dropping-particle":"","family":"Guan","given":"J.-C.","non-dropping-particle":"","parse-names":false,"suffix":""},{"dropping-particle":"","family":"Yoshimura","given":"M.","non-dropping-particle":"","parse-names":false,"suffix":""},{"dropping-particle":"","family":"Quinodoz","given":"P.","non-dropping-particle":"","parse-names":false,"suffix":""},{"dropping-particle":"","family":"Horber","given":"R.","non-dropping-particle":"","parse-names":false,"suffix":""},{"dropping-particle":"","family":"Gaus","given":"K.","non-dropping-particle":"","parse-names":false,"suffix":""},{"dropping-particle":"","family":"Li","given":"J.","non-dropping-particle":"","parse-names":false,"suffix":""},{"dropping-particle":"","family":"Setotaw","given":"Y. B.","non-dropping-particle":"","parse-names":false,"suffix":""},{"dropping-particle":"","family":"Qi","given":"J.","non-dropping-particle":"","parse-names":false,"suffix":""},{"dropping-particle":"","family":"Groote","given":"H.","non-dropping-particle":"De","parse-names":false,"suffix":""},{"dropping-particle":"","family":"Wang","given":"Y.","non-dropping-particle":"","parse-names":false,"suffix":""},{"dropping-particle":"","family":"Thiombiano","given":"B.","non-dropping-particle":"","parse-names":false,"suffix":""},{"dropping-particle":"","family":"Floková","given":"K.","non-dropping-particle":"","parse-names":false,"suffix":""},{"dropping-particle":"","family":"Walmsley","given":"A.","non-dropping-particle":"","parse-names":false,"suffix":""},{"dropping-particle":"V.","family":"Charnikhova","given":"T.","non-dropping-particle":"","parse-names":false,"suffix":""},{"dropping-particle":"","family":"Chojnacka","given":"A.","non-dropping-particle":"","parse-names":false,"suffix":""},{"dropping-particle":"","family":"Correia de Lemos","given":"S.","non-dropping-particle":"","parse-names":false,"suffix":""},{"dropping-particle":"","family":"Ding","given":"Y.","non-dropping-particle":"","parse-names":false,"suffix":""},{"dropping-particle":"","family":"Skibbe","given":"D.","non-dropping-particle":"","parse-names":false,"suffix":""},{"dropping-particle":"","family":"Hermann","given":"K.","non-dropping-particle":"","parse-names":false,"suffix":""},{"dropping-particle":"","family":"Screpanti","given":"C.","non-dropping-particle":"","parse-names":false,"suffix":""},{"dropping-particle":"","family":"Mesmaeker","given":"A.","non-dropping-particle":"De","parse-names":false,"suffix":""},{"dropping-particle":"","family":"Schmelz","given":"E. A.","non-dropping-particle":"","parse-names":false,"suffix":""},{"dropping-particle":"","family":"Menkir","given":"A.","non-dropping-particle":"","parse-names":false,"suffix":""},{"dropping-particle":"","family":"Medema","given":"M.","non-dropping-particle":"","parse-names":false,"suffix":""},{"dropping-particle":"","family":"Dijk","given":"A. D. J.","non-dropping-particle":"Van","parse-names":false,"suffix":""},{"dropping-particle":"","family":"Wu","given":"J.","non-dropping-particle":"","parse-names":false,"suffix":""},{"dropping-particle":"","family":"Koch","given":"K. E.","non-dropping-particle":"","parse-names":false,"suffix":""},{"dropping-particle":"","family":"Bouwmeester","given":"H. J.","non-dropping-particle":"","parse-names":false,"suffix":""}],"container-title":"Science","id":"ITEM-1","issue":"6627","issued":{"date-parts":[["2023","1","6"]]},"page":"94-99","publisher":"American Association for the Advancement of Science","title":"Maize resistance to witchweed through changes in strigolactone biosynthesis","type":"article-journal","volume":"379"},"uris":["http://www.mendeley.com/documents/?uuid=796d4761-9d8f-3947-a6d0-48e170bb6024"]}],"mendeley":{"formattedCitation":"(C. Li et al., 2023)","plainTextFormattedCitation":"(C. Li et al., 2023)","previouslyFormattedCitation":"(C. Li et al., 2023)"},"properties":{"noteIndex":0},"schema":"https://github.com/citation-style-language/schema/raw/master/csl-citation.json"}</w:instrText>
      </w:r>
      <w:r>
        <w:rPr>
          <w:color w:val="000000"/>
          <w:szCs w:val="24"/>
        </w:rPr>
        <w:fldChar w:fldCharType="separate"/>
      </w:r>
      <w:r w:rsidR="006068FB" w:rsidRPr="006068FB">
        <w:rPr>
          <w:noProof/>
          <w:color w:val="000000"/>
          <w:szCs w:val="24"/>
        </w:rPr>
        <w:t>(C. Li et al., 2023)</w:t>
      </w:r>
      <w:r>
        <w:rPr>
          <w:color w:val="000000"/>
          <w:szCs w:val="24"/>
        </w:rPr>
        <w:fldChar w:fldCharType="end"/>
      </w:r>
      <w:r>
        <w:rPr>
          <w:color w:val="000000"/>
          <w:szCs w:val="24"/>
        </w:rPr>
        <w:t xml:space="preserve">. Taken together, this illustrates that the functionality of SLs cannot be explained solely by their structural characteristics and there is still much to learn about their functions </w:t>
      </w:r>
      <w:r>
        <w:rPr>
          <w:color w:val="000000"/>
          <w:szCs w:val="24"/>
        </w:rPr>
        <w:fldChar w:fldCharType="begin" w:fldLock="1"/>
      </w:r>
      <w:r>
        <w:rPr>
          <w:color w:val="000000"/>
          <w:szCs w:val="24"/>
        </w:rPr>
        <w:instrText>ADDIN CSL_CITATION {"citationItems":[{"id":"ITEM-1","itemData":{"DOI":"10.1093/jxb/erad335","ISSN":"0022-0957","abstract":"The rhizosphere is a complex physical and chemical interface between plants and their underground environment, both biotic and abiotic. Plants exude large number of chemicals into the rhizosphere in order to manipulate these biotic and abiotic components. Among such chemicals are strigolactones, ancient signalling molecules that in flowering plants act as both internal hormones and external rhizosphere signals. Plants exude strigolactones to communicate with their preferred symbiotic partners and neighbouring plants, but at least some classes of parasitic organisms are able to ‘crack’ these private messages and eavesdrop on the signals. In this review, we examine the intentional consequences of strigolactone exudation, and also the unintentional consequences caused by eavesdroppers. We examine the molecular mechanisms by which strigolactones act within the rhizosphere, and attempt to understand the enigma of the strigolactone molecular diversity synthesised and exude into the rhizosphere by plants. We conclude by looking at the prospects of using improved understanding of strigolactones in agricultural contexts.","author":[{"dropping-particle":"","family":"Clark","given":"Jed","non-dropping-particle":"","parse-names":false,"suffix":""},{"dropping-particle":"","family":"Bennett","given":"Tom","non-dropping-particle":"","parse-names":false,"suffix":""}],"container-title":"Journal of Experimental Botany","id":"ITEM-1","issued":{"date-parts":[["2023","8","25"]]},"title":"Cracking the enigma: understanding strigolactone signalling in the rhizosphere","type":"article-journal"},"uris":["http://www.mendeley.com/documents/?uuid=223d5d7f-913a-477a-9b37-5f64d6024807"]}],"mendeley":{"formattedCitation":"(Clark and Bennett, 2023)","plainTextFormattedCitation":"(Clark and Bennett, 2023)","previouslyFormattedCitation":"(Clark and Bennett, 2023)"},"properties":{"noteIndex":0},"schema":"https://github.com/citation-style-language/schema/raw/master/csl-citation.json"}</w:instrText>
      </w:r>
      <w:r>
        <w:rPr>
          <w:color w:val="000000"/>
          <w:szCs w:val="24"/>
        </w:rPr>
        <w:fldChar w:fldCharType="separate"/>
      </w:r>
      <w:r w:rsidRPr="00A9713B">
        <w:rPr>
          <w:noProof/>
          <w:color w:val="000000"/>
          <w:szCs w:val="24"/>
        </w:rPr>
        <w:t>(Clark and Bennett, 2023)</w:t>
      </w:r>
      <w:r>
        <w:rPr>
          <w:color w:val="000000"/>
          <w:szCs w:val="24"/>
        </w:rPr>
        <w:fldChar w:fldCharType="end"/>
      </w:r>
      <w:r>
        <w:rPr>
          <w:color w:val="000000"/>
          <w:szCs w:val="24"/>
        </w:rPr>
        <w:t>. This diversity and the ability of some species to generate multiple different types of exuded SLs brings in to question why this might be and also if these exuded SLs may function in new ways not previously reported in the rhizosphere.</w:t>
      </w:r>
    </w:p>
    <w:p w14:paraId="32944A26" w14:textId="77777777" w:rsidR="009C0CC2" w:rsidRDefault="009C0CC2" w:rsidP="009C0CC2"/>
    <w:p w14:paraId="7466C57C" w14:textId="107EDC0E" w:rsidR="009C0CC2" w:rsidRDefault="009C0CC2" w:rsidP="00743E4C">
      <w:pPr>
        <w:pStyle w:val="Heading3"/>
      </w:pPr>
      <w:bookmarkStart w:id="21" w:name="_Toc154331432"/>
      <w:r w:rsidRPr="009C0CC2">
        <w:t>Strigolactone signalling</w:t>
      </w:r>
      <w:bookmarkEnd w:id="21"/>
    </w:p>
    <w:p w14:paraId="61612307" w14:textId="77777777" w:rsidR="009C0CC2" w:rsidRDefault="009C0CC2" w:rsidP="009C0CC2"/>
    <w:p w14:paraId="240D9FA8" w14:textId="74DDFF18" w:rsidR="009C0CC2" w:rsidRDefault="009C0CC2" w:rsidP="009C0CC2">
      <w:pPr>
        <w:spacing w:line="480" w:lineRule="auto"/>
        <w:rPr>
          <w:color w:val="000000"/>
          <w:szCs w:val="24"/>
        </w:rPr>
      </w:pPr>
      <w:r>
        <w:rPr>
          <w:color w:val="000000"/>
          <w:szCs w:val="24"/>
        </w:rPr>
        <w:t xml:space="preserve">An α/β hydrolase DWARF14 (D14) is the strigolactone receptor </w:t>
      </w:r>
      <w:r>
        <w:rPr>
          <w:color w:val="000000"/>
          <w:szCs w:val="24"/>
        </w:rPr>
        <w:fldChar w:fldCharType="begin" w:fldLock="1"/>
      </w:r>
      <w:r w:rsidR="006A6F36">
        <w:rPr>
          <w:color w:val="000000"/>
          <w:szCs w:val="24"/>
        </w:rPr>
        <w:instrText>ADDIN CSL_CITATION {"citationItems":[{"id":"ITEM-1","itemData":{"DOI":"10.1104/pp.112.196253","ISSN":"0032-0889","abstract":"Strigolactones (SLs) are carotenoid-derived plant hormones that regulate shoot branching, secondary growth, root development, and responses to soil phosphate. In Arabidopsis (Arabidopsis thaliana), SL biosynthesis requires the sequential action of two carotenoid cleavage dioxygenases, MORE AXILLARY GROWTH3 (MAX3) and MAX4, followed by a cytochrome P450, MAX1. In rice (Oryza sativa), the plastid-localized protein DWARF27 (OsD27) is also necessary for SL biosynthesis, but the equivalent gene in Arabidopsis has not been identified. Here, we use phylogenetic analysis of D27-like sequences from photosynthetic organisms to identify AtD27, the likely Arabidopsis ortholog of OsD27. Using reverse genetics, we show that AtD27 is required for the inhibition of secondary bud outgrowth and that exogenous application of the synthetic SL GR24 can rescue the increased branching phenotype of an Atd27 mutant. Furthermore, we use grafting to demonstrate that AtD27 operates on a nonmobile precursor upstream of MAX1 in the SL biosynthesis pathway. Consistent with the plastid localization of OsD27, we also show that AtD27 possesses a functional plastid transit peptide. We demonstrate that AtD27 transcripts are subject to both local feedback and auxin-dependent signals, albeit to a lesser extent than MAX3 and MAX4, suggesting that early steps in SL biosynthesis are coregulated at the transcriptional level. By identifying an additional component of the canonical SL biosynthesis pathway in Arabidopsis, we provide a new tool to investigate the regulation of shoot branching and other SLdependent developmental processes. © 2012 American Society of Plant Biologists. All Rights Reserved.","author":[{"dropping-particle":"","family":"Waters","given":"Mark T.","non-dropping-particle":"","parse-names":false,"suffix":""},{"dropping-particle":"","family":"Brewer","given":"Philip B.","non-dropping-particle":"","parse-names":false,"suffix":""},{"dropping-particle":"","family":"Bussell","given":"John D.","non-dropping-particle":"","parse-names":false,"suffix":""},{"dropping-particle":"","family":"Smith","given":"Steven M.","non-dropping-particle":"","parse-names":false,"suffix":""},{"dropping-particle":"","family":"Beveridge","given":"Christine A.","non-dropping-particle":"","parse-names":false,"suffix":""}],"container-title":"Plant Physiology","id":"ITEM-1","issue":"3","issued":{"date-parts":[["2012","7"]]},"page":"1073-1085","title":"The Arabidopsis ortholog of rice DWARF27 acts upstream of MAX1 in the control of plant development by strigolactones","type":"article-journal","volume":"159"},"uris":["http://www.mendeley.com/documents/?uuid=22faa4e9-51c9-3dd7-bfd6-a21258dd02e4"]},{"id":"ITEM-2","itemData":{"DOI":"10.1016/j.cub.2012.08.007","ISSN":"09609822","PMID":"22959345","abstract":"Strigolactones are a recently discovered class of plant hormone involved in branching, leaf senescence, root development, and plant-microbe interactions [1-6]. They are carotenoid-derived lactones, synthesized in the roots and transported acropetally to modulate axillary bud outgrowth (i.e., branching) [1, 2]. However, a receptor for strigolactones has not been identified. We have identified the DAD2 gene from petunia, an ortholog of the rice and Arabidopsis D14 genes, and present evidence for its roles in strigolactone perception and signaling. DAD2 acts in the strigolactone pathway, and the dad2 mutant is insensitive to the strigolactone analog GR24. The crystal structure of DAD2 reveals an α/β hydrolase fold containing a canonical catalytic triad with a large internal cavity capable of accommodating strigolactones. In the presence of GR24 DAD2 interacts with PhMAX2A, a central component of strigolactone signaling, in a GR24 concentration-dependent manner. DAD2 can hydrolyze GR24, with mutants of the catalytic triad abolishing both this activity and the ability of DAD2 to interact with PhMAX2A. The hydrolysis products can neither stimulate the protein-protein interaction nor modulate branching. These observations suggest that DAD2 acts to bind the mobile strigolactone signal and then interacts with PhMAX2A during catalysis to initiate an SCF-mediated signal transduction pathway. © 2012 Elsevier Ltd.","author":[{"dropping-particle":"","family":"Hamiaux","given":"Cyril","non-dropping-particle":"","parse-names":false,"suffix":""},{"dropping-particle":"","family":"Drummond","given":"Revel S.M.","non-dropping-particle":"","parse-names":false,"suffix":""},{"dropping-particle":"","family":"Janssen","given":"Bart J.","non-dropping-particle":"","parse-names":false,"suffix":""},{"dropping-particle":"","family":"Ledger","given":"Susan E.","non-dropping-particle":"","parse-names":false,"suffix":""},{"dropping-particle":"","family":"Cooney","given":"Janine M.","non-dropping-particle":"","parse-names":false,"suffix":""},{"dropping-particle":"","family":"Newcomb","given":"Richard D.","non-dropping-particle":"","parse-names":false,"suffix":""},{"dropping-particle":"","family":"Snowden","given":"Kimberley C.","non-dropping-particle":"","parse-names":false,"suffix":""}],"container-title":"Current Biology","id":"ITEM-2","issue":"21","issued":{"date-parts":[["2012","11","6"]]},"page":"2032-2036","publisher":"Cell Press","title":"DAD2 is an α/β hydrolase likely to be involved in the perception of the plant branching hormone, strigolactone","type":"article-journal","volume":"22"},"uris":["http://www.mendeley.com/documents/?uuid=fcafb4bb-0662-3959-8f8c-e1712bc5a2f5"]}],"mendeley":{"formattedCitation":"(Waters et al., 2012; Hamiaux et al., 2012)","plainTextFormattedCitation":"(Waters et al., 2012; Hamiaux et al., 2012)","previouslyFormattedCitation":"(Waters et al., 2012; Hamiaux et al., 2012)"},"properties":{"noteIndex":0},"schema":"https://github.com/citation-style-language/schema/raw/master/csl-citation.json"}</w:instrText>
      </w:r>
      <w:r>
        <w:rPr>
          <w:color w:val="000000"/>
          <w:szCs w:val="24"/>
        </w:rPr>
        <w:fldChar w:fldCharType="separate"/>
      </w:r>
      <w:r w:rsidRPr="00671546">
        <w:rPr>
          <w:noProof/>
          <w:color w:val="000000"/>
          <w:szCs w:val="24"/>
        </w:rPr>
        <w:t>(Waters et al., 2012; Hamiaux et al., 2012)</w:t>
      </w:r>
      <w:r>
        <w:rPr>
          <w:color w:val="000000"/>
          <w:szCs w:val="24"/>
        </w:rPr>
        <w:fldChar w:fldCharType="end"/>
      </w:r>
      <w:r>
        <w:rPr>
          <w:color w:val="000000"/>
          <w:szCs w:val="24"/>
        </w:rPr>
        <w:t xml:space="preserve"> and when bound to SL, this results in conformational change of the receptor leading to an association with an F-box protein (rice: D3, pea: RMS4 and Arabidopsis: MAX2) and members of the SMAX1-LIKE (SMXL) protein family (rice: D53, Arabidopsis: SMXL6/7/8 and pea: PsSMXL7) </w:t>
      </w:r>
      <w:r>
        <w:rPr>
          <w:color w:val="000000"/>
          <w:szCs w:val="24"/>
        </w:rPr>
        <w:fldChar w:fldCharType="begin" w:fldLock="1"/>
      </w:r>
      <w:r w:rsidR="00CE53CB">
        <w:rPr>
          <w:color w:val="000000"/>
          <w:szCs w:val="24"/>
        </w:rPr>
        <w:instrText>ADDIN CSL_CITATION {"citationItems":[{"id":"ITEM-1","itemData":{"DOI":"10.1038/nature12870","ISSN":"14764687","PMID":"24336200","abstract":"Strigolactones (SLs) are a group of newly identified plant hormones that control plant shoot branching. SL signalling requires the hormone-dependent interaction of DWARF 14 (D14), a probable candidate SL receptor, with DWARF 3 (D3), an F-box component of the Skp-Cullin-F-box (SCF) E3 ubiquitin ligase complex. Here we report the characterization of a dominant SL-insensitive rice (Oryza sativa) mutant dwarf 53 (d53) and the cloning of D53, which encodes a substrate of the SCF D3 ubiquitination complex and functions as a repressor of SL signalling. Treatments with GR24, a synthetic SL analogue, cause D53 degradation via the proteasome in a manner that requires D14 and the SCF D3 ubiquitin ligase, whereas the dominant form of D53 is resistant to SL-mediated degradation. Moreover, D53 can interact with transcriptional co-repressors known as TOPLESS-RELATED PROTEINS. Our results suggest a model of SL signalling that involves SL-dependent degradation of the D53 repressor mediated by the D14-D3 complex. © 2013 Macmillan Publishers Limited. All rights reserved.","author":[{"dropping-particle":"","family":"Jiang","given":"Liang","non-dropping-particle":"","parse-names":false,"suffix":""},{"dropping-particle":"","family":"Liu","given":"Xue","non-dropping-particle":"","parse-names":false,"suffix":""},{"dropping-particle":"","family":"Xiong","given":"Guosheng","non-dropping-particle":"","parse-names":false,"suffix":""},{"dropping-particle":"","family":"Liu","given":"Huihui","non-dropping-particle":"","parse-names":false,"suffix":""},{"dropping-particle":"","family":"Chen","given":"Fulu","non-dropping-particle":"","parse-names":false,"suffix":""},{"dropping-particle":"","family":"Wang","given":"Lei","non-dropping-particle":"","parse-names":false,"suffix":""},{"dropping-particle":"","family":"Meng","given":"Xiangbing","non-dropping-particle":"","parse-names":false,"suffix":""},{"dropping-particle":"","family":"Liu","given":"Guifu","non-dropping-particle":"","parse-names":false,"suffix":""},{"dropping-particle":"","family":"Yu","given":"Hong","non-dropping-particle":"","parse-names":false,"suffix":""},{"dropping-particle":"","family":"Yuan","given":"Yundong","non-dropping-particle":"","parse-names":false,"suffix":""},{"dropping-particle":"","family":"Yi","given":"Wei","non-dropping-particle":"","parse-names":false,"suffix":""},{"dropping-particle":"","family":"Zhao","given":"Lihua","non-dropping-particle":"","parse-names":false,"suffix":""},{"dropping-particle":"","family":"Ma","given":"Honglei","non-dropping-particle":"","parse-names":false,"suffix":""},{"dropping-particle":"","family":"He","given":"Yuanzheng","non-dropping-particle":"","parse-names":false,"suffix":""},{"dropping-particle":"","family":"Wu","given":"Zhongshan","non-dropping-particle":"","parse-names":false,"suffix":""},{"dropping-particle":"","family":"Melcher","given":"Karsten","non-dropping-particle":"","parse-names":false,"suffix":""},{"dropping-particle":"","family":"Qian","given":"Qian","non-dropping-particle":"","parse-names":false,"suffix":""},{"dropping-particle":"","family":"Xu","given":"H. Eric","non-dropping-particle":"","parse-names":false,"suffix":""},{"dropping-particle":"","family":"Wang","given":"Yonghong","non-dropping-particle":"","parse-names":false,"suffix":""},{"dropping-particle":"","family":"Li","given":"Jiayang","non-dropping-particle":"","parse-names":false,"suffix":""}],"container-title":"Nature","id":"ITEM-1","issue":"7480","issued":{"date-parts":[["2013"]]},"page":"401-405","publisher":"Nature Publishing Group","title":"DWARF 53 acts as a repressor of strigolactone signalling in rice","type":"article-journal","volume":"504"},"uris":["http://www.mendeley.com/documents/?uuid=c99e17c1-ea96-4a85-bd9f-22ee7a881344"]},{"id":"ITEM-2","itemData":{"DOI":"10.1105/tpc.15.00562","ISSN":"1532298X","abstract":"The plant hormones strigolactones and smoke-derived karrikins are butenolide signals that control distinct aspects of plant development. Perception of both molecules in Arabidopsis thaliana requires the F-box protein MORE AXILLARY GROWTH2 (MAX2). Recent studies suggest that the homologous SUPPRESSOR OF MAX2 1 (SMAX1) in Arabidopsis and DWARF53 (D53) in rice (Oryza sativa) are downstream targets of MAX2. Through an extensive analysis of loss-of-function mutants, we demonstrate that the Arabidopsis SMAX1-LIKE genes SMXL6, SMXL7, and SMXL8 are co-orthologs of rice D53 that promote shoot branching. SMXL7 is degraded rapidly after treatment with the synthetic strigolactone mixture rac-GR24. Like D53, SMXL7 degradation is MAX2- and D14-dependent and can be prevented by deletion of a putative P-loop. Loss of SMXL6,7,8 suppresses several other strigolactone-related phenotypes in max2, including increased auxin transport and PIN1 accumulation, and increased lateral root density. Although only SMAX1 regulates germination and hypocotyl elongation, SMAX1 and SMXL6,7,8 have complementary roles in the control of leaf morphology. Our data indicate that SMAX1 and SMXL6,7,8 repress karrikin and strigolactone signaling, respectively, and suggest that all MAX2-dependent growth effects are mediated by degradation of SMAX1/SMXL proteins. We propose that functional diversification within the SMXL family enabled responses to different butenolide signals through a shared regulatory mechanism.","author":[{"dropping-particle":"","family":"Soundappan","given":"Ishwarya","non-dropping-particle":"","parse-names":false,"suffix":""},{"dropping-particle":"","family":"Bennett","given":"Tom","non-dropping-particle":"","parse-names":false,"suffix":""},{"dropping-particle":"","family":"Morffy","given":"Nicholas","non-dropping-particle":"","parse-names":false,"suffix":""},{"dropping-particle":"","family":"Liang","given":"Yueyang","non-dropping-particle":"","parse-names":false,"suffix":""},{"dropping-particle":"","family":"Stanga","given":"John P.","non-dropping-particle":"","parse-names":false,"suffix":""},{"dropping-particle":"","family":"Abbas","given":"Amena","non-dropping-particle":"","parse-names":false,"suffix":""},{"dropping-particle":"","family":"Leyser","given":"Ottoline","non-dropping-particle":"","parse-names":false,"suffix":""},{"dropping-particle":"","family":"Nelsona","given":"David C.","non-dropping-particle":"","parse-names":false,"suffix":""}],"container-title":"Plant Cell","id":"ITEM-2","issue":"11","issued":{"date-parts":[["2015","11","1"]]},"page":"3143-3159","publisher":"American Society of Plant Biologists","title":"SMAX1-LIKE/D53 family members enable distinct MAX2-dependent responses to strigolactones and karrikins in arabidopsis","type":"article-journal","volume":"27"},"uris":["http://www.mendeley.com/documents/?uuid=21c7bb8d-d13f-41f6-a9c7-dda95e6681f1"]},{"id":"ITEM-3","itemData":{"DOI":"10.1111/tpj.15415","ISSN":"1365313X","PMID":"34245626","abstract":"DWARF53 (D53) in rice (Oryza sativa) and its homologs in Arabidopsis (Arabidopsis thaliana), SUPPRESSOR OF MAX2-LIKE 6 (SMXL6), SMXL7 and SMXL8, are well established negative regulators of strigolactone (SL) signalling in shoot branching regulation. Little is known of pea (Pisum sativum) homologs and whether D53 and related SMXLs are specific to SL signalling pathways. Here, we identify two allelic pea mutants, dormant3 (dor3), and demonstrate through gene mapping and sequencing that DOR3 corresponds to a homolog of D53 and SMXL6/SMXL7, designated PsSMXL7. Phenotype analysis, gene expression, protein and hormone quantification assays were performed to determine the role of PsSMXL7 in regulation of bud outgrowth and the role of PsSMXL7 and D53 in integrating SL and cytokinin (CK) responses. Like D53 and related SMXLs, we show that PsSMXL7 can be degraded by SL and induces feedback upregulation of PsSMXL7 transcript. Here we reveal a system conserved in pea and rice, whereby CK also upregulates PsSMXL7/D53 transcripts, providing a clear mechanism for SL and CK cross-talk in the regulation of branching. To further deepen our understanding of the branching network in pea, we provide evidence that SL acts via PsSMXL7 to modulate auxin content via PsAFB5, which itself regulates expression of SL biosynthesis genes. We therefore show that PsSMXL7 is key to a triple hormone network involving an auxin–SL feedback mechanism and SL–CK cross-talk.","author":[{"dropping-particle":"","family":"Kerr","given":"Stephanie C.","non-dropping-particle":"","parse-names":false,"suffix":""},{"dropping-particle":"","family":"Patil","given":"Suyash B.","non-dropping-particle":"","parse-names":false,"suffix":""},{"dropping-particle":"","family":"Saint Germain","given":"Alexandre","non-dropping-particle":"de","parse-names":false,"suffix":""},{"dropping-particle":"","family":"Pillot","given":"Jean Paul","non-dropping-particle":"","parse-names":false,"suffix":""},{"dropping-particle":"","family":"Saffar","given":"Julie","non-dropping-particle":"","parse-names":false,"suffix":""},{"dropping-particle":"","family":"Ligerot","given":"Yasmine","non-dropping-particle":"","parse-names":false,"suffix":""},{"dropping-particle":"","family":"Aubert","given":"Grégoire","non-dropping-particle":"","parse-names":false,"suffix":""},{"dropping-particle":"","family":"Citerne","given":"Sylvie","non-dropping-particle":"","parse-names":false,"suffix":""},{"dropping-particle":"","family":"Bellec","given":"Yannick","non-dropping-particle":"","parse-names":false,"suffix":""},{"dropping-particle":"","family":"Dun","given":"Elizabeth A.","non-dropping-particle":"","parse-names":false,"suffix":""},{"dropping-particle":"","family":"Beveridge","given":"Christine A.","non-dropping-particle":"","parse-names":false,"suffix":""},{"dropping-particle":"","family":"Rameau","given":"Catherine","non-dropping-particle":"","parse-names":false,"suffix":""}],"container-title":"Plant Journal","id":"ITEM-3","issue":"6","issued":{"date-parts":[["2021"]]},"page":"1756-1770","title":"Integration of the SMXL/D53 strigolactone signalling repressors in the model of shoot branching regulation in Pisum sativum","type":"article-journal","volume":"107"},"uris":["http://www.mendeley.com/documents/?uuid=4e6af64e-d406-4fba-addd-c4712dde6ee2"]},{"id":"ITEM-4","itemData":{"DOI":"10.1146/annurev-arplant-042916-040925","ISSN":"1543-5008","PMID":"28125281","abstract":"Strigolactones are a structurally diverse class of plant hormones that con- trol many aspects of shoot and root growth. Strigolactones are also exuded by plants into the rhizosphere, where they promote symbiotic interac- tions with arbuscular mycorrhizal fungi and germination of root parasitic plants in the Orobanchaceae family. Therefore, understanding how strigo- lactones are made, transported, and perceived may lead to agricultural innovations as well as a deeper knowledge of how plants function. Sub- stantial progress has been made in these areas over the past decade. In this review, we focus on the molecular mechanisms, core developmental roles, and evolutionary history of strigolactone signaling. We also propose poten- tial translational applications of strigolactone research to agriculture.","author":[{"dropping-particle":"","family":"Waters","given":"Mark T.","non-dropping-particle":"","parse-names":false,"suffix":""},{"dropping-particle":"","family":"Gutjahr","given":"Caroline","non-dropping-particle":"","parse-names":false,"suffix":""},{"dropping-particle":"","family":"Bennett","given":"Tom","non-dropping-particle":"","parse-names":false,"suffix":""},{"dropping-particle":"","family":"Nelson","given":"David C.","non-dropping-particle":"","parse-names":false,"suffix":""}],"container-title":"Annual Review of Plant Biology","id":"ITEM-4","issue":"1","issued":{"date-parts":[["2017","4","28"]]},"page":"291-322","publisher":"Annual Reviews","title":"Strigolactone signaling and evolution","type":"article-journal","volume":"68"},"uris":["http://www.mendeley.com/documents/?uuid=2ff4fa40-4212-3ef4-a9ee-7b110eaa8e01"]}],"mendeley":{"formattedCitation":"(Jiang et al., 2013; Soundappan et al., 2015; Waters et al., 2017; Kerr et al., 2021)","plainTextFormattedCitation":"(Jiang et al., 2013; Soundappan et al., 2015; Waters et al., 2017; Kerr et al., 2021)","previouslyFormattedCitation":"(Jiang et al., 2013; Soundappan et al., 2015; Waters et al., 2017; Kerr et al., 2021)"},"properties":{"noteIndex":0},"schema":"https://github.com/citation-style-language/schema/raw/master/csl-citation.json"}</w:instrText>
      </w:r>
      <w:r>
        <w:rPr>
          <w:color w:val="000000"/>
          <w:szCs w:val="24"/>
        </w:rPr>
        <w:fldChar w:fldCharType="separate"/>
      </w:r>
      <w:r w:rsidR="006264CA" w:rsidRPr="006264CA">
        <w:rPr>
          <w:noProof/>
          <w:color w:val="000000"/>
          <w:szCs w:val="24"/>
        </w:rPr>
        <w:t>(Jiang et al., 2013; Soundappan et al., 2015; Waters et al., 2017; Kerr et al., 2021)</w:t>
      </w:r>
      <w:r>
        <w:rPr>
          <w:color w:val="000000"/>
          <w:szCs w:val="24"/>
        </w:rPr>
        <w:fldChar w:fldCharType="end"/>
      </w:r>
      <w:r>
        <w:rPr>
          <w:color w:val="000000"/>
          <w:szCs w:val="24"/>
        </w:rPr>
        <w:t xml:space="preserve">. This association triggers proteolysis and ubiquitination of SMXLs and subsequent degradation of SL by hydrolytic activity of the D14 receptor </w:t>
      </w:r>
      <w:r>
        <w:rPr>
          <w:color w:val="000000"/>
          <w:szCs w:val="24"/>
        </w:rPr>
        <w:fldChar w:fldCharType="begin" w:fldLock="1"/>
      </w:r>
      <w:r w:rsidR="00334E10">
        <w:rPr>
          <w:color w:val="000000"/>
          <w:szCs w:val="24"/>
        </w:rPr>
        <w:instrText>ADDIN CSL_CITATION {"citationItems":[{"id":"ITEM-1","itemData":{"DOI":"10.1038/s41467-018-08124-7","ISSN":"2041-1723","PMID":"30643123","abstract":"The perception mechanism for the strigolactone (SL) class of plant hormones has been a subject of debate because their receptor, DWARF14 (D14), is an α/β-hydrolase that can cleave SLs. Here we show via time-course analyses of SL binding and hydrolysis by Arabidopsis thaliana D14, that the level of uncleaved SL strongly correlates with the induction of the active signaling state. In addition, we show that an AtD14 D218A catalytic mutant that lacks enzymatic activity is still able to complement the atd14 mutant phenotype in an SL-dependent manner. We conclude that the intact SL molecules trigger the D14 active signaling state, and we also describe that D14 deactivates bioactive SLs by the hydrolytic degradation after signal transmission. Together, these results reveal that D14 is a dual-functional receptor, responsible for both the perception and deactivation of bioactive SLs.","author":[{"dropping-particle":"","family":"Seto","given":"Yoshiya","non-dropping-particle":"","parse-names":false,"suffix":""},{"dropping-particle":"","family":"Yasui","given":"Rei","non-dropping-particle":"","parse-names":false,"suffix":""},{"dropping-particle":"","family":"Kameoka","given":"Hiromu","non-dropping-particle":"","parse-names":false,"suffix":""},{"dropping-particle":"","family":"Tamiru","given":"Muluneh","non-dropping-particle":"","parse-names":false,"suffix":""},{"dropping-particle":"","family":"Cao","given":"Mengmeng","non-dropping-particle":"","parse-names":false,"suffix":""},{"dropping-particle":"","family":"Terauchi","given":"Ryohei","non-dropping-particle":"","parse-names":false,"suffix":""},{"dropping-particle":"","family":"Sakurada","given":"Akane","non-dropping-particle":"","parse-names":false,"suffix":""},{"dropping-particle":"","family":"Hirano","given":"Rena","non-dropping-particle":"","parse-names":false,"suffix":""},{"dropping-particle":"","family":"Kisugi","given":"Takaya","non-dropping-particle":"","parse-names":false,"suffix":""},{"dropping-particle":"","family":"Hanada","given":"Atsushi","non-dropping-particle":"","parse-names":false,"suffix":""},{"dropping-particle":"","family":"Umehara","given":"Mikihisa","non-dropping-particle":"","parse-names":false,"suffix":""},{"dropping-particle":"","family":"Seo","given":"Eunjoo","non-dropping-particle":"","parse-names":false,"suffix":""},{"dropping-particle":"","family":"Akiyama","given":"Kohki","non-dropping-particle":"","parse-names":false,"suffix":""},{"dropping-particle":"","family":"Burke","given":"Jason","non-dropping-particle":"","parse-names":false,"suffix":""},{"dropping-particle":"","family":"Takeda-Kamiya","given":"Noriko","non-dropping-particle":"","parse-names":false,"suffix":""},{"dropping-particle":"","family":"Li","given":"Weiqiang","non-dropping-particle":"","parse-names":false,"suffix":""},{"dropping-particle":"","family":"Hirano","given":"Yoshinori","non-dropping-particle":"","parse-names":false,"suffix":""},{"dropping-particle":"","family":"Hakoshima","given":"Toshio","non-dropping-particle":"","parse-names":false,"suffix":""},{"dropping-particle":"","family":"Mashiguchi","given":"Kiyoshi","non-dropping-particle":"","parse-names":false,"suffix":""},{"dropping-particle":"","family":"Noel","given":"Joseph P.","non-dropping-particle":"","parse-names":false,"suffix":""},{"dropping-particle":"","family":"Kyozuka","given":"Junko","non-dropping-particle":"","parse-names":false,"suffix":""},{"dropping-particle":"","family":"Yamaguchi","given":"Shinjiro","non-dropping-particle":"","parse-names":false,"suffix":""}],"container-title":"Nature Communications","id":"ITEM-1","issue":"1","issued":{"date-parts":[["2019","1","14"]]},"page":"191","publisher":"Springer US","title":"Strigolactone perception and deactivation by a hydrolase receptor DWARF14","type":"article-journal","volume":"10"},"uris":["http://www.mendeley.com/documents/?uuid=6a0bc513-7acb-4f1b-b197-1af1ebe28c46"]}],"mendeley":{"formattedCitation":"(Seto et al., 2019)","plainTextFormattedCitation":"(Seto et al., 2019)","previouslyFormattedCitation":"(Seto et al., 2019)"},"properties":{"noteIndex":0},"schema":"https://github.com/citation-style-language/schema/raw/master/csl-citation.json"}</w:instrText>
      </w:r>
      <w:r>
        <w:rPr>
          <w:color w:val="000000"/>
          <w:szCs w:val="24"/>
        </w:rPr>
        <w:fldChar w:fldCharType="separate"/>
      </w:r>
      <w:r w:rsidRPr="00107CF9">
        <w:rPr>
          <w:noProof/>
          <w:color w:val="000000"/>
          <w:szCs w:val="24"/>
        </w:rPr>
        <w:t>(Seto et al., 2019)</w:t>
      </w:r>
      <w:r>
        <w:rPr>
          <w:color w:val="000000"/>
          <w:szCs w:val="24"/>
        </w:rPr>
        <w:fldChar w:fldCharType="end"/>
      </w:r>
      <w:r>
        <w:rPr>
          <w:color w:val="000000"/>
          <w:szCs w:val="24"/>
        </w:rPr>
        <w:t xml:space="preserve"> (Fig. 1.2).</w:t>
      </w:r>
    </w:p>
    <w:p w14:paraId="4049610B" w14:textId="389582B2" w:rsidR="009C0CC2" w:rsidRDefault="009C0CC2" w:rsidP="009C0CC2">
      <w:r>
        <w:rPr>
          <w:noProof/>
        </w:rPr>
        <w:lastRenderedPageBreak/>
        <w:drawing>
          <wp:anchor distT="0" distB="0" distL="114300" distR="114300" simplePos="0" relativeHeight="251474432" behindDoc="0" locked="0" layoutInCell="1" allowOverlap="1" wp14:anchorId="11E4D922" wp14:editId="401B5A86">
            <wp:simplePos x="0" y="0"/>
            <wp:positionH relativeFrom="column">
              <wp:posOffset>-31806</wp:posOffset>
            </wp:positionH>
            <wp:positionV relativeFrom="paragraph">
              <wp:posOffset>60850</wp:posOffset>
            </wp:positionV>
            <wp:extent cx="3355571" cy="2781993"/>
            <wp:effectExtent l="0" t="0" r="0" b="0"/>
            <wp:wrapSquare wrapText="bothSides"/>
            <wp:docPr id="11225477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47783" name="Picture 112254778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55571" cy="2781993"/>
                    </a:xfrm>
                    <a:prstGeom prst="rect">
                      <a:avLst/>
                    </a:prstGeom>
                  </pic:spPr>
                </pic:pic>
              </a:graphicData>
            </a:graphic>
          </wp:anchor>
        </w:drawing>
      </w:r>
    </w:p>
    <w:p w14:paraId="1A883ACC" w14:textId="0D23B8F7" w:rsidR="009C0CC2" w:rsidRDefault="009C0CC2" w:rsidP="009C0CC2"/>
    <w:p w14:paraId="496FFE60" w14:textId="10B6317F" w:rsidR="009C0CC2" w:rsidRDefault="009C0CC2" w:rsidP="009C0CC2"/>
    <w:p w14:paraId="1F810BC9" w14:textId="77777777" w:rsidR="009C0CC2" w:rsidRDefault="009C0CC2" w:rsidP="009C0CC2"/>
    <w:p w14:paraId="6D067882" w14:textId="77777777" w:rsidR="009C0CC2" w:rsidRDefault="009C0CC2" w:rsidP="009C0CC2"/>
    <w:p w14:paraId="2D76FBB6" w14:textId="77777777" w:rsidR="009C0CC2" w:rsidRDefault="009C0CC2" w:rsidP="009C0CC2"/>
    <w:p w14:paraId="3A4A137F" w14:textId="77777777" w:rsidR="009C0CC2" w:rsidRDefault="009C0CC2" w:rsidP="009C0CC2"/>
    <w:p w14:paraId="53FDBDBD" w14:textId="77777777" w:rsidR="009C0CC2" w:rsidRDefault="009C0CC2" w:rsidP="009C0CC2"/>
    <w:p w14:paraId="61BDE5E2" w14:textId="77777777" w:rsidR="009C0CC2" w:rsidRDefault="009C0CC2" w:rsidP="009C0CC2"/>
    <w:p w14:paraId="375781E2" w14:textId="77777777" w:rsidR="009C0CC2" w:rsidRDefault="009C0CC2" w:rsidP="009C0CC2"/>
    <w:p w14:paraId="0603B7AF" w14:textId="0213D0FC" w:rsidR="009C0CC2" w:rsidRDefault="009C0CC2" w:rsidP="009C0CC2">
      <w:pPr>
        <w:pStyle w:val="Caption"/>
      </w:pPr>
      <w:bookmarkStart w:id="22" w:name="_Toc146657525"/>
      <w:bookmarkStart w:id="23" w:name="_Toc154331526"/>
      <w:r>
        <w:t xml:space="preserve">Figure </w:t>
      </w:r>
      <w:r w:rsidR="003F6721">
        <w:t>1</w:t>
      </w:r>
      <w:r w:rsidR="0004291F">
        <w:t>.</w:t>
      </w:r>
      <w:fldSimple w:instr=" SEQ Figure \* ARABIC \s 1 ">
        <w:r w:rsidR="004B7F70">
          <w:rPr>
            <w:noProof/>
          </w:rPr>
          <w:t>2</w:t>
        </w:r>
      </w:fldSimple>
      <w:r>
        <w:t xml:space="preserve"> </w:t>
      </w:r>
      <w:r w:rsidRPr="008133D8">
        <w:t>Strigolactone signalling pathway</w:t>
      </w:r>
      <w:bookmarkEnd w:id="22"/>
      <w:bookmarkEnd w:id="23"/>
    </w:p>
    <w:p w14:paraId="4FD08C72" w14:textId="1BD6BE34" w:rsidR="009C0CC2" w:rsidRDefault="009C0CC2" w:rsidP="009C0CC2">
      <w:pPr>
        <w:pStyle w:val="Description"/>
      </w:pPr>
      <w:r>
        <w:t xml:space="preserve">A simplified diagram of the SL signalling pathway in </w:t>
      </w:r>
      <w:r w:rsidRPr="003E4337">
        <w:rPr>
          <w:i/>
          <w:iCs/>
        </w:rPr>
        <w:t>Pisum sativum</w:t>
      </w:r>
      <w:r w:rsidRPr="003E4337">
        <w:t xml:space="preserve"> (pea), </w:t>
      </w:r>
      <w:r w:rsidRPr="003E4337">
        <w:rPr>
          <w:i/>
          <w:iCs/>
        </w:rPr>
        <w:t>Oryza sativa</w:t>
      </w:r>
      <w:r w:rsidRPr="003E4337">
        <w:t xml:space="preserve"> </w:t>
      </w:r>
      <w:r w:rsidR="00C42DCD">
        <w:t xml:space="preserve">(rice) </w:t>
      </w:r>
      <w:r w:rsidRPr="003E4337">
        <w:t xml:space="preserve">and </w:t>
      </w:r>
      <w:r w:rsidRPr="003E4337">
        <w:rPr>
          <w:i/>
          <w:iCs/>
        </w:rPr>
        <w:t>Arabidopsis thaliana</w:t>
      </w:r>
      <w:r w:rsidRPr="003E4337">
        <w:t xml:space="preserve"> (Arabidopsis). Pea genes are shown in green, rice in red and Arabidopsis in purple</w:t>
      </w:r>
      <w:r w:rsidR="00C42DCD">
        <w:t>.</w:t>
      </w:r>
    </w:p>
    <w:p w14:paraId="0EA8CE54" w14:textId="0B956221" w:rsidR="009C0CC2" w:rsidRDefault="009C0CC2" w:rsidP="009C0CC2">
      <w:pPr>
        <w:pStyle w:val="Description"/>
      </w:pPr>
      <w:r>
        <w:t xml:space="preserve">Modified from Wheeldon et al (2022) and </w:t>
      </w:r>
      <w:r w:rsidR="00D023C5">
        <w:t xml:space="preserve">supplemented with further detail from </w:t>
      </w:r>
      <w:r>
        <w:t>the companion paper Yoneyama et al (2022)</w:t>
      </w:r>
      <w:r w:rsidR="006264CA">
        <w:t>. Additional detail from Waters et al (2017).</w:t>
      </w:r>
    </w:p>
    <w:p w14:paraId="2A129683" w14:textId="77777777" w:rsidR="009C0CC2" w:rsidRDefault="009C0CC2" w:rsidP="009C0CC2">
      <w:pPr>
        <w:pStyle w:val="Description"/>
      </w:pPr>
    </w:p>
    <w:p w14:paraId="6D656713" w14:textId="1122B8E3" w:rsidR="009C0CC2" w:rsidRDefault="009C0CC2" w:rsidP="00743E4C">
      <w:pPr>
        <w:pStyle w:val="Heading3"/>
      </w:pPr>
      <w:bookmarkStart w:id="24" w:name="_Toc154331433"/>
      <w:r w:rsidRPr="009C0CC2">
        <w:t>Could strigolactones have other roles in the rhizosphere?</w:t>
      </w:r>
      <w:bookmarkEnd w:id="24"/>
    </w:p>
    <w:p w14:paraId="37C06682" w14:textId="77777777" w:rsidR="005A5D3A" w:rsidRPr="005A5D3A" w:rsidRDefault="005A5D3A" w:rsidP="005A5D3A"/>
    <w:p w14:paraId="0608A47B" w14:textId="77D30BB5" w:rsidR="009C0CC2" w:rsidRDefault="009C0CC2" w:rsidP="009C0CC2">
      <w:pPr>
        <w:spacing w:line="480" w:lineRule="auto"/>
        <w:rPr>
          <w:szCs w:val="24"/>
        </w:rPr>
      </w:pPr>
      <w:r>
        <w:rPr>
          <w:szCs w:val="24"/>
        </w:rPr>
        <w:t>The broad spectrum of different SLs exuded by many species into the rhizosphere could mean the</w:t>
      </w:r>
      <w:r w:rsidR="006264CA">
        <w:rPr>
          <w:szCs w:val="24"/>
        </w:rPr>
        <w:t>y</w:t>
      </w:r>
      <w:r>
        <w:rPr>
          <w:szCs w:val="24"/>
        </w:rPr>
        <w:t xml:space="preserve"> have other roles aside from as signals to AMF. One such possibility is that SLs could act as </w:t>
      </w:r>
      <w:r w:rsidR="002E33C4">
        <w:rPr>
          <w:szCs w:val="24"/>
        </w:rPr>
        <w:t>plant-</w:t>
      </w:r>
      <w:r>
        <w:rPr>
          <w:szCs w:val="24"/>
        </w:rPr>
        <w:t xml:space="preserve">to-plant signalling molecules. This has previously been suggested in the moss </w:t>
      </w:r>
      <w:r w:rsidRPr="00D9227E">
        <w:rPr>
          <w:i/>
          <w:iCs/>
          <w:szCs w:val="24"/>
        </w:rPr>
        <w:t>Physcomit</w:t>
      </w:r>
      <w:r>
        <w:rPr>
          <w:i/>
          <w:iCs/>
          <w:szCs w:val="24"/>
        </w:rPr>
        <w:t>rium</w:t>
      </w:r>
      <w:r w:rsidRPr="00D9227E">
        <w:rPr>
          <w:i/>
          <w:iCs/>
          <w:szCs w:val="24"/>
        </w:rPr>
        <w:t xml:space="preserve"> patens</w:t>
      </w:r>
      <w:r>
        <w:rPr>
          <w:szCs w:val="24"/>
        </w:rPr>
        <w:t xml:space="preserve"> where moss mutants in the CCD8 biosynthesis enzyme are seen to grow close and, in some cases, overlap with other </w:t>
      </w:r>
      <w:r w:rsidRPr="00601738">
        <w:rPr>
          <w:i/>
          <w:iCs/>
          <w:szCs w:val="24"/>
        </w:rPr>
        <w:t>ccd8</w:t>
      </w:r>
      <w:r>
        <w:rPr>
          <w:szCs w:val="24"/>
        </w:rPr>
        <w:t xml:space="preserve"> mutant colonies </w:t>
      </w:r>
      <w:r>
        <w:rPr>
          <w:szCs w:val="24"/>
        </w:rPr>
        <w:fldChar w:fldCharType="begin" w:fldLock="1"/>
      </w:r>
      <w:r>
        <w:rPr>
          <w:szCs w:val="24"/>
        </w:rPr>
        <w:instrText>ADDIN CSL_CITATION {"citationItems":[{"id":"ITEM-1","itemData":{"DOI":"10.1242/dev.058495","ISSN":"1477-9129","PMID":"21367820","abstract":"Strigolactones are a novel class of plant hormones controlling shoot branching in seed plants. They also signal host root proximity during symbiotic and parasitic interactions. To gain a better understanding of the origin of strigolactone functions, we characterised a moss mutant strongly affected in strigolactone biosynthesis following deletion of the CAROTENOID CLEAVAGE DIOXYGENASE 8 (CCD8) gene. Here, we show that wild-type Physcomitrella patens produces and releases strigolactones into the medium where they control branching of protonemal filaments and colony extension. We further show that Ppccd8 mutant colonies fail to sense the proximity of neighbouring colonies, which in wild-type plants causes the arrest of colony extension. The mutant phenotype is rescued when grown in the proximity of wild-type colonies, by exogenous supply of synthetic strigolactones or by ectopic expression of seed plant CCD8. Thus, our data demonstrate for the first time that Bryophytes (P. patens) produce strigolactones that act as signalling factors controlling developmental and potentially ecophysiological processes. We propose that in P. patens, strigolactones are reminiscent of quorum-sensing molecules used by bacteria to communicate with one another.","author":[{"dropping-particle":"","family":"Proust","given":"Hélène","non-dropping-particle":"","parse-names":false,"suffix":""},{"dropping-particle":"","family":"Hoffmann","given":"Beate","non-dropping-particle":"","parse-names":false,"suffix":""},{"dropping-particle":"","family":"Xie","given":"Xiaonan","non-dropping-particle":"","parse-names":false,"suffix":""},{"dropping-particle":"","family":"Yoneyama","given":"Kaori","non-dropping-particle":"","parse-names":false,"suffix":""},{"dropping-particle":"","family":"Schaefer","given":"Didier G","non-dropping-particle":"","parse-names":false,"suffix":""},{"dropping-particle":"","family":"Yoneyama","given":"Koichi","non-dropping-particle":"","parse-names":false,"suffix":""},{"dropping-particle":"","family":"Nogué","given":"Fabien","non-dropping-particle":"","parse-names":false,"suffix":""},{"dropping-particle":"","family":"Rameau","given":"Catherine","non-dropping-particle":"","parse-names":false,"suffix":""}],"container-title":"Development (Cambridge, England)","id":"ITEM-1","issue":"8","issued":{"date-parts":[["2011","4","15"]]},"page":"1531-1539","publisher":"Oxford University Press for The Company of Biologists Limited","title":"Strigolactones regulate protonema branching and act as a quorum sensing-like signal in the moss Physcomitrella patens.","type":"article-journal","volume":"138"},"uris":["http://www.mendeley.com/documents/?uuid=554cb5af-16d6-3674-8b70-be92e70cee8e"]}],"mendeley":{"formattedCitation":"(Proust et al., 2011)","plainTextFormattedCitation":"(Proust et al., 2011)","previouslyFormattedCitation":"(Proust et al., 2011)"},"properties":{"noteIndex":0},"schema":"https://github.com/citation-style-language/schema/raw/master/csl-citation.json"}</w:instrText>
      </w:r>
      <w:r>
        <w:rPr>
          <w:szCs w:val="24"/>
        </w:rPr>
        <w:fldChar w:fldCharType="separate"/>
      </w:r>
      <w:r w:rsidRPr="009F7F41">
        <w:rPr>
          <w:noProof/>
          <w:szCs w:val="24"/>
        </w:rPr>
        <w:t>(Proust et al., 2011)</w:t>
      </w:r>
      <w:r>
        <w:rPr>
          <w:szCs w:val="24"/>
        </w:rPr>
        <w:fldChar w:fldCharType="end"/>
      </w:r>
      <w:r>
        <w:rPr>
          <w:szCs w:val="24"/>
        </w:rPr>
        <w:t xml:space="preserve">. These mutants are unable to exude SL, and conversely WT moss colonies were not seen to overlap with each other. Therefore this could suggest that SL exuded by the WT colonies has an inhibitory role on the </w:t>
      </w:r>
      <w:r>
        <w:rPr>
          <w:szCs w:val="24"/>
        </w:rPr>
        <w:lastRenderedPageBreak/>
        <w:t xml:space="preserve">growth of the other colonies in the growth media </w:t>
      </w:r>
      <w:r>
        <w:rPr>
          <w:szCs w:val="24"/>
        </w:rPr>
        <w:fldChar w:fldCharType="begin" w:fldLock="1"/>
      </w:r>
      <w:r>
        <w:rPr>
          <w:szCs w:val="24"/>
        </w:rPr>
        <w:instrText>ADDIN CSL_CITATION {"citationItems":[{"id":"ITEM-1","itemData":{"DOI":"10.1242/dev.058495","ISSN":"1477-9129","PMID":"21367820","abstract":"Strigolactones are a novel class of plant hormones controlling shoot branching in seed plants. They also signal host root proximity during symbiotic and parasitic interactions. To gain a better understanding of the origin of strigolactone functions, we characterised a moss mutant strongly affected in strigolactone biosynthesis following deletion of the CAROTENOID CLEAVAGE DIOXYGENASE 8 (CCD8) gene. Here, we show that wild-type Physcomitrella patens produces and releases strigolactones into the medium where they control branching of protonemal filaments and colony extension. We further show that Ppccd8 mutant colonies fail to sense the proximity of neighbouring colonies, which in wild-type plants causes the arrest of colony extension. The mutant phenotype is rescued when grown in the proximity of wild-type colonies, by exogenous supply of synthetic strigolactones or by ectopic expression of seed plant CCD8. Thus, our data demonstrate for the first time that Bryophytes (P. patens) produce strigolactones that act as signalling factors controlling developmental and potentially ecophysiological processes. We propose that in P. patens, strigolactones are reminiscent of quorum-sensing molecules used by bacteria to communicate with one another.","author":[{"dropping-particle":"","family":"Proust","given":"Hélène","non-dropping-particle":"","parse-names":false,"suffix":""},{"dropping-particle":"","family":"Hoffmann","given":"Beate","non-dropping-particle":"","parse-names":false,"suffix":""},{"dropping-particle":"","family":"Xie","given":"Xiaonan","non-dropping-particle":"","parse-names":false,"suffix":""},{"dropping-particle":"","family":"Yoneyama","given":"Kaori","non-dropping-particle":"","parse-names":false,"suffix":""},{"dropping-particle":"","family":"Schaefer","given":"Didier G","non-dropping-particle":"","parse-names":false,"suffix":""},{"dropping-particle":"","family":"Yoneyama","given":"Koichi","non-dropping-particle":"","parse-names":false,"suffix":""},{"dropping-particle":"","family":"Nogué","given":"Fabien","non-dropping-particle":"","parse-names":false,"suffix":""},{"dropping-particle":"","family":"Rameau","given":"Catherine","non-dropping-particle":"","parse-names":false,"suffix":""}],"container-title":"Development (Cambridge, England)","id":"ITEM-1","issue":"8","issued":{"date-parts":[["2011","4","15"]]},"page":"1531-1539","publisher":"Oxford University Press for The Company of Biologists Limited","title":"Strigolactones regulate protonema branching and act as a quorum sensing-like signal in the moss Physcomitrella patens.","type":"article-journal","volume":"138"},"uris":["http://www.mendeley.com/documents/?uuid=554cb5af-16d6-3674-8b70-be92e70cee8e"]}],"mendeley":{"formattedCitation":"(Proust et al., 2011)","plainTextFormattedCitation":"(Proust et al., 2011)","previouslyFormattedCitation":"(Proust et al., 2011)"},"properties":{"noteIndex":0},"schema":"https://github.com/citation-style-language/schema/raw/master/csl-citation.json"}</w:instrText>
      </w:r>
      <w:r>
        <w:rPr>
          <w:szCs w:val="24"/>
        </w:rPr>
        <w:fldChar w:fldCharType="separate"/>
      </w:r>
      <w:r w:rsidRPr="00D9227E">
        <w:rPr>
          <w:noProof/>
          <w:szCs w:val="24"/>
        </w:rPr>
        <w:t>(Proust et al., 2011)</w:t>
      </w:r>
      <w:r>
        <w:rPr>
          <w:szCs w:val="24"/>
        </w:rPr>
        <w:fldChar w:fldCharType="end"/>
      </w:r>
      <w:r>
        <w:rPr>
          <w:szCs w:val="24"/>
        </w:rPr>
        <w:t>. Could rhizospheric SLs act as plant-to-plant signalling molecules in higher plants?</w:t>
      </w:r>
    </w:p>
    <w:p w14:paraId="39D3652C" w14:textId="77777777" w:rsidR="00121BC7" w:rsidRDefault="00121BC7" w:rsidP="009C0CC2">
      <w:pPr>
        <w:spacing w:line="480" w:lineRule="auto"/>
        <w:rPr>
          <w:szCs w:val="24"/>
        </w:rPr>
      </w:pPr>
    </w:p>
    <w:p w14:paraId="1738D14D" w14:textId="77777777" w:rsidR="008C2FE4" w:rsidRDefault="008C2FE4" w:rsidP="009C0CC2">
      <w:pPr>
        <w:spacing w:line="480" w:lineRule="auto"/>
        <w:rPr>
          <w:szCs w:val="24"/>
        </w:rPr>
      </w:pPr>
    </w:p>
    <w:p w14:paraId="5BD912DB" w14:textId="77777777" w:rsidR="008C2FE4" w:rsidRDefault="008C2FE4" w:rsidP="009C0CC2">
      <w:pPr>
        <w:spacing w:line="480" w:lineRule="auto"/>
        <w:rPr>
          <w:szCs w:val="24"/>
        </w:rPr>
      </w:pPr>
    </w:p>
    <w:p w14:paraId="17842E8A" w14:textId="77777777" w:rsidR="008C2FE4" w:rsidRDefault="008C2FE4" w:rsidP="009C0CC2">
      <w:pPr>
        <w:spacing w:line="480" w:lineRule="auto"/>
        <w:rPr>
          <w:szCs w:val="24"/>
        </w:rPr>
      </w:pPr>
    </w:p>
    <w:p w14:paraId="732091A4" w14:textId="77777777" w:rsidR="008C2FE4" w:rsidRDefault="008C2FE4" w:rsidP="009C0CC2">
      <w:pPr>
        <w:spacing w:line="480" w:lineRule="auto"/>
        <w:rPr>
          <w:szCs w:val="24"/>
        </w:rPr>
      </w:pPr>
    </w:p>
    <w:p w14:paraId="09244B73" w14:textId="77777777" w:rsidR="008C2FE4" w:rsidRDefault="008C2FE4" w:rsidP="009C0CC2">
      <w:pPr>
        <w:spacing w:line="480" w:lineRule="auto"/>
        <w:rPr>
          <w:szCs w:val="24"/>
        </w:rPr>
      </w:pPr>
    </w:p>
    <w:p w14:paraId="0172032F" w14:textId="77777777" w:rsidR="008C2FE4" w:rsidRDefault="008C2FE4" w:rsidP="009C0CC2">
      <w:pPr>
        <w:spacing w:line="480" w:lineRule="auto"/>
        <w:rPr>
          <w:szCs w:val="24"/>
        </w:rPr>
      </w:pPr>
    </w:p>
    <w:p w14:paraId="17B353B5" w14:textId="77777777" w:rsidR="008C2FE4" w:rsidRDefault="008C2FE4" w:rsidP="009C0CC2">
      <w:pPr>
        <w:spacing w:line="480" w:lineRule="auto"/>
        <w:rPr>
          <w:szCs w:val="24"/>
        </w:rPr>
      </w:pPr>
    </w:p>
    <w:p w14:paraId="3A5A6350" w14:textId="77777777" w:rsidR="008C2FE4" w:rsidRDefault="008C2FE4" w:rsidP="009C0CC2">
      <w:pPr>
        <w:spacing w:line="480" w:lineRule="auto"/>
        <w:rPr>
          <w:szCs w:val="24"/>
        </w:rPr>
      </w:pPr>
    </w:p>
    <w:p w14:paraId="67B5F017" w14:textId="77777777" w:rsidR="008C2FE4" w:rsidRDefault="008C2FE4" w:rsidP="009C0CC2">
      <w:pPr>
        <w:spacing w:line="480" w:lineRule="auto"/>
        <w:rPr>
          <w:szCs w:val="24"/>
        </w:rPr>
      </w:pPr>
    </w:p>
    <w:p w14:paraId="43A9AD9E" w14:textId="77777777" w:rsidR="008C2FE4" w:rsidRDefault="008C2FE4" w:rsidP="009C0CC2">
      <w:pPr>
        <w:spacing w:line="480" w:lineRule="auto"/>
        <w:rPr>
          <w:szCs w:val="24"/>
        </w:rPr>
      </w:pPr>
    </w:p>
    <w:p w14:paraId="50383E62" w14:textId="77777777" w:rsidR="008C2FE4" w:rsidRDefault="008C2FE4" w:rsidP="009C0CC2">
      <w:pPr>
        <w:spacing w:line="480" w:lineRule="auto"/>
        <w:rPr>
          <w:szCs w:val="24"/>
        </w:rPr>
      </w:pPr>
    </w:p>
    <w:p w14:paraId="270CB797" w14:textId="77777777" w:rsidR="008C2FE4" w:rsidRDefault="008C2FE4" w:rsidP="009C0CC2">
      <w:pPr>
        <w:spacing w:line="480" w:lineRule="auto"/>
        <w:rPr>
          <w:szCs w:val="24"/>
        </w:rPr>
      </w:pPr>
    </w:p>
    <w:p w14:paraId="42EB506F" w14:textId="77777777" w:rsidR="008C2FE4" w:rsidRDefault="008C2FE4" w:rsidP="009C0CC2">
      <w:pPr>
        <w:spacing w:line="480" w:lineRule="auto"/>
        <w:rPr>
          <w:szCs w:val="24"/>
        </w:rPr>
      </w:pPr>
    </w:p>
    <w:p w14:paraId="15604244" w14:textId="77777777" w:rsidR="008C2FE4" w:rsidRDefault="008C2FE4" w:rsidP="009C0CC2">
      <w:pPr>
        <w:spacing w:line="480" w:lineRule="auto"/>
        <w:rPr>
          <w:szCs w:val="24"/>
        </w:rPr>
      </w:pPr>
    </w:p>
    <w:p w14:paraId="1F25A62B" w14:textId="77777777" w:rsidR="008C2FE4" w:rsidRDefault="008C2FE4" w:rsidP="009C0CC2">
      <w:pPr>
        <w:spacing w:line="480" w:lineRule="auto"/>
        <w:rPr>
          <w:szCs w:val="24"/>
        </w:rPr>
      </w:pPr>
    </w:p>
    <w:p w14:paraId="6BE18E25" w14:textId="77777777" w:rsidR="008C2FE4" w:rsidRDefault="008C2FE4" w:rsidP="009C0CC2">
      <w:pPr>
        <w:spacing w:line="480" w:lineRule="auto"/>
        <w:rPr>
          <w:szCs w:val="24"/>
        </w:rPr>
      </w:pPr>
    </w:p>
    <w:p w14:paraId="4B75FF4E" w14:textId="55B9F09E" w:rsidR="009C0CC2" w:rsidRDefault="00CE3560" w:rsidP="00743E4C">
      <w:pPr>
        <w:pStyle w:val="Heading2"/>
      </w:pPr>
      <w:bookmarkStart w:id="25" w:name="_Toc154331434"/>
      <w:r>
        <w:lastRenderedPageBreak/>
        <w:t>Aims</w:t>
      </w:r>
      <w:bookmarkEnd w:id="25"/>
    </w:p>
    <w:p w14:paraId="55849017" w14:textId="77777777" w:rsidR="00CE3560" w:rsidRDefault="00CE3560" w:rsidP="00CE3560">
      <w:pPr>
        <w:spacing w:line="480" w:lineRule="auto"/>
        <w:rPr>
          <w:szCs w:val="24"/>
        </w:rPr>
      </w:pPr>
      <w:r>
        <w:rPr>
          <w:szCs w:val="24"/>
        </w:rPr>
        <w:t>Given the background discussed in this introduction I propose the following aims for my PhD thesis.</w:t>
      </w:r>
    </w:p>
    <w:p w14:paraId="5998984C" w14:textId="77777777" w:rsidR="00CE3560" w:rsidRPr="000C7197" w:rsidRDefault="00CE3560" w:rsidP="00CE3560">
      <w:pPr>
        <w:spacing w:line="480" w:lineRule="auto"/>
        <w:rPr>
          <w:b/>
          <w:bCs/>
          <w:szCs w:val="24"/>
        </w:rPr>
      </w:pPr>
    </w:p>
    <w:p w14:paraId="4E17828F" w14:textId="77777777" w:rsidR="00CE3560" w:rsidRDefault="00CE3560" w:rsidP="00CE3560">
      <w:pPr>
        <w:pStyle w:val="ListParagraph"/>
        <w:numPr>
          <w:ilvl w:val="0"/>
          <w:numId w:val="22"/>
        </w:numPr>
        <w:spacing w:line="480" w:lineRule="auto"/>
        <w:rPr>
          <w:rFonts w:ascii="Arial" w:hAnsi="Arial" w:cs="Arial"/>
          <w:sz w:val="24"/>
          <w:szCs w:val="24"/>
        </w:rPr>
      </w:pPr>
      <w:r>
        <w:rPr>
          <w:rFonts w:ascii="Arial" w:hAnsi="Arial" w:cs="Arial"/>
          <w:sz w:val="24"/>
          <w:szCs w:val="24"/>
        </w:rPr>
        <w:t>To characterise the shoot- and root growth responses of plants subjected to limited soil volume and the presence of neighbouring plants, and to determine if the shoot- based responses to soil volume and neighbour density differ in any way.</w:t>
      </w:r>
    </w:p>
    <w:p w14:paraId="76F897D0" w14:textId="77777777" w:rsidR="00CE3560" w:rsidRPr="0088423D" w:rsidRDefault="00CE3560" w:rsidP="00CE3560">
      <w:pPr>
        <w:pStyle w:val="ListParagraph"/>
        <w:numPr>
          <w:ilvl w:val="0"/>
          <w:numId w:val="22"/>
        </w:numPr>
        <w:spacing w:line="480" w:lineRule="auto"/>
        <w:rPr>
          <w:rFonts w:ascii="Arial" w:hAnsi="Arial" w:cs="Arial"/>
          <w:sz w:val="24"/>
          <w:szCs w:val="24"/>
        </w:rPr>
      </w:pPr>
      <w:r>
        <w:rPr>
          <w:rFonts w:ascii="Arial" w:hAnsi="Arial" w:cs="Arial"/>
          <w:sz w:val="24"/>
          <w:szCs w:val="24"/>
        </w:rPr>
        <w:t xml:space="preserve">To identify barley germplasm with altered sensitivity to soil volume, to allow for future understanding of the genetics underlying soil volume sensitivity. </w:t>
      </w:r>
    </w:p>
    <w:p w14:paraId="39E50E09" w14:textId="77777777" w:rsidR="00CE3560" w:rsidRDefault="00CE3560" w:rsidP="00CE3560">
      <w:pPr>
        <w:pStyle w:val="ListParagraph"/>
        <w:numPr>
          <w:ilvl w:val="0"/>
          <w:numId w:val="22"/>
        </w:numPr>
        <w:spacing w:line="480" w:lineRule="auto"/>
        <w:rPr>
          <w:rFonts w:ascii="Arial" w:hAnsi="Arial" w:cs="Arial"/>
          <w:sz w:val="24"/>
          <w:szCs w:val="24"/>
        </w:rPr>
      </w:pPr>
      <w:r>
        <w:rPr>
          <w:rFonts w:ascii="Arial" w:hAnsi="Arial" w:cs="Arial"/>
          <w:sz w:val="24"/>
          <w:szCs w:val="24"/>
        </w:rPr>
        <w:t xml:space="preserve">To identify transcriptional changes in response to neighbouring plants and the speed in which neighbours are detected. </w:t>
      </w:r>
    </w:p>
    <w:p w14:paraId="23583255" w14:textId="77777777" w:rsidR="00CE3560" w:rsidRDefault="00CE3560" w:rsidP="00CE3560">
      <w:pPr>
        <w:pStyle w:val="ListParagraph"/>
        <w:numPr>
          <w:ilvl w:val="0"/>
          <w:numId w:val="22"/>
        </w:numPr>
        <w:spacing w:line="480" w:lineRule="auto"/>
        <w:rPr>
          <w:rFonts w:ascii="Arial" w:hAnsi="Arial" w:cs="Arial"/>
          <w:sz w:val="24"/>
          <w:szCs w:val="24"/>
        </w:rPr>
      </w:pPr>
      <w:r>
        <w:rPr>
          <w:rFonts w:ascii="Arial" w:hAnsi="Arial" w:cs="Arial"/>
          <w:sz w:val="24"/>
          <w:szCs w:val="24"/>
        </w:rPr>
        <w:t xml:space="preserve">To propose a model for how plants detect and respond to the presence of neighbouring plants. </w:t>
      </w:r>
    </w:p>
    <w:p w14:paraId="098FB02A" w14:textId="77777777" w:rsidR="00CE3560" w:rsidRDefault="00CE3560" w:rsidP="00CE3560">
      <w:pPr>
        <w:pStyle w:val="ListParagraph"/>
        <w:numPr>
          <w:ilvl w:val="0"/>
          <w:numId w:val="22"/>
        </w:numPr>
        <w:spacing w:line="480" w:lineRule="auto"/>
        <w:rPr>
          <w:rFonts w:ascii="Arial" w:hAnsi="Arial" w:cs="Arial"/>
          <w:sz w:val="24"/>
          <w:szCs w:val="24"/>
        </w:rPr>
      </w:pPr>
      <w:r>
        <w:rPr>
          <w:rFonts w:ascii="Arial" w:hAnsi="Arial" w:cs="Arial"/>
          <w:sz w:val="24"/>
          <w:szCs w:val="24"/>
        </w:rPr>
        <w:t>To determine if strigolactone is an important root exuded chemical involved in the recognition and response to neighbouring plants and available soil volume.</w:t>
      </w:r>
    </w:p>
    <w:p w14:paraId="6865E118" w14:textId="77777777" w:rsidR="00CE3560" w:rsidRPr="003B3743" w:rsidRDefault="00CE3560" w:rsidP="00CE3560">
      <w:pPr>
        <w:tabs>
          <w:tab w:val="left" w:pos="930"/>
        </w:tabs>
        <w:spacing w:line="480" w:lineRule="auto"/>
        <w:rPr>
          <w:szCs w:val="24"/>
        </w:rPr>
      </w:pPr>
      <w:r>
        <w:rPr>
          <w:szCs w:val="24"/>
        </w:rPr>
        <w:t xml:space="preserve">There is a large amount of research into the phenotypic characteristics of soil volume-limited plants and this thesis aims to address the lacking mechanistic elements to this plant growth response. This investigation involves further shoot based phenotyping with the addition of root-based phenotyping, mainly in economically important crops. </w:t>
      </w:r>
      <w:r w:rsidRPr="003B3743">
        <w:rPr>
          <w:szCs w:val="24"/>
        </w:rPr>
        <w:t xml:space="preserve">Understanding the mechanisms of plant detection and response to the presence of neighbours and the availability of </w:t>
      </w:r>
      <w:r w:rsidRPr="003B3743">
        <w:rPr>
          <w:szCs w:val="24"/>
        </w:rPr>
        <w:lastRenderedPageBreak/>
        <w:t xml:space="preserve">belowground space is a key element in the future development of higher yielding crops within a given area of land. </w:t>
      </w:r>
    </w:p>
    <w:p w14:paraId="08FFABEC" w14:textId="77777777" w:rsidR="00CE3560" w:rsidRPr="00CE3560" w:rsidRDefault="00CE3560" w:rsidP="00CE3560"/>
    <w:p w14:paraId="4536901B" w14:textId="667F1D45" w:rsidR="00F3071B" w:rsidRDefault="00CE3560" w:rsidP="00DA5F8D">
      <w:pPr>
        <w:pStyle w:val="Heading1"/>
        <w:pageBreakBefore/>
      </w:pPr>
      <w:bookmarkStart w:id="26" w:name="_Toc154331435"/>
      <w:r>
        <w:lastRenderedPageBreak/>
        <w:t>Methods and Materials</w:t>
      </w:r>
      <w:bookmarkEnd w:id="26"/>
      <w:r w:rsidR="00687AEF">
        <w:br/>
      </w:r>
    </w:p>
    <w:p w14:paraId="38F26F4E" w14:textId="15EF649C" w:rsidR="00CE3560" w:rsidRDefault="00AA4FF0" w:rsidP="00743E4C">
      <w:pPr>
        <w:pStyle w:val="Heading2"/>
      </w:pPr>
      <w:bookmarkStart w:id="27" w:name="_Toc154331436"/>
      <w:r w:rsidRPr="00AA4FF0">
        <w:t>Plant growth conditions</w:t>
      </w:r>
      <w:bookmarkEnd w:id="27"/>
    </w:p>
    <w:p w14:paraId="659E7813" w14:textId="16922F23" w:rsidR="00AA4FF0" w:rsidRDefault="00AA4FF0" w:rsidP="00743E4C">
      <w:pPr>
        <w:pStyle w:val="Heading3"/>
      </w:pPr>
      <w:bookmarkStart w:id="28" w:name="_Toc154331437"/>
      <w:r w:rsidRPr="00AA4FF0">
        <w:t>Light and temperature</w:t>
      </w:r>
      <w:bookmarkEnd w:id="28"/>
    </w:p>
    <w:p w14:paraId="4D25263B" w14:textId="7AC79547" w:rsidR="00AA4FF0" w:rsidRPr="001607E9" w:rsidRDefault="00AA4FF0" w:rsidP="00AA4FF0">
      <w:pPr>
        <w:spacing w:line="480" w:lineRule="auto"/>
        <w:rPr>
          <w:rFonts w:eastAsia="Calibri"/>
        </w:rPr>
      </w:pPr>
      <w:r>
        <w:rPr>
          <w:rFonts w:eastAsia="Calibri"/>
        </w:rPr>
        <w:t>All experiments were carried out under g</w:t>
      </w:r>
      <w:r w:rsidRPr="002C55EE">
        <w:rPr>
          <w:rFonts w:eastAsia="Calibri"/>
        </w:rPr>
        <w:t>lasshouse conditions of 16-hour day and 8</w:t>
      </w:r>
      <w:r>
        <w:rPr>
          <w:rFonts w:eastAsia="Calibri"/>
        </w:rPr>
        <w:t>-</w:t>
      </w:r>
      <w:r w:rsidRPr="002C55EE">
        <w:rPr>
          <w:rFonts w:eastAsia="Calibri"/>
        </w:rPr>
        <w:t xml:space="preserve">hour night at 22°C, under LED lights with an average light intensity of </w:t>
      </w:r>
      <w:r w:rsidRPr="00340ECA">
        <w:rPr>
          <w:rFonts w:eastAsia="Calibri"/>
        </w:rPr>
        <w:t>~250µmo</w:t>
      </w:r>
      <w:r w:rsidR="00A10E97" w:rsidRPr="00340ECA">
        <w:rPr>
          <w:rFonts w:eastAsia="Calibri"/>
        </w:rPr>
        <w:t xml:space="preserve">l </w:t>
      </w:r>
      <w:r w:rsidRPr="00340ECA">
        <w:rPr>
          <w:rFonts w:eastAsia="Calibri"/>
        </w:rPr>
        <w:t>m</w:t>
      </w:r>
      <w:r w:rsidR="00EC08BD" w:rsidRPr="00340ECA">
        <w:rPr>
          <w:rFonts w:eastAsia="Calibri"/>
          <w:vertAlign w:val="superscript"/>
        </w:rPr>
        <w:t>-</w:t>
      </w:r>
      <w:r w:rsidRPr="00340ECA">
        <w:rPr>
          <w:rFonts w:eastAsia="Calibri"/>
          <w:vertAlign w:val="superscript"/>
        </w:rPr>
        <w:t>2</w:t>
      </w:r>
      <w:r w:rsidR="00EC08BD" w:rsidRPr="00340ECA">
        <w:rPr>
          <w:rFonts w:eastAsia="Calibri"/>
          <w:vertAlign w:val="superscript"/>
        </w:rPr>
        <w:t xml:space="preserve"> </w:t>
      </w:r>
      <w:r w:rsidRPr="00340ECA">
        <w:rPr>
          <w:rFonts w:eastAsia="Calibri"/>
        </w:rPr>
        <w:t>s</w:t>
      </w:r>
      <w:r w:rsidRPr="00340ECA">
        <w:rPr>
          <w:rFonts w:eastAsia="Calibri"/>
          <w:vertAlign w:val="superscript"/>
        </w:rPr>
        <w:t>-1</w:t>
      </w:r>
      <w:r>
        <w:rPr>
          <w:rFonts w:eastAsia="Calibri"/>
        </w:rPr>
        <w:t xml:space="preserve">, with the exception of </w:t>
      </w:r>
      <w:r w:rsidRPr="00A42F44">
        <w:rPr>
          <w:rFonts w:eastAsia="Calibri"/>
          <w:i/>
          <w:iCs/>
        </w:rPr>
        <w:t>Arabidopsis thaliana</w:t>
      </w:r>
      <w:r>
        <w:rPr>
          <w:rFonts w:eastAsia="Calibri"/>
        </w:rPr>
        <w:t xml:space="preserve"> plants in agar plate</w:t>
      </w:r>
      <w:r w:rsidR="002E21D7">
        <w:rPr>
          <w:rFonts w:eastAsia="Calibri"/>
        </w:rPr>
        <w:t>s</w:t>
      </w:r>
      <w:r>
        <w:rPr>
          <w:rFonts w:eastAsia="Calibri"/>
        </w:rPr>
        <w:t xml:space="preserve"> which were grown </w:t>
      </w:r>
      <w:r w:rsidRPr="002C55EE">
        <w:rPr>
          <w:rFonts w:eastAsia="Calibri"/>
        </w:rPr>
        <w:t>in controlled rooms with white fluorescent tubes at a light intensity of ~120 μmol m</w:t>
      </w:r>
      <w:r w:rsidRPr="002C55EE">
        <w:rPr>
          <w:rFonts w:eastAsia="Calibri"/>
          <w:vertAlign w:val="superscript"/>
        </w:rPr>
        <w:t>–2</w:t>
      </w:r>
      <w:r w:rsidRPr="002C55EE">
        <w:rPr>
          <w:rFonts w:eastAsia="Calibri"/>
        </w:rPr>
        <w:t> s</w:t>
      </w:r>
      <w:r w:rsidRPr="002C55EE">
        <w:rPr>
          <w:rFonts w:eastAsia="Calibri"/>
          <w:vertAlign w:val="superscript"/>
        </w:rPr>
        <w:t>−1</w:t>
      </w:r>
      <w:r w:rsidRPr="002C55EE">
        <w:rPr>
          <w:rFonts w:eastAsia="Calibri"/>
        </w:rPr>
        <w:t xml:space="preserve"> with a 16 hour day and 8 hour night at 20°C.</w:t>
      </w:r>
    </w:p>
    <w:p w14:paraId="54B0AFEC" w14:textId="2DABAAD3" w:rsidR="00AA4FF0" w:rsidRDefault="00AA4FF0" w:rsidP="00743E4C">
      <w:pPr>
        <w:pStyle w:val="Heading3"/>
      </w:pPr>
      <w:bookmarkStart w:id="29" w:name="_Toc154331438"/>
      <w:r w:rsidRPr="00AA4FF0">
        <w:t>Growth substrates</w:t>
      </w:r>
      <w:bookmarkEnd w:id="29"/>
    </w:p>
    <w:p w14:paraId="7E683339" w14:textId="24C58B56" w:rsidR="00AA4FF0" w:rsidRDefault="00AA4FF0" w:rsidP="00743E4C">
      <w:pPr>
        <w:pStyle w:val="Heading4"/>
      </w:pPr>
      <w:bookmarkStart w:id="30" w:name="_Toc154331439"/>
      <w:r w:rsidRPr="00AA4FF0">
        <w:t>Soil based experiments</w:t>
      </w:r>
      <w:bookmarkEnd w:id="30"/>
    </w:p>
    <w:p w14:paraId="05D381A2" w14:textId="77777777" w:rsidR="00AA4FF0" w:rsidRDefault="00AA4FF0" w:rsidP="00AA4FF0">
      <w:pPr>
        <w:spacing w:line="480" w:lineRule="auto"/>
        <w:rPr>
          <w:rFonts w:eastAsia="Calibri"/>
        </w:rPr>
      </w:pPr>
      <w:r w:rsidRPr="002C55EE">
        <w:rPr>
          <w:rFonts w:eastAsia="Calibri"/>
        </w:rPr>
        <w:t>Petersfield No.2 compost was used for soil-based experiments</w:t>
      </w:r>
      <w:r>
        <w:rPr>
          <w:rFonts w:eastAsia="Calibri"/>
        </w:rPr>
        <w:t>. Pots, containers and rhizoboxes were filled with compost and gently pressed to level the soil at its maximum capacity. Rhizobox experiments required the removal of any large soil clumps whilst filling them with compost, and seeds were pregerminated on damp filter paper on the lab windowsill for 1-7 days as stated inline.</w:t>
      </w:r>
    </w:p>
    <w:p w14:paraId="6E0F17EE" w14:textId="5FA127E5" w:rsidR="00C8026F" w:rsidRDefault="00C8026F" w:rsidP="00AA4FF0">
      <w:pPr>
        <w:spacing w:line="480" w:lineRule="auto"/>
        <w:rPr>
          <w:rFonts w:eastAsia="Calibri"/>
        </w:rPr>
      </w:pPr>
      <w:r>
        <w:rPr>
          <w:rFonts w:eastAsia="Calibri"/>
        </w:rPr>
        <w:t>For section 4.3.1, 10ml Arabidopsis thaliana Salts (ATS) (Table 2.1) was applied to half of the plants in each soil volume once a week.</w:t>
      </w:r>
    </w:p>
    <w:p w14:paraId="1E20D3BC" w14:textId="77777777" w:rsidR="00AA4FF0" w:rsidRDefault="00AA4FF0" w:rsidP="00AA4FF0">
      <w:pPr>
        <w:spacing w:line="480" w:lineRule="auto"/>
        <w:rPr>
          <w:rFonts w:eastAsia="Calibri"/>
        </w:rPr>
      </w:pPr>
      <w:r>
        <w:rPr>
          <w:rFonts w:eastAsia="Calibri"/>
        </w:rPr>
        <w:t>Experiments that were not soil based are specified inline.</w:t>
      </w:r>
    </w:p>
    <w:p w14:paraId="2BA1E352" w14:textId="58B751F9" w:rsidR="00AA4FF0" w:rsidRDefault="00AA4FF0" w:rsidP="00743E4C">
      <w:pPr>
        <w:pStyle w:val="Heading4"/>
      </w:pPr>
      <w:bookmarkStart w:id="31" w:name="_Toc154331440"/>
      <w:r w:rsidRPr="00AA4FF0">
        <w:t>Hydroponic experiments</w:t>
      </w:r>
      <w:bookmarkEnd w:id="31"/>
    </w:p>
    <w:p w14:paraId="56D9385E" w14:textId="56A8DB90" w:rsidR="00AA4FF0" w:rsidRDefault="00AA4FF0" w:rsidP="00AA4FF0">
      <w:pPr>
        <w:spacing w:line="480" w:lineRule="auto"/>
        <w:rPr>
          <w:rFonts w:eastAsia="Calibri" w:cs="Times New Roman"/>
        </w:rPr>
      </w:pPr>
      <w:r w:rsidRPr="002C55EE">
        <w:rPr>
          <w:rFonts w:eastAsia="Calibri" w:cs="Times New Roman"/>
        </w:rPr>
        <w:t xml:space="preserve">All seeds used in hydroponic experiments were first germinated in 100ml pots containing </w:t>
      </w:r>
      <w:r>
        <w:rPr>
          <w:rFonts w:eastAsia="Calibri" w:cs="Times New Roman"/>
        </w:rPr>
        <w:t xml:space="preserve">either </w:t>
      </w:r>
      <w:r w:rsidRPr="002C55EE">
        <w:rPr>
          <w:rFonts w:eastAsia="Calibri" w:cs="Times New Roman"/>
        </w:rPr>
        <w:t>perlite</w:t>
      </w:r>
      <w:r>
        <w:rPr>
          <w:rFonts w:eastAsia="Calibri" w:cs="Times New Roman"/>
        </w:rPr>
        <w:t xml:space="preserve"> (</w:t>
      </w:r>
      <w:r w:rsidR="00F520EA">
        <w:rPr>
          <w:rFonts w:eastAsia="Calibri" w:cs="Times New Roman"/>
        </w:rPr>
        <w:t xml:space="preserve">sections </w:t>
      </w:r>
      <w:r w:rsidRPr="00F520EA">
        <w:rPr>
          <w:rFonts w:eastAsia="Calibri" w:cs="Times New Roman"/>
        </w:rPr>
        <w:t>4.</w:t>
      </w:r>
      <w:r w:rsidR="00F74B45" w:rsidRPr="00F520EA">
        <w:rPr>
          <w:rFonts w:eastAsia="Calibri" w:cs="Times New Roman"/>
        </w:rPr>
        <w:t>2</w:t>
      </w:r>
      <w:r w:rsidRPr="00F520EA">
        <w:rPr>
          <w:rFonts w:eastAsia="Calibri" w:cs="Times New Roman"/>
        </w:rPr>
        <w:t>, 4.</w:t>
      </w:r>
      <w:r w:rsidR="00F74B45" w:rsidRPr="00F520EA">
        <w:rPr>
          <w:rFonts w:eastAsia="Calibri" w:cs="Times New Roman"/>
        </w:rPr>
        <w:t>3</w:t>
      </w:r>
      <w:r w:rsidRPr="00F520EA">
        <w:rPr>
          <w:rFonts w:eastAsia="Calibri" w:cs="Times New Roman"/>
        </w:rPr>
        <w:t>.</w:t>
      </w:r>
      <w:r w:rsidR="00593797" w:rsidRPr="00F520EA">
        <w:rPr>
          <w:rFonts w:eastAsia="Calibri" w:cs="Times New Roman"/>
        </w:rPr>
        <w:t>6</w:t>
      </w:r>
      <w:r w:rsidRPr="00F520EA">
        <w:rPr>
          <w:rFonts w:eastAsia="Calibri" w:cs="Times New Roman"/>
        </w:rPr>
        <w:t>, 5.</w:t>
      </w:r>
      <w:r w:rsidR="00F74B45" w:rsidRPr="00F520EA">
        <w:rPr>
          <w:rFonts w:eastAsia="Calibri" w:cs="Times New Roman"/>
        </w:rPr>
        <w:t>2</w:t>
      </w:r>
      <w:r w:rsidRPr="00F520EA">
        <w:rPr>
          <w:rFonts w:eastAsia="Calibri" w:cs="Times New Roman"/>
        </w:rPr>
        <w:t>.1</w:t>
      </w:r>
      <w:r>
        <w:rPr>
          <w:rFonts w:eastAsia="Calibri" w:cs="Times New Roman"/>
        </w:rPr>
        <w:t>)</w:t>
      </w:r>
      <w:r w:rsidRPr="002C55EE">
        <w:rPr>
          <w:rFonts w:eastAsia="Calibri" w:cs="Times New Roman"/>
        </w:rPr>
        <w:t xml:space="preserve"> </w:t>
      </w:r>
      <w:r>
        <w:rPr>
          <w:rFonts w:eastAsia="Calibri" w:cs="Times New Roman"/>
        </w:rPr>
        <w:t>or 50:50 sand:</w:t>
      </w:r>
      <w:r w:rsidR="00D61983">
        <w:rPr>
          <w:rFonts w:eastAsia="Calibri" w:cs="Times New Roman"/>
        </w:rPr>
        <w:t>perlite</w:t>
      </w:r>
      <w:r>
        <w:rPr>
          <w:rFonts w:eastAsia="Calibri" w:cs="Times New Roman"/>
        </w:rPr>
        <w:t xml:space="preserve"> (</w:t>
      </w:r>
      <w:r w:rsidR="00F520EA">
        <w:rPr>
          <w:rFonts w:eastAsia="Calibri" w:cs="Times New Roman"/>
        </w:rPr>
        <w:t xml:space="preserve">section </w:t>
      </w:r>
      <w:r w:rsidRPr="00F520EA">
        <w:rPr>
          <w:rFonts w:eastAsia="Calibri" w:cs="Times New Roman"/>
        </w:rPr>
        <w:t>4.</w:t>
      </w:r>
      <w:r w:rsidR="00593797" w:rsidRPr="00F520EA">
        <w:rPr>
          <w:rFonts w:eastAsia="Calibri" w:cs="Times New Roman"/>
        </w:rPr>
        <w:t>3</w:t>
      </w:r>
      <w:r w:rsidRPr="00F520EA">
        <w:rPr>
          <w:rFonts w:eastAsia="Calibri" w:cs="Times New Roman"/>
        </w:rPr>
        <w:t>.</w:t>
      </w:r>
      <w:r w:rsidR="00F520EA">
        <w:rPr>
          <w:rFonts w:eastAsia="Calibri" w:cs="Times New Roman"/>
        </w:rPr>
        <w:t>7</w:t>
      </w:r>
      <w:r>
        <w:rPr>
          <w:rFonts w:eastAsia="Calibri" w:cs="Times New Roman"/>
        </w:rPr>
        <w:t xml:space="preserve">) </w:t>
      </w:r>
      <w:r w:rsidRPr="002C55EE">
        <w:rPr>
          <w:rFonts w:eastAsia="Calibri" w:cs="Times New Roman"/>
        </w:rPr>
        <w:t xml:space="preserve">for 1 week, </w:t>
      </w:r>
      <w:r>
        <w:rPr>
          <w:rFonts w:eastAsia="Calibri" w:cs="Times New Roman"/>
        </w:rPr>
        <w:t xml:space="preserve">plants of equal size were selected and the perlite </w:t>
      </w:r>
      <w:r>
        <w:rPr>
          <w:rFonts w:eastAsia="Calibri" w:cs="Times New Roman"/>
        </w:rPr>
        <w:lastRenderedPageBreak/>
        <w:t>or sand:</w:t>
      </w:r>
      <w:r w:rsidR="00D61983">
        <w:rPr>
          <w:rFonts w:eastAsia="Calibri" w:cs="Times New Roman"/>
        </w:rPr>
        <w:t>perlite</w:t>
      </w:r>
      <w:r>
        <w:rPr>
          <w:rFonts w:eastAsia="Calibri" w:cs="Times New Roman"/>
        </w:rPr>
        <w:t xml:space="preserve"> was gently washed off the roots in water and then the plants were transferred to the hydroponic system. 1L black pots with lids were used and filled with water and ATS nutrient solution </w:t>
      </w:r>
      <w:r>
        <w:rPr>
          <w:rFonts w:eastAsia="Calibri" w:cs="Times New Roman"/>
        </w:rPr>
        <w:fldChar w:fldCharType="begin" w:fldLock="1"/>
      </w:r>
      <w:r>
        <w:rPr>
          <w:rFonts w:eastAsia="Calibri" w:cs="Times New Roman"/>
        </w:rPr>
        <w:instrText>ADDIN CSL_CITATION {"citationItems":[{"id":"ITEM-1","itemData":{"DOI":"10.1007/BF00633843","ISSN":"00268925","abstract":"We have screened a large population of M2 seeds of Arabidops&amp; thaliana for plants which are resis-tant to exogenously applied indole-acetic acid (IAA). One of the resistant lines identified in this screen carries a dominant mutation which we have named axr2. Link-age analysis indicates that the axr2 gene lies on chromo-some 3. Plants carrying the axr2 mutation are severe dwarfs and display defects in growth orientation of both the shoot and root suggesting that the mutation affects some aspect of gravitropic growth. In addition, the roots of axr2 plants lack root hairs. Growth inhibition experi-ments indicate that the roots of axr2 plants are resistant to ethylene and abscisic acid as well as auxin.","author":[{"dropping-particle":"","family":"Wilson","given":"Allison K.","non-dropping-particle":"","parse-names":false,"suffix":""},{"dropping-particle":"","family":"Pickett","given":"F. Bryan","non-dropping-particle":"","parse-names":false,"suffix":""},{"dropping-particle":"","family":"Turner","given":"Jocelyn C.","non-dropping-particle":"","parse-names":false,"suffix":""},{"dropping-particle":"","family":"Estelle","given":"Mark","non-dropping-particle":"","parse-names":false,"suffix":""}],"container-title":"MGG Molecular &amp; General Genetics","id":"ITEM-1","issue":"2-3","issued":{"date-parts":[["1990","7"]]},"page":"377-383","publisher":"Springer-Verlag","title":"A dominant mutation in Arabidopsis confers resistance to auxin, ethylene and abscisic acid","type":"article-journal","volume":"222"},"uris":["http://www.mendeley.com/documents/?uuid=df740ebb-4e25-3153-b601-9021f015c158"]}],"mendeley":{"formattedCitation":"(Wilson et al., 1990)","plainTextFormattedCitation":"(Wilson et al., 1990)","previouslyFormattedCitation":"(Wilson et al., 1990)"},"properties":{"noteIndex":0},"schema":"https://github.com/citation-style-language/schema/raw/master/csl-citation.json"}</w:instrText>
      </w:r>
      <w:r>
        <w:rPr>
          <w:rFonts w:eastAsia="Calibri" w:cs="Times New Roman"/>
        </w:rPr>
        <w:fldChar w:fldCharType="separate"/>
      </w:r>
      <w:r w:rsidRPr="00EA678D">
        <w:rPr>
          <w:rFonts w:eastAsia="Calibri" w:cs="Times New Roman"/>
          <w:noProof/>
        </w:rPr>
        <w:t>(Wilson et al., 1990)</w:t>
      </w:r>
      <w:r>
        <w:rPr>
          <w:rFonts w:eastAsia="Calibri" w:cs="Times New Roman"/>
        </w:rPr>
        <w:fldChar w:fldCharType="end"/>
      </w:r>
      <w:r>
        <w:rPr>
          <w:rFonts w:eastAsia="Calibri" w:cs="Times New Roman"/>
        </w:rPr>
        <w:t xml:space="preserve"> (Table 2.1). The ATS nutrient solution was made up by using 15ml of the individual stock solutions that would be ordinarily used to make 1L of ATS solution. The water level was </w:t>
      </w:r>
      <w:r w:rsidR="005335B2">
        <w:rPr>
          <w:rFonts w:eastAsia="Calibri" w:cs="Times New Roman"/>
        </w:rPr>
        <w:t xml:space="preserve">checked and subsequently </w:t>
      </w:r>
      <w:r>
        <w:rPr>
          <w:rFonts w:eastAsia="Calibri" w:cs="Times New Roman"/>
        </w:rPr>
        <w:t xml:space="preserve">topped up every 1-2 </w:t>
      </w:r>
      <w:r w:rsidR="00A35495">
        <w:rPr>
          <w:rFonts w:eastAsia="Calibri" w:cs="Times New Roman"/>
        </w:rPr>
        <w:t xml:space="preserve">days </w:t>
      </w:r>
      <w:r>
        <w:rPr>
          <w:rFonts w:eastAsia="Calibri" w:cs="Times New Roman"/>
        </w:rPr>
        <w:t xml:space="preserve">for the duration of the experiment. For </w:t>
      </w:r>
      <w:r w:rsidR="006C5C85">
        <w:rPr>
          <w:rFonts w:eastAsia="Calibri" w:cs="Times New Roman"/>
        </w:rPr>
        <w:t xml:space="preserve">section </w:t>
      </w:r>
      <w:r>
        <w:rPr>
          <w:rFonts w:eastAsia="Calibri" w:cs="Times New Roman"/>
        </w:rPr>
        <w:t>4.</w:t>
      </w:r>
      <w:r w:rsidR="006C5C85">
        <w:rPr>
          <w:rFonts w:eastAsia="Calibri" w:cs="Times New Roman"/>
        </w:rPr>
        <w:t>2</w:t>
      </w:r>
      <w:r>
        <w:rPr>
          <w:rFonts w:eastAsia="Calibri" w:cs="Times New Roman"/>
        </w:rPr>
        <w:t xml:space="preserve"> all hydroponate was disposed of and replaced with fresh water and ATS solution at 3 weeks post germination and 4 weeks post germination. For </w:t>
      </w:r>
      <w:r w:rsidR="00E90B4A">
        <w:rPr>
          <w:rFonts w:eastAsia="Calibri" w:cs="Times New Roman"/>
        </w:rPr>
        <w:t xml:space="preserve">section </w:t>
      </w:r>
      <w:r w:rsidRPr="00E90B4A">
        <w:rPr>
          <w:rFonts w:eastAsia="Calibri" w:cs="Times New Roman"/>
        </w:rPr>
        <w:t>4.</w:t>
      </w:r>
      <w:r w:rsidR="00E90B4A" w:rsidRPr="00E90B4A">
        <w:rPr>
          <w:rFonts w:eastAsia="Calibri" w:cs="Times New Roman"/>
        </w:rPr>
        <w:t>3</w:t>
      </w:r>
      <w:r w:rsidRPr="00E90B4A">
        <w:rPr>
          <w:rFonts w:eastAsia="Calibri" w:cs="Times New Roman"/>
        </w:rPr>
        <w:t>.</w:t>
      </w:r>
      <w:r w:rsidR="00E90B4A">
        <w:rPr>
          <w:rFonts w:eastAsia="Calibri" w:cs="Times New Roman"/>
        </w:rPr>
        <w:t>7</w:t>
      </w:r>
      <w:r>
        <w:rPr>
          <w:rFonts w:eastAsia="Calibri" w:cs="Times New Roman"/>
        </w:rPr>
        <w:t xml:space="preserve"> all hydroponate was disposed of and replaced with fresh water and ATS solution every 2 weeks for the duration of the experiment </w:t>
      </w:r>
      <w:r>
        <w:rPr>
          <w:rFonts w:eastAsia="Calibri" w:cs="Times New Roman"/>
        </w:rPr>
        <w:fldChar w:fldCharType="begin" w:fldLock="1"/>
      </w:r>
      <w:r>
        <w:rPr>
          <w:rFonts w:eastAsia="Calibri" w:cs="Times New Roman"/>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eastAsia="Calibri" w:hAnsi="Cambria Math" w:cs="Cambria Math"/>
        </w:rPr>
        <w:instrText>‐</w:instrText>
      </w:r>
      <w:r>
        <w:rPr>
          <w:rFonts w:eastAsia="Calibri" w:cs="Times New Roman"/>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eastAsia="Calibri" w:cs="Times New Roman"/>
        </w:rPr>
        <w:fldChar w:fldCharType="separate"/>
      </w:r>
      <w:r w:rsidRPr="00506022">
        <w:rPr>
          <w:rFonts w:eastAsia="Calibri" w:cs="Times New Roman"/>
          <w:noProof/>
        </w:rPr>
        <w:t>(Wheeldon et al., 2021)</w:t>
      </w:r>
      <w:r>
        <w:rPr>
          <w:rFonts w:eastAsia="Calibri" w:cs="Times New Roman"/>
        </w:rPr>
        <w:fldChar w:fldCharType="end"/>
      </w:r>
      <w:r w:rsidR="00B54BC0">
        <w:rPr>
          <w:rFonts w:eastAsia="Calibri" w:cs="Times New Roman"/>
        </w:rPr>
        <w:t xml:space="preserve">, the same can be said for </w:t>
      </w:r>
      <w:r w:rsidR="00BB2F49">
        <w:rPr>
          <w:rFonts w:eastAsia="Calibri" w:cs="Times New Roman"/>
        </w:rPr>
        <w:t>section 4.3.6</w:t>
      </w:r>
      <w:r>
        <w:rPr>
          <w:rFonts w:eastAsia="Calibri" w:cs="Times New Roman"/>
        </w:rPr>
        <w:t xml:space="preserve">. For </w:t>
      </w:r>
      <w:r w:rsidR="006C5C85">
        <w:rPr>
          <w:rFonts w:eastAsia="Calibri" w:cs="Times New Roman"/>
        </w:rPr>
        <w:t xml:space="preserve">section </w:t>
      </w:r>
      <w:r>
        <w:rPr>
          <w:rFonts w:eastAsia="Calibri" w:cs="Times New Roman"/>
        </w:rPr>
        <w:t>5.</w:t>
      </w:r>
      <w:r w:rsidR="00785F4E">
        <w:rPr>
          <w:rFonts w:eastAsia="Calibri" w:cs="Times New Roman"/>
        </w:rPr>
        <w:t>2</w:t>
      </w:r>
      <w:r>
        <w:rPr>
          <w:rFonts w:eastAsia="Calibri" w:cs="Times New Roman"/>
        </w:rPr>
        <w:t xml:space="preserve">.1, when the plants were 2 weeks old, the </w:t>
      </w:r>
      <w:r w:rsidRPr="00D37D9A">
        <w:rPr>
          <w:rFonts w:eastAsia="Calibri" w:cs="Times New Roman"/>
          <w:i/>
          <w:iCs/>
        </w:rPr>
        <w:t>rac</w:t>
      </w:r>
      <w:r>
        <w:rPr>
          <w:rFonts w:eastAsia="Calibri" w:cs="Times New Roman"/>
        </w:rPr>
        <w:t>-GR24 (Chiralix) 10mM stock was diluted to 1</w:t>
      </w:r>
      <w:r>
        <w:rPr>
          <w:rFonts w:eastAsia="Calibri"/>
        </w:rPr>
        <w:t>µ</w:t>
      </w:r>
      <w:r>
        <w:rPr>
          <w:rFonts w:eastAsia="Calibri" w:cs="Times New Roman"/>
        </w:rPr>
        <w:t xml:space="preserve">M in 1L hydroponic pots containing ATS solution (as described above), equivalent volume of the acetone was used as the </w:t>
      </w:r>
      <w:r w:rsidR="00A35495">
        <w:rPr>
          <w:rFonts w:eastAsia="Calibri" w:cs="Times New Roman"/>
        </w:rPr>
        <w:t xml:space="preserve">mock </w:t>
      </w:r>
      <w:r>
        <w:rPr>
          <w:rFonts w:eastAsia="Calibri" w:cs="Times New Roman"/>
        </w:rPr>
        <w:t>control</w:t>
      </w:r>
      <w:r w:rsidR="00A35495">
        <w:rPr>
          <w:rFonts w:eastAsia="Calibri" w:cs="Times New Roman"/>
        </w:rPr>
        <w:t xml:space="preserve"> treatment</w:t>
      </w:r>
      <w:r>
        <w:rPr>
          <w:rFonts w:eastAsia="Calibri" w:cs="Times New Roman"/>
        </w:rPr>
        <w:t>. When the plants were 4 weeks old, the addition of 1</w:t>
      </w:r>
      <w:r>
        <w:rPr>
          <w:rFonts w:eastAsia="Calibri"/>
        </w:rPr>
        <w:t>µ</w:t>
      </w:r>
      <w:r>
        <w:rPr>
          <w:rFonts w:eastAsia="Calibri" w:cs="Times New Roman"/>
        </w:rPr>
        <w:t xml:space="preserve">M GR24 was repeated </w:t>
      </w:r>
      <w:r>
        <w:rPr>
          <w:rFonts w:eastAsia="Calibri" w:cs="Times New Roman"/>
        </w:rPr>
        <w:fldChar w:fldCharType="begin" w:fldLock="1"/>
      </w:r>
      <w:r>
        <w:rPr>
          <w:rFonts w:eastAsia="Calibri" w:cs="Times New Roman"/>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Pr>
          <w:rFonts w:eastAsia="Calibri" w:cs="Times New Roman"/>
        </w:rPr>
        <w:fldChar w:fldCharType="separate"/>
      </w:r>
      <w:r w:rsidRPr="00F412DD">
        <w:rPr>
          <w:rFonts w:eastAsia="Calibri" w:cs="Times New Roman"/>
          <w:noProof/>
        </w:rPr>
        <w:t>(Wheeldon et al., 2022)</w:t>
      </w:r>
      <w:r>
        <w:rPr>
          <w:rFonts w:eastAsia="Calibri" w:cs="Times New Roman"/>
        </w:rPr>
        <w:fldChar w:fldCharType="end"/>
      </w:r>
      <w:r>
        <w:rPr>
          <w:rFonts w:eastAsia="Calibri" w:cs="Times New Roman"/>
        </w:rPr>
        <w:t xml:space="preserve">. </w:t>
      </w:r>
    </w:p>
    <w:p w14:paraId="43157168" w14:textId="77777777" w:rsidR="00066A61" w:rsidRDefault="00066A61" w:rsidP="00AA4FF0">
      <w:pPr>
        <w:spacing w:line="480" w:lineRule="auto"/>
        <w:rPr>
          <w:rFonts w:eastAsia="Calibri" w:cs="Times New Roman"/>
        </w:rPr>
      </w:pPr>
    </w:p>
    <w:p w14:paraId="0873BD0B" w14:textId="1722FF5E" w:rsidR="00AA4FF0" w:rsidRDefault="001A44E2" w:rsidP="00AA4FF0">
      <w:r>
        <w:rPr>
          <w:rFonts w:eastAsia="Calibri" w:cs="Times New Roman"/>
          <w:noProof/>
        </w:rPr>
        <w:lastRenderedPageBreak/>
        <w:drawing>
          <wp:anchor distT="0" distB="0" distL="114300" distR="114300" simplePos="0" relativeHeight="251701760" behindDoc="0" locked="0" layoutInCell="1" allowOverlap="1" wp14:anchorId="225217A3" wp14:editId="34AB7372">
            <wp:simplePos x="0" y="0"/>
            <wp:positionH relativeFrom="margin">
              <wp:align>left</wp:align>
            </wp:positionH>
            <wp:positionV relativeFrom="paragraph">
              <wp:posOffset>60571</wp:posOffset>
            </wp:positionV>
            <wp:extent cx="4605251" cy="3879273"/>
            <wp:effectExtent l="0" t="0" r="5080" b="6985"/>
            <wp:wrapSquare wrapText="bothSides"/>
            <wp:docPr id="1367011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011178" name="Picture 136701117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05251" cy="3879273"/>
                    </a:xfrm>
                    <a:prstGeom prst="rect">
                      <a:avLst/>
                    </a:prstGeom>
                  </pic:spPr>
                </pic:pic>
              </a:graphicData>
            </a:graphic>
          </wp:anchor>
        </w:drawing>
      </w:r>
    </w:p>
    <w:p w14:paraId="29BCE494" w14:textId="088A5388" w:rsidR="00AA4FF0" w:rsidRDefault="00AA4FF0" w:rsidP="00AA4FF0"/>
    <w:p w14:paraId="7C7CBE27" w14:textId="4520D1F2" w:rsidR="00AA4FF0" w:rsidRDefault="00AA4FF0" w:rsidP="00AA4FF0"/>
    <w:p w14:paraId="6020240D" w14:textId="27209146" w:rsidR="00AA4FF0" w:rsidRDefault="00AA4FF0" w:rsidP="00AA4FF0"/>
    <w:p w14:paraId="6BDAE980" w14:textId="77777777" w:rsidR="00AA4FF0" w:rsidRPr="00AA4FF0" w:rsidRDefault="00AA4FF0" w:rsidP="00AA4FF0"/>
    <w:p w14:paraId="05B8EF55" w14:textId="77777777" w:rsidR="00AA4FF0" w:rsidRPr="00AA4FF0" w:rsidRDefault="00AA4FF0" w:rsidP="00AA4FF0"/>
    <w:p w14:paraId="13E3719C" w14:textId="77777777" w:rsidR="00AA4FF0" w:rsidRPr="00AA4FF0" w:rsidRDefault="00AA4FF0" w:rsidP="00AA4FF0"/>
    <w:p w14:paraId="2ACFED57" w14:textId="77777777" w:rsidR="00AA4FF0" w:rsidRPr="00AA4FF0" w:rsidRDefault="00AA4FF0" w:rsidP="00AA4FF0"/>
    <w:p w14:paraId="3835EF5A" w14:textId="77777777" w:rsidR="00AA4FF0" w:rsidRPr="00AA4FF0" w:rsidRDefault="00AA4FF0" w:rsidP="00AA4FF0"/>
    <w:p w14:paraId="21873B57" w14:textId="77777777" w:rsidR="00AA4FF0" w:rsidRPr="00AA4FF0" w:rsidRDefault="00AA4FF0" w:rsidP="00AA4FF0"/>
    <w:p w14:paraId="768F9824" w14:textId="77777777" w:rsidR="00AA4FF0" w:rsidRPr="00AA4FF0" w:rsidRDefault="00AA4FF0" w:rsidP="00AA4FF0"/>
    <w:p w14:paraId="2A734AAB" w14:textId="77777777" w:rsidR="00AA4FF0" w:rsidRPr="00AA4FF0" w:rsidRDefault="00AA4FF0" w:rsidP="00AA4FF0"/>
    <w:p w14:paraId="53A25C8F" w14:textId="77777777" w:rsidR="00AA4FF0" w:rsidRDefault="00AA4FF0" w:rsidP="00AA4FF0"/>
    <w:p w14:paraId="3B83478D" w14:textId="7C107863" w:rsidR="00AA4FF0" w:rsidRDefault="00646450" w:rsidP="00646450">
      <w:pPr>
        <w:pStyle w:val="Caption"/>
      </w:pPr>
      <w:bookmarkStart w:id="32" w:name="_Toc146657526"/>
      <w:bookmarkStart w:id="33" w:name="_Toc154331515"/>
      <w:r>
        <w:t xml:space="preserve">Table </w:t>
      </w:r>
      <w:fldSimple w:instr=" STYLEREF 1 \s ">
        <w:r w:rsidR="004B7F70">
          <w:rPr>
            <w:noProof/>
          </w:rPr>
          <w:t>2</w:t>
        </w:r>
      </w:fldSimple>
      <w:r>
        <w:t>.</w:t>
      </w:r>
      <w:fldSimple w:instr=" SEQ Table \* ARABIC \s 1 ">
        <w:r w:rsidR="004B7F70">
          <w:rPr>
            <w:noProof/>
          </w:rPr>
          <w:t>1</w:t>
        </w:r>
      </w:fldSimple>
      <w:r w:rsidR="00AA4FF0">
        <w:t xml:space="preserve"> </w:t>
      </w:r>
      <w:r w:rsidR="00AA4FF0" w:rsidRPr="006F48C9">
        <w:rPr>
          <w:i/>
          <w:iCs/>
        </w:rPr>
        <w:t>Arabidopsis thaliana</w:t>
      </w:r>
      <w:r w:rsidR="00AA4FF0">
        <w:t xml:space="preserve"> Salts (ATS)</w:t>
      </w:r>
      <w:bookmarkEnd w:id="32"/>
      <w:bookmarkEnd w:id="33"/>
    </w:p>
    <w:p w14:paraId="252060E0" w14:textId="626285C2" w:rsidR="00AA4FF0" w:rsidRDefault="00C247B4" w:rsidP="00AA4FF0">
      <w:pPr>
        <w:pStyle w:val="Description"/>
      </w:pPr>
      <w:r>
        <w:t xml:space="preserve">First described in </w:t>
      </w:r>
      <w:r w:rsidR="00AA4FF0">
        <w:fldChar w:fldCharType="begin" w:fldLock="1"/>
      </w:r>
      <w:r w:rsidR="00C67A15">
        <w:instrText>ADDIN CSL_CITATION {"citationItems":[{"id":"ITEM-1","itemData":{"DOI":"10.1007/BF00633843","ISSN":"00268925","abstract":"We have screened a large population of M2 seeds of Arabidops&amp; thaliana for plants which are resis-tant to exogenously applied indole-acetic acid (IAA). One of the resistant lines identified in this screen carries a dominant mutation which we have named axr2. Link-age analysis indicates that the axr2 gene lies on chromo-some 3. Plants carrying the axr2 mutation are severe dwarfs and display defects in growth orientation of both the shoot and root suggesting that the mutation affects some aspect of gravitropic growth. In addition, the roots of axr2 plants lack root hairs. Growth inhibition experi-ments indicate that the roots of axr2 plants are resistant to ethylene and abscisic acid as well as auxin.","author":[{"dropping-particle":"","family":"Wilson","given":"Allison K.","non-dropping-particle":"","parse-names":false,"suffix":""},{"dropping-particle":"","family":"Pickett","given":"F. Bryan","non-dropping-particle":"","parse-names":false,"suffix":""},{"dropping-particle":"","family":"Turner","given":"Jocelyn C.","non-dropping-particle":"","parse-names":false,"suffix":""},{"dropping-particle":"","family":"Estelle","given":"Mark","non-dropping-particle":"","parse-names":false,"suffix":""}],"container-title":"MGG Molecular &amp; General Genetics","id":"ITEM-1","issue":"2-3","issued":{"date-parts":[["1990","7"]]},"page":"377-383","publisher":"Springer-Verlag","title":"A dominant mutation in Arabidopsis confers resistance to auxin, ethylene and abscisic acid","type":"article-journal","volume":"222"},"uris":["http://www.mendeley.com/documents/?uuid=df740ebb-4e25-3153-b601-9021f015c158"]}],"mendeley":{"formattedCitation":"(Wilson et al., 1990)","plainTextFormattedCitation":"(Wilson et al., 1990)","previouslyFormattedCitation":"(Wilson et al., 1990)"},"properties":{"noteIndex":0},"schema":"https://github.com/citation-style-language/schema/raw/master/csl-citation.json"}</w:instrText>
      </w:r>
      <w:r w:rsidR="00AA4FF0">
        <w:fldChar w:fldCharType="separate"/>
      </w:r>
      <w:r w:rsidR="00AA4FF0" w:rsidRPr="00AA4FF0">
        <w:rPr>
          <w:noProof/>
        </w:rPr>
        <w:t>(Wilson et al., 1990)</w:t>
      </w:r>
      <w:r w:rsidR="00AA4FF0">
        <w:fldChar w:fldCharType="end"/>
      </w:r>
    </w:p>
    <w:p w14:paraId="3E251B27" w14:textId="77777777" w:rsidR="00AA4FF0" w:rsidRDefault="00AA4FF0" w:rsidP="00AA4FF0"/>
    <w:p w14:paraId="0DA26C66" w14:textId="226921DF" w:rsidR="00AA4FF0" w:rsidRDefault="00AA4FF0" w:rsidP="00743E4C">
      <w:pPr>
        <w:pStyle w:val="Heading4"/>
      </w:pPr>
      <w:bookmarkStart w:id="34" w:name="_Toc154331441"/>
      <w:r>
        <w:t>Rhizoboxes</w:t>
      </w:r>
      <w:bookmarkEnd w:id="34"/>
    </w:p>
    <w:p w14:paraId="2102FBC8" w14:textId="77777777" w:rsidR="00AA4FF0" w:rsidRDefault="00AA4FF0" w:rsidP="00AA4FF0">
      <w:pPr>
        <w:spacing w:line="480" w:lineRule="auto"/>
      </w:pPr>
      <w:r>
        <w:t>All seeds used in rhizoboxes were pre germinated on damp paper in petri dishes for the time specified in the experiments.</w:t>
      </w:r>
    </w:p>
    <w:p w14:paraId="17EB31AA" w14:textId="77777777" w:rsidR="00AA4FF0" w:rsidRDefault="00AA4FF0" w:rsidP="00AA4FF0"/>
    <w:p w14:paraId="28DE1CB8" w14:textId="71ED2F2E" w:rsidR="00AA4FF0" w:rsidRDefault="00AA4FF0" w:rsidP="00743E4C">
      <w:pPr>
        <w:pStyle w:val="Heading4"/>
      </w:pPr>
      <w:bookmarkStart w:id="35" w:name="_Toc154331442"/>
      <w:r>
        <w:t>Agar plates</w:t>
      </w:r>
      <w:bookmarkEnd w:id="35"/>
    </w:p>
    <w:p w14:paraId="00DDE4EE" w14:textId="77777777" w:rsidR="00AA4FF0" w:rsidRPr="002C55EE" w:rsidRDefault="00AA4FF0" w:rsidP="00AA4FF0">
      <w:pPr>
        <w:spacing w:line="480" w:lineRule="auto"/>
        <w:rPr>
          <w:rFonts w:eastAsia="Calibri" w:cs="Times New Roman"/>
        </w:rPr>
      </w:pPr>
      <w:r w:rsidRPr="00D25B2A">
        <w:rPr>
          <w:rFonts w:eastAsia="Calibri" w:cs="Times New Roman"/>
          <w:i/>
          <w:iCs/>
        </w:rPr>
        <w:t>Arabidopsis thaliana</w:t>
      </w:r>
      <w:r w:rsidRPr="002C55EE">
        <w:rPr>
          <w:rFonts w:eastAsia="Calibri" w:cs="Times New Roman"/>
        </w:rPr>
        <w:t xml:space="preserve"> seeds were placed in open 1.5ml tubes, in a tube rack within a sealable plastic box placed in a fumehood. Sterilisation was achieved using chlorine gas produced by 100ml liquid bleach and 3ml 37% hydrochloric acid (HCl) in a beaker inside the plastic box. The plastic box was sealed for ~1.5-2 hours and on completion the plastic box was opened, and tubes sealed and re-opened once in a laminar flowhood before plating onto media plates.</w:t>
      </w:r>
    </w:p>
    <w:p w14:paraId="42CF505F" w14:textId="7E8D605B" w:rsidR="00AA4FF0" w:rsidRDefault="00AA4FF0" w:rsidP="00AA4FF0">
      <w:pPr>
        <w:spacing w:line="480" w:lineRule="auto"/>
        <w:rPr>
          <w:rFonts w:eastAsia="Calibri" w:cs="Times New Roman"/>
        </w:rPr>
      </w:pPr>
      <w:r w:rsidRPr="002C55EE">
        <w:rPr>
          <w:rFonts w:eastAsia="Calibri" w:cs="Times New Roman"/>
        </w:rPr>
        <w:lastRenderedPageBreak/>
        <w:t xml:space="preserve">Seeds were sown on to 120mm square petri dishes containing </w:t>
      </w:r>
      <w:r>
        <w:rPr>
          <w:rFonts w:eastAsia="Calibri" w:cs="Times New Roman"/>
        </w:rPr>
        <w:t>60</w:t>
      </w:r>
      <w:r w:rsidRPr="002C55EE">
        <w:rPr>
          <w:rFonts w:eastAsia="Calibri" w:cs="Times New Roman"/>
        </w:rPr>
        <w:t>ml ATS agar medium</w:t>
      </w:r>
      <w:r>
        <w:rPr>
          <w:rFonts w:eastAsia="Calibri" w:cs="Times New Roman"/>
        </w:rPr>
        <w:t xml:space="preserve"> as outlined by </w:t>
      </w:r>
      <w:r>
        <w:rPr>
          <w:rFonts w:eastAsia="Calibri" w:cs="Times New Roman"/>
        </w:rPr>
        <w:fldChar w:fldCharType="begin" w:fldLock="1"/>
      </w:r>
      <w:r>
        <w:rPr>
          <w:rFonts w:eastAsia="Calibri" w:cs="Times New Roman"/>
        </w:rPr>
        <w:instrText>ADDIN CSL_CITATION {"citationItems":[{"id":"ITEM-1","itemData":{"DOI":"10.1007/BF00633843","ISSN":"00268925","abstract":"We have screened a large population of M2 seeds of Arabidops&amp; thaliana for plants which are resis-tant to exogenously applied indole-acetic acid (IAA). One of the resistant lines identified in this screen carries a dominant mutation which we have named axr2. Link-age analysis indicates that the axr2 gene lies on chromo-some 3. Plants carrying the axr2 mutation are severe dwarfs and display defects in growth orientation of both the shoot and root suggesting that the mutation affects some aspect of gravitropic growth. In addition, the roots of axr2 plants lack root hairs. Growth inhibition experi-ments indicate that the roots of axr2 plants are resistant to ethylene and abscisic acid as well as auxin.","author":[{"dropping-particle":"","family":"Wilson","given":"Allison K.","non-dropping-particle":"","parse-names":false,"suffix":""},{"dropping-particle":"","family":"Pickett","given":"F. Bryan","non-dropping-particle":"","parse-names":false,"suffix":""},{"dropping-particle":"","family":"Turner","given":"Jocelyn C.","non-dropping-particle":"","parse-names":false,"suffix":""},{"dropping-particle":"","family":"Estelle","given":"Mark","non-dropping-particle":"","parse-names":false,"suffix":""}],"container-title":"MGG Molecular &amp; General Genetics","id":"ITEM-1","issue":"2-3","issued":{"date-parts":[["1990","7"]]},"page":"377-383","publisher":"Springer-Verlag","title":"A dominant mutation in Arabidopsis confers resistance to auxin, ethylene and abscisic acid","type":"article-journal","volume":"222"},"uris":["http://www.mendeley.com/documents/?uuid=df740ebb-4e25-3153-b601-9021f015c158"]}],"mendeley":{"formattedCitation":"(Wilson et al., 1990)","plainTextFormattedCitation":"(Wilson et al., 1990)","previouslyFormattedCitation":"(Wilson et al., 1990)"},"properties":{"noteIndex":0},"schema":"https://github.com/citation-style-language/schema/raw/master/csl-citation.json"}</w:instrText>
      </w:r>
      <w:r>
        <w:rPr>
          <w:rFonts w:eastAsia="Calibri" w:cs="Times New Roman"/>
        </w:rPr>
        <w:fldChar w:fldCharType="separate"/>
      </w:r>
      <w:r w:rsidRPr="00D86FC4">
        <w:rPr>
          <w:rFonts w:eastAsia="Calibri" w:cs="Times New Roman"/>
          <w:noProof/>
        </w:rPr>
        <w:t>(Wilson et al., 1990)</w:t>
      </w:r>
      <w:r>
        <w:rPr>
          <w:rFonts w:eastAsia="Calibri" w:cs="Times New Roman"/>
        </w:rPr>
        <w:fldChar w:fldCharType="end"/>
      </w:r>
      <w:r>
        <w:rPr>
          <w:rFonts w:eastAsia="Calibri" w:cs="Times New Roman"/>
        </w:rPr>
        <w:t xml:space="preserve"> using 0.8% w/vol Duchefa plant agar and 1 % w/vol sucrose (Table 2.1)</w:t>
      </w:r>
      <w:r w:rsidRPr="002C55EE">
        <w:rPr>
          <w:rFonts w:eastAsia="Calibri" w:cs="Times New Roman"/>
        </w:rPr>
        <w:t>.</w:t>
      </w:r>
      <w:r>
        <w:rPr>
          <w:rFonts w:eastAsia="Calibri" w:cs="Times New Roman"/>
        </w:rPr>
        <w:t xml:space="preserve"> </w:t>
      </w:r>
      <w:r w:rsidRPr="002C55EE">
        <w:rPr>
          <w:rFonts w:eastAsia="Calibri" w:cs="Times New Roman"/>
        </w:rPr>
        <w:t xml:space="preserve"> </w:t>
      </w:r>
      <w:r w:rsidRPr="00D37D9A">
        <w:rPr>
          <w:rFonts w:eastAsia="Calibri" w:cs="Times New Roman"/>
          <w:i/>
          <w:iCs/>
        </w:rPr>
        <w:t>rac</w:t>
      </w:r>
      <w:r>
        <w:rPr>
          <w:rFonts w:eastAsia="Calibri" w:cs="Times New Roman"/>
        </w:rPr>
        <w:t>-GR24 (Chiralix) 10mM stock dissolved in acetone was diluted to 1</w:t>
      </w:r>
      <w:r>
        <w:rPr>
          <w:rFonts w:eastAsia="Calibri"/>
        </w:rPr>
        <w:t>µ</w:t>
      </w:r>
      <w:r>
        <w:rPr>
          <w:rFonts w:eastAsia="Calibri" w:cs="Times New Roman"/>
        </w:rPr>
        <w:t>M or 5</w:t>
      </w:r>
      <w:r>
        <w:rPr>
          <w:rFonts w:eastAsia="Calibri"/>
        </w:rPr>
        <w:t>µ</w:t>
      </w:r>
      <w:r>
        <w:rPr>
          <w:rFonts w:eastAsia="Calibri" w:cs="Times New Roman"/>
        </w:rPr>
        <w:t>M in 60ml ATS agar plates as describe</w:t>
      </w:r>
      <w:r w:rsidR="007D4DE2">
        <w:rPr>
          <w:rFonts w:eastAsia="Calibri" w:cs="Times New Roman"/>
        </w:rPr>
        <w:t>d</w:t>
      </w:r>
      <w:r>
        <w:rPr>
          <w:rFonts w:eastAsia="Calibri" w:cs="Times New Roman"/>
        </w:rPr>
        <w:t xml:space="preserve"> above, an acetone only control equivalent to the 1</w:t>
      </w:r>
      <w:r>
        <w:rPr>
          <w:rFonts w:eastAsia="Calibri"/>
        </w:rPr>
        <w:t>µ</w:t>
      </w:r>
      <w:r>
        <w:rPr>
          <w:rFonts w:eastAsia="Calibri" w:cs="Times New Roman"/>
        </w:rPr>
        <w:t>M GR24 treatment was used for control plates.</w:t>
      </w:r>
      <w:r w:rsidR="007D4DE2">
        <w:rPr>
          <w:rFonts w:eastAsia="Calibri" w:cs="Times New Roman"/>
        </w:rPr>
        <w:t xml:space="preserve"> </w:t>
      </w:r>
      <w:r w:rsidRPr="002C55EE">
        <w:rPr>
          <w:rFonts w:eastAsia="Calibri" w:cs="Times New Roman"/>
        </w:rPr>
        <w:t>Plates were sealed using micropore and stored for 48h in a 4</w:t>
      </w:r>
      <w:r>
        <w:rPr>
          <w:rFonts w:eastAsia="Calibri"/>
        </w:rPr>
        <w:t>°</w:t>
      </w:r>
      <w:r w:rsidRPr="002C55EE">
        <w:rPr>
          <w:rFonts w:eastAsia="Calibri" w:cs="Times New Roman"/>
        </w:rPr>
        <w:t xml:space="preserve">C cold room for seed stratification before being placed </w:t>
      </w:r>
      <w:r w:rsidR="00A35495">
        <w:rPr>
          <w:rFonts w:eastAsia="Calibri" w:cs="Times New Roman"/>
        </w:rPr>
        <w:t xml:space="preserve">vertically </w:t>
      </w:r>
      <w:r w:rsidRPr="002C55EE">
        <w:rPr>
          <w:rFonts w:eastAsia="Calibri" w:cs="Times New Roman"/>
        </w:rPr>
        <w:t>in walk in growth chambers for the duration of the experiment as specified inline.</w:t>
      </w:r>
      <w:r w:rsidRPr="00A52C10">
        <w:rPr>
          <w:rFonts w:eastAsia="Calibri" w:cs="Times New Roman"/>
          <w:i/>
          <w:iCs/>
        </w:rPr>
        <w:t xml:space="preserve"> </w:t>
      </w:r>
    </w:p>
    <w:p w14:paraId="610C7B25" w14:textId="77777777" w:rsidR="00AA4FF0" w:rsidRDefault="00AA4FF0" w:rsidP="00AA4FF0">
      <w:pPr>
        <w:spacing w:line="480" w:lineRule="auto"/>
        <w:rPr>
          <w:rFonts w:eastAsia="Calibri" w:cs="Times New Roman"/>
        </w:rPr>
      </w:pPr>
    </w:p>
    <w:p w14:paraId="5E56922D" w14:textId="519E0098" w:rsidR="00AA4FF0" w:rsidRDefault="00AA4FF0" w:rsidP="00743E4C">
      <w:pPr>
        <w:pStyle w:val="Heading2"/>
        <w:rPr>
          <w:rFonts w:eastAsia="Calibri"/>
        </w:rPr>
      </w:pPr>
      <w:bookmarkStart w:id="36" w:name="_Toc154331443"/>
      <w:r w:rsidRPr="00AA4FF0">
        <w:rPr>
          <w:rFonts w:eastAsia="Calibri"/>
        </w:rPr>
        <w:t>Containers used for plant growth</w:t>
      </w:r>
      <w:bookmarkEnd w:id="36"/>
    </w:p>
    <w:p w14:paraId="68A4B781" w14:textId="0D710F8A" w:rsidR="00AA4FF0" w:rsidRDefault="00AA4FF0" w:rsidP="00AA4FF0">
      <w:pPr>
        <w:spacing w:line="480" w:lineRule="auto"/>
        <w:rPr>
          <w:rFonts w:eastAsia="Calibri" w:cs="Times New Roman"/>
        </w:rPr>
      </w:pPr>
      <w:r>
        <w:rPr>
          <w:rFonts w:eastAsia="Calibri" w:cs="Times New Roman"/>
        </w:rPr>
        <w:t xml:space="preserve">Most soil-based experiments used standard black plastic pots of 100ml, 500ml or 2000ml volume (as stated in line) but in scenarios where this was not the case it </w:t>
      </w:r>
      <w:r w:rsidR="00A35495">
        <w:rPr>
          <w:rFonts w:eastAsia="Calibri" w:cs="Times New Roman"/>
        </w:rPr>
        <w:t>has been</w:t>
      </w:r>
      <w:r>
        <w:rPr>
          <w:rFonts w:eastAsia="Calibri" w:cs="Times New Roman"/>
        </w:rPr>
        <w:t xml:space="preserve"> stated inline</w:t>
      </w:r>
      <w:r w:rsidR="00A35495">
        <w:rPr>
          <w:rFonts w:eastAsia="Calibri" w:cs="Times New Roman"/>
        </w:rPr>
        <w:t>,</w:t>
      </w:r>
      <w:r>
        <w:rPr>
          <w:rFonts w:eastAsia="Calibri" w:cs="Times New Roman"/>
        </w:rPr>
        <w:t xml:space="preserve"> and if required described in greater detail below.</w:t>
      </w:r>
      <w:r w:rsidRPr="00F71BEB">
        <w:rPr>
          <w:rFonts w:eastAsia="Calibri" w:cs="Times New Roman"/>
        </w:rPr>
        <w:t xml:space="preserve"> </w:t>
      </w:r>
    </w:p>
    <w:p w14:paraId="1220B458" w14:textId="4A0DF5EE" w:rsidR="00AA4FF0" w:rsidRPr="001F7B78" w:rsidRDefault="00AA4FF0" w:rsidP="00AA4FF0">
      <w:pPr>
        <w:spacing w:line="480" w:lineRule="auto"/>
        <w:rPr>
          <w:rFonts w:eastAsia="Calibri" w:cs="Times New Roman"/>
        </w:rPr>
      </w:pPr>
      <w:r>
        <w:rPr>
          <w:rFonts w:eastAsia="Calibri" w:cs="Times New Roman"/>
        </w:rPr>
        <w:t xml:space="preserve">For the barley soil volume phenotyping screen in </w:t>
      </w:r>
      <w:r w:rsidR="001648CB">
        <w:rPr>
          <w:rFonts w:eastAsia="Calibri" w:cs="Times New Roman"/>
        </w:rPr>
        <w:t xml:space="preserve">chapter </w:t>
      </w:r>
      <w:r>
        <w:rPr>
          <w:rFonts w:eastAsia="Calibri" w:cs="Times New Roman"/>
        </w:rPr>
        <w:t>3.</w:t>
      </w:r>
      <w:r w:rsidR="001648CB">
        <w:rPr>
          <w:rFonts w:eastAsia="Calibri" w:cs="Times New Roman"/>
        </w:rPr>
        <w:t>3</w:t>
      </w:r>
      <w:r>
        <w:rPr>
          <w:rFonts w:eastAsia="Calibri" w:cs="Times New Roman"/>
        </w:rPr>
        <w:t xml:space="preserve">, each genotype was sown singly in 100ml and 500ml pots in manageable weekly ‘batches’ of 5 genotypes. </w:t>
      </w:r>
    </w:p>
    <w:p w14:paraId="7C30EB67" w14:textId="77777777" w:rsidR="00AA4FF0" w:rsidRPr="00AA4FF0" w:rsidRDefault="00AA4FF0" w:rsidP="00AA4FF0">
      <w:pPr>
        <w:rPr>
          <w:rFonts w:eastAsia="Calibri"/>
        </w:rPr>
      </w:pPr>
    </w:p>
    <w:p w14:paraId="0581F9EF" w14:textId="07197B8E" w:rsidR="00AA4FF0" w:rsidRDefault="001648CB" w:rsidP="00743E4C">
      <w:pPr>
        <w:pStyle w:val="Heading3"/>
      </w:pPr>
      <w:bookmarkStart w:id="37" w:name="_Toc154331444"/>
      <w:r w:rsidRPr="00F42408">
        <w:t>Neighbour density experiments</w:t>
      </w:r>
      <w:bookmarkEnd w:id="37"/>
    </w:p>
    <w:p w14:paraId="067FF5CE" w14:textId="109DC8BC" w:rsidR="001648CB" w:rsidRDefault="001648CB" w:rsidP="001648CB">
      <w:pPr>
        <w:spacing w:line="480" w:lineRule="auto"/>
      </w:pPr>
      <w:r w:rsidRPr="001648CB">
        <w:t>Chapter 3.</w:t>
      </w:r>
      <w:r>
        <w:t>2</w:t>
      </w:r>
      <w:r w:rsidRPr="001648CB">
        <w:t>, neighbour density experiments were carried out in either 100ml and 500ml or 500ml and 2000ml pots. The top perimeter of the smallest soil volume pot in the experiment was cut and used as a template for sowing distance in the larger pot.</w:t>
      </w:r>
    </w:p>
    <w:p w14:paraId="6CADF213" w14:textId="16BC59D0" w:rsidR="001648CB" w:rsidRDefault="001648CB" w:rsidP="00743E4C">
      <w:pPr>
        <w:pStyle w:val="Heading3"/>
      </w:pPr>
      <w:bookmarkStart w:id="38" w:name="_Toc154331445"/>
      <w:r w:rsidRPr="001648CB">
        <w:lastRenderedPageBreak/>
        <w:t>Rhizoboxes</w:t>
      </w:r>
      <w:bookmarkEnd w:id="38"/>
    </w:p>
    <w:p w14:paraId="4E96EC90" w14:textId="72050183" w:rsidR="007F7A9D" w:rsidRDefault="001648CB" w:rsidP="001648CB">
      <w:pPr>
        <w:spacing w:line="480" w:lineRule="auto"/>
        <w:rPr>
          <w:rFonts w:eastAsia="Calibri" w:cs="Times New Roman"/>
          <w:noProof/>
        </w:rPr>
      </w:pPr>
      <w:r w:rsidRPr="002C55EE">
        <w:rPr>
          <w:rFonts w:eastAsia="Calibri" w:cs="Times New Roman"/>
        </w:rPr>
        <w:t xml:space="preserve">Greiner </w:t>
      </w:r>
      <w:r w:rsidR="00A35495">
        <w:rPr>
          <w:rFonts w:eastAsia="Calibri" w:cs="Times New Roman"/>
        </w:rPr>
        <w:t>bio-</w:t>
      </w:r>
      <w:r w:rsidRPr="002C55EE">
        <w:rPr>
          <w:rFonts w:eastAsia="Calibri" w:cs="Times New Roman"/>
        </w:rPr>
        <w:t>one (</w:t>
      </w:r>
      <w:r>
        <w:rPr>
          <w:rFonts w:eastAsia="Calibri" w:cs="Times New Roman"/>
        </w:rPr>
        <w:t xml:space="preserve">120 </w:t>
      </w:r>
      <w:r w:rsidRPr="002C55EE">
        <w:rPr>
          <w:rFonts w:eastAsia="Calibri" w:cs="Times New Roman"/>
        </w:rPr>
        <w:t>mm) and Corni</w:t>
      </w:r>
      <w:r>
        <w:rPr>
          <w:rFonts w:eastAsia="Calibri" w:cs="Times New Roman"/>
        </w:rPr>
        <w:t>ng</w:t>
      </w:r>
      <w:r w:rsidRPr="002C55EE">
        <w:rPr>
          <w:rFonts w:eastAsia="Calibri" w:cs="Times New Roman"/>
        </w:rPr>
        <w:t xml:space="preserve"> (</w:t>
      </w:r>
      <w:r>
        <w:rPr>
          <w:rFonts w:eastAsia="Calibri" w:cs="Times New Roman"/>
        </w:rPr>
        <w:t>245</w:t>
      </w:r>
      <w:r w:rsidRPr="002C55EE">
        <w:rPr>
          <w:rFonts w:eastAsia="Calibri" w:cs="Times New Roman"/>
        </w:rPr>
        <w:t xml:space="preserve"> mm) square plates were modified with 6 holes melted into the bottom edge for drainage and on the opposite edge, a 1 inch hole (uncrowded) </w:t>
      </w:r>
      <w:r w:rsidR="0099413B">
        <w:rPr>
          <w:rFonts w:eastAsia="Calibri" w:cs="Times New Roman"/>
        </w:rPr>
        <w:t>(Fig. 2.1</w:t>
      </w:r>
      <w:r w:rsidR="007F7A9D">
        <w:rPr>
          <w:rFonts w:eastAsia="Calibri" w:cs="Times New Roman"/>
        </w:rPr>
        <w:t>A</w:t>
      </w:r>
      <w:r w:rsidR="0099413B">
        <w:rPr>
          <w:rFonts w:eastAsia="Calibri" w:cs="Times New Roman"/>
        </w:rPr>
        <w:t xml:space="preserve">), </w:t>
      </w:r>
      <w:r w:rsidRPr="002C55EE">
        <w:rPr>
          <w:rFonts w:eastAsia="Calibri" w:cs="Times New Roman"/>
        </w:rPr>
        <w:t xml:space="preserve">or a hole spanning the width of the plate (crowded) to allow the shoots to grow out of the plate. Cereal seeds were pre germinated on damp paper for </w:t>
      </w:r>
      <w:r>
        <w:rPr>
          <w:rFonts w:eastAsia="Calibri" w:cs="Times New Roman"/>
        </w:rPr>
        <w:t>the duration stated</w:t>
      </w:r>
      <w:r w:rsidRPr="002C55EE">
        <w:rPr>
          <w:rFonts w:eastAsia="Calibri" w:cs="Times New Roman"/>
        </w:rPr>
        <w:t xml:space="preserve"> in the figure legends. Seeds were transferred to the plates and situated 1cm below the shoot hole. The </w:t>
      </w:r>
      <w:r w:rsidR="007F7A9D">
        <w:rPr>
          <w:rFonts w:eastAsia="Calibri" w:cs="Times New Roman"/>
        </w:rPr>
        <w:t>rhizoboxes</w:t>
      </w:r>
      <w:r w:rsidRPr="002C55EE">
        <w:rPr>
          <w:rFonts w:eastAsia="Calibri" w:cs="Times New Roman"/>
        </w:rPr>
        <w:t xml:space="preserve"> were filled with compost, being careful to not dislodge the seed(s). </w:t>
      </w:r>
      <w:r w:rsidR="007F7A9D">
        <w:rPr>
          <w:rFonts w:eastAsia="Calibri" w:cs="Times New Roman"/>
        </w:rPr>
        <w:t>Rhizoboxes</w:t>
      </w:r>
      <w:r w:rsidRPr="002C55EE">
        <w:rPr>
          <w:rFonts w:eastAsia="Calibri" w:cs="Times New Roman"/>
        </w:rPr>
        <w:t xml:space="preserve"> were sealed with autoclave tape on the unmodified sides. Plates were then placed in custom-built stainless-steel racks</w:t>
      </w:r>
      <w:r w:rsidRPr="00503408">
        <w:rPr>
          <w:rFonts w:eastAsia="Calibri" w:cs="Times New Roman"/>
        </w:rPr>
        <w:t xml:space="preserve"> </w:t>
      </w:r>
      <w:r>
        <w:rPr>
          <w:rFonts w:eastAsia="Calibri" w:cs="Times New Roman"/>
        </w:rPr>
        <w:t>(</w:t>
      </w:r>
      <w:r w:rsidRPr="002C55EE">
        <w:rPr>
          <w:rFonts w:eastAsia="Calibri" w:cs="Times New Roman"/>
        </w:rPr>
        <w:t>built by High Peak Sheet Metal LTD</w:t>
      </w:r>
      <w:r>
        <w:rPr>
          <w:rFonts w:eastAsia="Calibri" w:cs="Times New Roman"/>
        </w:rPr>
        <w:t>), which</w:t>
      </w:r>
      <w:r w:rsidRPr="002C55EE">
        <w:rPr>
          <w:rFonts w:eastAsia="Calibri" w:cs="Times New Roman"/>
        </w:rPr>
        <w:t xml:space="preserve"> held the plates at a 45° angle allowing for optimal root visibility </w:t>
      </w:r>
      <w:r>
        <w:rPr>
          <w:rFonts w:eastAsia="Calibri" w:cs="Times New Roman"/>
        </w:rPr>
        <w:fldChar w:fldCharType="begin" w:fldLock="1"/>
      </w:r>
      <w:r>
        <w:rPr>
          <w:rFonts w:eastAsia="Calibri" w:cs="Times New Roman"/>
        </w:rPr>
        <w:instrText>ADDIN CSL_CITATION {"citationItems":[{"id":"ITEM-1","itemData":{"DOI":"10.1111/tpj.14877","ISSN":"0960-7412","abstract":"The phenotypic analysis of root system growth is important to inform efforts to enhance plant resource acquisition from soils; however, root phenotyping remains challenging because of the opacity of soil, requiring systems that facilitate root system visibility and image acquisition. Previously reported systems require costly or bespoke materials not available in most countries, where breeders need tools to select varieties best adapted to local soils and field conditions. Here, we report an affordable soil</w:instrText>
      </w:r>
      <w:r>
        <w:rPr>
          <w:rFonts w:ascii="Cambria Math" w:eastAsia="Calibri" w:hAnsi="Cambria Math" w:cs="Cambria Math"/>
        </w:rPr>
        <w:instrText>‐</w:instrText>
      </w:r>
      <w:r>
        <w:rPr>
          <w:rFonts w:eastAsia="Calibri" w:cs="Times New Roman"/>
        </w:rPr>
        <w:instrText>based growth (rhizobox) and imaging system to phenotype root development in glasshouses or shelters. All components of the system are made from locally available commodity components, facilitating the adoption of this affordable technology in low</w:instrText>
      </w:r>
      <w:r>
        <w:rPr>
          <w:rFonts w:ascii="Cambria Math" w:eastAsia="Calibri" w:hAnsi="Cambria Math" w:cs="Cambria Math"/>
        </w:rPr>
        <w:instrText>‐</w:instrText>
      </w:r>
      <w:r>
        <w:rPr>
          <w:rFonts w:eastAsia="Calibri" w:cs="Times New Roman"/>
        </w:rPr>
        <w:instrText>income countries. The rhizobox is large enough (approximately 6000 cm 2 of visible soil) to avoid restricting vertical root system growth for most if not all of the life cycle, yet light enough (approximately 21 kg when filled with soil) for routine handling. Support structures and an imaging station, with five cameras covering the whole soil surface, complement the rhizoboxes. Images are acquired via the Phenotiki sensor interface, collected, stitched and analysed. Root system architecture (RSA) parameters are quantified without intervention. The RSAs of a dicot species ( Cicer arietinum , chickpea) and a monocot species ( Hordeum vulgare , barley), exhibiting contrasting root systems, were analysed. Insights into root system dynamics during vegetative and reproductive stages of the chickpea life cycle were obtained. This affordable system is relevant for efforts in Ethiopia and other low</w:instrText>
      </w:r>
      <w:r>
        <w:rPr>
          <w:rFonts w:ascii="Cambria Math" w:eastAsia="Calibri" w:hAnsi="Cambria Math" w:cs="Cambria Math"/>
        </w:rPr>
        <w:instrText>‐</w:instrText>
      </w:r>
      <w:r>
        <w:rPr>
          <w:rFonts w:eastAsia="Calibri" w:cs="Times New Roman"/>
        </w:rPr>
        <w:instrText xml:space="preserve"> and middle</w:instrText>
      </w:r>
      <w:r>
        <w:rPr>
          <w:rFonts w:ascii="Cambria Math" w:eastAsia="Calibri" w:hAnsi="Cambria Math" w:cs="Cambria Math"/>
        </w:rPr>
        <w:instrText>‐</w:instrText>
      </w:r>
      <w:r>
        <w:rPr>
          <w:rFonts w:eastAsia="Calibri" w:cs="Times New Roman"/>
        </w:rPr>
        <w:instrText>income countries to enhance crop yields and climate resilience sustainably.","author":[{"dropping-particle":"","family":"Bontpart","given":"Thibaut","non-dropping-particle":"","parse-names":false,"suffix":""},{"dropping-particle":"","family":"Concha","given":"Cristobal","non-dropping-particle":"","parse-names":false,"suffix":""},{"dropping-particle":"","family":"Giuffrida","given":"Mario Valerio","non-dropping-particle":"","parse-names":false,"suffix":""},{"dropping-particle":"","family":"Robertson","given":"Ingrid","non-dropping-particle":"","parse-names":false,"suffix":""},{"dropping-particle":"","family":"Admkie","given":"Kassahun","non-dropping-particle":"","parse-names":false,"suffix":""},{"dropping-particle":"","family":"Degefu","given":"Tulu","non-dropping-particle":"","parse-names":false,"suffix":""},{"dropping-particle":"","family":"Girma","given":"Nigusie","non-dropping-particle":"","parse-names":false,"suffix":""},{"dropping-particle":"","family":"Tesfaye","given":"Kassahun","non-dropping-particle":"","parse-names":false,"suffix":""},{"dropping-particle":"","family":"Haileselassie","given":"Teklehaimanot","non-dropping-particle":"","parse-names":false,"suffix":""},{"dropping-particle":"","family":"Fikre","given":"Asnake","non-dropping-particle":"","parse-names":false,"suffix":""},{"dropping-particle":"","family":"Fetene","given":"Masresha","non-dropping-particle":"","parse-names":false,"suffix":""},{"dropping-particle":"","family":"Tsaftaris","given":"Sotirios A.","non-dropping-particle":"","parse-names":false,"suffix":""},{"dropping-particle":"","family":"Doerner","given":"Peter","non-dropping-particle":"","parse-names":false,"suffix":""}],"container-title":"The Plant Journal","id":"ITEM-1","issue":"6","issued":{"date-parts":[["2020","9","15"]]},"page":"2330-2343","title":"Affordable and robust phenotyping framework to analyse root system architecture of soil</w:instrText>
      </w:r>
      <w:r>
        <w:rPr>
          <w:rFonts w:ascii="Cambria Math" w:eastAsia="Calibri" w:hAnsi="Cambria Math" w:cs="Cambria Math"/>
        </w:rPr>
        <w:instrText>‐</w:instrText>
      </w:r>
      <w:r>
        <w:rPr>
          <w:rFonts w:eastAsia="Calibri" w:cs="Times New Roman"/>
        </w:rPr>
        <w:instrText>grown plants","type":"article-journal","volume":"103"},"uris":["http://www.mendeley.com/documents/?uuid=4fbe998c-4bf4-45f7-bd05-4a28935416e0"]}],"mendeley":{"formattedCitation":"(Bontpart et al., 2020)","plainTextFormattedCitation":"(Bontpart et al., 2020)","previouslyFormattedCitation":"(Bontpart et al., 2020)"},"properties":{"noteIndex":0},"schema":"https://github.com/citation-style-language/schema/raw/master/csl-citation.json"}</w:instrText>
      </w:r>
      <w:r>
        <w:rPr>
          <w:rFonts w:eastAsia="Calibri" w:cs="Times New Roman"/>
        </w:rPr>
        <w:fldChar w:fldCharType="separate"/>
      </w:r>
      <w:r w:rsidRPr="006D3631">
        <w:rPr>
          <w:rFonts w:eastAsia="Calibri" w:cs="Times New Roman"/>
          <w:noProof/>
        </w:rPr>
        <w:t>(Bontpart et al., 2020)</w:t>
      </w:r>
      <w:r>
        <w:rPr>
          <w:rFonts w:eastAsia="Calibri" w:cs="Times New Roman"/>
        </w:rPr>
        <w:fldChar w:fldCharType="end"/>
      </w:r>
      <w:r w:rsidR="007F7A9D">
        <w:rPr>
          <w:rFonts w:eastAsia="Calibri" w:cs="Times New Roman"/>
        </w:rPr>
        <w:t xml:space="preserve"> (Fig. 2.1B)</w:t>
      </w:r>
      <w:r w:rsidRPr="002C55EE">
        <w:rPr>
          <w:rFonts w:eastAsia="Calibri" w:cs="Times New Roman"/>
        </w:rPr>
        <w:t>. The plates were submerged in 1cm of water at all times to ensure even water distribution throughout the soil.</w:t>
      </w:r>
      <w:r w:rsidR="00F00742" w:rsidRPr="00F00742">
        <w:rPr>
          <w:rFonts w:eastAsia="Calibri" w:cs="Times New Roman"/>
          <w:noProof/>
        </w:rPr>
        <w:t xml:space="preserve"> </w:t>
      </w:r>
    </w:p>
    <w:p w14:paraId="6B9D3945" w14:textId="25FBF947" w:rsidR="001648CB" w:rsidRDefault="00F00742" w:rsidP="001648CB">
      <w:pPr>
        <w:spacing w:line="480" w:lineRule="auto"/>
        <w:rPr>
          <w:rFonts w:eastAsia="Calibri" w:cs="Times New Roman"/>
        </w:rPr>
      </w:pPr>
      <w:r>
        <w:rPr>
          <w:rFonts w:eastAsia="Calibri" w:cs="Times New Roman"/>
          <w:noProof/>
        </w:rPr>
        <w:drawing>
          <wp:inline distT="0" distB="0" distL="0" distR="0" wp14:anchorId="1D002AB4" wp14:editId="37E939EE">
            <wp:extent cx="5182870" cy="1845945"/>
            <wp:effectExtent l="0" t="0" r="0" b="1905"/>
            <wp:docPr id="7580585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58593" name="Picture 75805859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82870" cy="1845945"/>
                    </a:xfrm>
                    <a:prstGeom prst="rect">
                      <a:avLst/>
                    </a:prstGeom>
                  </pic:spPr>
                </pic:pic>
              </a:graphicData>
            </a:graphic>
          </wp:inline>
        </w:drawing>
      </w:r>
    </w:p>
    <w:p w14:paraId="294DFD50" w14:textId="45E122E6" w:rsidR="00F00742" w:rsidRDefault="00F00742" w:rsidP="00F00742">
      <w:pPr>
        <w:pStyle w:val="Caption"/>
      </w:pPr>
      <w:bookmarkStart w:id="39" w:name="_Toc146657527"/>
      <w:bookmarkStart w:id="40" w:name="_Toc154331527"/>
      <w:r>
        <w:t xml:space="preserve">Figure </w:t>
      </w:r>
      <w:fldSimple w:instr=" STYLEREF 1 \s ">
        <w:r w:rsidR="004B7F70">
          <w:rPr>
            <w:noProof/>
          </w:rPr>
          <w:t>2</w:t>
        </w:r>
      </w:fldSimple>
      <w:r w:rsidR="00C97D34">
        <w:t>.</w:t>
      </w:r>
      <w:fldSimple w:instr=" SEQ Figure \* ARABIC \s 1 ">
        <w:r w:rsidR="004B7F70">
          <w:rPr>
            <w:noProof/>
          </w:rPr>
          <w:t>1</w:t>
        </w:r>
      </w:fldSimple>
      <w:r>
        <w:t xml:space="preserve"> Cartoons depicting rhizoboxes</w:t>
      </w:r>
      <w:bookmarkEnd w:id="39"/>
      <w:bookmarkEnd w:id="40"/>
    </w:p>
    <w:p w14:paraId="3966F678" w14:textId="5FEA16D3" w:rsidR="00EF468A" w:rsidRDefault="00BB47D4" w:rsidP="00BB47D4">
      <w:pPr>
        <w:pStyle w:val="Description"/>
        <w:numPr>
          <w:ilvl w:val="0"/>
          <w:numId w:val="23"/>
        </w:numPr>
        <w:rPr>
          <w:rFonts w:eastAsia="Calibri"/>
        </w:rPr>
      </w:pPr>
      <w:r>
        <w:rPr>
          <w:rFonts w:eastAsia="Calibri"/>
        </w:rPr>
        <w:t xml:space="preserve">A cartoon depicting the </w:t>
      </w:r>
      <w:r w:rsidR="00A556CE" w:rsidRPr="00942F70">
        <w:rPr>
          <w:rFonts w:eastAsia="Calibri"/>
        </w:rPr>
        <w:t>t</w:t>
      </w:r>
      <w:r w:rsidRPr="00942F70">
        <w:rPr>
          <w:rFonts w:eastAsia="Calibri"/>
        </w:rPr>
        <w:t>op</w:t>
      </w:r>
      <w:r>
        <w:rPr>
          <w:rFonts w:eastAsia="Calibri"/>
        </w:rPr>
        <w:t xml:space="preserve"> (lid) and base of </w:t>
      </w:r>
      <w:r w:rsidR="00E1589B">
        <w:rPr>
          <w:rFonts w:eastAsia="Calibri"/>
        </w:rPr>
        <w:t xml:space="preserve">rhizoboxes used in Section 3.4. Circles represent drainage holes </w:t>
      </w:r>
      <w:r w:rsidR="00327383">
        <w:rPr>
          <w:rFonts w:eastAsia="Calibri"/>
        </w:rPr>
        <w:t>melted into the lower edge of the rhizoboxes. And a gap at the opposite edge depicts remove plastic to allow to the shoots to grow out of the plate.</w:t>
      </w:r>
      <w:r w:rsidR="00EF468A">
        <w:rPr>
          <w:rFonts w:eastAsia="Calibri"/>
        </w:rPr>
        <w:t xml:space="preserve"> </w:t>
      </w:r>
    </w:p>
    <w:p w14:paraId="104A96CC" w14:textId="77777777" w:rsidR="00352AF2" w:rsidRDefault="00EF468A" w:rsidP="00BB47D4">
      <w:pPr>
        <w:pStyle w:val="Description"/>
        <w:numPr>
          <w:ilvl w:val="0"/>
          <w:numId w:val="23"/>
        </w:numPr>
        <w:rPr>
          <w:rFonts w:eastAsia="Calibri"/>
        </w:rPr>
      </w:pPr>
      <w:r>
        <w:rPr>
          <w:rFonts w:eastAsia="Calibri"/>
        </w:rPr>
        <w:t xml:space="preserve">A cartoon depicting a rhizobox held in a stainless steel rack </w:t>
      </w:r>
      <w:r w:rsidR="00352AF2">
        <w:rPr>
          <w:rFonts w:eastAsia="Calibri"/>
        </w:rPr>
        <w:t>at a 45° angle</w:t>
      </w:r>
    </w:p>
    <w:p w14:paraId="2A2251C8" w14:textId="77777777" w:rsidR="00352AF2" w:rsidRDefault="00352AF2" w:rsidP="00352AF2">
      <w:pPr>
        <w:pStyle w:val="Description"/>
        <w:rPr>
          <w:rFonts w:eastAsia="Calibri"/>
        </w:rPr>
      </w:pPr>
    </w:p>
    <w:p w14:paraId="0DF05A1B" w14:textId="1887BB1F" w:rsidR="00BB47D4" w:rsidRDefault="00EF468A" w:rsidP="00352AF2">
      <w:pPr>
        <w:pStyle w:val="Description"/>
        <w:rPr>
          <w:rFonts w:eastAsia="Calibri"/>
        </w:rPr>
      </w:pPr>
      <w:r>
        <w:rPr>
          <w:rFonts w:eastAsia="Calibri"/>
        </w:rPr>
        <w:t xml:space="preserve"> </w:t>
      </w:r>
    </w:p>
    <w:p w14:paraId="127F0731" w14:textId="39EC1007" w:rsidR="001648CB" w:rsidRDefault="001648CB" w:rsidP="001648CB">
      <w:pPr>
        <w:spacing w:line="480" w:lineRule="auto"/>
        <w:rPr>
          <w:rFonts w:eastAsia="Calibri" w:cs="Times New Roman"/>
        </w:rPr>
      </w:pPr>
      <w:r w:rsidRPr="002C55EE">
        <w:rPr>
          <w:rFonts w:eastAsia="Calibri" w:cs="Times New Roman"/>
        </w:rPr>
        <w:lastRenderedPageBreak/>
        <w:t>Plates were scanned twice weekly using an Epson Perfection v39 scanner (</w:t>
      </w:r>
      <w:r w:rsidR="008F6BA5">
        <w:rPr>
          <w:rFonts w:eastAsia="Calibri" w:cs="Times New Roman"/>
        </w:rPr>
        <w:t xml:space="preserve">Sections </w:t>
      </w:r>
      <w:r w:rsidRPr="008F6BA5">
        <w:rPr>
          <w:rFonts w:eastAsia="Calibri" w:cs="Times New Roman"/>
        </w:rPr>
        <w:t>3.</w:t>
      </w:r>
      <w:r w:rsidR="008F6BA5" w:rsidRPr="008F6BA5">
        <w:rPr>
          <w:rFonts w:eastAsia="Calibri" w:cs="Times New Roman"/>
        </w:rPr>
        <w:t>4</w:t>
      </w:r>
      <w:r w:rsidRPr="008F6BA5">
        <w:rPr>
          <w:rFonts w:eastAsia="Calibri" w:cs="Times New Roman"/>
        </w:rPr>
        <w:t>.1, 3.</w:t>
      </w:r>
      <w:r w:rsidR="008F6BA5" w:rsidRPr="008F6BA5">
        <w:rPr>
          <w:rFonts w:eastAsia="Calibri" w:cs="Times New Roman"/>
        </w:rPr>
        <w:t>4</w:t>
      </w:r>
      <w:r w:rsidRPr="008F6BA5">
        <w:rPr>
          <w:rFonts w:eastAsia="Calibri" w:cs="Times New Roman"/>
        </w:rPr>
        <w:t>.3 and 3.</w:t>
      </w:r>
      <w:r w:rsidR="008F6BA5" w:rsidRPr="008F6BA5">
        <w:rPr>
          <w:rFonts w:eastAsia="Calibri" w:cs="Times New Roman"/>
        </w:rPr>
        <w:t>4</w:t>
      </w:r>
      <w:r w:rsidRPr="008F6BA5">
        <w:rPr>
          <w:rFonts w:eastAsia="Calibri" w:cs="Times New Roman"/>
        </w:rPr>
        <w:t>.4</w:t>
      </w:r>
      <w:r w:rsidRPr="002C55EE">
        <w:rPr>
          <w:rFonts w:eastAsia="Calibri" w:cs="Times New Roman"/>
        </w:rPr>
        <w:t>) or Epson Perfection v850 Pro (</w:t>
      </w:r>
      <w:r w:rsidR="008F6BA5">
        <w:rPr>
          <w:rFonts w:eastAsia="Calibri" w:cs="Times New Roman"/>
        </w:rPr>
        <w:t>Section</w:t>
      </w:r>
      <w:r w:rsidR="00C87DE6">
        <w:rPr>
          <w:rFonts w:eastAsia="Calibri" w:cs="Times New Roman"/>
        </w:rPr>
        <w:t xml:space="preserve"> </w:t>
      </w:r>
      <w:r w:rsidRPr="008F6BA5">
        <w:rPr>
          <w:rFonts w:eastAsia="Calibri" w:cs="Times New Roman"/>
        </w:rPr>
        <w:t>3.</w:t>
      </w:r>
      <w:r w:rsidR="008F6BA5" w:rsidRPr="008F6BA5">
        <w:rPr>
          <w:rFonts w:eastAsia="Calibri" w:cs="Times New Roman"/>
        </w:rPr>
        <w:t>4</w:t>
      </w:r>
      <w:r w:rsidRPr="008F6BA5">
        <w:rPr>
          <w:rFonts w:eastAsia="Calibri" w:cs="Times New Roman"/>
        </w:rPr>
        <w:t>.2</w:t>
      </w:r>
      <w:r w:rsidRPr="002C55EE">
        <w:rPr>
          <w:rFonts w:eastAsia="Calibri" w:cs="Times New Roman"/>
        </w:rPr>
        <w:t>) at 3-4 day intervals at 300 dpi. Both the base and top of the plates were scanned once roots became visible. Typically, no roots were visible on the tops of the plates until ~13 days post germination. Standard settings were used</w:t>
      </w:r>
      <w:r w:rsidR="002B5A78">
        <w:rPr>
          <w:rFonts w:eastAsia="Calibri" w:cs="Times New Roman"/>
        </w:rPr>
        <w:t xml:space="preserve"> </w:t>
      </w:r>
      <w:r w:rsidR="002B5A78" w:rsidRPr="00942F70">
        <w:rPr>
          <w:rFonts w:eastAsia="Calibri" w:cs="Times New Roman"/>
        </w:rPr>
        <w:t>on the Epson Scan</w:t>
      </w:r>
      <w:r w:rsidR="00A716C9" w:rsidRPr="00942F70">
        <w:rPr>
          <w:rFonts w:eastAsia="Calibri" w:cs="Times New Roman"/>
        </w:rPr>
        <w:t xml:space="preserve"> software</w:t>
      </w:r>
      <w:r w:rsidRPr="002C55EE">
        <w:rPr>
          <w:rFonts w:eastAsia="Calibri" w:cs="Times New Roman"/>
        </w:rPr>
        <w:t xml:space="preserve">, with the preference set for photo rather than document capture.  </w:t>
      </w:r>
    </w:p>
    <w:p w14:paraId="6365C355" w14:textId="54572917" w:rsidR="001648CB" w:rsidRDefault="001648CB" w:rsidP="00743E4C">
      <w:pPr>
        <w:pStyle w:val="Heading3"/>
      </w:pPr>
      <w:bookmarkStart w:id="41" w:name="_Toc154331446"/>
      <w:r>
        <w:t>Hydroponics</w:t>
      </w:r>
      <w:bookmarkEnd w:id="41"/>
    </w:p>
    <w:p w14:paraId="7BEA427B" w14:textId="7460E181" w:rsidR="001648CB" w:rsidRPr="001648CB" w:rsidRDefault="001648CB" w:rsidP="001648CB">
      <w:pPr>
        <w:spacing w:line="480" w:lineRule="auto"/>
        <w:rPr>
          <w:rFonts w:eastAsia="Calibri"/>
        </w:rPr>
      </w:pPr>
      <w:r w:rsidRPr="001648CB">
        <w:rPr>
          <w:rFonts w:eastAsia="Calibri"/>
        </w:rPr>
        <w:t>The hydroponic pots were black plastic pots with matching lids with a capacity of 1L</w:t>
      </w:r>
      <w:r w:rsidR="005335B2">
        <w:rPr>
          <w:rFonts w:eastAsia="Calibri"/>
        </w:rPr>
        <w:t xml:space="preserve"> (previously described in Wheeldon et al, 2021 and Wheeldon et al, 2022)</w:t>
      </w:r>
      <w:r w:rsidRPr="001648CB">
        <w:rPr>
          <w:rFonts w:eastAsia="Calibri"/>
        </w:rPr>
        <w:t xml:space="preserve">. Plants were grown in either 1 plant per pot (1/pot) or 4 plants per pot (as specified in line) and the corresponding number of holes to plants was drilled into the lids. Falcon tubes were modified to 2cm in length leaving a short open-ended cylinder. For </w:t>
      </w:r>
      <w:r w:rsidR="00E113C0">
        <w:rPr>
          <w:rFonts w:eastAsia="Calibri"/>
        </w:rPr>
        <w:t xml:space="preserve">sections </w:t>
      </w:r>
      <w:r w:rsidRPr="00E113C0">
        <w:rPr>
          <w:rFonts w:eastAsia="Calibri"/>
        </w:rPr>
        <w:t>5.</w:t>
      </w:r>
      <w:r w:rsidR="00785F4E" w:rsidRPr="00E113C0">
        <w:rPr>
          <w:rFonts w:eastAsia="Calibri"/>
        </w:rPr>
        <w:t>2</w:t>
      </w:r>
      <w:r w:rsidRPr="00E113C0">
        <w:rPr>
          <w:rFonts w:eastAsia="Calibri"/>
        </w:rPr>
        <w:t>.1 and 4.</w:t>
      </w:r>
      <w:r w:rsidR="00777EDB">
        <w:rPr>
          <w:rFonts w:eastAsia="Calibri"/>
        </w:rPr>
        <w:t>3</w:t>
      </w:r>
      <w:r w:rsidRPr="00E113C0">
        <w:rPr>
          <w:rFonts w:eastAsia="Calibri"/>
        </w:rPr>
        <w:t>.</w:t>
      </w:r>
      <w:r w:rsidR="00E113C0" w:rsidRPr="00E113C0">
        <w:rPr>
          <w:rFonts w:eastAsia="Calibri"/>
        </w:rPr>
        <w:t>7</w:t>
      </w:r>
      <w:r w:rsidRPr="001648CB">
        <w:rPr>
          <w:rFonts w:eastAsia="Calibri"/>
        </w:rPr>
        <w:t xml:space="preserve">, the </w:t>
      </w:r>
      <w:r w:rsidR="00B404E9" w:rsidRPr="00942F70">
        <w:rPr>
          <w:rFonts w:eastAsia="Calibri"/>
        </w:rPr>
        <w:t>F</w:t>
      </w:r>
      <w:r w:rsidRPr="00942F70">
        <w:rPr>
          <w:rFonts w:eastAsia="Calibri"/>
        </w:rPr>
        <w:t>alcon</w:t>
      </w:r>
      <w:r w:rsidRPr="001648CB">
        <w:rPr>
          <w:rFonts w:eastAsia="Calibri"/>
        </w:rPr>
        <w:t xml:space="preserve"> tube lid was also modified with a small hole to allow for the roots to be inserted and provided slight support to the shoot. The other hydroponic experiments did not require the lid</w:t>
      </w:r>
      <w:r w:rsidR="00CB379E">
        <w:rPr>
          <w:rFonts w:eastAsia="Calibri"/>
        </w:rPr>
        <w:t xml:space="preserve"> (section </w:t>
      </w:r>
      <w:r w:rsidR="009D64CE">
        <w:rPr>
          <w:rFonts w:eastAsia="Calibri"/>
        </w:rPr>
        <w:t xml:space="preserve">4.2 and </w:t>
      </w:r>
      <w:r w:rsidR="00CB379E">
        <w:rPr>
          <w:rFonts w:eastAsia="Calibri"/>
        </w:rPr>
        <w:t>4.</w:t>
      </w:r>
      <w:r w:rsidR="00777EDB">
        <w:rPr>
          <w:rFonts w:eastAsia="Calibri"/>
        </w:rPr>
        <w:t>3</w:t>
      </w:r>
      <w:r w:rsidR="00CB379E">
        <w:rPr>
          <w:rFonts w:eastAsia="Calibri"/>
        </w:rPr>
        <w:t>.6)</w:t>
      </w:r>
      <w:r w:rsidRPr="001648CB">
        <w:rPr>
          <w:rFonts w:eastAsia="Calibri"/>
        </w:rPr>
        <w:t xml:space="preserve">. A foam bung was added around the root- shoot junction inside the shortened falcon tube to secure the plant in place. The modified falcon containing the plant and foam bung was then inserted into a hole made into the lid of the pots. For </w:t>
      </w:r>
      <w:r w:rsidRPr="00777EDB">
        <w:rPr>
          <w:rFonts w:eastAsia="Calibri"/>
        </w:rPr>
        <w:t>4.</w:t>
      </w:r>
      <w:r w:rsidR="00777EDB">
        <w:rPr>
          <w:rFonts w:eastAsia="Calibri"/>
        </w:rPr>
        <w:t>3</w:t>
      </w:r>
      <w:r w:rsidRPr="00777EDB">
        <w:rPr>
          <w:rFonts w:eastAsia="Calibri"/>
        </w:rPr>
        <w:t>.</w:t>
      </w:r>
      <w:r w:rsidR="00777EDB">
        <w:rPr>
          <w:rFonts w:eastAsia="Calibri"/>
        </w:rPr>
        <w:t>7</w:t>
      </w:r>
      <w:r w:rsidRPr="001648CB">
        <w:rPr>
          <w:rFonts w:eastAsia="Calibri"/>
        </w:rPr>
        <w:t xml:space="preserve"> an additional modified falcon tube type was required for the ‘enclosed’ treatment, in this case falcon tubes only had the bottom 2cm removed and then the open end was sealed using nylon mesh (described below) which was attached to the falcon using Tensol 12 adhesive. ‘Enclosed’ treatments were checked daily </w:t>
      </w:r>
      <w:r w:rsidRPr="001648CB">
        <w:rPr>
          <w:rFonts w:eastAsia="Calibri"/>
        </w:rPr>
        <w:lastRenderedPageBreak/>
        <w:t xml:space="preserve">and if any roots forced the mesh to separate from the falcon these plants were disposed of. </w:t>
      </w:r>
    </w:p>
    <w:p w14:paraId="724C439F" w14:textId="645A0B04" w:rsidR="000134C6" w:rsidRDefault="001648CB" w:rsidP="001648CB">
      <w:pPr>
        <w:spacing w:line="480" w:lineRule="auto"/>
        <w:rPr>
          <w:rFonts w:eastAsia="Calibri"/>
        </w:rPr>
      </w:pPr>
      <w:r w:rsidRPr="001648CB">
        <w:rPr>
          <w:rFonts w:eastAsia="Calibri"/>
        </w:rPr>
        <w:t>Aeration was provided by airstones connected via tubing to aquatic pumps (All Pond Solutions, AP-12-Kit pump).</w:t>
      </w:r>
    </w:p>
    <w:p w14:paraId="275CE978" w14:textId="09D3481D" w:rsidR="000134C6" w:rsidRDefault="003D631A" w:rsidP="00743E4C">
      <w:pPr>
        <w:pStyle w:val="Heading3"/>
      </w:pPr>
      <w:bookmarkStart w:id="42" w:name="_Toc154331447"/>
      <w:r>
        <w:t>Co</w:t>
      </w:r>
      <w:r w:rsidR="00D32537">
        <w:t>ntainer shape and root density</w:t>
      </w:r>
      <w:bookmarkEnd w:id="42"/>
    </w:p>
    <w:p w14:paraId="7556BC1C" w14:textId="0F10C5C4" w:rsidR="00110D46" w:rsidRPr="00110D46" w:rsidRDefault="00110D46" w:rsidP="007405AD">
      <w:pPr>
        <w:spacing w:line="480" w:lineRule="auto"/>
        <w:rPr>
          <w:rFonts w:eastAsia="Calibri"/>
        </w:rPr>
      </w:pPr>
      <w:r>
        <w:rPr>
          <w:rFonts w:eastAsia="Calibri"/>
        </w:rPr>
        <w:t>For the experiment described in 4.2.5</w:t>
      </w:r>
      <w:r w:rsidR="00284602">
        <w:rPr>
          <w:rFonts w:eastAsia="Calibri"/>
        </w:rPr>
        <w:t>, containers were made</w:t>
      </w:r>
      <w:r w:rsidR="00C260DC">
        <w:rPr>
          <w:rFonts w:eastAsia="Calibri"/>
        </w:rPr>
        <w:t xml:space="preserve"> by a summer student, Julia Wapenhans. L</w:t>
      </w:r>
      <w:r w:rsidR="00284602">
        <w:rPr>
          <w:rFonts w:eastAsia="Calibri"/>
        </w:rPr>
        <w:t>aminated laminator sheets</w:t>
      </w:r>
      <w:r w:rsidR="00C260DC">
        <w:rPr>
          <w:rFonts w:eastAsia="Calibri"/>
        </w:rPr>
        <w:t xml:space="preserve"> were the main material </w:t>
      </w:r>
      <w:r w:rsidR="00A35495">
        <w:rPr>
          <w:rFonts w:eastAsia="Calibri"/>
        </w:rPr>
        <w:t xml:space="preserve">used </w:t>
      </w:r>
      <w:r w:rsidR="00C260DC">
        <w:rPr>
          <w:rFonts w:eastAsia="Calibri"/>
        </w:rPr>
        <w:t xml:space="preserve">where outer </w:t>
      </w:r>
      <w:r w:rsidR="00927703">
        <w:rPr>
          <w:rFonts w:eastAsia="Calibri"/>
        </w:rPr>
        <w:t xml:space="preserve">cylinder ‘pots were made by joining edges of the sheets together using Tensol 12 adhesive and applying an additional seat to the base to seal the container. Inside the </w:t>
      </w:r>
      <w:r w:rsidR="00630D4D">
        <w:rPr>
          <w:rFonts w:eastAsia="Calibri"/>
        </w:rPr>
        <w:t>outer cylindrical container, a cone was made again using laminator sheets</w:t>
      </w:r>
      <w:r w:rsidR="00BC5234">
        <w:rPr>
          <w:rFonts w:eastAsia="Calibri"/>
        </w:rPr>
        <w:t xml:space="preserve"> that were sealed together. </w:t>
      </w:r>
      <w:r w:rsidR="00EC02FA">
        <w:rPr>
          <w:rFonts w:eastAsia="Calibri"/>
        </w:rPr>
        <w:t>Further</w:t>
      </w:r>
      <w:r w:rsidR="00BC5234">
        <w:rPr>
          <w:rFonts w:eastAsia="Calibri"/>
        </w:rPr>
        <w:t xml:space="preserve"> detail is provided inline.</w:t>
      </w:r>
    </w:p>
    <w:p w14:paraId="4FFC23C6" w14:textId="07596E1E" w:rsidR="001648CB" w:rsidRDefault="001648CB" w:rsidP="00743E4C">
      <w:pPr>
        <w:pStyle w:val="Heading3"/>
      </w:pPr>
      <w:bookmarkStart w:id="43" w:name="_Toc154331448"/>
      <w:r>
        <w:t>Nylon mesh</w:t>
      </w:r>
      <w:bookmarkEnd w:id="43"/>
      <w:r>
        <w:t xml:space="preserve"> </w:t>
      </w:r>
    </w:p>
    <w:p w14:paraId="2C15887F" w14:textId="77777777" w:rsidR="001648CB" w:rsidRDefault="001648CB" w:rsidP="001648CB">
      <w:pPr>
        <w:spacing w:line="480" w:lineRule="auto"/>
        <w:rPr>
          <w:rFonts w:eastAsia="Calibri" w:cs="Times New Roman"/>
        </w:rPr>
      </w:pPr>
      <w:r w:rsidRPr="00153326">
        <w:rPr>
          <w:rFonts w:eastAsia="Calibri" w:cs="Times New Roman"/>
        </w:rPr>
        <w:t>35 μm</w:t>
      </w:r>
      <w:r>
        <w:rPr>
          <w:rFonts w:eastAsia="Calibri" w:cs="Times New Roman"/>
        </w:rPr>
        <w:t>,</w:t>
      </w:r>
      <w:r w:rsidRPr="00055A4E">
        <w:rPr>
          <w:rFonts w:eastAsia="Calibri" w:cs="Times New Roman"/>
        </w:rPr>
        <w:t>16% open area</w:t>
      </w:r>
      <w:r>
        <w:rPr>
          <w:rFonts w:eastAsia="Calibri" w:cs="Times New Roman"/>
        </w:rPr>
        <w:t>,</w:t>
      </w:r>
      <w:r w:rsidRPr="00055A4E">
        <w:rPr>
          <w:rFonts w:eastAsia="Calibri" w:cs="Times New Roman"/>
        </w:rPr>
        <w:t xml:space="preserve"> </w:t>
      </w:r>
      <w:r>
        <w:rPr>
          <w:rFonts w:eastAsia="Calibri" w:cs="Times New Roman"/>
        </w:rPr>
        <w:t xml:space="preserve">Nylon monofilament mesh (Plastok Associates Ltd) was used for all experiments which specified the use of mesh. Tensol 12 plastic adhesive was used to seal mesh to plastic and mesh to mesh. </w:t>
      </w:r>
    </w:p>
    <w:p w14:paraId="51224448" w14:textId="15058951" w:rsidR="001648CB" w:rsidRDefault="001648CB" w:rsidP="001648CB">
      <w:pPr>
        <w:spacing w:line="480" w:lineRule="auto"/>
        <w:rPr>
          <w:rFonts w:eastAsia="Calibri" w:cs="Times New Roman"/>
        </w:rPr>
      </w:pPr>
      <w:r>
        <w:rPr>
          <w:rFonts w:eastAsia="Calibri" w:cs="Times New Roman"/>
        </w:rPr>
        <w:t>For</w:t>
      </w:r>
      <w:r w:rsidR="00160E41">
        <w:rPr>
          <w:rFonts w:eastAsia="Calibri" w:cs="Times New Roman"/>
        </w:rPr>
        <w:t xml:space="preserve"> section</w:t>
      </w:r>
      <w:r>
        <w:rPr>
          <w:rFonts w:eastAsia="Calibri" w:cs="Times New Roman"/>
        </w:rPr>
        <w:t xml:space="preserve"> </w:t>
      </w:r>
      <w:r w:rsidRPr="00160E41">
        <w:rPr>
          <w:rFonts w:eastAsia="Calibri" w:cs="Times New Roman"/>
        </w:rPr>
        <w:t>4.</w:t>
      </w:r>
      <w:r w:rsidR="00160E41" w:rsidRPr="00160E41">
        <w:rPr>
          <w:rFonts w:eastAsia="Calibri" w:cs="Times New Roman"/>
        </w:rPr>
        <w:t>3</w:t>
      </w:r>
      <w:r w:rsidRPr="00160E41">
        <w:rPr>
          <w:rFonts w:eastAsia="Calibri" w:cs="Times New Roman"/>
        </w:rPr>
        <w:t>.2</w:t>
      </w:r>
      <w:r>
        <w:rPr>
          <w:rFonts w:eastAsia="Calibri" w:cs="Times New Roman"/>
        </w:rPr>
        <w:t xml:space="preserve">, 100ml mesh pots were made by cutting a 100ml pot into a net and this was used as a template, tabs were made to allow secure sealing of the corners. The template ensured the mesh pots were of identical volume and shape as the 100ml pots. </w:t>
      </w:r>
    </w:p>
    <w:p w14:paraId="6ADB93DF" w14:textId="2E824707" w:rsidR="001648CB" w:rsidRDefault="001648CB" w:rsidP="001648CB">
      <w:pPr>
        <w:spacing w:line="480" w:lineRule="auto"/>
        <w:rPr>
          <w:rFonts w:eastAsia="Calibri" w:cs="Times New Roman"/>
        </w:rPr>
      </w:pPr>
      <w:r>
        <w:rPr>
          <w:rFonts w:eastAsia="Calibri" w:cs="Times New Roman"/>
        </w:rPr>
        <w:t xml:space="preserve">For </w:t>
      </w:r>
      <w:r w:rsidR="00291E77">
        <w:rPr>
          <w:rFonts w:eastAsia="Calibri" w:cs="Times New Roman"/>
        </w:rPr>
        <w:t xml:space="preserve">section </w:t>
      </w:r>
      <w:r w:rsidRPr="00291E77">
        <w:rPr>
          <w:rFonts w:eastAsia="Calibri" w:cs="Times New Roman"/>
        </w:rPr>
        <w:t>4.2.</w:t>
      </w:r>
      <w:r w:rsidR="00291E77" w:rsidRPr="00291E77">
        <w:rPr>
          <w:rFonts w:eastAsia="Calibri" w:cs="Times New Roman"/>
        </w:rPr>
        <w:t>6</w:t>
      </w:r>
      <w:r>
        <w:rPr>
          <w:rFonts w:eastAsia="Calibri" w:cs="Times New Roman"/>
        </w:rPr>
        <w:t xml:space="preserve">, </w:t>
      </w:r>
      <w:r w:rsidR="00291E77">
        <w:rPr>
          <w:rFonts w:eastAsia="Calibri" w:cs="Times New Roman"/>
        </w:rPr>
        <w:t>m</w:t>
      </w:r>
      <w:r w:rsidRPr="002C55EE">
        <w:rPr>
          <w:rFonts w:eastAsia="Calibri" w:cs="Times New Roman"/>
        </w:rPr>
        <w:t xml:space="preserve">esh bags were created using </w:t>
      </w:r>
      <w:r>
        <w:rPr>
          <w:rFonts w:eastAsia="Calibri" w:cs="Times New Roman"/>
        </w:rPr>
        <w:t xml:space="preserve">a semi-circle of </w:t>
      </w:r>
      <w:r w:rsidRPr="002C55EE">
        <w:rPr>
          <w:rFonts w:eastAsia="Calibri" w:cs="Times New Roman"/>
        </w:rPr>
        <w:t>impermeable nylon mesh</w:t>
      </w:r>
      <w:r>
        <w:rPr>
          <w:rFonts w:eastAsia="Calibri" w:cs="Times New Roman"/>
        </w:rPr>
        <w:t>, the semicircle was folded to create a cone by overlapping the straight edge</w:t>
      </w:r>
      <w:r w:rsidR="00C52415">
        <w:rPr>
          <w:rFonts w:eastAsia="Calibri" w:cs="Times New Roman"/>
        </w:rPr>
        <w:t xml:space="preserve"> (</w:t>
      </w:r>
      <w:r w:rsidR="000A5D6A">
        <w:rPr>
          <w:rFonts w:eastAsia="Calibri" w:cs="Times New Roman"/>
        </w:rPr>
        <w:t>Fig. 2.2A)</w:t>
      </w:r>
      <w:r>
        <w:rPr>
          <w:rFonts w:eastAsia="Calibri" w:cs="Times New Roman"/>
        </w:rPr>
        <w:t>. The straight edge was sealed together using Tensol 12.</w:t>
      </w:r>
      <w:r w:rsidRPr="002C55EE">
        <w:rPr>
          <w:rFonts w:eastAsia="Calibri" w:cs="Times New Roman"/>
        </w:rPr>
        <w:t xml:space="preserve"> </w:t>
      </w:r>
      <w:r>
        <w:rPr>
          <w:rFonts w:eastAsia="Calibri" w:cs="Times New Roman"/>
        </w:rPr>
        <w:t xml:space="preserve">The open end, the widest part of the cone had a series of holes made on </w:t>
      </w:r>
      <w:r>
        <w:rPr>
          <w:rFonts w:eastAsia="Calibri" w:cs="Times New Roman"/>
        </w:rPr>
        <w:lastRenderedPageBreak/>
        <w:t xml:space="preserve">the edge using a hole punch and string was threaded through the holes. At 4 weeks post germination, the bags were introduced into the hydroponic system as specified inline. </w:t>
      </w:r>
      <w:r w:rsidRPr="002C55EE">
        <w:rPr>
          <w:rFonts w:eastAsia="Calibri" w:cs="Times New Roman"/>
        </w:rPr>
        <w:t xml:space="preserve">The roots were placed inside the bag </w:t>
      </w:r>
      <w:r>
        <w:rPr>
          <w:rFonts w:eastAsia="Calibri" w:cs="Times New Roman"/>
        </w:rPr>
        <w:t xml:space="preserve">with the </w:t>
      </w:r>
      <w:r w:rsidRPr="002C55EE">
        <w:rPr>
          <w:rFonts w:eastAsia="Calibri" w:cs="Times New Roman"/>
        </w:rPr>
        <w:t>apex pointing down, once all the required roots were in the bag, the drawstring was carefully pulled to draw the bag close to the roots</w:t>
      </w:r>
      <w:r w:rsidR="000A5D6A">
        <w:rPr>
          <w:rFonts w:eastAsia="Calibri" w:cs="Times New Roman"/>
        </w:rPr>
        <w:t xml:space="preserve"> (Fig 2.2</w:t>
      </w:r>
      <w:r w:rsidR="00B62EF3">
        <w:rPr>
          <w:rFonts w:eastAsia="Calibri" w:cs="Times New Roman"/>
        </w:rPr>
        <w:t>B)</w:t>
      </w:r>
      <w:r w:rsidRPr="002C55EE">
        <w:rPr>
          <w:rFonts w:eastAsia="Calibri" w:cs="Times New Roman"/>
        </w:rPr>
        <w:t xml:space="preserve">, this produced a volume of 150ml. The string was threaded through the </w:t>
      </w:r>
      <w:r w:rsidR="00EC02FA" w:rsidRPr="00063A1B">
        <w:rPr>
          <w:rFonts w:eastAsia="Calibri" w:cs="Times New Roman"/>
        </w:rPr>
        <w:t>F</w:t>
      </w:r>
      <w:r w:rsidRPr="00063A1B">
        <w:rPr>
          <w:rFonts w:eastAsia="Calibri" w:cs="Times New Roman"/>
        </w:rPr>
        <w:t>alcon tube</w:t>
      </w:r>
      <w:r w:rsidRPr="002C55EE">
        <w:rPr>
          <w:rFonts w:eastAsia="Calibri" w:cs="Times New Roman"/>
        </w:rPr>
        <w:t xml:space="preserve"> and out the same side as the shoot where the drawstring was knotted to secure it in place. The bags were checked every 2-3 days and if any unwanted roots had grown out of the top of the bag where the drawstring was, the bag was </w:t>
      </w:r>
      <w:r>
        <w:rPr>
          <w:rFonts w:eastAsia="Calibri" w:cs="Times New Roman"/>
        </w:rPr>
        <w:t xml:space="preserve">quickly </w:t>
      </w:r>
      <w:r w:rsidRPr="002C55EE">
        <w:rPr>
          <w:rFonts w:eastAsia="Calibri" w:cs="Times New Roman"/>
        </w:rPr>
        <w:t>undone, and the root was tucked back inside</w:t>
      </w:r>
      <w:r>
        <w:rPr>
          <w:rFonts w:eastAsia="Calibri" w:cs="Times New Roman"/>
        </w:rPr>
        <w:t xml:space="preserve"> and the drawstring was pulled closed again</w:t>
      </w:r>
      <w:r w:rsidRPr="002C55EE">
        <w:rPr>
          <w:rFonts w:eastAsia="Calibri" w:cs="Times New Roman"/>
        </w:rPr>
        <w:t>.</w:t>
      </w:r>
    </w:p>
    <w:p w14:paraId="0CAFA9C4" w14:textId="5448A423" w:rsidR="00481915" w:rsidRDefault="00C877B9" w:rsidP="001648CB">
      <w:pPr>
        <w:spacing w:line="480" w:lineRule="auto"/>
        <w:rPr>
          <w:rFonts w:eastAsia="Calibri"/>
        </w:rPr>
      </w:pPr>
      <w:r>
        <w:rPr>
          <w:rFonts w:eastAsia="Calibri"/>
          <w:noProof/>
        </w:rPr>
        <w:drawing>
          <wp:anchor distT="0" distB="0" distL="114300" distR="114300" simplePos="0" relativeHeight="251744768" behindDoc="0" locked="0" layoutInCell="1" allowOverlap="1" wp14:anchorId="01CDAB5C" wp14:editId="414E0C50">
            <wp:simplePos x="0" y="0"/>
            <wp:positionH relativeFrom="margin">
              <wp:align>left</wp:align>
            </wp:positionH>
            <wp:positionV relativeFrom="paragraph">
              <wp:posOffset>60981</wp:posOffset>
            </wp:positionV>
            <wp:extent cx="3366770" cy="1917065"/>
            <wp:effectExtent l="0" t="0" r="5080" b="6985"/>
            <wp:wrapSquare wrapText="bothSides"/>
            <wp:docPr id="3541048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104827" name="Picture 354104827"/>
                    <pic:cNvPicPr/>
                  </pic:nvPicPr>
                  <pic:blipFill>
                    <a:blip r:embed="rId16">
                      <a:extLst>
                        <a:ext uri="{28A0092B-C50C-407E-A947-70E740481C1C}">
                          <a14:useLocalDpi xmlns:a14="http://schemas.microsoft.com/office/drawing/2010/main" val="0"/>
                        </a:ext>
                      </a:extLst>
                    </a:blip>
                    <a:stretch>
                      <a:fillRect/>
                    </a:stretch>
                  </pic:blipFill>
                  <pic:spPr>
                    <a:xfrm>
                      <a:off x="0" y="0"/>
                      <a:ext cx="3366770" cy="1917065"/>
                    </a:xfrm>
                    <a:prstGeom prst="rect">
                      <a:avLst/>
                    </a:prstGeom>
                  </pic:spPr>
                </pic:pic>
              </a:graphicData>
            </a:graphic>
            <wp14:sizeRelH relativeFrom="margin">
              <wp14:pctWidth>0</wp14:pctWidth>
            </wp14:sizeRelH>
            <wp14:sizeRelV relativeFrom="margin">
              <wp14:pctHeight>0</wp14:pctHeight>
            </wp14:sizeRelV>
          </wp:anchor>
        </w:drawing>
      </w:r>
    </w:p>
    <w:p w14:paraId="7D86C94B" w14:textId="77777777" w:rsidR="00C877B9" w:rsidRPr="00C877B9" w:rsidRDefault="00C877B9" w:rsidP="00C877B9">
      <w:pPr>
        <w:rPr>
          <w:rFonts w:eastAsia="Calibri"/>
        </w:rPr>
      </w:pPr>
    </w:p>
    <w:p w14:paraId="002910F7" w14:textId="77777777" w:rsidR="00C877B9" w:rsidRPr="00C877B9" w:rsidRDefault="00C877B9" w:rsidP="00C877B9">
      <w:pPr>
        <w:rPr>
          <w:rFonts w:eastAsia="Calibri"/>
        </w:rPr>
      </w:pPr>
    </w:p>
    <w:p w14:paraId="40589709" w14:textId="77777777" w:rsidR="00C877B9" w:rsidRPr="00C877B9" w:rsidRDefault="00C877B9" w:rsidP="00C877B9">
      <w:pPr>
        <w:rPr>
          <w:rFonts w:eastAsia="Calibri"/>
        </w:rPr>
      </w:pPr>
    </w:p>
    <w:p w14:paraId="22D7A2B2" w14:textId="77777777" w:rsidR="00C877B9" w:rsidRDefault="00C877B9" w:rsidP="00C877B9">
      <w:pPr>
        <w:rPr>
          <w:rFonts w:eastAsia="Calibri"/>
        </w:rPr>
      </w:pPr>
    </w:p>
    <w:p w14:paraId="40E67671" w14:textId="77777777" w:rsidR="00C877B9" w:rsidRDefault="00C877B9" w:rsidP="00C877B9">
      <w:pPr>
        <w:rPr>
          <w:rFonts w:eastAsia="Calibri"/>
        </w:rPr>
      </w:pPr>
    </w:p>
    <w:p w14:paraId="2FF4E2F1" w14:textId="77777777" w:rsidR="00C877B9" w:rsidRDefault="00C877B9" w:rsidP="00C877B9">
      <w:pPr>
        <w:rPr>
          <w:rFonts w:eastAsia="Calibri"/>
        </w:rPr>
      </w:pPr>
    </w:p>
    <w:p w14:paraId="382ECD30" w14:textId="2A78A5A4" w:rsidR="00C877B9" w:rsidRDefault="00C877B9" w:rsidP="00C877B9">
      <w:pPr>
        <w:pStyle w:val="Caption"/>
      </w:pPr>
      <w:bookmarkStart w:id="44" w:name="_Toc146657528"/>
      <w:bookmarkStart w:id="45" w:name="_Toc154331528"/>
      <w:r>
        <w:t xml:space="preserve">Figure </w:t>
      </w:r>
      <w:fldSimple w:instr=" STYLEREF 1 \s ">
        <w:r w:rsidR="004B7F70">
          <w:rPr>
            <w:noProof/>
          </w:rPr>
          <w:t>2</w:t>
        </w:r>
      </w:fldSimple>
      <w:r w:rsidR="00C97D34">
        <w:t>.</w:t>
      </w:r>
      <w:fldSimple w:instr=" SEQ Figure \* ARABIC \s 1 ">
        <w:r w:rsidR="004B7F70">
          <w:rPr>
            <w:noProof/>
          </w:rPr>
          <w:t>2</w:t>
        </w:r>
      </w:fldSimple>
      <w:r>
        <w:t xml:space="preserve"> Formation of mesh bags</w:t>
      </w:r>
      <w:bookmarkEnd w:id="44"/>
      <w:bookmarkEnd w:id="45"/>
    </w:p>
    <w:p w14:paraId="613B1B48" w14:textId="32D7D09C" w:rsidR="00C52415" w:rsidRDefault="00862C2A" w:rsidP="00226DA1">
      <w:pPr>
        <w:pStyle w:val="Description"/>
        <w:numPr>
          <w:ilvl w:val="0"/>
          <w:numId w:val="24"/>
        </w:numPr>
        <w:rPr>
          <w:rFonts w:eastAsia="Calibri" w:cs="Times New Roman"/>
        </w:rPr>
      </w:pPr>
      <w:r>
        <w:rPr>
          <w:rFonts w:eastAsia="Calibri"/>
        </w:rPr>
        <w:t xml:space="preserve">Image showing </w:t>
      </w:r>
      <w:r w:rsidR="00703A29">
        <w:rPr>
          <w:rFonts w:eastAsia="Calibri"/>
        </w:rPr>
        <w:t xml:space="preserve">a cone shaped mesh bag formed by connecting the 2 straight edges of a </w:t>
      </w:r>
      <w:r w:rsidR="000A5D6A">
        <w:rPr>
          <w:rFonts w:eastAsia="Calibri"/>
        </w:rPr>
        <w:t>semicircular</w:t>
      </w:r>
      <w:r w:rsidR="00703A29">
        <w:rPr>
          <w:rFonts w:eastAsia="Calibri"/>
        </w:rPr>
        <w:t xml:space="preserve"> piece of </w:t>
      </w:r>
      <w:r w:rsidR="00226DA1" w:rsidRPr="00153326">
        <w:rPr>
          <w:rFonts w:eastAsia="Calibri" w:cs="Times New Roman"/>
        </w:rPr>
        <w:t>35 μm</w:t>
      </w:r>
      <w:r w:rsidR="00226DA1">
        <w:rPr>
          <w:rFonts w:eastAsia="Calibri" w:cs="Times New Roman"/>
        </w:rPr>
        <w:t>,</w:t>
      </w:r>
      <w:r w:rsidR="00226DA1" w:rsidRPr="00055A4E">
        <w:rPr>
          <w:rFonts w:eastAsia="Calibri" w:cs="Times New Roman"/>
        </w:rPr>
        <w:t>16% open area</w:t>
      </w:r>
      <w:r w:rsidR="00226DA1">
        <w:rPr>
          <w:rFonts w:eastAsia="Calibri" w:cs="Times New Roman"/>
        </w:rPr>
        <w:t>,</w:t>
      </w:r>
      <w:r w:rsidR="00226DA1" w:rsidRPr="00055A4E">
        <w:rPr>
          <w:rFonts w:eastAsia="Calibri" w:cs="Times New Roman"/>
        </w:rPr>
        <w:t xml:space="preserve"> </w:t>
      </w:r>
      <w:r w:rsidR="00226DA1">
        <w:rPr>
          <w:rFonts w:eastAsia="Calibri" w:cs="Times New Roman"/>
        </w:rPr>
        <w:t>Nylon monofilament mesh. Holes were subsequently punched on the curved top edge.</w:t>
      </w:r>
      <w:r w:rsidR="00C52415">
        <w:rPr>
          <w:rFonts w:eastAsia="Calibri" w:cs="Times New Roman"/>
        </w:rPr>
        <w:t xml:space="preserve"> Scale bar represents 2cm.</w:t>
      </w:r>
    </w:p>
    <w:p w14:paraId="1613C63B" w14:textId="7C929B9D" w:rsidR="00226DA1" w:rsidRDefault="00C52415" w:rsidP="00226DA1">
      <w:pPr>
        <w:pStyle w:val="Description"/>
        <w:numPr>
          <w:ilvl w:val="0"/>
          <w:numId w:val="24"/>
        </w:numPr>
        <w:rPr>
          <w:rFonts w:eastAsia="Calibri" w:cs="Times New Roman"/>
        </w:rPr>
      </w:pPr>
      <w:r>
        <w:rPr>
          <w:rFonts w:eastAsia="Calibri" w:cs="Times New Roman"/>
        </w:rPr>
        <w:t xml:space="preserve">String was threaded through the punched holes on the curved edge and drawn together to close the bag. </w:t>
      </w:r>
      <w:r w:rsidR="00B62EF3">
        <w:rPr>
          <w:rFonts w:eastAsia="Calibri" w:cs="Times New Roman"/>
        </w:rPr>
        <w:t xml:space="preserve">This example does not contain plant roots. </w:t>
      </w:r>
      <w:r>
        <w:rPr>
          <w:rFonts w:eastAsia="Calibri" w:cs="Times New Roman"/>
        </w:rPr>
        <w:t>Scale bar represents 2cm.</w:t>
      </w:r>
    </w:p>
    <w:p w14:paraId="29DF4AD0" w14:textId="77777777" w:rsidR="00291E77" w:rsidRDefault="00291E77" w:rsidP="00291E77">
      <w:pPr>
        <w:rPr>
          <w:rFonts w:eastAsia="Calibri" w:cs="Times New Roman"/>
          <w:sz w:val="22"/>
        </w:rPr>
      </w:pPr>
    </w:p>
    <w:p w14:paraId="6E646A49" w14:textId="73AD5F2F" w:rsidR="00291E77" w:rsidRPr="000134C6" w:rsidRDefault="00291E77" w:rsidP="000134C6">
      <w:pPr>
        <w:spacing w:line="480" w:lineRule="auto"/>
        <w:rPr>
          <w:rFonts w:eastAsia="Calibri" w:cs="Times New Roman"/>
        </w:rPr>
      </w:pPr>
      <w:r>
        <w:rPr>
          <w:rFonts w:eastAsia="Calibri" w:cs="Times New Roman"/>
        </w:rPr>
        <w:t xml:space="preserve">For </w:t>
      </w:r>
      <w:r w:rsidR="009618A4" w:rsidRPr="00063A1B">
        <w:rPr>
          <w:rFonts w:eastAsia="Calibri" w:cs="Times New Roman"/>
        </w:rPr>
        <w:t>section</w:t>
      </w:r>
      <w:r w:rsidR="009618A4">
        <w:rPr>
          <w:rFonts w:eastAsia="Calibri" w:cs="Times New Roman"/>
        </w:rPr>
        <w:t xml:space="preserve"> </w:t>
      </w:r>
      <w:r w:rsidRPr="00160E41">
        <w:rPr>
          <w:rFonts w:eastAsia="Calibri" w:cs="Times New Roman"/>
        </w:rPr>
        <w:t>4.3.</w:t>
      </w:r>
      <w:r>
        <w:rPr>
          <w:rFonts w:eastAsia="Calibri" w:cs="Times New Roman"/>
        </w:rPr>
        <w:t xml:space="preserve">7, this is described in the hydroponics section above. </w:t>
      </w:r>
    </w:p>
    <w:p w14:paraId="212A376E" w14:textId="587C0A6A" w:rsidR="001648CB" w:rsidRDefault="001648CB" w:rsidP="00743E4C">
      <w:pPr>
        <w:pStyle w:val="Heading2"/>
      </w:pPr>
      <w:bookmarkStart w:id="46" w:name="_Toc154331449"/>
      <w:r>
        <w:lastRenderedPageBreak/>
        <w:t>Phenotypic assessments</w:t>
      </w:r>
      <w:bookmarkEnd w:id="46"/>
    </w:p>
    <w:p w14:paraId="3B43CD7D" w14:textId="36819A98" w:rsidR="001648CB" w:rsidRDefault="001648CB" w:rsidP="00743E4C">
      <w:pPr>
        <w:pStyle w:val="Heading3"/>
      </w:pPr>
      <w:bookmarkStart w:id="47" w:name="_Toc154331450"/>
      <w:r>
        <w:t>Branch and tiller counts</w:t>
      </w:r>
      <w:bookmarkEnd w:id="47"/>
    </w:p>
    <w:p w14:paraId="230E0D0A" w14:textId="77777777" w:rsidR="001648CB" w:rsidRDefault="001648CB" w:rsidP="001648CB">
      <w:pPr>
        <w:spacing w:line="480" w:lineRule="auto"/>
        <w:rPr>
          <w:rFonts w:eastAsia="Calibri" w:cs="Times New Roman"/>
        </w:rPr>
      </w:pPr>
      <w:r w:rsidRPr="002C55EE">
        <w:rPr>
          <w:rFonts w:eastAsia="Calibri" w:cs="Times New Roman"/>
        </w:rPr>
        <w:t xml:space="preserve">For </w:t>
      </w:r>
      <w:r>
        <w:rPr>
          <w:rFonts w:eastAsia="Calibri" w:cs="Times New Roman"/>
        </w:rPr>
        <w:t>wheat and barley</w:t>
      </w:r>
      <w:r w:rsidRPr="002C55EE">
        <w:rPr>
          <w:rFonts w:eastAsia="Calibri" w:cs="Times New Roman"/>
        </w:rPr>
        <w:t xml:space="preserve">, tiller number was counted weekly </w:t>
      </w:r>
      <w:r>
        <w:rPr>
          <w:rFonts w:eastAsia="Calibri" w:cs="Times New Roman"/>
        </w:rPr>
        <w:t>as stated inline</w:t>
      </w:r>
      <w:r w:rsidRPr="002C55EE">
        <w:rPr>
          <w:rFonts w:eastAsia="Calibri" w:cs="Times New Roman"/>
        </w:rPr>
        <w:t xml:space="preserve">. For pea, branches were counted at the stated timepoints when they were longer than 10mm. For Arabidopsis, </w:t>
      </w:r>
      <w:r>
        <w:rPr>
          <w:rFonts w:eastAsia="Calibri" w:cs="Times New Roman"/>
        </w:rPr>
        <w:t xml:space="preserve">all </w:t>
      </w:r>
      <w:r w:rsidRPr="002C55EE">
        <w:rPr>
          <w:rFonts w:eastAsia="Calibri" w:cs="Times New Roman"/>
        </w:rPr>
        <w:t>branches were counted at the specified time points.</w:t>
      </w:r>
    </w:p>
    <w:p w14:paraId="5F50B8E2" w14:textId="4B7D1962" w:rsidR="001648CB" w:rsidRDefault="001648CB" w:rsidP="00743E4C">
      <w:pPr>
        <w:pStyle w:val="Heading3"/>
      </w:pPr>
      <w:bookmarkStart w:id="48" w:name="_Toc154331451"/>
      <w:r>
        <w:t>Dry Biomass</w:t>
      </w:r>
      <w:bookmarkEnd w:id="48"/>
    </w:p>
    <w:p w14:paraId="537F60EE" w14:textId="6BF3821B" w:rsidR="001648CB" w:rsidRDefault="001648CB" w:rsidP="001648CB">
      <w:pPr>
        <w:spacing w:line="480" w:lineRule="auto"/>
        <w:rPr>
          <w:rFonts w:eastAsia="Calibri" w:cs="Times New Roman"/>
        </w:rPr>
      </w:pPr>
      <w:r w:rsidRPr="002C55EE">
        <w:rPr>
          <w:rFonts w:eastAsia="Calibri" w:cs="Times New Roman"/>
        </w:rPr>
        <w:t>Where stated, shoot, ear and root matter per plant was harvested and placed in a 60°C oven for 3 days to dry before being weighed on a balance</w:t>
      </w:r>
      <w:r>
        <w:rPr>
          <w:rFonts w:eastAsia="Calibri" w:cs="Times New Roman"/>
        </w:rPr>
        <w:t>.</w:t>
      </w:r>
    </w:p>
    <w:p w14:paraId="6AB0D2EF" w14:textId="77D338F8" w:rsidR="001648CB" w:rsidRDefault="00E30038" w:rsidP="00743E4C">
      <w:pPr>
        <w:pStyle w:val="Heading3"/>
      </w:pPr>
      <w:bookmarkStart w:id="49" w:name="_Toc154331452"/>
      <w:r>
        <w:rPr>
          <w:rFonts w:cs="Times New Roman"/>
          <w:noProof/>
        </w:rPr>
        <w:drawing>
          <wp:anchor distT="0" distB="0" distL="114300" distR="114300" simplePos="0" relativeHeight="251737600" behindDoc="0" locked="0" layoutInCell="1" allowOverlap="1" wp14:anchorId="61676721" wp14:editId="4BEE9BF4">
            <wp:simplePos x="0" y="0"/>
            <wp:positionH relativeFrom="margin">
              <wp:align>left</wp:align>
            </wp:positionH>
            <wp:positionV relativeFrom="paragraph">
              <wp:posOffset>417195</wp:posOffset>
            </wp:positionV>
            <wp:extent cx="1152525" cy="2802255"/>
            <wp:effectExtent l="0" t="5715" r="3810" b="3810"/>
            <wp:wrapSquare wrapText="bothSides"/>
            <wp:docPr id="2111520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520336" name="Picture 2111520336"/>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1152525" cy="2802255"/>
                    </a:xfrm>
                    <a:prstGeom prst="rect">
                      <a:avLst/>
                    </a:prstGeom>
                  </pic:spPr>
                </pic:pic>
              </a:graphicData>
            </a:graphic>
            <wp14:sizeRelH relativeFrom="margin">
              <wp14:pctWidth>0</wp14:pctWidth>
            </wp14:sizeRelH>
            <wp14:sizeRelV relativeFrom="margin">
              <wp14:pctHeight>0</wp14:pctHeight>
            </wp14:sizeRelV>
          </wp:anchor>
        </w:drawing>
      </w:r>
      <w:r w:rsidR="001648CB">
        <w:t>Spikelet counts</w:t>
      </w:r>
      <w:bookmarkEnd w:id="49"/>
    </w:p>
    <w:p w14:paraId="32FB3903" w14:textId="2DF414E6" w:rsidR="001648CB" w:rsidRDefault="001648CB" w:rsidP="001648CB">
      <w:pPr>
        <w:spacing w:line="480" w:lineRule="auto"/>
        <w:rPr>
          <w:rFonts w:eastAsia="Calibri" w:cs="Times New Roman"/>
        </w:rPr>
      </w:pPr>
      <w:r w:rsidRPr="002C55EE">
        <w:rPr>
          <w:rFonts w:eastAsia="Calibri" w:cs="Times New Roman"/>
        </w:rPr>
        <w:t>Where stated, each individual spikelet on an ea</w:t>
      </w:r>
      <w:r>
        <w:rPr>
          <w:rFonts w:eastAsia="Calibri" w:cs="Times New Roman"/>
        </w:rPr>
        <w:t>r</w:t>
      </w:r>
      <w:r w:rsidRPr="002C55EE">
        <w:rPr>
          <w:rFonts w:eastAsia="Calibri" w:cs="Times New Roman"/>
        </w:rPr>
        <w:t xml:space="preserve"> was counted. </w:t>
      </w:r>
      <w:r w:rsidR="00281A24">
        <w:rPr>
          <w:rFonts w:eastAsia="Calibri" w:cs="Times New Roman"/>
        </w:rPr>
        <w:t xml:space="preserve">Total spikelet number per plant was </w:t>
      </w:r>
      <w:r w:rsidR="0040011D">
        <w:rPr>
          <w:rFonts w:eastAsia="Calibri" w:cs="Times New Roman"/>
        </w:rPr>
        <w:t>the sum of the number of spikel</w:t>
      </w:r>
      <w:r w:rsidR="00E30038">
        <w:rPr>
          <w:rFonts w:eastAsia="Calibri" w:cs="Times New Roman"/>
        </w:rPr>
        <w:t>e</w:t>
      </w:r>
      <w:r w:rsidR="0040011D">
        <w:rPr>
          <w:rFonts w:eastAsia="Calibri" w:cs="Times New Roman"/>
        </w:rPr>
        <w:t>ts per ear on that plant.</w:t>
      </w:r>
    </w:p>
    <w:p w14:paraId="472E6AA3" w14:textId="26444648" w:rsidR="00250026" w:rsidRDefault="00250026" w:rsidP="001648CB">
      <w:pPr>
        <w:spacing w:line="480" w:lineRule="auto"/>
        <w:rPr>
          <w:rFonts w:eastAsia="Calibri" w:cs="Times New Roman"/>
        </w:rPr>
      </w:pPr>
    </w:p>
    <w:p w14:paraId="1E0A5C27" w14:textId="77777777" w:rsidR="00250026" w:rsidRDefault="00250026" w:rsidP="001648CB">
      <w:pPr>
        <w:spacing w:line="480" w:lineRule="auto"/>
        <w:rPr>
          <w:rFonts w:eastAsia="Calibri" w:cs="Times New Roman"/>
        </w:rPr>
      </w:pPr>
    </w:p>
    <w:p w14:paraId="44CFE402" w14:textId="77777777" w:rsidR="004E670C" w:rsidRDefault="004E670C" w:rsidP="001648CB">
      <w:pPr>
        <w:spacing w:line="480" w:lineRule="auto"/>
        <w:rPr>
          <w:rFonts w:eastAsia="Calibri" w:cs="Times New Roman"/>
        </w:rPr>
      </w:pPr>
    </w:p>
    <w:p w14:paraId="01456E7B" w14:textId="654DAD80" w:rsidR="00250026" w:rsidRDefault="00E30B79" w:rsidP="00E30B79">
      <w:pPr>
        <w:pStyle w:val="Caption"/>
      </w:pPr>
      <w:bookmarkStart w:id="50" w:name="_Toc146657529"/>
      <w:bookmarkStart w:id="51" w:name="_Toc154331529"/>
      <w:r>
        <w:t xml:space="preserve">Figure </w:t>
      </w:r>
      <w:fldSimple w:instr=" STYLEREF 1 \s ">
        <w:r w:rsidR="004B7F70">
          <w:rPr>
            <w:noProof/>
          </w:rPr>
          <w:t>2</w:t>
        </w:r>
      </w:fldSimple>
      <w:r w:rsidR="00C97D34">
        <w:t>.</w:t>
      </w:r>
      <w:fldSimple w:instr=" SEQ Figure \* ARABIC \s 1 ">
        <w:r w:rsidR="004B7F70">
          <w:rPr>
            <w:noProof/>
          </w:rPr>
          <w:t>3</w:t>
        </w:r>
      </w:fldSimple>
      <w:r>
        <w:t xml:space="preserve"> Diagram indicating spikelets on a wheat ear</w:t>
      </w:r>
      <w:bookmarkEnd w:id="50"/>
      <w:bookmarkEnd w:id="51"/>
    </w:p>
    <w:p w14:paraId="2BB8A112" w14:textId="1C20CECE" w:rsidR="00E30B79" w:rsidRDefault="004E670C" w:rsidP="00E30B79">
      <w:pPr>
        <w:pStyle w:val="Description"/>
        <w:rPr>
          <w:rFonts w:eastAsia="Calibri"/>
        </w:rPr>
      </w:pPr>
      <w:r>
        <w:rPr>
          <w:rFonts w:eastAsia="Calibri"/>
        </w:rPr>
        <w:t>Image of a wheat ear, 6 arrows have been added to indicate 6 of the spikelets present on this ear. Scale bar represents 1cm.</w:t>
      </w:r>
    </w:p>
    <w:p w14:paraId="1E70064D" w14:textId="77777777" w:rsidR="004E670C" w:rsidRPr="004E670C" w:rsidRDefault="004E670C" w:rsidP="004E670C">
      <w:pPr>
        <w:rPr>
          <w:rFonts w:eastAsia="Calibri"/>
        </w:rPr>
      </w:pPr>
    </w:p>
    <w:p w14:paraId="4A7F0A6D" w14:textId="080794A0" w:rsidR="001648CB" w:rsidRDefault="001648CB" w:rsidP="00743E4C">
      <w:pPr>
        <w:pStyle w:val="Heading3"/>
      </w:pPr>
      <w:bookmarkStart w:id="52" w:name="_Toc154331453"/>
      <w:r w:rsidRPr="002C55EE">
        <w:t xml:space="preserve">Root system </w:t>
      </w:r>
      <w:r>
        <w:t>assessments</w:t>
      </w:r>
      <w:bookmarkEnd w:id="52"/>
    </w:p>
    <w:p w14:paraId="6C7FC50B" w14:textId="242E035D" w:rsidR="001648CB" w:rsidRDefault="001648CB" w:rsidP="00743E4C">
      <w:pPr>
        <w:pStyle w:val="Heading4"/>
      </w:pPr>
      <w:bookmarkStart w:id="53" w:name="_Toc154331454"/>
      <w:r>
        <w:t>Root length and number in rhizoboxes</w:t>
      </w:r>
      <w:bookmarkEnd w:id="53"/>
    </w:p>
    <w:p w14:paraId="064F5D1F" w14:textId="559CC584" w:rsidR="001648CB" w:rsidRDefault="001648CB" w:rsidP="001648CB">
      <w:pPr>
        <w:spacing w:line="480" w:lineRule="auto"/>
        <w:rPr>
          <w:rFonts w:eastAsia="Calibri" w:cs="Times New Roman"/>
        </w:rPr>
      </w:pPr>
      <w:r w:rsidRPr="002C55EE">
        <w:rPr>
          <w:rFonts w:eastAsia="Calibri" w:cs="Times New Roman"/>
        </w:rPr>
        <w:t xml:space="preserve">Assessments were taken using </w:t>
      </w:r>
      <w:r w:rsidR="0007078F">
        <w:rPr>
          <w:rFonts w:eastAsia="Calibri" w:cs="Times New Roman"/>
        </w:rPr>
        <w:t>I</w:t>
      </w:r>
      <w:r w:rsidRPr="002C55EE">
        <w:rPr>
          <w:rFonts w:eastAsia="Calibri" w:cs="Times New Roman"/>
        </w:rPr>
        <w:t xml:space="preserve">mageJ. </w:t>
      </w:r>
      <w:r w:rsidR="00FD7B93">
        <w:rPr>
          <w:rFonts w:eastAsia="Calibri" w:cs="Times New Roman"/>
        </w:rPr>
        <w:t xml:space="preserve">Images were scaled and the segmented line tool was used to measure the length of each root. </w:t>
      </w:r>
      <w:r w:rsidR="00E824A6" w:rsidRPr="002C55EE">
        <w:rPr>
          <w:rFonts w:eastAsia="Calibri" w:cs="Times New Roman"/>
        </w:rPr>
        <w:t xml:space="preserve">From this data root number could be calculated. </w:t>
      </w:r>
      <w:r w:rsidRPr="002C55EE">
        <w:rPr>
          <w:rFonts w:eastAsia="Calibri" w:cs="Times New Roman"/>
        </w:rPr>
        <w:t xml:space="preserve">For wheat and barley; data was </w:t>
      </w:r>
      <w:r w:rsidRPr="002C55EE">
        <w:rPr>
          <w:rFonts w:eastAsia="Calibri" w:cs="Times New Roman"/>
        </w:rPr>
        <w:lastRenderedPageBreak/>
        <w:t xml:space="preserve">separated into seminal and lateral roots per plant. In </w:t>
      </w:r>
      <w:r w:rsidR="00BF4CEF">
        <w:rPr>
          <w:rFonts w:eastAsia="Calibri" w:cs="Times New Roman"/>
        </w:rPr>
        <w:t xml:space="preserve">these assessments I defined </w:t>
      </w:r>
      <w:r w:rsidRPr="002C55EE">
        <w:rPr>
          <w:rFonts w:eastAsia="Calibri" w:cs="Times New Roman"/>
        </w:rPr>
        <w:t>seminal roots as roots which have other roots connected to them; the roots which connect to the seminal roots are defined as lateral roots</w:t>
      </w:r>
      <w:r w:rsidR="008D66F2">
        <w:rPr>
          <w:rFonts w:eastAsia="Calibri" w:cs="Times New Roman"/>
        </w:rPr>
        <w:t xml:space="preserve"> (Fig. 2.</w:t>
      </w:r>
      <w:r w:rsidR="00B62EF3">
        <w:rPr>
          <w:rFonts w:eastAsia="Calibri" w:cs="Times New Roman"/>
        </w:rPr>
        <w:t>4</w:t>
      </w:r>
      <w:r w:rsidR="008D66F2">
        <w:rPr>
          <w:rFonts w:eastAsia="Calibri" w:cs="Times New Roman"/>
        </w:rPr>
        <w:t>)</w:t>
      </w:r>
      <w:r w:rsidR="00C610E4">
        <w:rPr>
          <w:rFonts w:eastAsia="Calibri" w:cs="Times New Roman"/>
        </w:rPr>
        <w:t>.</w:t>
      </w:r>
      <w:r>
        <w:rPr>
          <w:rFonts w:eastAsia="Calibri" w:cs="Times New Roman"/>
        </w:rPr>
        <w:t xml:space="preserve"> </w:t>
      </w:r>
    </w:p>
    <w:p w14:paraId="06FF7A7D" w14:textId="0C85D52B" w:rsidR="001648CB" w:rsidRPr="001648CB" w:rsidRDefault="001648CB" w:rsidP="001648CB">
      <w:pPr>
        <w:spacing w:line="480" w:lineRule="auto"/>
        <w:rPr>
          <w:rFonts w:eastAsia="Calibri"/>
        </w:rPr>
      </w:pPr>
      <w:r>
        <w:rPr>
          <w:rFonts w:eastAsia="Calibri" w:cs="Times New Roman"/>
          <w:noProof/>
        </w:rPr>
        <w:drawing>
          <wp:anchor distT="0" distB="0" distL="114300" distR="114300" simplePos="0" relativeHeight="251708928" behindDoc="0" locked="0" layoutInCell="1" allowOverlap="1" wp14:anchorId="054F9A55" wp14:editId="44868567">
            <wp:simplePos x="0" y="0"/>
            <wp:positionH relativeFrom="margin">
              <wp:align>left</wp:align>
            </wp:positionH>
            <wp:positionV relativeFrom="paragraph">
              <wp:posOffset>67555</wp:posOffset>
            </wp:positionV>
            <wp:extent cx="2186940" cy="1859280"/>
            <wp:effectExtent l="0" t="0" r="3810" b="7620"/>
            <wp:wrapSquare wrapText="bothSides"/>
            <wp:docPr id="1809729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729549" name="Picture 1809729549"/>
                    <pic:cNvPicPr/>
                  </pic:nvPicPr>
                  <pic:blipFill rotWithShape="1">
                    <a:blip r:embed="rId18" cstate="print">
                      <a:extLst>
                        <a:ext uri="{28A0092B-C50C-407E-A947-70E740481C1C}">
                          <a14:useLocalDpi xmlns:a14="http://schemas.microsoft.com/office/drawing/2010/main" val="0"/>
                        </a:ext>
                      </a:extLst>
                    </a:blip>
                    <a:srcRect r="48119"/>
                    <a:stretch/>
                  </pic:blipFill>
                  <pic:spPr bwMode="auto">
                    <a:xfrm>
                      <a:off x="0" y="0"/>
                      <a:ext cx="2186940" cy="1859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AE2B65" w14:textId="77777777" w:rsidR="001648CB" w:rsidRDefault="001648CB" w:rsidP="001648CB"/>
    <w:p w14:paraId="7F648EC2" w14:textId="77777777" w:rsidR="001648CB" w:rsidRDefault="001648CB" w:rsidP="001648CB"/>
    <w:p w14:paraId="6C4F73AE" w14:textId="77777777" w:rsidR="001648CB" w:rsidRDefault="001648CB" w:rsidP="001648CB"/>
    <w:p w14:paraId="61E4FA1B" w14:textId="77777777" w:rsidR="001648CB" w:rsidRDefault="001648CB" w:rsidP="001648CB"/>
    <w:p w14:paraId="43A3DF06" w14:textId="77777777" w:rsidR="001648CB" w:rsidRDefault="001648CB" w:rsidP="001648CB"/>
    <w:p w14:paraId="7269BBD7" w14:textId="6BB22ACA" w:rsidR="001648CB" w:rsidRDefault="001648CB" w:rsidP="001648CB">
      <w:pPr>
        <w:pStyle w:val="Caption"/>
      </w:pPr>
      <w:bookmarkStart w:id="54" w:name="_Toc146657530"/>
      <w:bookmarkStart w:id="55" w:name="_Toc154331530"/>
      <w:r>
        <w:t xml:space="preserve">Figure </w:t>
      </w:r>
      <w:fldSimple w:instr=" STYLEREF 1 \s ">
        <w:r w:rsidR="004B7F70">
          <w:rPr>
            <w:noProof/>
          </w:rPr>
          <w:t>2</w:t>
        </w:r>
      </w:fldSimple>
      <w:r w:rsidR="00C97D34">
        <w:t>.</w:t>
      </w:r>
      <w:fldSimple w:instr=" SEQ Figure \* ARABIC \s 1 ">
        <w:r w:rsidR="004B7F70">
          <w:rPr>
            <w:noProof/>
          </w:rPr>
          <w:t>4</w:t>
        </w:r>
      </w:fldSimple>
      <w:r>
        <w:t xml:space="preserve"> Root system architecture of wheat and barley</w:t>
      </w:r>
      <w:bookmarkEnd w:id="54"/>
      <w:bookmarkEnd w:id="55"/>
    </w:p>
    <w:p w14:paraId="01FB35E2" w14:textId="77777777" w:rsidR="001648CB" w:rsidRPr="00B63B03" w:rsidRDefault="001648CB" w:rsidP="001648CB">
      <w:pPr>
        <w:pStyle w:val="Description"/>
        <w:rPr>
          <w:rFonts w:eastAsia="Calibri"/>
        </w:rPr>
      </w:pPr>
      <w:r w:rsidRPr="00B63B03">
        <w:rPr>
          <w:rFonts w:eastAsia="Calibri"/>
        </w:rPr>
        <w:t>Cartoon representing the root system architectures of wheat</w:t>
      </w:r>
      <w:r>
        <w:rPr>
          <w:rFonts w:eastAsia="Calibri"/>
        </w:rPr>
        <w:t xml:space="preserve"> and</w:t>
      </w:r>
      <w:r w:rsidRPr="00B63B03">
        <w:rPr>
          <w:rFonts w:eastAsia="Calibri"/>
        </w:rPr>
        <w:t xml:space="preserve"> barley.</w:t>
      </w:r>
    </w:p>
    <w:p w14:paraId="1D4ED9C6" w14:textId="77777777" w:rsidR="001648CB" w:rsidRPr="00B63B03" w:rsidRDefault="001648CB" w:rsidP="001648CB">
      <w:pPr>
        <w:pStyle w:val="Description"/>
        <w:rPr>
          <w:rFonts w:eastAsia="Calibri"/>
        </w:rPr>
      </w:pPr>
      <w:r w:rsidRPr="00B63B03">
        <w:rPr>
          <w:rFonts w:eastAsia="Calibri"/>
        </w:rPr>
        <w:t xml:space="preserve">A) A cartoon example of RSA in wheat and barley. Grey lines represent seminal roots which emerge from the seed (brown oval). Blue lines represent lateral roots which emerge from the thicker seminal roots (grey). </w:t>
      </w:r>
    </w:p>
    <w:p w14:paraId="14535C71" w14:textId="77777777" w:rsidR="001648CB" w:rsidRDefault="001648CB" w:rsidP="001648CB">
      <w:pPr>
        <w:pStyle w:val="Description"/>
      </w:pPr>
    </w:p>
    <w:p w14:paraId="72C95AFF" w14:textId="199A9106" w:rsidR="001648CB" w:rsidRDefault="002B5399" w:rsidP="001648CB">
      <w:pPr>
        <w:spacing w:line="480" w:lineRule="auto"/>
        <w:rPr>
          <w:rFonts w:eastAsia="Calibri" w:cs="Times New Roman"/>
        </w:rPr>
      </w:pPr>
      <w:r>
        <w:rPr>
          <w:rFonts w:eastAsia="Calibri" w:cs="Times New Roman"/>
        </w:rPr>
        <w:t>F</w:t>
      </w:r>
      <w:r w:rsidR="000830F0">
        <w:rPr>
          <w:rFonts w:eastAsia="Calibri" w:cs="Times New Roman"/>
        </w:rPr>
        <w:t>or root length and number data presented in 3.4.1</w:t>
      </w:r>
      <w:r w:rsidR="00A0329F">
        <w:rPr>
          <w:rFonts w:eastAsia="Calibri" w:cs="Times New Roman"/>
        </w:rPr>
        <w:t>,</w:t>
      </w:r>
      <w:r w:rsidR="00951379">
        <w:rPr>
          <w:rFonts w:eastAsia="Calibri" w:cs="Times New Roman"/>
        </w:rPr>
        <w:t xml:space="preserve"> </w:t>
      </w:r>
      <w:r w:rsidR="00A0329F">
        <w:rPr>
          <w:rFonts w:eastAsia="Calibri" w:cs="Times New Roman"/>
        </w:rPr>
        <w:t>3</w:t>
      </w:r>
      <w:r w:rsidR="00951379">
        <w:rPr>
          <w:rFonts w:eastAsia="Calibri" w:cs="Times New Roman"/>
        </w:rPr>
        <w:t>.4.2</w:t>
      </w:r>
      <w:r w:rsidR="005732DA">
        <w:rPr>
          <w:rFonts w:eastAsia="Calibri" w:cs="Times New Roman"/>
        </w:rPr>
        <w:t>, 3.4.3</w:t>
      </w:r>
      <w:r w:rsidR="00951379">
        <w:rPr>
          <w:rFonts w:eastAsia="Calibri" w:cs="Times New Roman"/>
        </w:rPr>
        <w:t xml:space="preserve"> </w:t>
      </w:r>
      <w:r w:rsidR="00B54C44">
        <w:rPr>
          <w:rFonts w:eastAsia="Calibri" w:cs="Times New Roman"/>
        </w:rPr>
        <w:t>roots visible on both the t</w:t>
      </w:r>
      <w:r w:rsidR="001648CB" w:rsidRPr="002C55EE">
        <w:rPr>
          <w:rFonts w:eastAsia="Calibri" w:cs="Times New Roman"/>
        </w:rPr>
        <w:t>op and base</w:t>
      </w:r>
      <w:r w:rsidR="00B54C44">
        <w:rPr>
          <w:rFonts w:eastAsia="Calibri" w:cs="Times New Roman"/>
        </w:rPr>
        <w:t xml:space="preserve"> of the plates</w:t>
      </w:r>
      <w:r w:rsidR="001648CB" w:rsidRPr="002C55EE">
        <w:rPr>
          <w:rFonts w:eastAsia="Calibri" w:cs="Times New Roman"/>
        </w:rPr>
        <w:t xml:space="preserve"> were added together to give </w:t>
      </w:r>
      <w:r w:rsidR="00CC745E">
        <w:rPr>
          <w:rFonts w:eastAsia="Calibri" w:cs="Times New Roman"/>
        </w:rPr>
        <w:t>the</w:t>
      </w:r>
      <w:r w:rsidR="001648CB" w:rsidRPr="002C55EE">
        <w:rPr>
          <w:rFonts w:eastAsia="Calibri" w:cs="Times New Roman"/>
        </w:rPr>
        <w:t xml:space="preserve"> root numbers and lengths</w:t>
      </w:r>
      <w:r w:rsidR="008658AA">
        <w:rPr>
          <w:rFonts w:eastAsia="Calibri" w:cs="Times New Roman"/>
        </w:rPr>
        <w:t>.</w:t>
      </w:r>
      <w:r w:rsidR="001648CB" w:rsidRPr="002C55EE">
        <w:rPr>
          <w:rFonts w:eastAsia="Calibri" w:cs="Times New Roman"/>
        </w:rPr>
        <w:t xml:space="preserve"> </w:t>
      </w:r>
      <w:r w:rsidR="005732DA">
        <w:rPr>
          <w:rFonts w:eastAsia="Calibri" w:cs="Times New Roman"/>
        </w:rPr>
        <w:t>F</w:t>
      </w:r>
      <w:r w:rsidR="001648CB" w:rsidRPr="002C55EE">
        <w:rPr>
          <w:rFonts w:eastAsia="Calibri" w:cs="Times New Roman"/>
        </w:rPr>
        <w:t xml:space="preserve">or time points before </w:t>
      </w:r>
      <w:r w:rsidR="001648CB" w:rsidRPr="00E604AC">
        <w:rPr>
          <w:rFonts w:eastAsia="Calibri" w:cs="Times New Roman"/>
        </w:rPr>
        <w:t>13 days post germination, only base measurements are presented.</w:t>
      </w:r>
      <w:r w:rsidR="00957D52">
        <w:rPr>
          <w:rFonts w:eastAsia="Calibri" w:cs="Times New Roman"/>
        </w:rPr>
        <w:t xml:space="preserve"> For root length and number data presented in 3.4.</w:t>
      </w:r>
      <w:r w:rsidR="002E33C4">
        <w:rPr>
          <w:rFonts w:eastAsia="Calibri" w:cs="Times New Roman"/>
        </w:rPr>
        <w:t>4</w:t>
      </w:r>
      <w:r w:rsidR="00957D52">
        <w:rPr>
          <w:rFonts w:eastAsia="Calibri" w:cs="Times New Roman"/>
        </w:rPr>
        <w:t>, only base measurements were</w:t>
      </w:r>
      <w:r w:rsidR="005732DA">
        <w:rPr>
          <w:rFonts w:eastAsia="Calibri" w:cs="Times New Roman"/>
        </w:rPr>
        <w:t xml:space="preserve"> assessed.</w:t>
      </w:r>
      <w:r w:rsidR="00957D52">
        <w:rPr>
          <w:rFonts w:eastAsia="Calibri" w:cs="Times New Roman"/>
        </w:rPr>
        <w:t xml:space="preserve"> </w:t>
      </w:r>
    </w:p>
    <w:p w14:paraId="6889ABD6" w14:textId="00F9601C" w:rsidR="001648CB" w:rsidRDefault="001648CB" w:rsidP="00743E4C">
      <w:pPr>
        <w:pStyle w:val="Heading4"/>
      </w:pPr>
      <w:bookmarkStart w:id="56" w:name="_Toc154331455"/>
      <w:r>
        <w:t>Root density measurements</w:t>
      </w:r>
      <w:bookmarkEnd w:id="56"/>
    </w:p>
    <w:p w14:paraId="4B5803AC" w14:textId="77777777" w:rsidR="001648CB" w:rsidRPr="00B66399" w:rsidRDefault="001648CB" w:rsidP="001648CB">
      <w:pPr>
        <w:spacing w:line="480" w:lineRule="auto"/>
        <w:rPr>
          <w:rFonts w:eastAsia="Calibri" w:cs="Times New Roman"/>
          <w:u w:val="single"/>
        </w:rPr>
      </w:pPr>
      <w:r w:rsidRPr="00B66399">
        <w:rPr>
          <w:rFonts w:eastAsia="Calibri" w:cs="Times New Roman"/>
          <w:u w:val="single"/>
        </w:rPr>
        <w:t>Rhizoboxes</w:t>
      </w:r>
    </w:p>
    <w:p w14:paraId="0A91B3E1" w14:textId="7DA0495B" w:rsidR="001648CB" w:rsidRDefault="001648CB" w:rsidP="001648CB">
      <w:pPr>
        <w:spacing w:line="480" w:lineRule="auto"/>
        <w:rPr>
          <w:rFonts w:eastAsia="Calibri" w:cs="Times New Roman"/>
        </w:rPr>
      </w:pPr>
      <w:r w:rsidRPr="002C55EE">
        <w:rPr>
          <w:rFonts w:eastAsia="Calibri" w:cs="Times New Roman"/>
        </w:rPr>
        <w:t xml:space="preserve">After </w:t>
      </w:r>
      <w:r>
        <w:rPr>
          <w:rFonts w:eastAsia="Calibri" w:cs="Times New Roman"/>
        </w:rPr>
        <w:t>~</w:t>
      </w:r>
      <w:r w:rsidRPr="002C55EE">
        <w:rPr>
          <w:rFonts w:eastAsia="Calibri" w:cs="Times New Roman"/>
        </w:rPr>
        <w:t>21 days it became too difficult to accurately measure root length and root number using the method above. Therefore, to quantitatively assess root growth over time, a method</w:t>
      </w:r>
      <w:r>
        <w:rPr>
          <w:rFonts w:eastAsia="Calibri" w:cs="Times New Roman"/>
        </w:rPr>
        <w:t xml:space="preserve"> was devised</w:t>
      </w:r>
      <w:r w:rsidRPr="002C55EE">
        <w:rPr>
          <w:rFonts w:eastAsia="Calibri" w:cs="Times New Roman"/>
        </w:rPr>
        <w:t xml:space="preserve"> to calculate the proportion of white pixels in a given area. The contrast of each image in an experiment was changed to a defined setting to allow for the contrast between dark pixels of </w:t>
      </w:r>
      <w:r w:rsidRPr="002C55EE">
        <w:rPr>
          <w:rFonts w:eastAsia="Calibri" w:cs="Times New Roman"/>
        </w:rPr>
        <w:lastRenderedPageBreak/>
        <w:t xml:space="preserve">the plate (soil) and white pixels (roots) to be more </w:t>
      </w:r>
      <w:r>
        <w:rPr>
          <w:rFonts w:eastAsia="Calibri" w:cs="Times New Roman"/>
        </w:rPr>
        <w:t>stark (increasing the signal to noise ratio) (Fig</w:t>
      </w:r>
      <w:r w:rsidR="00E67CD6">
        <w:rPr>
          <w:rFonts w:eastAsia="Calibri" w:cs="Times New Roman"/>
        </w:rPr>
        <w:t>.</w:t>
      </w:r>
      <w:r>
        <w:rPr>
          <w:rFonts w:eastAsia="Calibri" w:cs="Times New Roman"/>
        </w:rPr>
        <w:t xml:space="preserve"> </w:t>
      </w:r>
      <w:r w:rsidR="00E67CD6">
        <w:rPr>
          <w:rFonts w:eastAsia="Calibri" w:cs="Times New Roman"/>
        </w:rPr>
        <w:t>2</w:t>
      </w:r>
      <w:r>
        <w:rPr>
          <w:rFonts w:eastAsia="Calibri" w:cs="Times New Roman"/>
        </w:rPr>
        <w:t>.</w:t>
      </w:r>
      <w:r w:rsidR="00E67CD6">
        <w:rPr>
          <w:rFonts w:eastAsia="Calibri" w:cs="Times New Roman"/>
        </w:rPr>
        <w:t>5</w:t>
      </w:r>
      <w:r>
        <w:rPr>
          <w:rFonts w:eastAsia="Calibri" w:cs="Times New Roman"/>
        </w:rPr>
        <w:t>)</w:t>
      </w:r>
      <w:r w:rsidRPr="002C55EE">
        <w:rPr>
          <w:rFonts w:eastAsia="Calibri" w:cs="Times New Roman"/>
        </w:rPr>
        <w:t>.</w:t>
      </w:r>
      <w:r w:rsidR="00524B61">
        <w:rPr>
          <w:rFonts w:eastAsia="Calibri" w:cs="Times New Roman"/>
        </w:rPr>
        <w:t xml:space="preserve"> White pixels </w:t>
      </w:r>
      <w:r w:rsidR="00322FD6">
        <w:rPr>
          <w:rFonts w:eastAsia="Calibri" w:cs="Times New Roman"/>
        </w:rPr>
        <w:t xml:space="preserve">would produce a high number between 0 and 255, compared to the dark pixels of soil. </w:t>
      </w:r>
      <w:r w:rsidR="007F6A6A" w:rsidRPr="007F7347">
        <w:rPr>
          <w:rFonts w:eastAsia="Calibri" w:cs="Times New Roman"/>
        </w:rPr>
        <w:t>Using ImageJ</w:t>
      </w:r>
      <w:r w:rsidR="007F6A6A">
        <w:rPr>
          <w:rFonts w:eastAsia="Calibri" w:cs="Times New Roman"/>
        </w:rPr>
        <w:t>, the c</w:t>
      </w:r>
      <w:r>
        <w:rPr>
          <w:rFonts w:eastAsia="Calibri" w:cs="Times New Roman"/>
        </w:rPr>
        <w:t>ontrast setting used was as follows: 3.</w:t>
      </w:r>
      <w:r w:rsidR="00E67CD6">
        <w:rPr>
          <w:rFonts w:eastAsia="Calibri" w:cs="Times New Roman"/>
        </w:rPr>
        <w:t>4</w:t>
      </w:r>
      <w:r>
        <w:rPr>
          <w:rFonts w:eastAsia="Calibri" w:cs="Times New Roman"/>
        </w:rPr>
        <w:t>.1: 25, 3.</w:t>
      </w:r>
      <w:r w:rsidR="00E67CD6">
        <w:rPr>
          <w:rFonts w:eastAsia="Calibri" w:cs="Times New Roman"/>
        </w:rPr>
        <w:t>4</w:t>
      </w:r>
      <w:r>
        <w:rPr>
          <w:rFonts w:eastAsia="Calibri" w:cs="Times New Roman"/>
        </w:rPr>
        <w:t>.2: 25, 3.</w:t>
      </w:r>
      <w:r w:rsidR="00E67CD6">
        <w:rPr>
          <w:rFonts w:eastAsia="Calibri" w:cs="Times New Roman"/>
        </w:rPr>
        <w:t>4</w:t>
      </w:r>
      <w:r>
        <w:rPr>
          <w:rFonts w:eastAsia="Calibri" w:cs="Times New Roman"/>
        </w:rPr>
        <w:t>.3: 25, 3.</w:t>
      </w:r>
      <w:r w:rsidR="00E67CD6">
        <w:rPr>
          <w:rFonts w:eastAsia="Calibri" w:cs="Times New Roman"/>
        </w:rPr>
        <w:t>4</w:t>
      </w:r>
      <w:r>
        <w:rPr>
          <w:rFonts w:eastAsia="Calibri" w:cs="Times New Roman"/>
        </w:rPr>
        <w:t xml:space="preserve">.4: 22. </w:t>
      </w:r>
      <w:r w:rsidR="004B70B7">
        <w:rPr>
          <w:rFonts w:eastAsia="Calibri"/>
        </w:rPr>
        <w:t xml:space="preserve">The mean pixel intensities </w:t>
      </w:r>
      <w:r w:rsidR="00B7176C">
        <w:rPr>
          <w:rFonts w:eastAsia="Calibri"/>
        </w:rPr>
        <w:t xml:space="preserve">(mpi) </w:t>
      </w:r>
      <w:r w:rsidR="004B70B7">
        <w:rPr>
          <w:rFonts w:eastAsia="Calibri"/>
        </w:rPr>
        <w:t>were subsequently converted to a percentage</w:t>
      </w:r>
      <w:r w:rsidR="00B7176C">
        <w:rPr>
          <w:rFonts w:eastAsia="Calibri"/>
        </w:rPr>
        <w:t xml:space="preserve"> (mpi/</w:t>
      </w:r>
      <w:r w:rsidR="00AE01ED">
        <w:rPr>
          <w:rFonts w:eastAsia="Calibri"/>
        </w:rPr>
        <w:t>2</w:t>
      </w:r>
      <w:r w:rsidR="00B7176C">
        <w:rPr>
          <w:rFonts w:eastAsia="Calibri"/>
        </w:rPr>
        <w:t>55x100)</w:t>
      </w:r>
      <w:r w:rsidR="0096354D">
        <w:rPr>
          <w:rFonts w:eastAsia="Calibri"/>
        </w:rPr>
        <w:t xml:space="preserve"> (as described in Wheeldon et al, 2021)</w:t>
      </w:r>
      <w:r w:rsidRPr="002C55EE">
        <w:rPr>
          <w:rFonts w:eastAsia="Calibri" w:cs="Times New Roman"/>
        </w:rPr>
        <w:t xml:space="preserve">. A </w:t>
      </w:r>
      <w:r>
        <w:rPr>
          <w:rFonts w:eastAsia="Calibri" w:cs="Times New Roman"/>
        </w:rPr>
        <w:t>Root Density Score</w:t>
      </w:r>
      <w:r w:rsidRPr="002C55EE">
        <w:rPr>
          <w:rFonts w:eastAsia="Calibri" w:cs="Times New Roman"/>
        </w:rPr>
        <w:t xml:space="preserve"> was defined as the percentage of white pixels on the base of the plate plus the percentage of white pixels on the top of the plate.</w:t>
      </w:r>
    </w:p>
    <w:p w14:paraId="12AE82C7" w14:textId="77777777" w:rsidR="001648CB" w:rsidRDefault="001648CB" w:rsidP="001648CB">
      <w:pPr>
        <w:rPr>
          <w:rFonts w:eastAsia="Calibri" w:cs="Times New Roman"/>
        </w:rPr>
      </w:pPr>
      <w:r>
        <w:rPr>
          <w:rFonts w:eastAsia="Calibri" w:cs="Times New Roman"/>
          <w:noProof/>
        </w:rPr>
        <w:drawing>
          <wp:anchor distT="0" distB="0" distL="114300" distR="114300" simplePos="0" relativeHeight="251716096" behindDoc="0" locked="0" layoutInCell="1" allowOverlap="1" wp14:anchorId="2725C1C1" wp14:editId="6E86CCEC">
            <wp:simplePos x="0" y="0"/>
            <wp:positionH relativeFrom="margin">
              <wp:align>left</wp:align>
            </wp:positionH>
            <wp:positionV relativeFrom="paragraph">
              <wp:posOffset>5325</wp:posOffset>
            </wp:positionV>
            <wp:extent cx="4810760" cy="2812415"/>
            <wp:effectExtent l="0" t="0" r="8890" b="6985"/>
            <wp:wrapSquare wrapText="bothSides"/>
            <wp:docPr id="11911363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36333" name="Picture 119113633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10760" cy="2812415"/>
                    </a:xfrm>
                    <a:prstGeom prst="rect">
                      <a:avLst/>
                    </a:prstGeom>
                  </pic:spPr>
                </pic:pic>
              </a:graphicData>
            </a:graphic>
            <wp14:sizeRelH relativeFrom="margin">
              <wp14:pctWidth>0</wp14:pctWidth>
            </wp14:sizeRelH>
            <wp14:sizeRelV relativeFrom="margin">
              <wp14:pctHeight>0</wp14:pctHeight>
            </wp14:sizeRelV>
          </wp:anchor>
        </w:drawing>
      </w:r>
    </w:p>
    <w:p w14:paraId="4BDBBD12" w14:textId="77777777" w:rsidR="001648CB" w:rsidRPr="002C55EE" w:rsidRDefault="001648CB" w:rsidP="001648CB">
      <w:pPr>
        <w:rPr>
          <w:rFonts w:eastAsia="Calibri" w:cs="Times New Roman"/>
        </w:rPr>
      </w:pPr>
    </w:p>
    <w:p w14:paraId="47F13EE5" w14:textId="77777777" w:rsidR="001648CB" w:rsidRDefault="001648CB" w:rsidP="001648CB">
      <w:pPr>
        <w:rPr>
          <w:rFonts w:eastAsia="Calibri" w:cs="Times New Roman"/>
        </w:rPr>
      </w:pPr>
    </w:p>
    <w:p w14:paraId="0D06AB7D" w14:textId="77777777" w:rsidR="001648CB" w:rsidRDefault="001648CB" w:rsidP="001648CB">
      <w:pPr>
        <w:rPr>
          <w:rFonts w:eastAsia="Calibri" w:cs="Times New Roman"/>
        </w:rPr>
      </w:pPr>
    </w:p>
    <w:p w14:paraId="53ED9B26" w14:textId="77777777" w:rsidR="001648CB" w:rsidRDefault="001648CB" w:rsidP="001648CB">
      <w:pPr>
        <w:rPr>
          <w:rFonts w:eastAsia="Calibri" w:cs="Times New Roman"/>
        </w:rPr>
      </w:pPr>
    </w:p>
    <w:p w14:paraId="5D65D83F" w14:textId="77777777" w:rsidR="001648CB" w:rsidRDefault="001648CB" w:rsidP="001648CB">
      <w:pPr>
        <w:rPr>
          <w:rFonts w:eastAsia="Calibri" w:cs="Times New Roman"/>
        </w:rPr>
      </w:pPr>
    </w:p>
    <w:p w14:paraId="733AF43B" w14:textId="77777777" w:rsidR="001648CB" w:rsidRDefault="001648CB" w:rsidP="001648CB"/>
    <w:p w14:paraId="1045986D" w14:textId="77777777" w:rsidR="001648CB" w:rsidRPr="001648CB" w:rsidRDefault="001648CB" w:rsidP="001648CB"/>
    <w:p w14:paraId="53A60962" w14:textId="77777777" w:rsidR="001648CB" w:rsidRPr="001648CB" w:rsidRDefault="001648CB" w:rsidP="001648CB"/>
    <w:p w14:paraId="064AF623" w14:textId="77777777" w:rsidR="001648CB" w:rsidRPr="001648CB" w:rsidRDefault="001648CB" w:rsidP="001648CB"/>
    <w:p w14:paraId="6C857EE7" w14:textId="77777777" w:rsidR="001648CB" w:rsidRDefault="001648CB" w:rsidP="001648CB"/>
    <w:p w14:paraId="4EC7EC1E" w14:textId="7F24EA27" w:rsidR="001648CB" w:rsidRDefault="003A096D" w:rsidP="003A096D">
      <w:pPr>
        <w:pStyle w:val="Caption"/>
      </w:pPr>
      <w:bookmarkStart w:id="57" w:name="_Toc146657531"/>
      <w:bookmarkStart w:id="58" w:name="_Toc154331531"/>
      <w:r>
        <w:t xml:space="preserve">Figure </w:t>
      </w:r>
      <w:fldSimple w:instr=" STYLEREF 1 \s ">
        <w:r w:rsidR="004B7F70">
          <w:rPr>
            <w:noProof/>
          </w:rPr>
          <w:t>2</w:t>
        </w:r>
      </w:fldSimple>
      <w:r w:rsidR="00C97D34">
        <w:t>.</w:t>
      </w:r>
      <w:fldSimple w:instr=" SEQ Figure \* ARABIC \s 1 ">
        <w:r w:rsidR="004B7F70">
          <w:rPr>
            <w:noProof/>
          </w:rPr>
          <w:t>5</w:t>
        </w:r>
      </w:fldSimple>
      <w:r>
        <w:t xml:space="preserve"> Root density assessment</w:t>
      </w:r>
      <w:bookmarkEnd w:id="57"/>
      <w:bookmarkEnd w:id="58"/>
    </w:p>
    <w:p w14:paraId="0936648F" w14:textId="77777777" w:rsidR="003A096D" w:rsidRPr="000B1B3C" w:rsidRDefault="003A096D" w:rsidP="003A096D">
      <w:pPr>
        <w:pStyle w:val="Description"/>
        <w:rPr>
          <w:rFonts w:eastAsia="Calibri"/>
        </w:rPr>
      </w:pPr>
      <w:r w:rsidRPr="000B1B3C">
        <w:rPr>
          <w:rFonts w:eastAsia="Calibri"/>
        </w:rPr>
        <w:t>Figure showing example images of root systems assessed for root density.</w:t>
      </w:r>
    </w:p>
    <w:p w14:paraId="06BC85EA" w14:textId="77777777" w:rsidR="003A096D" w:rsidRPr="000B1B3C" w:rsidRDefault="003A096D" w:rsidP="003A096D">
      <w:pPr>
        <w:pStyle w:val="Description"/>
        <w:rPr>
          <w:rFonts w:eastAsia="Calibri"/>
        </w:rPr>
      </w:pPr>
      <w:r w:rsidRPr="000B1B3C">
        <w:rPr>
          <w:rFonts w:eastAsia="Calibri"/>
        </w:rPr>
        <w:t>A) Image of a wheat plant grown in 1100ml rhizobox</w:t>
      </w:r>
    </w:p>
    <w:p w14:paraId="096A0BD2" w14:textId="4CADE92B" w:rsidR="003A096D" w:rsidRDefault="003A096D" w:rsidP="003A096D">
      <w:pPr>
        <w:pStyle w:val="Description"/>
        <w:rPr>
          <w:rFonts w:eastAsia="Calibri"/>
        </w:rPr>
      </w:pPr>
      <w:r w:rsidRPr="00364DB3">
        <w:rPr>
          <w:rFonts w:eastAsia="Calibri"/>
        </w:rPr>
        <w:t>B) The same image as A, but with the contrast setting changed to 25</w:t>
      </w:r>
      <w:r>
        <w:rPr>
          <w:rFonts w:eastAsia="Calibri"/>
        </w:rPr>
        <w:t xml:space="preserve"> </w:t>
      </w:r>
      <w:r w:rsidR="002E33C4" w:rsidRPr="0007078F">
        <w:rPr>
          <w:rFonts w:eastAsia="Calibri"/>
        </w:rPr>
        <w:t>using ImageJ</w:t>
      </w:r>
      <w:r w:rsidR="002E33C4">
        <w:rPr>
          <w:rFonts w:eastAsia="Calibri"/>
        </w:rPr>
        <w:t xml:space="preserve"> </w:t>
      </w:r>
      <w:r>
        <w:rPr>
          <w:rFonts w:eastAsia="Calibri"/>
        </w:rPr>
        <w:t>to darken the soil and brighten the roots as described in C</w:t>
      </w:r>
    </w:p>
    <w:p w14:paraId="44543867" w14:textId="77777777" w:rsidR="003A096D" w:rsidRPr="00364DB3" w:rsidRDefault="003A096D" w:rsidP="003A096D">
      <w:pPr>
        <w:pStyle w:val="Description"/>
        <w:rPr>
          <w:rFonts w:eastAsia="Calibri"/>
        </w:rPr>
      </w:pPr>
      <w:r>
        <w:rPr>
          <w:rFonts w:eastAsia="Calibri"/>
        </w:rPr>
        <w:t>C) Brightness and contrast panel in ImageJ. Contrast toggle highlighted with a navy outline and the corresponding contrast setting, in this example ‘’25’’, also highlighted with a navy outline</w:t>
      </w:r>
    </w:p>
    <w:p w14:paraId="5C37B459" w14:textId="77777777" w:rsidR="003A096D" w:rsidRDefault="003A096D" w:rsidP="003A096D">
      <w:pPr>
        <w:pStyle w:val="Description"/>
      </w:pPr>
    </w:p>
    <w:p w14:paraId="3FEA7AA9" w14:textId="77777777" w:rsidR="00A35495" w:rsidRDefault="00A35495" w:rsidP="003A096D">
      <w:pPr>
        <w:spacing w:line="480" w:lineRule="auto"/>
        <w:rPr>
          <w:rFonts w:eastAsia="Calibri"/>
          <w:u w:val="single"/>
        </w:rPr>
      </w:pPr>
    </w:p>
    <w:p w14:paraId="715B4EA9" w14:textId="77777777" w:rsidR="00A35495" w:rsidRDefault="00A35495" w:rsidP="003A096D">
      <w:pPr>
        <w:spacing w:line="480" w:lineRule="auto"/>
        <w:rPr>
          <w:rFonts w:eastAsia="Calibri"/>
          <w:u w:val="single"/>
        </w:rPr>
      </w:pPr>
    </w:p>
    <w:p w14:paraId="27878A36" w14:textId="21706EE7" w:rsidR="003A096D" w:rsidRPr="00B66399" w:rsidRDefault="003A096D" w:rsidP="003A096D">
      <w:pPr>
        <w:spacing w:line="480" w:lineRule="auto"/>
        <w:rPr>
          <w:rFonts w:eastAsia="Calibri"/>
          <w:u w:val="single"/>
        </w:rPr>
      </w:pPr>
      <w:r w:rsidRPr="00B66399">
        <w:rPr>
          <w:rFonts w:eastAsia="Calibri"/>
          <w:u w:val="single"/>
        </w:rPr>
        <w:lastRenderedPageBreak/>
        <w:t>Clear pot root density</w:t>
      </w:r>
    </w:p>
    <w:p w14:paraId="15CE0E24" w14:textId="664FA7AD" w:rsidR="003A096D" w:rsidRDefault="003A096D" w:rsidP="003A096D">
      <w:pPr>
        <w:spacing w:line="480" w:lineRule="auto"/>
        <w:rPr>
          <w:rFonts w:eastAsia="Calibri"/>
        </w:rPr>
      </w:pPr>
      <w:r>
        <w:rPr>
          <w:rFonts w:eastAsia="Calibri"/>
        </w:rPr>
        <w:t>Images were taken for all 4 sides and the base of the 100ml and 300ml clear sided pots</w:t>
      </w:r>
      <w:r w:rsidR="0084798E">
        <w:rPr>
          <w:rFonts w:eastAsia="Calibri"/>
        </w:rPr>
        <w:t xml:space="preserve"> in </w:t>
      </w:r>
      <w:r w:rsidR="00342FF5">
        <w:rPr>
          <w:rFonts w:eastAsia="Calibri"/>
        </w:rPr>
        <w:t>chapter 4</w:t>
      </w:r>
      <w:r w:rsidR="00374E3C">
        <w:rPr>
          <w:rFonts w:eastAsia="Calibri"/>
        </w:rPr>
        <w:t xml:space="preserve"> (as described in Wheeldon et al, 2021)</w:t>
      </w:r>
      <w:r>
        <w:rPr>
          <w:rFonts w:eastAsia="Calibri"/>
        </w:rPr>
        <w:t xml:space="preserve">. Images were taken every 7 days for </w:t>
      </w:r>
      <w:r w:rsidR="00DF1B75">
        <w:rPr>
          <w:rFonts w:eastAsia="Calibri"/>
        </w:rPr>
        <w:t xml:space="preserve">the </w:t>
      </w:r>
      <w:r>
        <w:rPr>
          <w:rFonts w:eastAsia="Calibri"/>
        </w:rPr>
        <w:t>8 week</w:t>
      </w:r>
      <w:r w:rsidR="00DF1B75">
        <w:rPr>
          <w:rFonts w:eastAsia="Calibri"/>
        </w:rPr>
        <w:t xml:space="preserve"> duration of the experiment</w:t>
      </w:r>
      <w:r w:rsidR="000420FB">
        <w:rPr>
          <w:rFonts w:eastAsia="Calibri"/>
        </w:rPr>
        <w:t xml:space="preserve">. A similar method as described above was utilised with </w:t>
      </w:r>
      <w:r w:rsidR="0007078F">
        <w:rPr>
          <w:rFonts w:eastAsia="Calibri"/>
        </w:rPr>
        <w:t>I</w:t>
      </w:r>
      <w:r w:rsidR="000420FB">
        <w:rPr>
          <w:rFonts w:eastAsia="Calibri"/>
        </w:rPr>
        <w:t>mageJ.</w:t>
      </w:r>
      <w:r w:rsidR="005B5F3C">
        <w:rPr>
          <w:rFonts w:eastAsia="Calibri"/>
        </w:rPr>
        <w:t xml:space="preserve"> </w:t>
      </w:r>
      <w:r w:rsidR="00E01341">
        <w:rPr>
          <w:rFonts w:eastAsia="Calibri"/>
        </w:rPr>
        <w:t>For i</w:t>
      </w:r>
      <w:r w:rsidR="00CE1248">
        <w:rPr>
          <w:rFonts w:eastAsia="Calibri"/>
        </w:rPr>
        <w:t>mages taken on the</w:t>
      </w:r>
      <w:r w:rsidR="005B5F3C">
        <w:rPr>
          <w:rFonts w:eastAsia="Calibri"/>
        </w:rPr>
        <w:t xml:space="preserve"> same week, each face</w:t>
      </w:r>
      <w:r w:rsidR="00E63025">
        <w:rPr>
          <w:rFonts w:eastAsia="Calibri"/>
        </w:rPr>
        <w:t xml:space="preserve"> (not including the base)</w:t>
      </w:r>
      <w:r w:rsidR="005B5F3C">
        <w:rPr>
          <w:rFonts w:eastAsia="Calibri"/>
        </w:rPr>
        <w:t xml:space="preserve"> was treated the same using a defined </w:t>
      </w:r>
      <w:r w:rsidR="00CE1248">
        <w:rPr>
          <w:rFonts w:eastAsia="Calibri"/>
        </w:rPr>
        <w:t>contrast setting</w:t>
      </w:r>
      <w:r w:rsidR="007B49A1">
        <w:rPr>
          <w:rFonts w:eastAsia="Calibri"/>
        </w:rPr>
        <w:t xml:space="preserve">, but images taken on different weeks were treated differently as the lighting </w:t>
      </w:r>
      <w:r w:rsidR="00E01341">
        <w:rPr>
          <w:rFonts w:eastAsia="Calibri"/>
        </w:rPr>
        <w:t xml:space="preserve">in the room where the photos were taken </w:t>
      </w:r>
      <w:r w:rsidR="007B49A1">
        <w:rPr>
          <w:rFonts w:eastAsia="Calibri"/>
        </w:rPr>
        <w:t xml:space="preserve">varied each week. </w:t>
      </w:r>
      <w:r w:rsidR="002F3F89">
        <w:rPr>
          <w:rFonts w:eastAsia="Calibri"/>
        </w:rPr>
        <w:t>The base however had a much higher colonisation of roots therefore this was assessed separately</w:t>
      </w:r>
      <w:r w:rsidR="004B0FE6">
        <w:rPr>
          <w:rFonts w:eastAsia="Calibri"/>
        </w:rPr>
        <w:t xml:space="preserve">. The bases had different contrasts to the sides but all </w:t>
      </w:r>
      <w:r w:rsidR="0020277A">
        <w:rPr>
          <w:rFonts w:eastAsia="Calibri"/>
        </w:rPr>
        <w:t xml:space="preserve">the </w:t>
      </w:r>
      <w:r w:rsidR="004B0FE6">
        <w:rPr>
          <w:rFonts w:eastAsia="Calibri"/>
        </w:rPr>
        <w:t xml:space="preserve">base photos were treated the same within a timepoint. </w:t>
      </w:r>
      <w:r w:rsidR="00EE1C05">
        <w:rPr>
          <w:rFonts w:eastAsia="Calibri"/>
        </w:rPr>
        <w:t>The percentages (as described above)</w:t>
      </w:r>
      <w:r w:rsidR="007E769B">
        <w:rPr>
          <w:rFonts w:eastAsia="Calibri"/>
        </w:rPr>
        <w:t>, for each face and the base were summed to provide the Root Density Score.</w:t>
      </w:r>
      <w:r w:rsidR="00AE01ED">
        <w:rPr>
          <w:rFonts w:eastAsia="Calibri"/>
        </w:rPr>
        <w:t xml:space="preserve"> </w:t>
      </w:r>
      <w:r w:rsidR="0020277A">
        <w:rPr>
          <w:rFonts w:eastAsia="Calibri"/>
        </w:rPr>
        <w:t>Averages</w:t>
      </w:r>
      <w:r w:rsidR="00AE01ED">
        <w:rPr>
          <w:rFonts w:eastAsia="Calibri"/>
        </w:rPr>
        <w:t xml:space="preserve"> between treatments were carried out and this was repeated each for each week of images</w:t>
      </w:r>
      <w:r w:rsidR="00855809">
        <w:rPr>
          <w:rFonts w:eastAsia="Calibri"/>
        </w:rPr>
        <w:t xml:space="preserve"> (as described in Wheeldon et al, 2021)</w:t>
      </w:r>
      <w:r w:rsidR="00AE01ED">
        <w:rPr>
          <w:rFonts w:eastAsia="Calibri"/>
        </w:rPr>
        <w:t>.</w:t>
      </w:r>
    </w:p>
    <w:p w14:paraId="59C7EDA8" w14:textId="3215775A" w:rsidR="003A096D" w:rsidRDefault="003A096D" w:rsidP="00743E4C">
      <w:pPr>
        <w:pStyle w:val="Heading4"/>
      </w:pPr>
      <w:bookmarkStart w:id="59" w:name="_Toc154331456"/>
      <w:r w:rsidRPr="00584D84">
        <w:t>Arabidopsis agar plates</w:t>
      </w:r>
      <w:bookmarkEnd w:id="59"/>
    </w:p>
    <w:p w14:paraId="048127CC" w14:textId="4F810877" w:rsidR="003A096D" w:rsidRDefault="003A096D" w:rsidP="003A096D">
      <w:pPr>
        <w:spacing w:line="480" w:lineRule="auto"/>
        <w:rPr>
          <w:rFonts w:eastAsia="Calibri" w:cs="Times New Roman"/>
        </w:rPr>
      </w:pPr>
      <w:r w:rsidRPr="002C55EE">
        <w:rPr>
          <w:rFonts w:eastAsia="Calibri" w:cs="Times New Roman"/>
        </w:rPr>
        <w:t xml:space="preserve">Images were assessed using </w:t>
      </w:r>
      <w:r w:rsidR="00E524E7">
        <w:rPr>
          <w:rFonts w:eastAsia="Calibri" w:cs="Times New Roman"/>
        </w:rPr>
        <w:t>I</w:t>
      </w:r>
      <w:r w:rsidRPr="002C55EE">
        <w:rPr>
          <w:rFonts w:eastAsia="Calibri" w:cs="Times New Roman"/>
        </w:rPr>
        <w:t>mageJ. Images were scaled, then primary and lateral roots were assessed for their length and number.</w:t>
      </w:r>
    </w:p>
    <w:p w14:paraId="0E12D2FD" w14:textId="77777777" w:rsidR="003A096D" w:rsidRDefault="003A096D" w:rsidP="003A096D">
      <w:pPr>
        <w:spacing w:line="480" w:lineRule="auto"/>
        <w:rPr>
          <w:rFonts w:eastAsia="Calibri" w:cs="Times New Roman"/>
        </w:rPr>
      </w:pPr>
    </w:p>
    <w:p w14:paraId="53EFC037" w14:textId="77777777" w:rsidR="005940AE" w:rsidRDefault="005940AE" w:rsidP="003A096D">
      <w:pPr>
        <w:spacing w:line="480" w:lineRule="auto"/>
        <w:rPr>
          <w:rFonts w:eastAsia="Calibri" w:cs="Times New Roman"/>
        </w:rPr>
      </w:pPr>
    </w:p>
    <w:p w14:paraId="7C886A10" w14:textId="77777777" w:rsidR="005940AE" w:rsidRDefault="005940AE" w:rsidP="003A096D">
      <w:pPr>
        <w:spacing w:line="480" w:lineRule="auto"/>
        <w:rPr>
          <w:rFonts w:eastAsia="Calibri" w:cs="Times New Roman"/>
        </w:rPr>
      </w:pPr>
    </w:p>
    <w:p w14:paraId="1D024CEE" w14:textId="77777777" w:rsidR="005940AE" w:rsidRDefault="005940AE" w:rsidP="003A096D">
      <w:pPr>
        <w:spacing w:line="480" w:lineRule="auto"/>
        <w:rPr>
          <w:rFonts w:eastAsia="Calibri" w:cs="Times New Roman"/>
        </w:rPr>
      </w:pPr>
    </w:p>
    <w:p w14:paraId="1FA9121F" w14:textId="15EB7143" w:rsidR="003A096D" w:rsidRDefault="003A096D" w:rsidP="00743E4C">
      <w:pPr>
        <w:pStyle w:val="Heading2"/>
        <w:rPr>
          <w:rFonts w:eastAsia="Calibri"/>
        </w:rPr>
      </w:pPr>
      <w:bookmarkStart w:id="60" w:name="_Toc154331457"/>
      <w:r>
        <w:rPr>
          <w:rFonts w:eastAsia="Calibri"/>
        </w:rPr>
        <w:lastRenderedPageBreak/>
        <w:t>Plant materials</w:t>
      </w:r>
      <w:bookmarkEnd w:id="60"/>
    </w:p>
    <w:p w14:paraId="2AEAB868" w14:textId="30D66239" w:rsidR="003A096D" w:rsidRPr="00A07AA6" w:rsidRDefault="003A096D" w:rsidP="00743E4C">
      <w:pPr>
        <w:pStyle w:val="Heading3"/>
        <w:rPr>
          <w:i/>
          <w:iCs/>
        </w:rPr>
      </w:pPr>
      <w:bookmarkStart w:id="61" w:name="_Toc154331458"/>
      <w:r w:rsidRPr="00A07AA6">
        <w:rPr>
          <w:i/>
          <w:iCs/>
        </w:rPr>
        <w:t>Hordeum vulgare</w:t>
      </w:r>
      <w:bookmarkEnd w:id="61"/>
    </w:p>
    <w:p w14:paraId="69F5FCD4" w14:textId="6954F78D" w:rsidR="003A096D" w:rsidRDefault="003A096D" w:rsidP="003A096D">
      <w:pPr>
        <w:spacing w:line="480" w:lineRule="auto"/>
      </w:pPr>
      <w:r w:rsidRPr="009D31B0">
        <w:t>100 Barley genotypes were kindly provided by KWS</w:t>
      </w:r>
      <w:r w:rsidR="00901071">
        <w:t xml:space="preserve"> </w:t>
      </w:r>
      <w:r w:rsidR="00901071" w:rsidRPr="00E524E7">
        <w:t>(Klaus Oldach)</w:t>
      </w:r>
      <w:r w:rsidRPr="009D31B0">
        <w:t xml:space="preserve">. Those </w:t>
      </w:r>
      <w:r w:rsidR="006F320B">
        <w:t>proceeded</w:t>
      </w:r>
      <w:r>
        <w:t xml:space="preserve"> with **</w:t>
      </w:r>
      <w:r w:rsidRPr="009D31B0">
        <w:t xml:space="preserve"> </w:t>
      </w:r>
      <w:r w:rsidR="00870F8E">
        <w:t xml:space="preserve">in the </w:t>
      </w:r>
      <w:r w:rsidR="00870F8E" w:rsidRPr="00E524E7">
        <w:t>Accession Number column</w:t>
      </w:r>
      <w:r w:rsidR="00870F8E">
        <w:t xml:space="preserve"> </w:t>
      </w:r>
      <w:r>
        <w:t>failed to</w:t>
      </w:r>
      <w:r w:rsidRPr="009D31B0">
        <w:t xml:space="preserve"> germinate.</w:t>
      </w:r>
    </w:p>
    <w:tbl>
      <w:tblPr>
        <w:tblStyle w:val="TableGrid"/>
        <w:tblW w:w="8217" w:type="dxa"/>
        <w:tblLayout w:type="fixed"/>
        <w:tblLook w:val="04A0" w:firstRow="1" w:lastRow="0" w:firstColumn="1" w:lastColumn="0" w:noHBand="0" w:noVBand="1"/>
      </w:tblPr>
      <w:tblGrid>
        <w:gridCol w:w="1555"/>
        <w:gridCol w:w="1984"/>
        <w:gridCol w:w="1418"/>
        <w:gridCol w:w="1417"/>
        <w:gridCol w:w="1843"/>
      </w:tblGrid>
      <w:tr w:rsidR="003A096D" w:rsidRPr="003A096D" w14:paraId="40CEC606" w14:textId="77777777" w:rsidTr="00D73490">
        <w:trPr>
          <w:trHeight w:val="525"/>
        </w:trPr>
        <w:tc>
          <w:tcPr>
            <w:tcW w:w="1555" w:type="dxa"/>
            <w:shd w:val="clear" w:color="auto" w:fill="D9D9D9" w:themeFill="background1" w:themeFillShade="D9"/>
            <w:hideMark/>
          </w:tcPr>
          <w:p w14:paraId="064DE846" w14:textId="77777777" w:rsidR="003A096D" w:rsidRPr="003A096D" w:rsidRDefault="003A096D" w:rsidP="00D044E6">
            <w:pPr>
              <w:spacing w:line="240" w:lineRule="auto"/>
              <w:jc w:val="center"/>
              <w:rPr>
                <w:rFonts w:ascii="Arial" w:hAnsi="Arial" w:cs="Arial"/>
                <w:b/>
                <w:szCs w:val="24"/>
              </w:rPr>
            </w:pPr>
            <w:r w:rsidRPr="003A096D">
              <w:rPr>
                <w:rFonts w:ascii="Arial" w:hAnsi="Arial" w:cs="Arial"/>
                <w:b/>
                <w:szCs w:val="24"/>
              </w:rPr>
              <w:t>Accession number</w:t>
            </w:r>
          </w:p>
        </w:tc>
        <w:tc>
          <w:tcPr>
            <w:tcW w:w="1984" w:type="dxa"/>
            <w:shd w:val="clear" w:color="auto" w:fill="D9D9D9" w:themeFill="background1" w:themeFillShade="D9"/>
            <w:hideMark/>
          </w:tcPr>
          <w:p w14:paraId="75D4723C" w14:textId="77777777" w:rsidR="003A096D" w:rsidRPr="003A096D" w:rsidRDefault="003A096D" w:rsidP="00D044E6">
            <w:pPr>
              <w:spacing w:line="240" w:lineRule="auto"/>
              <w:jc w:val="center"/>
              <w:rPr>
                <w:rFonts w:ascii="Arial" w:hAnsi="Arial" w:cs="Arial"/>
                <w:b/>
                <w:szCs w:val="24"/>
              </w:rPr>
            </w:pPr>
            <w:r w:rsidRPr="003A096D">
              <w:rPr>
                <w:rFonts w:ascii="Arial" w:hAnsi="Arial" w:cs="Arial"/>
                <w:b/>
                <w:szCs w:val="24"/>
              </w:rPr>
              <w:t>Botanic name</w:t>
            </w:r>
          </w:p>
        </w:tc>
        <w:tc>
          <w:tcPr>
            <w:tcW w:w="1418" w:type="dxa"/>
            <w:shd w:val="clear" w:color="auto" w:fill="D9D9D9" w:themeFill="background1" w:themeFillShade="D9"/>
            <w:hideMark/>
          </w:tcPr>
          <w:p w14:paraId="722F5976" w14:textId="77777777" w:rsidR="003A096D" w:rsidRPr="003A096D" w:rsidRDefault="003A096D" w:rsidP="00D044E6">
            <w:pPr>
              <w:spacing w:line="240" w:lineRule="auto"/>
              <w:jc w:val="center"/>
              <w:rPr>
                <w:rFonts w:ascii="Arial" w:hAnsi="Arial" w:cs="Arial"/>
                <w:b/>
                <w:szCs w:val="24"/>
              </w:rPr>
            </w:pPr>
            <w:r w:rsidRPr="003A096D">
              <w:rPr>
                <w:rFonts w:ascii="Arial" w:hAnsi="Arial" w:cs="Arial"/>
                <w:b/>
                <w:szCs w:val="24"/>
              </w:rPr>
              <w:t>Accession name</w:t>
            </w:r>
          </w:p>
        </w:tc>
        <w:tc>
          <w:tcPr>
            <w:tcW w:w="1417" w:type="dxa"/>
            <w:shd w:val="clear" w:color="auto" w:fill="D9D9D9" w:themeFill="background1" w:themeFillShade="D9"/>
            <w:hideMark/>
          </w:tcPr>
          <w:p w14:paraId="1D87F2D7" w14:textId="77777777" w:rsidR="003A096D" w:rsidRPr="003A096D" w:rsidRDefault="003A096D" w:rsidP="00D044E6">
            <w:pPr>
              <w:spacing w:line="240" w:lineRule="auto"/>
              <w:jc w:val="center"/>
              <w:rPr>
                <w:rFonts w:ascii="Arial" w:hAnsi="Arial" w:cs="Arial"/>
                <w:b/>
                <w:szCs w:val="24"/>
              </w:rPr>
            </w:pPr>
            <w:r w:rsidRPr="003A096D">
              <w:rPr>
                <w:rFonts w:ascii="Arial" w:hAnsi="Arial" w:cs="Arial"/>
                <w:b/>
                <w:szCs w:val="24"/>
              </w:rPr>
              <w:t>Country of origin</w:t>
            </w:r>
          </w:p>
        </w:tc>
        <w:tc>
          <w:tcPr>
            <w:tcW w:w="1843" w:type="dxa"/>
            <w:shd w:val="clear" w:color="auto" w:fill="D9D9D9" w:themeFill="background1" w:themeFillShade="D9"/>
            <w:hideMark/>
          </w:tcPr>
          <w:p w14:paraId="037BD609" w14:textId="77777777" w:rsidR="003A096D" w:rsidRPr="003A096D" w:rsidRDefault="003A096D" w:rsidP="00D044E6">
            <w:pPr>
              <w:spacing w:line="240" w:lineRule="auto"/>
              <w:jc w:val="center"/>
              <w:rPr>
                <w:rFonts w:ascii="Arial" w:hAnsi="Arial" w:cs="Arial"/>
                <w:b/>
                <w:szCs w:val="24"/>
              </w:rPr>
            </w:pPr>
            <w:r w:rsidRPr="003A096D">
              <w:rPr>
                <w:rFonts w:ascii="Arial" w:hAnsi="Arial" w:cs="Arial"/>
                <w:b/>
                <w:szCs w:val="24"/>
              </w:rPr>
              <w:t>Status</w:t>
            </w:r>
          </w:p>
        </w:tc>
      </w:tr>
      <w:tr w:rsidR="003A096D" w:rsidRPr="003A096D" w14:paraId="43DFBB2B" w14:textId="77777777" w:rsidTr="00D73490">
        <w:trPr>
          <w:trHeight w:val="525"/>
        </w:trPr>
        <w:tc>
          <w:tcPr>
            <w:tcW w:w="1555" w:type="dxa"/>
            <w:hideMark/>
          </w:tcPr>
          <w:p w14:paraId="578FBB34"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17077</w:t>
            </w:r>
          </w:p>
        </w:tc>
        <w:tc>
          <w:tcPr>
            <w:tcW w:w="1984" w:type="dxa"/>
            <w:hideMark/>
          </w:tcPr>
          <w:p w14:paraId="400DB0BA"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6841AC8E" w14:textId="77777777" w:rsidR="003A096D" w:rsidRPr="003A096D" w:rsidRDefault="003A096D" w:rsidP="00D044E6">
            <w:pPr>
              <w:spacing w:line="240" w:lineRule="auto"/>
              <w:rPr>
                <w:rFonts w:ascii="Arial" w:hAnsi="Arial" w:cs="Arial"/>
                <w:sz w:val="22"/>
              </w:rPr>
            </w:pPr>
            <w:r w:rsidRPr="003A096D">
              <w:rPr>
                <w:rFonts w:ascii="Arial" w:hAnsi="Arial" w:cs="Arial"/>
                <w:sz w:val="22"/>
              </w:rPr>
              <w:t>MAHABAD</w:t>
            </w:r>
          </w:p>
        </w:tc>
        <w:tc>
          <w:tcPr>
            <w:tcW w:w="1417" w:type="dxa"/>
            <w:hideMark/>
          </w:tcPr>
          <w:p w14:paraId="3A85AD63" w14:textId="77777777" w:rsidR="003A096D" w:rsidRPr="003A096D" w:rsidRDefault="003A096D" w:rsidP="00D044E6">
            <w:pPr>
              <w:spacing w:line="240" w:lineRule="auto"/>
              <w:rPr>
                <w:rFonts w:ascii="Arial" w:hAnsi="Arial" w:cs="Arial"/>
                <w:sz w:val="22"/>
              </w:rPr>
            </w:pPr>
            <w:r w:rsidRPr="003A096D">
              <w:rPr>
                <w:rFonts w:ascii="Arial" w:hAnsi="Arial" w:cs="Arial"/>
                <w:sz w:val="22"/>
              </w:rPr>
              <w:t>Iran, Islamic  Republic</w:t>
            </w:r>
          </w:p>
        </w:tc>
        <w:tc>
          <w:tcPr>
            <w:tcW w:w="1843" w:type="dxa"/>
            <w:noWrap/>
            <w:hideMark/>
          </w:tcPr>
          <w:p w14:paraId="355974B9"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2C16F0EA" w14:textId="77777777" w:rsidTr="00D73490">
        <w:trPr>
          <w:trHeight w:val="540"/>
        </w:trPr>
        <w:tc>
          <w:tcPr>
            <w:tcW w:w="1555" w:type="dxa"/>
            <w:hideMark/>
          </w:tcPr>
          <w:p w14:paraId="791C31EA"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1780</w:t>
            </w:r>
          </w:p>
        </w:tc>
        <w:tc>
          <w:tcPr>
            <w:tcW w:w="1984" w:type="dxa"/>
            <w:hideMark/>
          </w:tcPr>
          <w:p w14:paraId="49B3E148"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0D69B5">
              <w:rPr>
                <w:rFonts w:ascii="Arial" w:hAnsi="Arial" w:cs="Arial"/>
                <w:sz w:val="22"/>
              </w:rPr>
              <w:t>var.</w:t>
            </w:r>
            <w:r w:rsidRPr="00C627F3">
              <w:rPr>
                <w:rFonts w:ascii="Arial" w:hAnsi="Arial" w:cs="Arial"/>
                <w:i/>
                <w:iCs/>
                <w:sz w:val="22"/>
              </w:rPr>
              <w:t xml:space="preserve"> parallelum Körn.</w:t>
            </w:r>
          </w:p>
        </w:tc>
        <w:tc>
          <w:tcPr>
            <w:tcW w:w="1418" w:type="dxa"/>
            <w:hideMark/>
          </w:tcPr>
          <w:p w14:paraId="14D669FD"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00ACD8CB" w14:textId="77777777" w:rsidR="003A096D" w:rsidRPr="003A096D" w:rsidRDefault="003A096D" w:rsidP="00D044E6">
            <w:pPr>
              <w:spacing w:line="240" w:lineRule="auto"/>
              <w:rPr>
                <w:rFonts w:ascii="Arial" w:hAnsi="Arial" w:cs="Arial"/>
                <w:sz w:val="22"/>
              </w:rPr>
            </w:pPr>
            <w:r w:rsidRPr="003A096D">
              <w:rPr>
                <w:rFonts w:ascii="Arial" w:hAnsi="Arial" w:cs="Arial"/>
                <w:sz w:val="22"/>
              </w:rPr>
              <w:t>Iran, Islamic  Republic</w:t>
            </w:r>
          </w:p>
        </w:tc>
        <w:tc>
          <w:tcPr>
            <w:tcW w:w="1843" w:type="dxa"/>
            <w:noWrap/>
            <w:hideMark/>
          </w:tcPr>
          <w:p w14:paraId="02059AF9"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1B103A08" w14:textId="77777777" w:rsidTr="00D73490">
        <w:trPr>
          <w:trHeight w:val="510"/>
        </w:trPr>
        <w:tc>
          <w:tcPr>
            <w:tcW w:w="1555" w:type="dxa"/>
            <w:hideMark/>
          </w:tcPr>
          <w:p w14:paraId="072517AA"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18300</w:t>
            </w:r>
          </w:p>
        </w:tc>
        <w:tc>
          <w:tcPr>
            <w:tcW w:w="1984" w:type="dxa"/>
            <w:hideMark/>
          </w:tcPr>
          <w:p w14:paraId="35098700"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0D69B5">
              <w:rPr>
                <w:rFonts w:ascii="Arial" w:hAnsi="Arial" w:cs="Arial"/>
                <w:sz w:val="22"/>
              </w:rPr>
              <w:t>var.</w:t>
            </w:r>
            <w:r w:rsidRPr="00C627F3">
              <w:rPr>
                <w:rFonts w:ascii="Arial" w:hAnsi="Arial" w:cs="Arial"/>
                <w:i/>
                <w:iCs/>
                <w:sz w:val="22"/>
              </w:rPr>
              <w:t xml:space="preserve"> hybernum Viborg</w:t>
            </w:r>
          </w:p>
        </w:tc>
        <w:tc>
          <w:tcPr>
            <w:tcW w:w="1418" w:type="dxa"/>
            <w:hideMark/>
          </w:tcPr>
          <w:p w14:paraId="498CC99A" w14:textId="77777777" w:rsidR="003A096D" w:rsidRPr="003A096D" w:rsidRDefault="003A096D" w:rsidP="00D044E6">
            <w:pPr>
              <w:spacing w:line="240" w:lineRule="auto"/>
              <w:rPr>
                <w:rFonts w:ascii="Arial" w:hAnsi="Arial" w:cs="Arial"/>
                <w:sz w:val="22"/>
              </w:rPr>
            </w:pPr>
            <w:r w:rsidRPr="003A096D">
              <w:rPr>
                <w:rFonts w:ascii="Arial" w:hAnsi="Arial" w:cs="Arial"/>
                <w:sz w:val="22"/>
              </w:rPr>
              <w:t>KOORIJAN</w:t>
            </w:r>
          </w:p>
        </w:tc>
        <w:tc>
          <w:tcPr>
            <w:tcW w:w="1417" w:type="dxa"/>
            <w:hideMark/>
          </w:tcPr>
          <w:p w14:paraId="391EFCCA" w14:textId="77777777" w:rsidR="003A096D" w:rsidRPr="003A096D" w:rsidRDefault="003A096D" w:rsidP="00D044E6">
            <w:pPr>
              <w:spacing w:line="240" w:lineRule="auto"/>
              <w:rPr>
                <w:rFonts w:ascii="Arial" w:hAnsi="Arial" w:cs="Arial"/>
                <w:sz w:val="22"/>
              </w:rPr>
            </w:pPr>
            <w:r w:rsidRPr="003A096D">
              <w:rPr>
                <w:rFonts w:ascii="Arial" w:hAnsi="Arial" w:cs="Arial"/>
                <w:sz w:val="22"/>
              </w:rPr>
              <w:t>Iran, Islamic  Republic</w:t>
            </w:r>
          </w:p>
        </w:tc>
        <w:tc>
          <w:tcPr>
            <w:tcW w:w="1843" w:type="dxa"/>
            <w:noWrap/>
            <w:hideMark/>
          </w:tcPr>
          <w:p w14:paraId="74D49976"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1C0E7483" w14:textId="77777777" w:rsidTr="00D73490">
        <w:trPr>
          <w:trHeight w:val="510"/>
        </w:trPr>
        <w:tc>
          <w:tcPr>
            <w:tcW w:w="1555" w:type="dxa"/>
            <w:hideMark/>
          </w:tcPr>
          <w:p w14:paraId="588F099D"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18364</w:t>
            </w:r>
          </w:p>
        </w:tc>
        <w:tc>
          <w:tcPr>
            <w:tcW w:w="1984" w:type="dxa"/>
            <w:hideMark/>
          </w:tcPr>
          <w:p w14:paraId="0270BB88"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39D70EAC" w14:textId="77777777" w:rsidR="003A096D" w:rsidRPr="003A096D" w:rsidRDefault="003A096D" w:rsidP="00D044E6">
            <w:pPr>
              <w:spacing w:line="240" w:lineRule="auto"/>
              <w:rPr>
                <w:rFonts w:ascii="Arial" w:hAnsi="Arial" w:cs="Arial"/>
                <w:sz w:val="22"/>
              </w:rPr>
            </w:pPr>
            <w:r w:rsidRPr="003A096D">
              <w:rPr>
                <w:rFonts w:ascii="Arial" w:hAnsi="Arial" w:cs="Arial"/>
                <w:sz w:val="22"/>
              </w:rPr>
              <w:t>AHWAZ</w:t>
            </w:r>
          </w:p>
        </w:tc>
        <w:tc>
          <w:tcPr>
            <w:tcW w:w="1417" w:type="dxa"/>
            <w:hideMark/>
          </w:tcPr>
          <w:p w14:paraId="0A5AB428" w14:textId="77777777" w:rsidR="003A096D" w:rsidRPr="003A096D" w:rsidRDefault="003A096D" w:rsidP="00D044E6">
            <w:pPr>
              <w:spacing w:line="240" w:lineRule="auto"/>
              <w:rPr>
                <w:rFonts w:ascii="Arial" w:hAnsi="Arial" w:cs="Arial"/>
                <w:sz w:val="22"/>
              </w:rPr>
            </w:pPr>
            <w:r w:rsidRPr="003A096D">
              <w:rPr>
                <w:rFonts w:ascii="Arial" w:hAnsi="Arial" w:cs="Arial"/>
                <w:sz w:val="22"/>
              </w:rPr>
              <w:t>Iran, Islamic  Republic</w:t>
            </w:r>
          </w:p>
        </w:tc>
        <w:tc>
          <w:tcPr>
            <w:tcW w:w="1843" w:type="dxa"/>
            <w:noWrap/>
            <w:hideMark/>
          </w:tcPr>
          <w:p w14:paraId="54BE1A94"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2F5B1E15" w14:textId="77777777" w:rsidTr="00D73490">
        <w:trPr>
          <w:trHeight w:val="510"/>
        </w:trPr>
        <w:tc>
          <w:tcPr>
            <w:tcW w:w="1555" w:type="dxa"/>
            <w:hideMark/>
          </w:tcPr>
          <w:p w14:paraId="719889C6"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14342</w:t>
            </w:r>
          </w:p>
        </w:tc>
        <w:tc>
          <w:tcPr>
            <w:tcW w:w="1984" w:type="dxa"/>
            <w:hideMark/>
          </w:tcPr>
          <w:p w14:paraId="03EA5603"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0D69B5">
              <w:rPr>
                <w:rFonts w:ascii="Arial" w:hAnsi="Arial" w:cs="Arial"/>
                <w:sz w:val="22"/>
              </w:rPr>
              <w:t>var.</w:t>
            </w:r>
            <w:r w:rsidRPr="00C627F3">
              <w:rPr>
                <w:rFonts w:ascii="Arial" w:hAnsi="Arial" w:cs="Arial"/>
                <w:i/>
                <w:iCs/>
                <w:sz w:val="22"/>
              </w:rPr>
              <w:t xml:space="preserve"> hybernum Viborg</w:t>
            </w:r>
          </w:p>
        </w:tc>
        <w:tc>
          <w:tcPr>
            <w:tcW w:w="1418" w:type="dxa"/>
            <w:hideMark/>
          </w:tcPr>
          <w:p w14:paraId="4FF265EA" w14:textId="77777777" w:rsidR="003A096D" w:rsidRPr="003A096D" w:rsidRDefault="003A096D" w:rsidP="00D044E6">
            <w:pPr>
              <w:spacing w:line="240" w:lineRule="auto"/>
              <w:rPr>
                <w:rFonts w:ascii="Arial" w:hAnsi="Arial" w:cs="Arial"/>
                <w:sz w:val="22"/>
              </w:rPr>
            </w:pPr>
            <w:r w:rsidRPr="003A096D">
              <w:rPr>
                <w:rFonts w:ascii="Arial" w:hAnsi="Arial" w:cs="Arial"/>
                <w:sz w:val="22"/>
              </w:rPr>
              <w:t>BUTSCHAK</w:t>
            </w:r>
          </w:p>
        </w:tc>
        <w:tc>
          <w:tcPr>
            <w:tcW w:w="1417" w:type="dxa"/>
            <w:hideMark/>
          </w:tcPr>
          <w:p w14:paraId="213C9E06" w14:textId="77777777" w:rsidR="003A096D" w:rsidRPr="003A096D" w:rsidRDefault="003A096D" w:rsidP="00D044E6">
            <w:pPr>
              <w:spacing w:line="240" w:lineRule="auto"/>
              <w:rPr>
                <w:rFonts w:ascii="Arial" w:hAnsi="Arial" w:cs="Arial"/>
                <w:sz w:val="22"/>
              </w:rPr>
            </w:pPr>
            <w:r w:rsidRPr="003A096D">
              <w:rPr>
                <w:rFonts w:ascii="Arial" w:hAnsi="Arial" w:cs="Arial"/>
                <w:sz w:val="22"/>
              </w:rPr>
              <w:t>Afghanistan</w:t>
            </w:r>
          </w:p>
        </w:tc>
        <w:tc>
          <w:tcPr>
            <w:tcW w:w="1843" w:type="dxa"/>
            <w:noWrap/>
            <w:hideMark/>
          </w:tcPr>
          <w:p w14:paraId="2D8701C1"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309EE81C" w14:textId="77777777" w:rsidTr="00D73490">
        <w:trPr>
          <w:trHeight w:val="300"/>
        </w:trPr>
        <w:tc>
          <w:tcPr>
            <w:tcW w:w="1555" w:type="dxa"/>
            <w:hideMark/>
          </w:tcPr>
          <w:p w14:paraId="559DE4B8"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15778</w:t>
            </w:r>
          </w:p>
        </w:tc>
        <w:tc>
          <w:tcPr>
            <w:tcW w:w="1984" w:type="dxa"/>
            <w:hideMark/>
          </w:tcPr>
          <w:p w14:paraId="255C3F90"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5EFF2D2F" w14:textId="77777777" w:rsidR="003A096D" w:rsidRPr="003A096D" w:rsidRDefault="003A096D" w:rsidP="00D044E6">
            <w:pPr>
              <w:spacing w:line="240" w:lineRule="auto"/>
              <w:rPr>
                <w:rFonts w:ascii="Arial" w:hAnsi="Arial" w:cs="Arial"/>
                <w:sz w:val="22"/>
              </w:rPr>
            </w:pPr>
            <w:r w:rsidRPr="003A096D">
              <w:rPr>
                <w:rFonts w:ascii="Arial" w:hAnsi="Arial" w:cs="Arial"/>
                <w:sz w:val="22"/>
              </w:rPr>
              <w:t>APCEI</w:t>
            </w:r>
          </w:p>
        </w:tc>
        <w:tc>
          <w:tcPr>
            <w:tcW w:w="1417" w:type="dxa"/>
            <w:hideMark/>
          </w:tcPr>
          <w:p w14:paraId="7E7554EA" w14:textId="77777777" w:rsidR="003A096D" w:rsidRPr="003A096D" w:rsidRDefault="003A096D" w:rsidP="00D044E6">
            <w:pPr>
              <w:spacing w:line="240" w:lineRule="auto"/>
              <w:rPr>
                <w:rFonts w:ascii="Arial" w:hAnsi="Arial" w:cs="Arial"/>
                <w:sz w:val="22"/>
              </w:rPr>
            </w:pPr>
            <w:r w:rsidRPr="003A096D">
              <w:rPr>
                <w:rFonts w:ascii="Arial" w:hAnsi="Arial" w:cs="Arial"/>
                <w:sz w:val="22"/>
              </w:rPr>
              <w:t>Afghanistan</w:t>
            </w:r>
          </w:p>
        </w:tc>
        <w:tc>
          <w:tcPr>
            <w:tcW w:w="1843" w:type="dxa"/>
            <w:noWrap/>
            <w:hideMark/>
          </w:tcPr>
          <w:p w14:paraId="764783F9"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3940BB95" w14:textId="77777777" w:rsidTr="00D73490">
        <w:trPr>
          <w:trHeight w:val="300"/>
        </w:trPr>
        <w:tc>
          <w:tcPr>
            <w:tcW w:w="1555" w:type="dxa"/>
            <w:hideMark/>
          </w:tcPr>
          <w:p w14:paraId="5B3B4F5D"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16078</w:t>
            </w:r>
          </w:p>
        </w:tc>
        <w:tc>
          <w:tcPr>
            <w:tcW w:w="1984" w:type="dxa"/>
            <w:hideMark/>
          </w:tcPr>
          <w:p w14:paraId="0D6090C9"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4C9F1502" w14:textId="77777777" w:rsidR="003A096D" w:rsidRPr="003A096D" w:rsidRDefault="003A096D" w:rsidP="00D044E6">
            <w:pPr>
              <w:spacing w:line="240" w:lineRule="auto"/>
              <w:rPr>
                <w:rFonts w:ascii="Arial" w:hAnsi="Arial" w:cs="Arial"/>
                <w:sz w:val="22"/>
              </w:rPr>
            </w:pPr>
            <w:r w:rsidRPr="003A096D">
              <w:rPr>
                <w:rFonts w:ascii="Arial" w:hAnsi="Arial" w:cs="Arial"/>
                <w:sz w:val="22"/>
              </w:rPr>
              <w:t>KUSHK-I-NAHOST</w:t>
            </w:r>
          </w:p>
        </w:tc>
        <w:tc>
          <w:tcPr>
            <w:tcW w:w="1417" w:type="dxa"/>
            <w:hideMark/>
          </w:tcPr>
          <w:p w14:paraId="0DF5CB17" w14:textId="77777777" w:rsidR="003A096D" w:rsidRPr="003A096D" w:rsidRDefault="003A096D" w:rsidP="00D044E6">
            <w:pPr>
              <w:spacing w:line="240" w:lineRule="auto"/>
              <w:rPr>
                <w:rFonts w:ascii="Arial" w:hAnsi="Arial" w:cs="Arial"/>
                <w:sz w:val="22"/>
              </w:rPr>
            </w:pPr>
            <w:r w:rsidRPr="003A096D">
              <w:rPr>
                <w:rFonts w:ascii="Arial" w:hAnsi="Arial" w:cs="Arial"/>
                <w:sz w:val="22"/>
              </w:rPr>
              <w:t>Afghanistan</w:t>
            </w:r>
          </w:p>
        </w:tc>
        <w:tc>
          <w:tcPr>
            <w:tcW w:w="1843" w:type="dxa"/>
            <w:noWrap/>
            <w:hideMark/>
          </w:tcPr>
          <w:p w14:paraId="297CF145"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6DBD3900" w14:textId="77777777" w:rsidTr="00D73490">
        <w:trPr>
          <w:trHeight w:val="765"/>
        </w:trPr>
        <w:tc>
          <w:tcPr>
            <w:tcW w:w="1555" w:type="dxa"/>
            <w:hideMark/>
          </w:tcPr>
          <w:p w14:paraId="036922F7"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18220</w:t>
            </w:r>
          </w:p>
        </w:tc>
        <w:tc>
          <w:tcPr>
            <w:tcW w:w="1984" w:type="dxa"/>
            <w:hideMark/>
          </w:tcPr>
          <w:p w14:paraId="736F1D6B"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0D69B5">
              <w:rPr>
                <w:rFonts w:ascii="Arial" w:hAnsi="Arial" w:cs="Arial"/>
                <w:sz w:val="22"/>
              </w:rPr>
              <w:t>var.</w:t>
            </w:r>
            <w:r w:rsidRPr="00C627F3">
              <w:rPr>
                <w:rFonts w:ascii="Arial" w:hAnsi="Arial" w:cs="Arial"/>
                <w:i/>
                <w:iCs/>
                <w:sz w:val="22"/>
              </w:rPr>
              <w:t xml:space="preserve"> asiaticum (Vavilov) Mansf.</w:t>
            </w:r>
          </w:p>
        </w:tc>
        <w:tc>
          <w:tcPr>
            <w:tcW w:w="1418" w:type="dxa"/>
            <w:hideMark/>
          </w:tcPr>
          <w:p w14:paraId="08C87AD9" w14:textId="77777777" w:rsidR="003A096D" w:rsidRPr="003A096D" w:rsidRDefault="003A096D" w:rsidP="00D044E6">
            <w:pPr>
              <w:spacing w:line="240" w:lineRule="auto"/>
              <w:rPr>
                <w:rFonts w:ascii="Arial" w:hAnsi="Arial" w:cs="Arial"/>
                <w:sz w:val="22"/>
              </w:rPr>
            </w:pPr>
            <w:r w:rsidRPr="003A096D">
              <w:rPr>
                <w:rFonts w:ascii="Arial" w:hAnsi="Arial" w:cs="Arial"/>
                <w:sz w:val="22"/>
              </w:rPr>
              <w:t>SEBAK</w:t>
            </w:r>
          </w:p>
        </w:tc>
        <w:tc>
          <w:tcPr>
            <w:tcW w:w="1417" w:type="dxa"/>
            <w:hideMark/>
          </w:tcPr>
          <w:p w14:paraId="0E1D9CBE" w14:textId="77777777" w:rsidR="003A096D" w:rsidRPr="003A096D" w:rsidRDefault="003A096D" w:rsidP="00D044E6">
            <w:pPr>
              <w:spacing w:line="240" w:lineRule="auto"/>
              <w:rPr>
                <w:rFonts w:ascii="Arial" w:hAnsi="Arial" w:cs="Arial"/>
                <w:sz w:val="22"/>
              </w:rPr>
            </w:pPr>
            <w:r w:rsidRPr="003A096D">
              <w:rPr>
                <w:rFonts w:ascii="Arial" w:hAnsi="Arial" w:cs="Arial"/>
                <w:sz w:val="22"/>
              </w:rPr>
              <w:t>Afghanistan</w:t>
            </w:r>
          </w:p>
        </w:tc>
        <w:tc>
          <w:tcPr>
            <w:tcW w:w="1843" w:type="dxa"/>
            <w:noWrap/>
            <w:hideMark/>
          </w:tcPr>
          <w:p w14:paraId="2112EA8F"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584EE91C" w14:textId="77777777" w:rsidTr="00D73490">
        <w:trPr>
          <w:trHeight w:val="510"/>
        </w:trPr>
        <w:tc>
          <w:tcPr>
            <w:tcW w:w="1555" w:type="dxa"/>
            <w:hideMark/>
          </w:tcPr>
          <w:p w14:paraId="0F40B907"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1816</w:t>
            </w:r>
          </w:p>
        </w:tc>
        <w:tc>
          <w:tcPr>
            <w:tcW w:w="1984" w:type="dxa"/>
            <w:hideMark/>
          </w:tcPr>
          <w:p w14:paraId="4106F71E"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0D69B5">
              <w:rPr>
                <w:rFonts w:ascii="Arial" w:hAnsi="Arial" w:cs="Arial"/>
                <w:sz w:val="22"/>
              </w:rPr>
              <w:t>var.</w:t>
            </w:r>
            <w:r w:rsidRPr="00C627F3">
              <w:rPr>
                <w:rFonts w:ascii="Arial" w:hAnsi="Arial" w:cs="Arial"/>
                <w:i/>
                <w:iCs/>
                <w:sz w:val="22"/>
              </w:rPr>
              <w:t xml:space="preserve"> violaceum Körn.</w:t>
            </w:r>
          </w:p>
        </w:tc>
        <w:tc>
          <w:tcPr>
            <w:tcW w:w="1418" w:type="dxa"/>
            <w:hideMark/>
          </w:tcPr>
          <w:p w14:paraId="43430EDE"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7E9E33BC" w14:textId="77777777" w:rsidR="003A096D" w:rsidRPr="003A096D" w:rsidRDefault="003A096D" w:rsidP="00D044E6">
            <w:pPr>
              <w:spacing w:line="240" w:lineRule="auto"/>
              <w:rPr>
                <w:rFonts w:ascii="Arial" w:hAnsi="Arial" w:cs="Arial"/>
                <w:sz w:val="22"/>
              </w:rPr>
            </w:pPr>
            <w:r w:rsidRPr="003A096D">
              <w:rPr>
                <w:rFonts w:ascii="Arial" w:hAnsi="Arial" w:cs="Arial"/>
                <w:sz w:val="22"/>
              </w:rPr>
              <w:t>China</w:t>
            </w:r>
          </w:p>
        </w:tc>
        <w:tc>
          <w:tcPr>
            <w:tcW w:w="1843" w:type="dxa"/>
            <w:noWrap/>
            <w:hideMark/>
          </w:tcPr>
          <w:p w14:paraId="1633B261"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7AA7450E" w14:textId="77777777" w:rsidTr="00D73490">
        <w:trPr>
          <w:trHeight w:val="510"/>
        </w:trPr>
        <w:tc>
          <w:tcPr>
            <w:tcW w:w="1555" w:type="dxa"/>
            <w:hideMark/>
          </w:tcPr>
          <w:p w14:paraId="6651C803"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2369</w:t>
            </w:r>
          </w:p>
        </w:tc>
        <w:tc>
          <w:tcPr>
            <w:tcW w:w="1984" w:type="dxa"/>
            <w:hideMark/>
          </w:tcPr>
          <w:p w14:paraId="6A730A0E"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0D69B5">
              <w:rPr>
                <w:rFonts w:ascii="Arial" w:hAnsi="Arial" w:cs="Arial"/>
                <w:sz w:val="22"/>
              </w:rPr>
              <w:t>var.</w:t>
            </w:r>
            <w:r w:rsidRPr="00C627F3">
              <w:rPr>
                <w:rFonts w:ascii="Arial" w:hAnsi="Arial" w:cs="Arial"/>
                <w:i/>
                <w:iCs/>
                <w:sz w:val="22"/>
              </w:rPr>
              <w:t xml:space="preserve"> hybernum Viborg</w:t>
            </w:r>
          </w:p>
        </w:tc>
        <w:tc>
          <w:tcPr>
            <w:tcW w:w="1418" w:type="dxa"/>
            <w:hideMark/>
          </w:tcPr>
          <w:p w14:paraId="5A55BBA9" w14:textId="77777777" w:rsidR="003A096D" w:rsidRPr="003A096D" w:rsidRDefault="003A096D" w:rsidP="00D044E6">
            <w:pPr>
              <w:spacing w:line="240" w:lineRule="auto"/>
              <w:rPr>
                <w:rFonts w:ascii="Arial" w:hAnsi="Arial" w:cs="Arial"/>
                <w:sz w:val="22"/>
              </w:rPr>
            </w:pPr>
            <w:r w:rsidRPr="003A096D">
              <w:rPr>
                <w:rFonts w:ascii="Arial" w:hAnsi="Arial" w:cs="Arial"/>
                <w:sz w:val="22"/>
              </w:rPr>
              <w:t>Lan-hsi-Nacktgerste Nr. 1</w:t>
            </w:r>
          </w:p>
        </w:tc>
        <w:tc>
          <w:tcPr>
            <w:tcW w:w="1417" w:type="dxa"/>
            <w:hideMark/>
          </w:tcPr>
          <w:p w14:paraId="260D36E9" w14:textId="77777777" w:rsidR="003A096D" w:rsidRPr="003A096D" w:rsidRDefault="003A096D" w:rsidP="00D044E6">
            <w:pPr>
              <w:spacing w:line="240" w:lineRule="auto"/>
              <w:rPr>
                <w:rFonts w:ascii="Arial" w:hAnsi="Arial" w:cs="Arial"/>
                <w:sz w:val="22"/>
              </w:rPr>
            </w:pPr>
            <w:r w:rsidRPr="003A096D">
              <w:rPr>
                <w:rFonts w:ascii="Arial" w:hAnsi="Arial" w:cs="Arial"/>
                <w:sz w:val="22"/>
              </w:rPr>
              <w:t>China</w:t>
            </w:r>
          </w:p>
        </w:tc>
        <w:tc>
          <w:tcPr>
            <w:tcW w:w="1843" w:type="dxa"/>
            <w:noWrap/>
            <w:hideMark/>
          </w:tcPr>
          <w:p w14:paraId="64004D6D"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53BA7047" w14:textId="77777777" w:rsidTr="00D73490">
        <w:trPr>
          <w:trHeight w:val="765"/>
        </w:trPr>
        <w:tc>
          <w:tcPr>
            <w:tcW w:w="1555" w:type="dxa"/>
            <w:hideMark/>
          </w:tcPr>
          <w:p w14:paraId="7E1130F4"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2383</w:t>
            </w:r>
          </w:p>
        </w:tc>
        <w:tc>
          <w:tcPr>
            <w:tcW w:w="1984" w:type="dxa"/>
            <w:hideMark/>
          </w:tcPr>
          <w:p w14:paraId="748FFF0B"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0D69B5">
              <w:rPr>
                <w:rFonts w:ascii="Arial" w:hAnsi="Arial" w:cs="Arial"/>
                <w:sz w:val="22"/>
              </w:rPr>
              <w:t>var</w:t>
            </w:r>
            <w:r w:rsidRPr="00C627F3">
              <w:rPr>
                <w:rFonts w:ascii="Arial" w:hAnsi="Arial" w:cs="Arial"/>
                <w:i/>
                <w:iCs/>
                <w:sz w:val="22"/>
              </w:rPr>
              <w:t>. himalayense (Rittig) Körn.</w:t>
            </w:r>
          </w:p>
        </w:tc>
        <w:tc>
          <w:tcPr>
            <w:tcW w:w="1418" w:type="dxa"/>
            <w:hideMark/>
          </w:tcPr>
          <w:p w14:paraId="53383352"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2E15A10A" w14:textId="77777777" w:rsidR="003A096D" w:rsidRPr="003A096D" w:rsidRDefault="003A096D" w:rsidP="00D044E6">
            <w:pPr>
              <w:spacing w:line="240" w:lineRule="auto"/>
              <w:rPr>
                <w:rFonts w:ascii="Arial" w:hAnsi="Arial" w:cs="Arial"/>
                <w:sz w:val="22"/>
              </w:rPr>
            </w:pPr>
            <w:r w:rsidRPr="003A096D">
              <w:rPr>
                <w:rFonts w:ascii="Arial" w:hAnsi="Arial" w:cs="Arial"/>
                <w:sz w:val="22"/>
              </w:rPr>
              <w:t>China</w:t>
            </w:r>
          </w:p>
        </w:tc>
        <w:tc>
          <w:tcPr>
            <w:tcW w:w="1843" w:type="dxa"/>
            <w:noWrap/>
            <w:hideMark/>
          </w:tcPr>
          <w:p w14:paraId="0ECFC4B8"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5429058E" w14:textId="77777777" w:rsidTr="00D73490">
        <w:trPr>
          <w:trHeight w:val="510"/>
        </w:trPr>
        <w:tc>
          <w:tcPr>
            <w:tcW w:w="1555" w:type="dxa"/>
            <w:hideMark/>
          </w:tcPr>
          <w:p w14:paraId="32723ECB" w14:textId="77777777" w:rsidR="003A096D" w:rsidRPr="003A096D" w:rsidRDefault="003A096D" w:rsidP="00D044E6">
            <w:pPr>
              <w:spacing w:line="240" w:lineRule="auto"/>
              <w:rPr>
                <w:rFonts w:ascii="Arial" w:hAnsi="Arial" w:cs="Arial"/>
                <w:sz w:val="22"/>
              </w:rPr>
            </w:pPr>
            <w:r w:rsidRPr="003A096D">
              <w:rPr>
                <w:rFonts w:ascii="Arial" w:hAnsi="Arial" w:cs="Arial"/>
                <w:sz w:val="22"/>
              </w:rPr>
              <w:lastRenderedPageBreak/>
              <w:t>HOR 16569</w:t>
            </w:r>
          </w:p>
        </w:tc>
        <w:tc>
          <w:tcPr>
            <w:tcW w:w="1984" w:type="dxa"/>
            <w:hideMark/>
          </w:tcPr>
          <w:p w14:paraId="63DFB3E8"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6CDF">
              <w:rPr>
                <w:rFonts w:ascii="Arial" w:hAnsi="Arial" w:cs="Arial"/>
                <w:sz w:val="22"/>
              </w:rPr>
              <w:t>var</w:t>
            </w:r>
            <w:r w:rsidRPr="00C627F3">
              <w:rPr>
                <w:rFonts w:ascii="Arial" w:hAnsi="Arial" w:cs="Arial"/>
                <w:i/>
                <w:iCs/>
                <w:sz w:val="22"/>
              </w:rPr>
              <w:t>. coeleste L.</w:t>
            </w:r>
          </w:p>
        </w:tc>
        <w:tc>
          <w:tcPr>
            <w:tcW w:w="1418" w:type="dxa"/>
            <w:hideMark/>
          </w:tcPr>
          <w:p w14:paraId="1805B409" w14:textId="77777777" w:rsidR="003A096D" w:rsidRPr="003A096D" w:rsidRDefault="003A096D" w:rsidP="00D044E6">
            <w:pPr>
              <w:spacing w:line="240" w:lineRule="auto"/>
              <w:rPr>
                <w:rFonts w:ascii="Arial" w:hAnsi="Arial" w:cs="Arial"/>
                <w:sz w:val="22"/>
              </w:rPr>
            </w:pPr>
            <w:r w:rsidRPr="003A096D">
              <w:rPr>
                <w:rFonts w:ascii="Arial" w:hAnsi="Arial" w:cs="Arial"/>
                <w:sz w:val="22"/>
              </w:rPr>
              <w:t>Gerste</w:t>
            </w:r>
          </w:p>
        </w:tc>
        <w:tc>
          <w:tcPr>
            <w:tcW w:w="1417" w:type="dxa"/>
            <w:hideMark/>
          </w:tcPr>
          <w:p w14:paraId="2DD86E33" w14:textId="77777777" w:rsidR="003A096D" w:rsidRPr="003A096D" w:rsidRDefault="003A096D" w:rsidP="00D044E6">
            <w:pPr>
              <w:spacing w:line="240" w:lineRule="auto"/>
              <w:rPr>
                <w:rFonts w:ascii="Arial" w:hAnsi="Arial" w:cs="Arial"/>
                <w:sz w:val="22"/>
              </w:rPr>
            </w:pPr>
            <w:r w:rsidRPr="003A096D">
              <w:rPr>
                <w:rFonts w:ascii="Arial" w:hAnsi="Arial" w:cs="Arial"/>
                <w:sz w:val="22"/>
              </w:rPr>
              <w:t>India</w:t>
            </w:r>
          </w:p>
        </w:tc>
        <w:tc>
          <w:tcPr>
            <w:tcW w:w="1843" w:type="dxa"/>
            <w:noWrap/>
            <w:hideMark/>
          </w:tcPr>
          <w:p w14:paraId="63086574"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795B4F91" w14:textId="77777777" w:rsidTr="00D73490">
        <w:trPr>
          <w:trHeight w:val="300"/>
        </w:trPr>
        <w:tc>
          <w:tcPr>
            <w:tcW w:w="1555" w:type="dxa"/>
            <w:hideMark/>
          </w:tcPr>
          <w:p w14:paraId="44C70070"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19184</w:t>
            </w:r>
          </w:p>
        </w:tc>
        <w:tc>
          <w:tcPr>
            <w:tcW w:w="1984" w:type="dxa"/>
            <w:hideMark/>
          </w:tcPr>
          <w:p w14:paraId="21689916"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44C5B703" w14:textId="77777777" w:rsidR="003A096D" w:rsidRPr="003A096D" w:rsidRDefault="003A096D" w:rsidP="00D044E6">
            <w:pPr>
              <w:spacing w:line="240" w:lineRule="auto"/>
              <w:rPr>
                <w:rFonts w:ascii="Arial" w:hAnsi="Arial" w:cs="Arial"/>
                <w:sz w:val="22"/>
              </w:rPr>
            </w:pPr>
            <w:r w:rsidRPr="003A096D">
              <w:rPr>
                <w:rFonts w:ascii="Arial" w:hAnsi="Arial" w:cs="Arial"/>
                <w:sz w:val="22"/>
              </w:rPr>
              <w:t>ASARCHET</w:t>
            </w:r>
          </w:p>
        </w:tc>
        <w:tc>
          <w:tcPr>
            <w:tcW w:w="1417" w:type="dxa"/>
            <w:hideMark/>
          </w:tcPr>
          <w:p w14:paraId="700AB5A5" w14:textId="77777777" w:rsidR="003A096D" w:rsidRPr="003A096D" w:rsidRDefault="003A096D" w:rsidP="00D044E6">
            <w:pPr>
              <w:spacing w:line="240" w:lineRule="auto"/>
              <w:rPr>
                <w:rFonts w:ascii="Arial" w:hAnsi="Arial" w:cs="Arial"/>
                <w:sz w:val="22"/>
              </w:rPr>
            </w:pPr>
            <w:r w:rsidRPr="003A096D">
              <w:rPr>
                <w:rFonts w:ascii="Arial" w:hAnsi="Arial" w:cs="Arial"/>
                <w:sz w:val="22"/>
              </w:rPr>
              <w:t>India</w:t>
            </w:r>
          </w:p>
        </w:tc>
        <w:tc>
          <w:tcPr>
            <w:tcW w:w="1843" w:type="dxa"/>
            <w:noWrap/>
            <w:hideMark/>
          </w:tcPr>
          <w:p w14:paraId="65E766B0"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1C21797C" w14:textId="77777777" w:rsidTr="00D73490">
        <w:trPr>
          <w:trHeight w:val="765"/>
        </w:trPr>
        <w:tc>
          <w:tcPr>
            <w:tcW w:w="1555" w:type="dxa"/>
            <w:hideMark/>
          </w:tcPr>
          <w:p w14:paraId="3F086184"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11126</w:t>
            </w:r>
          </w:p>
        </w:tc>
        <w:tc>
          <w:tcPr>
            <w:tcW w:w="1984" w:type="dxa"/>
            <w:hideMark/>
          </w:tcPr>
          <w:p w14:paraId="3F91D7E6"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306CDF">
              <w:rPr>
                <w:rFonts w:ascii="Arial" w:hAnsi="Arial" w:cs="Arial"/>
                <w:sz w:val="22"/>
              </w:rPr>
              <w:t>var.</w:t>
            </w:r>
            <w:r w:rsidRPr="00C627F3">
              <w:rPr>
                <w:rFonts w:ascii="Arial" w:hAnsi="Arial" w:cs="Arial"/>
                <w:i/>
                <w:iCs/>
                <w:sz w:val="22"/>
              </w:rPr>
              <w:t xml:space="preserve"> erectum (Rode) Alef.</w:t>
            </w:r>
          </w:p>
        </w:tc>
        <w:tc>
          <w:tcPr>
            <w:tcW w:w="1418" w:type="dxa"/>
            <w:hideMark/>
          </w:tcPr>
          <w:p w14:paraId="59146F51" w14:textId="77777777" w:rsidR="003A096D" w:rsidRPr="003A096D" w:rsidRDefault="003A096D" w:rsidP="00D044E6">
            <w:pPr>
              <w:spacing w:line="240" w:lineRule="auto"/>
              <w:rPr>
                <w:rFonts w:ascii="Arial" w:hAnsi="Arial" w:cs="Arial"/>
                <w:sz w:val="22"/>
              </w:rPr>
            </w:pPr>
            <w:r w:rsidRPr="003A096D">
              <w:rPr>
                <w:rFonts w:ascii="Arial" w:hAnsi="Arial" w:cs="Arial"/>
                <w:sz w:val="22"/>
              </w:rPr>
              <w:t>Ishukushirazu</w:t>
            </w:r>
          </w:p>
        </w:tc>
        <w:tc>
          <w:tcPr>
            <w:tcW w:w="1417" w:type="dxa"/>
            <w:hideMark/>
          </w:tcPr>
          <w:p w14:paraId="7FFF4B51" w14:textId="77777777" w:rsidR="003A096D" w:rsidRPr="003A096D" w:rsidRDefault="003A096D" w:rsidP="00D044E6">
            <w:pPr>
              <w:spacing w:line="240" w:lineRule="auto"/>
              <w:rPr>
                <w:rFonts w:ascii="Arial" w:hAnsi="Arial" w:cs="Arial"/>
                <w:sz w:val="22"/>
              </w:rPr>
            </w:pPr>
            <w:r w:rsidRPr="003A096D">
              <w:rPr>
                <w:rFonts w:ascii="Arial" w:hAnsi="Arial" w:cs="Arial"/>
                <w:sz w:val="22"/>
              </w:rPr>
              <w:t>Japan</w:t>
            </w:r>
          </w:p>
        </w:tc>
        <w:tc>
          <w:tcPr>
            <w:tcW w:w="1843" w:type="dxa"/>
            <w:noWrap/>
            <w:hideMark/>
          </w:tcPr>
          <w:p w14:paraId="7FF95AE8"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7D6CA370" w14:textId="77777777" w:rsidTr="00D73490">
        <w:trPr>
          <w:trHeight w:val="765"/>
        </w:trPr>
        <w:tc>
          <w:tcPr>
            <w:tcW w:w="1555" w:type="dxa"/>
            <w:hideMark/>
          </w:tcPr>
          <w:p w14:paraId="4B3E3F9F"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1251</w:t>
            </w:r>
          </w:p>
        </w:tc>
        <w:tc>
          <w:tcPr>
            <w:tcW w:w="1984" w:type="dxa"/>
            <w:hideMark/>
          </w:tcPr>
          <w:p w14:paraId="2E1B8BBB"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6CDF">
              <w:rPr>
                <w:rFonts w:ascii="Arial" w:hAnsi="Arial" w:cs="Arial"/>
                <w:sz w:val="22"/>
              </w:rPr>
              <w:t>var.</w:t>
            </w:r>
            <w:r w:rsidRPr="00C627F3">
              <w:rPr>
                <w:rFonts w:ascii="Arial" w:hAnsi="Arial" w:cs="Arial"/>
                <w:i/>
                <w:iCs/>
                <w:sz w:val="22"/>
              </w:rPr>
              <w:t xml:space="preserve"> brevisetum Regel ex Orlov</w:t>
            </w:r>
          </w:p>
        </w:tc>
        <w:tc>
          <w:tcPr>
            <w:tcW w:w="1418" w:type="dxa"/>
            <w:hideMark/>
          </w:tcPr>
          <w:p w14:paraId="71CC5E05"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483FE4E5" w14:textId="77777777" w:rsidR="003A096D" w:rsidRPr="003A096D" w:rsidRDefault="003A096D" w:rsidP="00D044E6">
            <w:pPr>
              <w:spacing w:line="240" w:lineRule="auto"/>
              <w:rPr>
                <w:rFonts w:ascii="Arial" w:hAnsi="Arial" w:cs="Arial"/>
                <w:sz w:val="22"/>
              </w:rPr>
            </w:pPr>
            <w:r w:rsidRPr="003A096D">
              <w:rPr>
                <w:rFonts w:ascii="Arial" w:hAnsi="Arial" w:cs="Arial"/>
                <w:sz w:val="22"/>
              </w:rPr>
              <w:t>Japan</w:t>
            </w:r>
          </w:p>
        </w:tc>
        <w:tc>
          <w:tcPr>
            <w:tcW w:w="1843" w:type="dxa"/>
            <w:noWrap/>
            <w:hideMark/>
          </w:tcPr>
          <w:p w14:paraId="563D016D"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743B05F8" w14:textId="77777777" w:rsidTr="00D73490">
        <w:trPr>
          <w:trHeight w:val="300"/>
        </w:trPr>
        <w:tc>
          <w:tcPr>
            <w:tcW w:w="1555" w:type="dxa"/>
            <w:hideMark/>
          </w:tcPr>
          <w:p w14:paraId="4BC6EEA8"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18824</w:t>
            </w:r>
          </w:p>
        </w:tc>
        <w:tc>
          <w:tcPr>
            <w:tcW w:w="1984" w:type="dxa"/>
            <w:hideMark/>
          </w:tcPr>
          <w:p w14:paraId="29BE7D52"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0BDA87E9" w14:textId="77777777" w:rsidR="003A096D" w:rsidRPr="003A096D" w:rsidRDefault="003A096D" w:rsidP="00D044E6">
            <w:pPr>
              <w:spacing w:line="240" w:lineRule="auto"/>
              <w:rPr>
                <w:rFonts w:ascii="Arial" w:hAnsi="Arial" w:cs="Arial"/>
                <w:sz w:val="22"/>
              </w:rPr>
            </w:pPr>
            <w:r w:rsidRPr="003A096D">
              <w:rPr>
                <w:rFonts w:ascii="Arial" w:hAnsi="Arial" w:cs="Arial"/>
                <w:sz w:val="22"/>
              </w:rPr>
              <w:t>SANHOKO</w:t>
            </w:r>
          </w:p>
        </w:tc>
        <w:tc>
          <w:tcPr>
            <w:tcW w:w="1417" w:type="dxa"/>
            <w:hideMark/>
          </w:tcPr>
          <w:p w14:paraId="599CB64E" w14:textId="77777777" w:rsidR="003A096D" w:rsidRPr="003A096D" w:rsidRDefault="003A096D" w:rsidP="00D044E6">
            <w:pPr>
              <w:spacing w:line="240" w:lineRule="auto"/>
              <w:rPr>
                <w:rFonts w:ascii="Arial" w:hAnsi="Arial" w:cs="Arial"/>
                <w:sz w:val="22"/>
              </w:rPr>
            </w:pPr>
            <w:r w:rsidRPr="003A096D">
              <w:rPr>
                <w:rFonts w:ascii="Arial" w:hAnsi="Arial" w:cs="Arial"/>
                <w:sz w:val="22"/>
              </w:rPr>
              <w:t>Japan</w:t>
            </w:r>
          </w:p>
        </w:tc>
        <w:tc>
          <w:tcPr>
            <w:tcW w:w="1843" w:type="dxa"/>
            <w:noWrap/>
            <w:hideMark/>
          </w:tcPr>
          <w:p w14:paraId="6C0AC52B"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13EF5F9E" w14:textId="77777777" w:rsidTr="00D73490">
        <w:trPr>
          <w:trHeight w:val="510"/>
        </w:trPr>
        <w:tc>
          <w:tcPr>
            <w:tcW w:w="1555" w:type="dxa"/>
            <w:hideMark/>
          </w:tcPr>
          <w:p w14:paraId="1760E4F8"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11409</w:t>
            </w:r>
          </w:p>
        </w:tc>
        <w:tc>
          <w:tcPr>
            <w:tcW w:w="1984" w:type="dxa"/>
            <w:hideMark/>
          </w:tcPr>
          <w:p w14:paraId="7B3CCAE4"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6CDF">
              <w:rPr>
                <w:rFonts w:ascii="Arial" w:hAnsi="Arial" w:cs="Arial"/>
                <w:sz w:val="22"/>
              </w:rPr>
              <w:t>var.</w:t>
            </w:r>
            <w:r w:rsidRPr="00C627F3">
              <w:rPr>
                <w:rFonts w:ascii="Arial" w:hAnsi="Arial" w:cs="Arial"/>
                <w:i/>
                <w:iCs/>
                <w:sz w:val="22"/>
              </w:rPr>
              <w:t xml:space="preserve"> coeleste L.</w:t>
            </w:r>
          </w:p>
        </w:tc>
        <w:tc>
          <w:tcPr>
            <w:tcW w:w="1418" w:type="dxa"/>
            <w:hideMark/>
          </w:tcPr>
          <w:p w14:paraId="664093FF" w14:textId="77777777" w:rsidR="003A096D" w:rsidRPr="003A096D" w:rsidRDefault="003A096D" w:rsidP="00D044E6">
            <w:pPr>
              <w:spacing w:line="240" w:lineRule="auto"/>
              <w:rPr>
                <w:rFonts w:ascii="Arial" w:hAnsi="Arial" w:cs="Arial"/>
                <w:sz w:val="22"/>
              </w:rPr>
            </w:pPr>
            <w:r w:rsidRPr="003A096D">
              <w:rPr>
                <w:rFonts w:ascii="Arial" w:hAnsi="Arial" w:cs="Arial"/>
                <w:sz w:val="22"/>
              </w:rPr>
              <w:t>Sarubori</w:t>
            </w:r>
          </w:p>
        </w:tc>
        <w:tc>
          <w:tcPr>
            <w:tcW w:w="1417" w:type="dxa"/>
            <w:hideMark/>
          </w:tcPr>
          <w:p w14:paraId="567A918D" w14:textId="77777777" w:rsidR="003A096D" w:rsidRPr="003A096D" w:rsidRDefault="003A096D" w:rsidP="00D044E6">
            <w:pPr>
              <w:spacing w:line="240" w:lineRule="auto"/>
              <w:rPr>
                <w:rFonts w:ascii="Arial" w:hAnsi="Arial" w:cs="Arial"/>
                <w:sz w:val="22"/>
              </w:rPr>
            </w:pPr>
            <w:r w:rsidRPr="003A096D">
              <w:rPr>
                <w:rFonts w:ascii="Arial" w:hAnsi="Arial" w:cs="Arial"/>
                <w:sz w:val="22"/>
              </w:rPr>
              <w:t>Korea</w:t>
            </w:r>
          </w:p>
        </w:tc>
        <w:tc>
          <w:tcPr>
            <w:tcW w:w="1843" w:type="dxa"/>
            <w:noWrap/>
            <w:hideMark/>
          </w:tcPr>
          <w:p w14:paraId="372EA7FD"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139419AB" w14:textId="77777777" w:rsidTr="00D73490">
        <w:trPr>
          <w:trHeight w:val="765"/>
        </w:trPr>
        <w:tc>
          <w:tcPr>
            <w:tcW w:w="1555" w:type="dxa"/>
            <w:hideMark/>
          </w:tcPr>
          <w:p w14:paraId="6133E78B"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14876</w:t>
            </w:r>
          </w:p>
        </w:tc>
        <w:tc>
          <w:tcPr>
            <w:tcW w:w="1984" w:type="dxa"/>
            <w:hideMark/>
          </w:tcPr>
          <w:p w14:paraId="1F46B3B6"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6CDF">
              <w:rPr>
                <w:rFonts w:ascii="Arial" w:hAnsi="Arial" w:cs="Arial"/>
                <w:sz w:val="22"/>
              </w:rPr>
              <w:t>var.</w:t>
            </w:r>
            <w:r w:rsidRPr="00C627F3">
              <w:rPr>
                <w:rFonts w:ascii="Arial" w:hAnsi="Arial" w:cs="Arial"/>
                <w:i/>
                <w:iCs/>
                <w:sz w:val="22"/>
              </w:rPr>
              <w:t xml:space="preserve"> subparallelum (Orlov) Mansf.</w:t>
            </w:r>
          </w:p>
        </w:tc>
        <w:tc>
          <w:tcPr>
            <w:tcW w:w="1418" w:type="dxa"/>
            <w:hideMark/>
          </w:tcPr>
          <w:p w14:paraId="76691C63" w14:textId="77777777" w:rsidR="003A096D" w:rsidRPr="003A096D" w:rsidRDefault="003A096D" w:rsidP="00D044E6">
            <w:pPr>
              <w:spacing w:line="240" w:lineRule="auto"/>
              <w:rPr>
                <w:rFonts w:ascii="Arial" w:hAnsi="Arial" w:cs="Arial"/>
                <w:sz w:val="22"/>
              </w:rPr>
            </w:pPr>
            <w:r w:rsidRPr="003A096D">
              <w:rPr>
                <w:rFonts w:ascii="Arial" w:hAnsi="Arial" w:cs="Arial"/>
                <w:sz w:val="22"/>
              </w:rPr>
              <w:t>Mehrzeilige Gerste</w:t>
            </w:r>
          </w:p>
        </w:tc>
        <w:tc>
          <w:tcPr>
            <w:tcW w:w="1417" w:type="dxa"/>
            <w:hideMark/>
          </w:tcPr>
          <w:p w14:paraId="397308E9" w14:textId="77777777" w:rsidR="003A096D" w:rsidRPr="003A096D" w:rsidRDefault="003A096D" w:rsidP="00D044E6">
            <w:pPr>
              <w:spacing w:line="240" w:lineRule="auto"/>
              <w:rPr>
                <w:rFonts w:ascii="Arial" w:hAnsi="Arial" w:cs="Arial"/>
                <w:sz w:val="22"/>
              </w:rPr>
            </w:pPr>
            <w:r w:rsidRPr="003A096D">
              <w:rPr>
                <w:rFonts w:ascii="Arial" w:hAnsi="Arial" w:cs="Arial"/>
                <w:sz w:val="22"/>
              </w:rPr>
              <w:t>Nepal</w:t>
            </w:r>
          </w:p>
        </w:tc>
        <w:tc>
          <w:tcPr>
            <w:tcW w:w="1843" w:type="dxa"/>
            <w:noWrap/>
            <w:hideMark/>
          </w:tcPr>
          <w:p w14:paraId="0D29B1BB"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6ADEE031" w14:textId="77777777" w:rsidTr="00D73490">
        <w:trPr>
          <w:trHeight w:val="765"/>
        </w:trPr>
        <w:tc>
          <w:tcPr>
            <w:tcW w:w="1555" w:type="dxa"/>
            <w:hideMark/>
          </w:tcPr>
          <w:p w14:paraId="33A97A95"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18913</w:t>
            </w:r>
          </w:p>
        </w:tc>
        <w:tc>
          <w:tcPr>
            <w:tcW w:w="1984" w:type="dxa"/>
            <w:hideMark/>
          </w:tcPr>
          <w:p w14:paraId="07D06838"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6CDF">
              <w:rPr>
                <w:rFonts w:ascii="Arial" w:hAnsi="Arial" w:cs="Arial"/>
                <w:sz w:val="22"/>
              </w:rPr>
              <w:t>var.</w:t>
            </w:r>
            <w:r w:rsidRPr="00C627F3">
              <w:rPr>
                <w:rFonts w:ascii="Arial" w:hAnsi="Arial" w:cs="Arial"/>
                <w:i/>
                <w:iCs/>
                <w:sz w:val="22"/>
              </w:rPr>
              <w:t xml:space="preserve"> brevisetum Regel ex Orlov</w:t>
            </w:r>
          </w:p>
        </w:tc>
        <w:tc>
          <w:tcPr>
            <w:tcW w:w="1418" w:type="dxa"/>
            <w:hideMark/>
          </w:tcPr>
          <w:p w14:paraId="613AE7C3" w14:textId="77777777" w:rsidR="003A096D" w:rsidRPr="003A096D" w:rsidRDefault="003A096D" w:rsidP="00D044E6">
            <w:pPr>
              <w:spacing w:line="240" w:lineRule="auto"/>
              <w:rPr>
                <w:rFonts w:ascii="Arial" w:hAnsi="Arial" w:cs="Arial"/>
                <w:sz w:val="22"/>
              </w:rPr>
            </w:pPr>
            <w:r w:rsidRPr="003A096D">
              <w:rPr>
                <w:rFonts w:ascii="Arial" w:hAnsi="Arial" w:cs="Arial"/>
                <w:sz w:val="22"/>
              </w:rPr>
              <w:t>KATHMANDU</w:t>
            </w:r>
          </w:p>
        </w:tc>
        <w:tc>
          <w:tcPr>
            <w:tcW w:w="1417" w:type="dxa"/>
            <w:hideMark/>
          </w:tcPr>
          <w:p w14:paraId="2BD9FF41" w14:textId="77777777" w:rsidR="003A096D" w:rsidRPr="003A096D" w:rsidRDefault="003A096D" w:rsidP="00D044E6">
            <w:pPr>
              <w:spacing w:line="240" w:lineRule="auto"/>
              <w:rPr>
                <w:rFonts w:ascii="Arial" w:hAnsi="Arial" w:cs="Arial"/>
                <w:sz w:val="22"/>
              </w:rPr>
            </w:pPr>
            <w:r w:rsidRPr="003A096D">
              <w:rPr>
                <w:rFonts w:ascii="Arial" w:hAnsi="Arial" w:cs="Arial"/>
                <w:sz w:val="22"/>
              </w:rPr>
              <w:t>Nepal</w:t>
            </w:r>
          </w:p>
        </w:tc>
        <w:tc>
          <w:tcPr>
            <w:tcW w:w="1843" w:type="dxa"/>
            <w:noWrap/>
            <w:hideMark/>
          </w:tcPr>
          <w:p w14:paraId="65222B2A"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6A945B28" w14:textId="77777777" w:rsidTr="00D73490">
        <w:trPr>
          <w:trHeight w:val="1020"/>
        </w:trPr>
        <w:tc>
          <w:tcPr>
            <w:tcW w:w="1555" w:type="dxa"/>
            <w:hideMark/>
          </w:tcPr>
          <w:p w14:paraId="034BB443"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7129</w:t>
            </w:r>
          </w:p>
        </w:tc>
        <w:tc>
          <w:tcPr>
            <w:tcW w:w="1984" w:type="dxa"/>
            <w:hideMark/>
          </w:tcPr>
          <w:p w14:paraId="0A4F1694"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intermedium (Körn.) Mansf. </w:t>
            </w:r>
            <w:r w:rsidRPr="00306CDF">
              <w:rPr>
                <w:rFonts w:ascii="Arial" w:hAnsi="Arial" w:cs="Arial"/>
                <w:sz w:val="22"/>
              </w:rPr>
              <w:t>var.</w:t>
            </w:r>
            <w:r w:rsidRPr="00C627F3">
              <w:rPr>
                <w:rFonts w:ascii="Arial" w:hAnsi="Arial" w:cs="Arial"/>
                <w:i/>
                <w:iCs/>
                <w:sz w:val="22"/>
              </w:rPr>
              <w:t xml:space="preserve"> harlani (Vavilov &amp; Orlov) Mansf.</w:t>
            </w:r>
          </w:p>
        </w:tc>
        <w:tc>
          <w:tcPr>
            <w:tcW w:w="1418" w:type="dxa"/>
            <w:hideMark/>
          </w:tcPr>
          <w:p w14:paraId="1721F400"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0C9A725E" w14:textId="77777777" w:rsidR="003A096D" w:rsidRPr="003A096D" w:rsidRDefault="003A096D" w:rsidP="00D044E6">
            <w:pPr>
              <w:spacing w:line="240" w:lineRule="auto"/>
              <w:rPr>
                <w:rFonts w:ascii="Arial" w:hAnsi="Arial" w:cs="Arial"/>
                <w:sz w:val="22"/>
              </w:rPr>
            </w:pPr>
            <w:r w:rsidRPr="003A096D">
              <w:rPr>
                <w:rFonts w:ascii="Arial" w:hAnsi="Arial" w:cs="Arial"/>
                <w:sz w:val="22"/>
              </w:rPr>
              <w:t>Nepal</w:t>
            </w:r>
          </w:p>
        </w:tc>
        <w:tc>
          <w:tcPr>
            <w:tcW w:w="1843" w:type="dxa"/>
            <w:noWrap/>
            <w:hideMark/>
          </w:tcPr>
          <w:p w14:paraId="1C224A98"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41A0E6C7" w14:textId="77777777" w:rsidTr="00D73490">
        <w:trPr>
          <w:trHeight w:val="300"/>
        </w:trPr>
        <w:tc>
          <w:tcPr>
            <w:tcW w:w="1555" w:type="dxa"/>
            <w:hideMark/>
          </w:tcPr>
          <w:p w14:paraId="5879FCFC"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15401</w:t>
            </w:r>
          </w:p>
        </w:tc>
        <w:tc>
          <w:tcPr>
            <w:tcW w:w="1984" w:type="dxa"/>
            <w:hideMark/>
          </w:tcPr>
          <w:p w14:paraId="5AEB43D6"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0E963EFD" w14:textId="77777777" w:rsidR="003A096D" w:rsidRPr="003A096D" w:rsidRDefault="003A096D" w:rsidP="00D044E6">
            <w:pPr>
              <w:spacing w:line="240" w:lineRule="auto"/>
              <w:rPr>
                <w:rFonts w:ascii="Arial" w:hAnsi="Arial" w:cs="Arial"/>
                <w:sz w:val="22"/>
              </w:rPr>
            </w:pPr>
            <w:r w:rsidRPr="003A096D">
              <w:rPr>
                <w:rFonts w:ascii="Arial" w:hAnsi="Arial" w:cs="Arial"/>
                <w:sz w:val="22"/>
              </w:rPr>
              <w:t>KAMDESH</w:t>
            </w:r>
          </w:p>
        </w:tc>
        <w:tc>
          <w:tcPr>
            <w:tcW w:w="1417" w:type="dxa"/>
            <w:hideMark/>
          </w:tcPr>
          <w:p w14:paraId="34FB2602" w14:textId="77777777" w:rsidR="003A096D" w:rsidRPr="003A096D" w:rsidRDefault="003A096D" w:rsidP="00D044E6">
            <w:pPr>
              <w:spacing w:line="240" w:lineRule="auto"/>
              <w:rPr>
                <w:rFonts w:ascii="Arial" w:hAnsi="Arial" w:cs="Arial"/>
                <w:sz w:val="22"/>
              </w:rPr>
            </w:pPr>
            <w:r w:rsidRPr="003A096D">
              <w:rPr>
                <w:rFonts w:ascii="Arial" w:hAnsi="Arial" w:cs="Arial"/>
                <w:sz w:val="22"/>
              </w:rPr>
              <w:t>Pakistan</w:t>
            </w:r>
          </w:p>
        </w:tc>
        <w:tc>
          <w:tcPr>
            <w:tcW w:w="1843" w:type="dxa"/>
            <w:noWrap/>
            <w:hideMark/>
          </w:tcPr>
          <w:p w14:paraId="21EDFA1D"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44F5F8AF" w14:textId="77777777" w:rsidTr="00D73490">
        <w:trPr>
          <w:trHeight w:val="300"/>
        </w:trPr>
        <w:tc>
          <w:tcPr>
            <w:tcW w:w="1555" w:type="dxa"/>
            <w:hideMark/>
          </w:tcPr>
          <w:p w14:paraId="54C23BA1"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15860</w:t>
            </w:r>
          </w:p>
        </w:tc>
        <w:tc>
          <w:tcPr>
            <w:tcW w:w="1984" w:type="dxa"/>
            <w:hideMark/>
          </w:tcPr>
          <w:p w14:paraId="3A767970"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6E1D9161" w14:textId="77777777" w:rsidR="003A096D" w:rsidRPr="003A096D" w:rsidRDefault="003A096D" w:rsidP="00D044E6">
            <w:pPr>
              <w:spacing w:line="240" w:lineRule="auto"/>
              <w:rPr>
                <w:rFonts w:ascii="Arial" w:hAnsi="Arial" w:cs="Arial"/>
                <w:sz w:val="22"/>
              </w:rPr>
            </w:pPr>
            <w:r w:rsidRPr="003A096D">
              <w:rPr>
                <w:rFonts w:ascii="Arial" w:hAnsi="Arial" w:cs="Arial"/>
                <w:sz w:val="22"/>
              </w:rPr>
              <w:t>ZUSUM</w:t>
            </w:r>
          </w:p>
        </w:tc>
        <w:tc>
          <w:tcPr>
            <w:tcW w:w="1417" w:type="dxa"/>
            <w:hideMark/>
          </w:tcPr>
          <w:p w14:paraId="7F5F3251" w14:textId="77777777" w:rsidR="003A096D" w:rsidRPr="003A096D" w:rsidRDefault="003A096D" w:rsidP="00D044E6">
            <w:pPr>
              <w:spacing w:line="240" w:lineRule="auto"/>
              <w:rPr>
                <w:rFonts w:ascii="Arial" w:hAnsi="Arial" w:cs="Arial"/>
                <w:sz w:val="22"/>
              </w:rPr>
            </w:pPr>
            <w:r w:rsidRPr="003A096D">
              <w:rPr>
                <w:rFonts w:ascii="Arial" w:hAnsi="Arial" w:cs="Arial"/>
                <w:sz w:val="22"/>
              </w:rPr>
              <w:t>Pakistan</w:t>
            </w:r>
          </w:p>
        </w:tc>
        <w:tc>
          <w:tcPr>
            <w:tcW w:w="1843" w:type="dxa"/>
            <w:noWrap/>
            <w:hideMark/>
          </w:tcPr>
          <w:p w14:paraId="021A45D7"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2D26010C" w14:textId="77777777" w:rsidTr="00D73490">
        <w:trPr>
          <w:trHeight w:val="315"/>
        </w:trPr>
        <w:tc>
          <w:tcPr>
            <w:tcW w:w="1555" w:type="dxa"/>
            <w:hideMark/>
          </w:tcPr>
          <w:p w14:paraId="2B523888"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18382</w:t>
            </w:r>
          </w:p>
        </w:tc>
        <w:tc>
          <w:tcPr>
            <w:tcW w:w="1984" w:type="dxa"/>
            <w:hideMark/>
          </w:tcPr>
          <w:p w14:paraId="0C4F738E"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5F10C043" w14:textId="77777777" w:rsidR="003A096D" w:rsidRPr="003A096D" w:rsidRDefault="003A096D" w:rsidP="00D044E6">
            <w:pPr>
              <w:spacing w:line="240" w:lineRule="auto"/>
              <w:rPr>
                <w:rFonts w:ascii="Arial" w:hAnsi="Arial" w:cs="Arial"/>
                <w:sz w:val="22"/>
              </w:rPr>
            </w:pPr>
            <w:r w:rsidRPr="003A096D">
              <w:rPr>
                <w:rFonts w:ascii="Arial" w:hAnsi="Arial" w:cs="Arial"/>
                <w:sz w:val="22"/>
              </w:rPr>
              <w:t>Gerste</w:t>
            </w:r>
          </w:p>
        </w:tc>
        <w:tc>
          <w:tcPr>
            <w:tcW w:w="1417" w:type="dxa"/>
            <w:hideMark/>
          </w:tcPr>
          <w:p w14:paraId="20ACB497" w14:textId="77777777" w:rsidR="003A096D" w:rsidRPr="003A096D" w:rsidRDefault="003A096D" w:rsidP="00D044E6">
            <w:pPr>
              <w:spacing w:line="240" w:lineRule="auto"/>
              <w:rPr>
                <w:rFonts w:ascii="Arial" w:hAnsi="Arial" w:cs="Arial"/>
                <w:sz w:val="22"/>
              </w:rPr>
            </w:pPr>
            <w:r w:rsidRPr="003A096D">
              <w:rPr>
                <w:rFonts w:ascii="Arial" w:hAnsi="Arial" w:cs="Arial"/>
                <w:sz w:val="22"/>
              </w:rPr>
              <w:t>Pakistan</w:t>
            </w:r>
          </w:p>
        </w:tc>
        <w:tc>
          <w:tcPr>
            <w:tcW w:w="1843" w:type="dxa"/>
            <w:noWrap/>
            <w:hideMark/>
          </w:tcPr>
          <w:p w14:paraId="1C98CE10"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229B6B15" w14:textId="77777777" w:rsidTr="00D73490">
        <w:trPr>
          <w:trHeight w:val="510"/>
        </w:trPr>
        <w:tc>
          <w:tcPr>
            <w:tcW w:w="1555" w:type="dxa"/>
            <w:hideMark/>
          </w:tcPr>
          <w:p w14:paraId="2602FCE8"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10742</w:t>
            </w:r>
          </w:p>
        </w:tc>
        <w:tc>
          <w:tcPr>
            <w:tcW w:w="1984" w:type="dxa"/>
            <w:hideMark/>
          </w:tcPr>
          <w:p w14:paraId="5BAD1810"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6CDF">
              <w:rPr>
                <w:rFonts w:ascii="Arial" w:hAnsi="Arial" w:cs="Arial"/>
                <w:sz w:val="22"/>
              </w:rPr>
              <w:t>var.</w:t>
            </w:r>
            <w:r w:rsidRPr="00C627F3">
              <w:rPr>
                <w:rFonts w:ascii="Arial" w:hAnsi="Arial" w:cs="Arial"/>
                <w:i/>
                <w:iCs/>
                <w:sz w:val="22"/>
              </w:rPr>
              <w:t xml:space="preserve"> rikotense Regel</w:t>
            </w:r>
          </w:p>
        </w:tc>
        <w:tc>
          <w:tcPr>
            <w:tcW w:w="1418" w:type="dxa"/>
            <w:hideMark/>
          </w:tcPr>
          <w:p w14:paraId="1A80F81B"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60BAD290" w14:textId="77777777" w:rsidR="003A096D" w:rsidRPr="003A096D" w:rsidRDefault="003A096D" w:rsidP="00D044E6">
            <w:pPr>
              <w:spacing w:line="240" w:lineRule="auto"/>
              <w:rPr>
                <w:rFonts w:ascii="Arial" w:hAnsi="Arial" w:cs="Arial"/>
                <w:sz w:val="22"/>
              </w:rPr>
            </w:pPr>
            <w:r w:rsidRPr="003A096D">
              <w:rPr>
                <w:rFonts w:ascii="Arial" w:hAnsi="Arial" w:cs="Arial"/>
                <w:sz w:val="22"/>
              </w:rPr>
              <w:t>Georgia</w:t>
            </w:r>
          </w:p>
        </w:tc>
        <w:tc>
          <w:tcPr>
            <w:tcW w:w="1843" w:type="dxa"/>
            <w:noWrap/>
            <w:hideMark/>
          </w:tcPr>
          <w:p w14:paraId="7A2CC556"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2A82B9E3" w14:textId="77777777" w:rsidTr="00D73490">
        <w:trPr>
          <w:trHeight w:val="765"/>
        </w:trPr>
        <w:tc>
          <w:tcPr>
            <w:tcW w:w="1555" w:type="dxa"/>
            <w:hideMark/>
          </w:tcPr>
          <w:p w14:paraId="3F67BB67"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10775</w:t>
            </w:r>
          </w:p>
        </w:tc>
        <w:tc>
          <w:tcPr>
            <w:tcW w:w="1984" w:type="dxa"/>
            <w:hideMark/>
          </w:tcPr>
          <w:p w14:paraId="098D2FCB"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306CDF">
              <w:rPr>
                <w:rFonts w:ascii="Arial" w:hAnsi="Arial" w:cs="Arial"/>
                <w:sz w:val="22"/>
              </w:rPr>
              <w:lastRenderedPageBreak/>
              <w:t>var.</w:t>
            </w:r>
            <w:r w:rsidRPr="00C627F3">
              <w:rPr>
                <w:rFonts w:ascii="Arial" w:hAnsi="Arial" w:cs="Arial"/>
                <w:i/>
                <w:iCs/>
                <w:sz w:val="22"/>
              </w:rPr>
              <w:t xml:space="preserve"> nutans (Rode) Alef.</w:t>
            </w:r>
          </w:p>
        </w:tc>
        <w:tc>
          <w:tcPr>
            <w:tcW w:w="1418" w:type="dxa"/>
            <w:hideMark/>
          </w:tcPr>
          <w:p w14:paraId="086F3C44" w14:textId="77777777" w:rsidR="003A096D" w:rsidRPr="003A096D" w:rsidRDefault="003A096D" w:rsidP="00D044E6">
            <w:pPr>
              <w:spacing w:line="240" w:lineRule="auto"/>
              <w:rPr>
                <w:rFonts w:ascii="Arial" w:hAnsi="Arial" w:cs="Arial"/>
                <w:sz w:val="22"/>
              </w:rPr>
            </w:pPr>
            <w:r w:rsidRPr="003A096D">
              <w:rPr>
                <w:rFonts w:ascii="Arial" w:hAnsi="Arial" w:cs="Arial"/>
                <w:sz w:val="22"/>
              </w:rPr>
              <w:lastRenderedPageBreak/>
              <w:t>-----</w:t>
            </w:r>
          </w:p>
        </w:tc>
        <w:tc>
          <w:tcPr>
            <w:tcW w:w="1417" w:type="dxa"/>
            <w:hideMark/>
          </w:tcPr>
          <w:p w14:paraId="2E67B50D" w14:textId="77777777" w:rsidR="003A096D" w:rsidRPr="003A096D" w:rsidRDefault="003A096D" w:rsidP="00D044E6">
            <w:pPr>
              <w:spacing w:line="240" w:lineRule="auto"/>
              <w:rPr>
                <w:rFonts w:ascii="Arial" w:hAnsi="Arial" w:cs="Arial"/>
                <w:sz w:val="22"/>
              </w:rPr>
            </w:pPr>
            <w:r w:rsidRPr="003A096D">
              <w:rPr>
                <w:rFonts w:ascii="Arial" w:hAnsi="Arial" w:cs="Arial"/>
                <w:sz w:val="22"/>
              </w:rPr>
              <w:t>Georgia</w:t>
            </w:r>
          </w:p>
        </w:tc>
        <w:tc>
          <w:tcPr>
            <w:tcW w:w="1843" w:type="dxa"/>
            <w:noWrap/>
            <w:hideMark/>
          </w:tcPr>
          <w:p w14:paraId="5B997DFA"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1B7BBA37" w14:textId="77777777" w:rsidTr="00D73490">
        <w:trPr>
          <w:trHeight w:val="765"/>
        </w:trPr>
        <w:tc>
          <w:tcPr>
            <w:tcW w:w="1555" w:type="dxa"/>
            <w:hideMark/>
          </w:tcPr>
          <w:p w14:paraId="7421F9AD"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10886</w:t>
            </w:r>
          </w:p>
        </w:tc>
        <w:tc>
          <w:tcPr>
            <w:tcW w:w="1984" w:type="dxa"/>
            <w:hideMark/>
          </w:tcPr>
          <w:p w14:paraId="5674553C"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306CDF">
              <w:rPr>
                <w:rFonts w:ascii="Arial" w:hAnsi="Arial" w:cs="Arial"/>
                <w:sz w:val="22"/>
              </w:rPr>
              <w:t>var.</w:t>
            </w:r>
            <w:r w:rsidRPr="00C627F3">
              <w:rPr>
                <w:rFonts w:ascii="Arial" w:hAnsi="Arial" w:cs="Arial"/>
                <w:i/>
                <w:iCs/>
                <w:sz w:val="22"/>
              </w:rPr>
              <w:t xml:space="preserve"> nutans (Rode) Alef.</w:t>
            </w:r>
          </w:p>
        </w:tc>
        <w:tc>
          <w:tcPr>
            <w:tcW w:w="1418" w:type="dxa"/>
            <w:hideMark/>
          </w:tcPr>
          <w:p w14:paraId="47F6D482"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634366C7" w14:textId="77777777" w:rsidR="003A096D" w:rsidRPr="003A096D" w:rsidRDefault="003A096D" w:rsidP="00D044E6">
            <w:pPr>
              <w:spacing w:line="240" w:lineRule="auto"/>
              <w:rPr>
                <w:rFonts w:ascii="Arial" w:hAnsi="Arial" w:cs="Arial"/>
                <w:sz w:val="22"/>
              </w:rPr>
            </w:pPr>
            <w:r w:rsidRPr="003A096D">
              <w:rPr>
                <w:rFonts w:ascii="Arial" w:hAnsi="Arial" w:cs="Arial"/>
                <w:sz w:val="22"/>
              </w:rPr>
              <w:t>Georgia</w:t>
            </w:r>
          </w:p>
        </w:tc>
        <w:tc>
          <w:tcPr>
            <w:tcW w:w="1843" w:type="dxa"/>
            <w:noWrap/>
            <w:hideMark/>
          </w:tcPr>
          <w:p w14:paraId="2BCABB2F"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25760587" w14:textId="77777777" w:rsidTr="00D73490">
        <w:trPr>
          <w:trHeight w:val="510"/>
        </w:trPr>
        <w:tc>
          <w:tcPr>
            <w:tcW w:w="1555" w:type="dxa"/>
            <w:hideMark/>
          </w:tcPr>
          <w:p w14:paraId="74A39609"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12830</w:t>
            </w:r>
          </w:p>
        </w:tc>
        <w:tc>
          <w:tcPr>
            <w:tcW w:w="1984" w:type="dxa"/>
            <w:hideMark/>
          </w:tcPr>
          <w:p w14:paraId="42BFD11A"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6CDF">
              <w:rPr>
                <w:rFonts w:ascii="Arial" w:hAnsi="Arial" w:cs="Arial"/>
                <w:sz w:val="22"/>
              </w:rPr>
              <w:t>var.</w:t>
            </w:r>
            <w:r w:rsidRPr="00C627F3">
              <w:rPr>
                <w:rFonts w:ascii="Arial" w:hAnsi="Arial" w:cs="Arial"/>
                <w:i/>
                <w:iCs/>
                <w:sz w:val="22"/>
              </w:rPr>
              <w:t xml:space="preserve"> densum Sér.</w:t>
            </w:r>
          </w:p>
        </w:tc>
        <w:tc>
          <w:tcPr>
            <w:tcW w:w="1418" w:type="dxa"/>
            <w:hideMark/>
          </w:tcPr>
          <w:p w14:paraId="53C5B9C5"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6374A6E9" w14:textId="77777777" w:rsidR="003A096D" w:rsidRPr="003A096D" w:rsidRDefault="003A096D" w:rsidP="00D044E6">
            <w:pPr>
              <w:spacing w:line="240" w:lineRule="auto"/>
              <w:rPr>
                <w:rFonts w:ascii="Arial" w:hAnsi="Arial" w:cs="Arial"/>
                <w:sz w:val="22"/>
              </w:rPr>
            </w:pPr>
            <w:r w:rsidRPr="003A096D">
              <w:rPr>
                <w:rFonts w:ascii="Arial" w:hAnsi="Arial" w:cs="Arial"/>
                <w:sz w:val="22"/>
              </w:rPr>
              <w:t>Syria</w:t>
            </w:r>
          </w:p>
        </w:tc>
        <w:tc>
          <w:tcPr>
            <w:tcW w:w="1843" w:type="dxa"/>
            <w:noWrap/>
            <w:hideMark/>
          </w:tcPr>
          <w:p w14:paraId="0D342B83"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095D91E6" w14:textId="77777777" w:rsidTr="00D73490">
        <w:trPr>
          <w:trHeight w:val="765"/>
        </w:trPr>
        <w:tc>
          <w:tcPr>
            <w:tcW w:w="1555" w:type="dxa"/>
            <w:hideMark/>
          </w:tcPr>
          <w:p w14:paraId="3BBEC3B7"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13836</w:t>
            </w:r>
          </w:p>
        </w:tc>
        <w:tc>
          <w:tcPr>
            <w:tcW w:w="1984" w:type="dxa"/>
            <w:hideMark/>
          </w:tcPr>
          <w:p w14:paraId="20671BC0"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306CDF">
              <w:rPr>
                <w:rFonts w:ascii="Arial" w:hAnsi="Arial" w:cs="Arial"/>
                <w:sz w:val="22"/>
              </w:rPr>
              <w:t>var.</w:t>
            </w:r>
            <w:r w:rsidRPr="00C627F3">
              <w:rPr>
                <w:rFonts w:ascii="Arial" w:hAnsi="Arial" w:cs="Arial"/>
                <w:i/>
                <w:iCs/>
                <w:sz w:val="22"/>
              </w:rPr>
              <w:t xml:space="preserve"> nigrescens Körn.</w:t>
            </w:r>
          </w:p>
        </w:tc>
        <w:tc>
          <w:tcPr>
            <w:tcW w:w="1418" w:type="dxa"/>
            <w:hideMark/>
          </w:tcPr>
          <w:p w14:paraId="2EA0472E" w14:textId="77777777" w:rsidR="003A096D" w:rsidRPr="003A096D" w:rsidRDefault="003A096D" w:rsidP="00D044E6">
            <w:pPr>
              <w:spacing w:line="240" w:lineRule="auto"/>
              <w:rPr>
                <w:rFonts w:ascii="Arial" w:hAnsi="Arial" w:cs="Arial"/>
                <w:sz w:val="22"/>
              </w:rPr>
            </w:pPr>
            <w:r w:rsidRPr="003A096D">
              <w:rPr>
                <w:rFonts w:ascii="Arial" w:hAnsi="Arial" w:cs="Arial"/>
                <w:sz w:val="22"/>
              </w:rPr>
              <w:t>ESKISHEHIR</w:t>
            </w:r>
          </w:p>
        </w:tc>
        <w:tc>
          <w:tcPr>
            <w:tcW w:w="1417" w:type="dxa"/>
            <w:hideMark/>
          </w:tcPr>
          <w:p w14:paraId="55D76C8D" w14:textId="77777777" w:rsidR="003A096D" w:rsidRPr="003A096D" w:rsidRDefault="003A096D" w:rsidP="00D044E6">
            <w:pPr>
              <w:spacing w:line="240" w:lineRule="auto"/>
              <w:rPr>
                <w:rFonts w:ascii="Arial" w:hAnsi="Arial" w:cs="Arial"/>
                <w:sz w:val="22"/>
              </w:rPr>
            </w:pPr>
            <w:r w:rsidRPr="003A096D">
              <w:rPr>
                <w:rFonts w:ascii="Arial" w:hAnsi="Arial" w:cs="Arial"/>
                <w:sz w:val="22"/>
              </w:rPr>
              <w:t>Turkey</w:t>
            </w:r>
          </w:p>
        </w:tc>
        <w:tc>
          <w:tcPr>
            <w:tcW w:w="1843" w:type="dxa"/>
            <w:noWrap/>
            <w:hideMark/>
          </w:tcPr>
          <w:p w14:paraId="446C49F2"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57429A28" w14:textId="77777777" w:rsidTr="00D73490">
        <w:trPr>
          <w:trHeight w:val="765"/>
        </w:trPr>
        <w:tc>
          <w:tcPr>
            <w:tcW w:w="1555" w:type="dxa"/>
            <w:hideMark/>
          </w:tcPr>
          <w:p w14:paraId="65B2D4E2"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1626</w:t>
            </w:r>
          </w:p>
        </w:tc>
        <w:tc>
          <w:tcPr>
            <w:tcW w:w="1984" w:type="dxa"/>
            <w:hideMark/>
          </w:tcPr>
          <w:p w14:paraId="189DC203"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306CDF">
              <w:rPr>
                <w:rFonts w:ascii="Arial" w:hAnsi="Arial" w:cs="Arial"/>
                <w:sz w:val="22"/>
              </w:rPr>
              <w:t>var.</w:t>
            </w:r>
            <w:r w:rsidRPr="00C627F3">
              <w:rPr>
                <w:rFonts w:ascii="Arial" w:hAnsi="Arial" w:cs="Arial"/>
                <w:i/>
                <w:iCs/>
                <w:sz w:val="22"/>
              </w:rPr>
              <w:t xml:space="preserve"> medicum Körn.</w:t>
            </w:r>
          </w:p>
        </w:tc>
        <w:tc>
          <w:tcPr>
            <w:tcW w:w="1418" w:type="dxa"/>
            <w:hideMark/>
          </w:tcPr>
          <w:p w14:paraId="7728B3BF" w14:textId="77777777" w:rsidR="003A096D" w:rsidRPr="003A096D" w:rsidRDefault="003A096D" w:rsidP="00D044E6">
            <w:pPr>
              <w:spacing w:line="240" w:lineRule="auto"/>
              <w:rPr>
                <w:rFonts w:ascii="Arial" w:hAnsi="Arial" w:cs="Arial"/>
                <w:sz w:val="22"/>
              </w:rPr>
            </w:pPr>
            <w:r w:rsidRPr="003A096D">
              <w:rPr>
                <w:rFonts w:ascii="Arial" w:hAnsi="Arial" w:cs="Arial"/>
                <w:sz w:val="22"/>
              </w:rPr>
              <w:t>Kleinasiatische Glattgrannige</w:t>
            </w:r>
          </w:p>
        </w:tc>
        <w:tc>
          <w:tcPr>
            <w:tcW w:w="1417" w:type="dxa"/>
            <w:hideMark/>
          </w:tcPr>
          <w:p w14:paraId="6F848B3D" w14:textId="77777777" w:rsidR="003A096D" w:rsidRPr="003A096D" w:rsidRDefault="003A096D" w:rsidP="00D044E6">
            <w:pPr>
              <w:spacing w:line="240" w:lineRule="auto"/>
              <w:rPr>
                <w:rFonts w:ascii="Arial" w:hAnsi="Arial" w:cs="Arial"/>
                <w:sz w:val="22"/>
              </w:rPr>
            </w:pPr>
            <w:r w:rsidRPr="003A096D">
              <w:rPr>
                <w:rFonts w:ascii="Arial" w:hAnsi="Arial" w:cs="Arial"/>
                <w:sz w:val="22"/>
              </w:rPr>
              <w:t>Turkey</w:t>
            </w:r>
          </w:p>
        </w:tc>
        <w:tc>
          <w:tcPr>
            <w:tcW w:w="1843" w:type="dxa"/>
            <w:noWrap/>
            <w:hideMark/>
          </w:tcPr>
          <w:p w14:paraId="4ADE8FE1"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0549470F" w14:textId="77777777" w:rsidTr="00D73490">
        <w:trPr>
          <w:trHeight w:val="300"/>
        </w:trPr>
        <w:tc>
          <w:tcPr>
            <w:tcW w:w="1555" w:type="dxa"/>
            <w:hideMark/>
          </w:tcPr>
          <w:p w14:paraId="3120CE31"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16358</w:t>
            </w:r>
          </w:p>
        </w:tc>
        <w:tc>
          <w:tcPr>
            <w:tcW w:w="1984" w:type="dxa"/>
            <w:hideMark/>
          </w:tcPr>
          <w:p w14:paraId="52930996"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6DE3ACE3" w14:textId="77777777" w:rsidR="003A096D" w:rsidRPr="003A096D" w:rsidRDefault="003A096D" w:rsidP="00D044E6">
            <w:pPr>
              <w:spacing w:line="240" w:lineRule="auto"/>
              <w:rPr>
                <w:rFonts w:ascii="Arial" w:hAnsi="Arial" w:cs="Arial"/>
                <w:sz w:val="22"/>
              </w:rPr>
            </w:pPr>
            <w:r w:rsidRPr="003A096D">
              <w:rPr>
                <w:rFonts w:ascii="Arial" w:hAnsi="Arial" w:cs="Arial"/>
                <w:sz w:val="22"/>
              </w:rPr>
              <w:t>ELMA DAGH</w:t>
            </w:r>
          </w:p>
        </w:tc>
        <w:tc>
          <w:tcPr>
            <w:tcW w:w="1417" w:type="dxa"/>
            <w:hideMark/>
          </w:tcPr>
          <w:p w14:paraId="526C61CC" w14:textId="77777777" w:rsidR="003A096D" w:rsidRPr="003A096D" w:rsidRDefault="003A096D" w:rsidP="00D044E6">
            <w:pPr>
              <w:spacing w:line="240" w:lineRule="auto"/>
              <w:rPr>
                <w:rFonts w:ascii="Arial" w:hAnsi="Arial" w:cs="Arial"/>
                <w:sz w:val="22"/>
              </w:rPr>
            </w:pPr>
            <w:r w:rsidRPr="003A096D">
              <w:rPr>
                <w:rFonts w:ascii="Arial" w:hAnsi="Arial" w:cs="Arial"/>
                <w:sz w:val="22"/>
              </w:rPr>
              <w:t>Turkey</w:t>
            </w:r>
          </w:p>
        </w:tc>
        <w:tc>
          <w:tcPr>
            <w:tcW w:w="1843" w:type="dxa"/>
            <w:noWrap/>
            <w:hideMark/>
          </w:tcPr>
          <w:p w14:paraId="22F0A727"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56D8D02F" w14:textId="77777777" w:rsidTr="00D73490">
        <w:trPr>
          <w:trHeight w:val="510"/>
        </w:trPr>
        <w:tc>
          <w:tcPr>
            <w:tcW w:w="1555" w:type="dxa"/>
            <w:hideMark/>
          </w:tcPr>
          <w:p w14:paraId="6737AD4A"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473</w:t>
            </w:r>
          </w:p>
        </w:tc>
        <w:tc>
          <w:tcPr>
            <w:tcW w:w="1984" w:type="dxa"/>
            <w:hideMark/>
          </w:tcPr>
          <w:p w14:paraId="5DFFDB7A"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6CDF">
              <w:rPr>
                <w:rFonts w:ascii="Arial" w:hAnsi="Arial" w:cs="Arial"/>
                <w:sz w:val="22"/>
              </w:rPr>
              <w:t>var.</w:t>
            </w:r>
            <w:r w:rsidRPr="00C627F3">
              <w:rPr>
                <w:rFonts w:ascii="Arial" w:hAnsi="Arial" w:cs="Arial"/>
                <w:i/>
                <w:iCs/>
                <w:sz w:val="22"/>
              </w:rPr>
              <w:t xml:space="preserve"> hybernum Viborg</w:t>
            </w:r>
          </w:p>
        </w:tc>
        <w:tc>
          <w:tcPr>
            <w:tcW w:w="1418" w:type="dxa"/>
            <w:hideMark/>
          </w:tcPr>
          <w:p w14:paraId="3B93D13B"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30CE8C37" w14:textId="77777777" w:rsidR="003A096D" w:rsidRPr="003A096D" w:rsidRDefault="003A096D" w:rsidP="00D044E6">
            <w:pPr>
              <w:spacing w:line="240" w:lineRule="auto"/>
              <w:rPr>
                <w:rFonts w:ascii="Arial" w:hAnsi="Arial" w:cs="Arial"/>
                <w:sz w:val="22"/>
              </w:rPr>
            </w:pPr>
            <w:r w:rsidRPr="003A096D">
              <w:rPr>
                <w:rFonts w:ascii="Arial" w:hAnsi="Arial" w:cs="Arial"/>
                <w:sz w:val="22"/>
              </w:rPr>
              <w:t>Turkey</w:t>
            </w:r>
          </w:p>
        </w:tc>
        <w:tc>
          <w:tcPr>
            <w:tcW w:w="1843" w:type="dxa"/>
            <w:noWrap/>
            <w:hideMark/>
          </w:tcPr>
          <w:p w14:paraId="7EE5F444"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06690940" w14:textId="77777777" w:rsidTr="00D73490">
        <w:trPr>
          <w:trHeight w:val="765"/>
        </w:trPr>
        <w:tc>
          <w:tcPr>
            <w:tcW w:w="1555" w:type="dxa"/>
            <w:hideMark/>
          </w:tcPr>
          <w:p w14:paraId="56B78219"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610</w:t>
            </w:r>
          </w:p>
        </w:tc>
        <w:tc>
          <w:tcPr>
            <w:tcW w:w="1984" w:type="dxa"/>
            <w:hideMark/>
          </w:tcPr>
          <w:p w14:paraId="5906EFEB"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306CDF">
              <w:rPr>
                <w:rFonts w:ascii="Arial" w:hAnsi="Arial" w:cs="Arial"/>
                <w:sz w:val="22"/>
              </w:rPr>
              <w:t>var.</w:t>
            </w:r>
            <w:r w:rsidRPr="00C627F3">
              <w:rPr>
                <w:rFonts w:ascii="Arial" w:hAnsi="Arial" w:cs="Arial"/>
                <w:i/>
                <w:iCs/>
                <w:sz w:val="22"/>
              </w:rPr>
              <w:t xml:space="preserve"> nutans (Rode) Alef.</w:t>
            </w:r>
          </w:p>
        </w:tc>
        <w:tc>
          <w:tcPr>
            <w:tcW w:w="1418" w:type="dxa"/>
            <w:hideMark/>
          </w:tcPr>
          <w:p w14:paraId="7A2EE75B"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746E77DB" w14:textId="77777777" w:rsidR="003A096D" w:rsidRPr="003A096D" w:rsidRDefault="003A096D" w:rsidP="00D044E6">
            <w:pPr>
              <w:spacing w:line="240" w:lineRule="auto"/>
              <w:rPr>
                <w:rFonts w:ascii="Arial" w:hAnsi="Arial" w:cs="Arial"/>
                <w:sz w:val="22"/>
              </w:rPr>
            </w:pPr>
            <w:r w:rsidRPr="003A096D">
              <w:rPr>
                <w:rFonts w:ascii="Arial" w:hAnsi="Arial" w:cs="Arial"/>
                <w:sz w:val="22"/>
              </w:rPr>
              <w:t>Turkey</w:t>
            </w:r>
          </w:p>
        </w:tc>
        <w:tc>
          <w:tcPr>
            <w:tcW w:w="1843" w:type="dxa"/>
            <w:noWrap/>
            <w:hideMark/>
          </w:tcPr>
          <w:p w14:paraId="4CF8F8AE"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087A2AB5" w14:textId="77777777" w:rsidTr="00D73490">
        <w:trPr>
          <w:trHeight w:val="780"/>
        </w:trPr>
        <w:tc>
          <w:tcPr>
            <w:tcW w:w="1555" w:type="dxa"/>
            <w:hideMark/>
          </w:tcPr>
          <w:p w14:paraId="06948E28"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8117</w:t>
            </w:r>
          </w:p>
        </w:tc>
        <w:tc>
          <w:tcPr>
            <w:tcW w:w="1984" w:type="dxa"/>
            <w:hideMark/>
          </w:tcPr>
          <w:p w14:paraId="0C1E46F6"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8E12CD">
              <w:rPr>
                <w:rFonts w:ascii="Arial" w:hAnsi="Arial" w:cs="Arial"/>
                <w:sz w:val="22"/>
              </w:rPr>
              <w:t>var.</w:t>
            </w:r>
            <w:r w:rsidRPr="00C627F3">
              <w:rPr>
                <w:rFonts w:ascii="Arial" w:hAnsi="Arial" w:cs="Arial"/>
                <w:i/>
                <w:iCs/>
                <w:sz w:val="22"/>
              </w:rPr>
              <w:t xml:space="preserve"> medicum Körn.</w:t>
            </w:r>
          </w:p>
        </w:tc>
        <w:tc>
          <w:tcPr>
            <w:tcW w:w="1418" w:type="dxa"/>
            <w:hideMark/>
          </w:tcPr>
          <w:p w14:paraId="00950837"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7068C5F9" w14:textId="77777777" w:rsidR="003A096D" w:rsidRPr="003A096D" w:rsidRDefault="003A096D" w:rsidP="00D044E6">
            <w:pPr>
              <w:spacing w:line="240" w:lineRule="auto"/>
              <w:rPr>
                <w:rFonts w:ascii="Arial" w:hAnsi="Arial" w:cs="Arial"/>
                <w:sz w:val="22"/>
              </w:rPr>
            </w:pPr>
            <w:r w:rsidRPr="003A096D">
              <w:rPr>
                <w:rFonts w:ascii="Arial" w:hAnsi="Arial" w:cs="Arial"/>
                <w:sz w:val="22"/>
              </w:rPr>
              <w:t>Turkey</w:t>
            </w:r>
          </w:p>
        </w:tc>
        <w:tc>
          <w:tcPr>
            <w:tcW w:w="1843" w:type="dxa"/>
            <w:noWrap/>
            <w:hideMark/>
          </w:tcPr>
          <w:p w14:paraId="7E7FD0CC"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70ABB643" w14:textId="77777777" w:rsidTr="00D73490">
        <w:trPr>
          <w:trHeight w:val="300"/>
        </w:trPr>
        <w:tc>
          <w:tcPr>
            <w:tcW w:w="1555" w:type="dxa"/>
            <w:hideMark/>
          </w:tcPr>
          <w:p w14:paraId="51C51A53"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20269</w:t>
            </w:r>
          </w:p>
        </w:tc>
        <w:tc>
          <w:tcPr>
            <w:tcW w:w="1984" w:type="dxa"/>
            <w:hideMark/>
          </w:tcPr>
          <w:p w14:paraId="118FC150"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52F7E7C3" w14:textId="77777777" w:rsidR="003A096D" w:rsidRPr="003A096D" w:rsidRDefault="003A096D" w:rsidP="00D044E6">
            <w:pPr>
              <w:spacing w:line="240" w:lineRule="auto"/>
              <w:rPr>
                <w:rFonts w:ascii="Arial" w:hAnsi="Arial" w:cs="Arial"/>
                <w:sz w:val="22"/>
              </w:rPr>
            </w:pPr>
            <w:r w:rsidRPr="003A096D">
              <w:rPr>
                <w:rFonts w:ascii="Arial" w:hAnsi="Arial" w:cs="Arial"/>
                <w:sz w:val="22"/>
              </w:rPr>
              <w:t>GEMBLOUX</w:t>
            </w:r>
          </w:p>
        </w:tc>
        <w:tc>
          <w:tcPr>
            <w:tcW w:w="1417" w:type="dxa"/>
            <w:hideMark/>
          </w:tcPr>
          <w:p w14:paraId="0B830B8B" w14:textId="77777777" w:rsidR="003A096D" w:rsidRPr="003A096D" w:rsidRDefault="003A096D" w:rsidP="00D044E6">
            <w:pPr>
              <w:spacing w:line="240" w:lineRule="auto"/>
              <w:rPr>
                <w:rFonts w:ascii="Arial" w:hAnsi="Arial" w:cs="Arial"/>
                <w:sz w:val="22"/>
              </w:rPr>
            </w:pPr>
            <w:r w:rsidRPr="003A096D">
              <w:rPr>
                <w:rFonts w:ascii="Arial" w:hAnsi="Arial" w:cs="Arial"/>
                <w:sz w:val="22"/>
              </w:rPr>
              <w:t>Belgium</w:t>
            </w:r>
          </w:p>
        </w:tc>
        <w:tc>
          <w:tcPr>
            <w:tcW w:w="1843" w:type="dxa"/>
            <w:noWrap/>
            <w:hideMark/>
          </w:tcPr>
          <w:p w14:paraId="3D5E95F5"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16B806D3" w14:textId="77777777" w:rsidTr="00D73490">
        <w:trPr>
          <w:trHeight w:val="510"/>
        </w:trPr>
        <w:tc>
          <w:tcPr>
            <w:tcW w:w="1555" w:type="dxa"/>
            <w:hideMark/>
          </w:tcPr>
          <w:p w14:paraId="067C1584"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2180</w:t>
            </w:r>
          </w:p>
        </w:tc>
        <w:tc>
          <w:tcPr>
            <w:tcW w:w="1984" w:type="dxa"/>
            <w:hideMark/>
          </w:tcPr>
          <w:p w14:paraId="61520F17"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C04C97">
              <w:rPr>
                <w:rFonts w:ascii="Arial" w:hAnsi="Arial" w:cs="Arial"/>
                <w:sz w:val="22"/>
              </w:rPr>
              <w:t>var.</w:t>
            </w:r>
            <w:r w:rsidRPr="00C627F3">
              <w:rPr>
                <w:rFonts w:ascii="Arial" w:hAnsi="Arial" w:cs="Arial"/>
                <w:i/>
                <w:iCs/>
                <w:sz w:val="22"/>
              </w:rPr>
              <w:t xml:space="preserve"> hybernum Viborg</w:t>
            </w:r>
          </w:p>
        </w:tc>
        <w:tc>
          <w:tcPr>
            <w:tcW w:w="1418" w:type="dxa"/>
            <w:hideMark/>
          </w:tcPr>
          <w:p w14:paraId="2419D0A8" w14:textId="77777777" w:rsidR="003A096D" w:rsidRPr="003A096D" w:rsidRDefault="003A096D" w:rsidP="00D044E6">
            <w:pPr>
              <w:spacing w:line="240" w:lineRule="auto"/>
              <w:rPr>
                <w:rFonts w:ascii="Arial" w:hAnsi="Arial" w:cs="Arial"/>
                <w:sz w:val="22"/>
              </w:rPr>
            </w:pPr>
            <w:r w:rsidRPr="003A096D">
              <w:rPr>
                <w:rFonts w:ascii="Arial" w:hAnsi="Arial" w:cs="Arial"/>
                <w:sz w:val="22"/>
              </w:rPr>
              <w:t>Masovia Kleine Vierzeilige</w:t>
            </w:r>
          </w:p>
        </w:tc>
        <w:tc>
          <w:tcPr>
            <w:tcW w:w="1417" w:type="dxa"/>
            <w:hideMark/>
          </w:tcPr>
          <w:p w14:paraId="0D6674B5" w14:textId="77777777" w:rsidR="003A096D" w:rsidRPr="003A096D" w:rsidRDefault="003A096D" w:rsidP="00D044E6">
            <w:pPr>
              <w:spacing w:line="240" w:lineRule="auto"/>
              <w:rPr>
                <w:rFonts w:ascii="Arial" w:hAnsi="Arial" w:cs="Arial"/>
                <w:sz w:val="22"/>
              </w:rPr>
            </w:pPr>
            <w:r w:rsidRPr="003A096D">
              <w:rPr>
                <w:rFonts w:ascii="Arial" w:hAnsi="Arial" w:cs="Arial"/>
                <w:sz w:val="22"/>
              </w:rPr>
              <w:t>Czech Rep.</w:t>
            </w:r>
          </w:p>
        </w:tc>
        <w:tc>
          <w:tcPr>
            <w:tcW w:w="1843" w:type="dxa"/>
            <w:noWrap/>
            <w:hideMark/>
          </w:tcPr>
          <w:p w14:paraId="2E97F5A8"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79E97ADB" w14:textId="77777777" w:rsidTr="00D73490">
        <w:trPr>
          <w:trHeight w:val="765"/>
        </w:trPr>
        <w:tc>
          <w:tcPr>
            <w:tcW w:w="1555" w:type="dxa"/>
            <w:hideMark/>
          </w:tcPr>
          <w:p w14:paraId="2CEA897F"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14439</w:t>
            </w:r>
          </w:p>
        </w:tc>
        <w:tc>
          <w:tcPr>
            <w:tcW w:w="1984" w:type="dxa"/>
            <w:hideMark/>
          </w:tcPr>
          <w:p w14:paraId="3CA9937F"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C04C97">
              <w:rPr>
                <w:rFonts w:ascii="Arial" w:hAnsi="Arial" w:cs="Arial"/>
                <w:sz w:val="22"/>
              </w:rPr>
              <w:t>var.</w:t>
            </w:r>
            <w:r w:rsidRPr="00C627F3">
              <w:rPr>
                <w:rFonts w:ascii="Arial" w:hAnsi="Arial" w:cs="Arial"/>
                <w:i/>
                <w:iCs/>
                <w:sz w:val="22"/>
              </w:rPr>
              <w:t xml:space="preserve"> nutans (Rode) Alef.</w:t>
            </w:r>
          </w:p>
        </w:tc>
        <w:tc>
          <w:tcPr>
            <w:tcW w:w="1418" w:type="dxa"/>
            <w:hideMark/>
          </w:tcPr>
          <w:p w14:paraId="508C381E" w14:textId="77777777" w:rsidR="003A096D" w:rsidRPr="003A096D" w:rsidRDefault="003A096D" w:rsidP="00D044E6">
            <w:pPr>
              <w:spacing w:line="240" w:lineRule="auto"/>
              <w:rPr>
                <w:rFonts w:ascii="Arial" w:hAnsi="Arial" w:cs="Arial"/>
                <w:sz w:val="22"/>
              </w:rPr>
            </w:pPr>
            <w:r w:rsidRPr="003A096D">
              <w:rPr>
                <w:rFonts w:ascii="Arial" w:hAnsi="Arial" w:cs="Arial"/>
                <w:sz w:val="22"/>
              </w:rPr>
              <w:t>FRANKONIA</w:t>
            </w:r>
          </w:p>
        </w:tc>
        <w:tc>
          <w:tcPr>
            <w:tcW w:w="1417" w:type="dxa"/>
            <w:hideMark/>
          </w:tcPr>
          <w:p w14:paraId="2E51AD98" w14:textId="77777777" w:rsidR="003A096D" w:rsidRPr="003A096D" w:rsidRDefault="003A096D" w:rsidP="00D044E6">
            <w:pPr>
              <w:spacing w:line="240" w:lineRule="auto"/>
              <w:rPr>
                <w:rFonts w:ascii="Arial" w:hAnsi="Arial" w:cs="Arial"/>
                <w:sz w:val="22"/>
              </w:rPr>
            </w:pPr>
            <w:r w:rsidRPr="003A096D">
              <w:rPr>
                <w:rFonts w:ascii="Arial" w:hAnsi="Arial" w:cs="Arial"/>
                <w:sz w:val="22"/>
              </w:rPr>
              <w:t>Germany</w:t>
            </w:r>
          </w:p>
        </w:tc>
        <w:tc>
          <w:tcPr>
            <w:tcW w:w="1843" w:type="dxa"/>
            <w:noWrap/>
            <w:hideMark/>
          </w:tcPr>
          <w:p w14:paraId="0E7D59C4"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5F463E63" w14:textId="77777777" w:rsidTr="00D73490">
        <w:trPr>
          <w:trHeight w:val="300"/>
        </w:trPr>
        <w:tc>
          <w:tcPr>
            <w:tcW w:w="1555" w:type="dxa"/>
            <w:hideMark/>
          </w:tcPr>
          <w:p w14:paraId="0D1B2EC7"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17591</w:t>
            </w:r>
          </w:p>
        </w:tc>
        <w:tc>
          <w:tcPr>
            <w:tcW w:w="1984" w:type="dxa"/>
            <w:hideMark/>
          </w:tcPr>
          <w:p w14:paraId="66DE4EA6"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797C25A5" w14:textId="77777777" w:rsidR="003A096D" w:rsidRPr="003A096D" w:rsidRDefault="003A096D" w:rsidP="00D044E6">
            <w:pPr>
              <w:spacing w:line="240" w:lineRule="auto"/>
              <w:rPr>
                <w:rFonts w:ascii="Arial" w:hAnsi="Arial" w:cs="Arial"/>
                <w:sz w:val="22"/>
              </w:rPr>
            </w:pPr>
            <w:r w:rsidRPr="003A096D">
              <w:rPr>
                <w:rFonts w:ascii="Arial" w:hAnsi="Arial" w:cs="Arial"/>
                <w:sz w:val="22"/>
              </w:rPr>
              <w:t>TEUTSCHENTHAL</w:t>
            </w:r>
          </w:p>
        </w:tc>
        <w:tc>
          <w:tcPr>
            <w:tcW w:w="1417" w:type="dxa"/>
            <w:hideMark/>
          </w:tcPr>
          <w:p w14:paraId="2ABD2800" w14:textId="77777777" w:rsidR="003A096D" w:rsidRPr="003A096D" w:rsidRDefault="003A096D" w:rsidP="00D044E6">
            <w:pPr>
              <w:spacing w:line="240" w:lineRule="auto"/>
              <w:rPr>
                <w:rFonts w:ascii="Arial" w:hAnsi="Arial" w:cs="Arial"/>
                <w:sz w:val="22"/>
              </w:rPr>
            </w:pPr>
            <w:r w:rsidRPr="003A096D">
              <w:rPr>
                <w:rFonts w:ascii="Arial" w:hAnsi="Arial" w:cs="Arial"/>
                <w:sz w:val="22"/>
              </w:rPr>
              <w:t>Germany</w:t>
            </w:r>
          </w:p>
        </w:tc>
        <w:tc>
          <w:tcPr>
            <w:tcW w:w="1843" w:type="dxa"/>
            <w:noWrap/>
            <w:hideMark/>
          </w:tcPr>
          <w:p w14:paraId="35B4419F"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205F8200" w14:textId="77777777" w:rsidTr="00D73490">
        <w:trPr>
          <w:trHeight w:val="765"/>
        </w:trPr>
        <w:tc>
          <w:tcPr>
            <w:tcW w:w="1555" w:type="dxa"/>
            <w:hideMark/>
          </w:tcPr>
          <w:p w14:paraId="24D43CB3" w14:textId="77777777" w:rsidR="003A096D" w:rsidRPr="003A096D" w:rsidRDefault="003A096D" w:rsidP="00D044E6">
            <w:pPr>
              <w:spacing w:line="240" w:lineRule="auto"/>
              <w:rPr>
                <w:rFonts w:ascii="Arial" w:hAnsi="Arial" w:cs="Arial"/>
                <w:sz w:val="22"/>
              </w:rPr>
            </w:pPr>
            <w:r w:rsidRPr="003A096D">
              <w:rPr>
                <w:rFonts w:ascii="Arial" w:hAnsi="Arial" w:cs="Arial"/>
                <w:sz w:val="22"/>
              </w:rPr>
              <w:lastRenderedPageBreak/>
              <w:t>HOR 21687</w:t>
            </w:r>
          </w:p>
        </w:tc>
        <w:tc>
          <w:tcPr>
            <w:tcW w:w="1984" w:type="dxa"/>
            <w:hideMark/>
          </w:tcPr>
          <w:p w14:paraId="7D29659B"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C04C97">
              <w:rPr>
                <w:rFonts w:ascii="Arial" w:hAnsi="Arial" w:cs="Arial"/>
                <w:sz w:val="22"/>
              </w:rPr>
              <w:t>var.</w:t>
            </w:r>
            <w:r w:rsidRPr="00C627F3">
              <w:rPr>
                <w:rFonts w:ascii="Arial" w:hAnsi="Arial" w:cs="Arial"/>
                <w:i/>
                <w:iCs/>
                <w:sz w:val="22"/>
              </w:rPr>
              <w:t xml:space="preserve"> nutans (Rode) Alef.</w:t>
            </w:r>
          </w:p>
        </w:tc>
        <w:tc>
          <w:tcPr>
            <w:tcW w:w="1418" w:type="dxa"/>
            <w:hideMark/>
          </w:tcPr>
          <w:p w14:paraId="382BEF8F" w14:textId="77777777" w:rsidR="003A096D" w:rsidRPr="003A096D" w:rsidRDefault="003A096D" w:rsidP="00D044E6">
            <w:pPr>
              <w:spacing w:line="240" w:lineRule="auto"/>
              <w:rPr>
                <w:rFonts w:ascii="Arial" w:hAnsi="Arial" w:cs="Arial"/>
                <w:sz w:val="22"/>
              </w:rPr>
            </w:pPr>
            <w:r w:rsidRPr="003A096D">
              <w:rPr>
                <w:rFonts w:ascii="Arial" w:hAnsi="Arial" w:cs="Arial"/>
                <w:sz w:val="22"/>
              </w:rPr>
              <w:t>DIPPES HANNA</w:t>
            </w:r>
          </w:p>
        </w:tc>
        <w:tc>
          <w:tcPr>
            <w:tcW w:w="1417" w:type="dxa"/>
            <w:hideMark/>
          </w:tcPr>
          <w:p w14:paraId="08920B5B" w14:textId="77777777" w:rsidR="003A096D" w:rsidRPr="003A096D" w:rsidRDefault="003A096D" w:rsidP="00D044E6">
            <w:pPr>
              <w:spacing w:line="240" w:lineRule="auto"/>
              <w:rPr>
                <w:rFonts w:ascii="Arial" w:hAnsi="Arial" w:cs="Arial"/>
                <w:sz w:val="22"/>
              </w:rPr>
            </w:pPr>
            <w:r w:rsidRPr="003A096D">
              <w:rPr>
                <w:rFonts w:ascii="Arial" w:hAnsi="Arial" w:cs="Arial"/>
                <w:sz w:val="22"/>
              </w:rPr>
              <w:t>Germany</w:t>
            </w:r>
          </w:p>
        </w:tc>
        <w:tc>
          <w:tcPr>
            <w:tcW w:w="1843" w:type="dxa"/>
            <w:noWrap/>
            <w:hideMark/>
          </w:tcPr>
          <w:p w14:paraId="65CA63B2"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4401231C" w14:textId="77777777" w:rsidTr="00D73490">
        <w:trPr>
          <w:trHeight w:val="765"/>
        </w:trPr>
        <w:tc>
          <w:tcPr>
            <w:tcW w:w="1555" w:type="dxa"/>
            <w:hideMark/>
          </w:tcPr>
          <w:p w14:paraId="0B0B07C7"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6936</w:t>
            </w:r>
          </w:p>
        </w:tc>
        <w:tc>
          <w:tcPr>
            <w:tcW w:w="1984" w:type="dxa"/>
            <w:hideMark/>
          </w:tcPr>
          <w:p w14:paraId="41362599"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C04C97">
              <w:rPr>
                <w:rFonts w:ascii="Arial" w:hAnsi="Arial" w:cs="Arial"/>
                <w:sz w:val="22"/>
              </w:rPr>
              <w:t>var.</w:t>
            </w:r>
            <w:r w:rsidRPr="00C627F3">
              <w:rPr>
                <w:rFonts w:ascii="Arial" w:hAnsi="Arial" w:cs="Arial"/>
                <w:i/>
                <w:iCs/>
                <w:sz w:val="22"/>
              </w:rPr>
              <w:t xml:space="preserve"> nudum (L.) Alef.</w:t>
            </w:r>
          </w:p>
        </w:tc>
        <w:tc>
          <w:tcPr>
            <w:tcW w:w="1418" w:type="dxa"/>
            <w:hideMark/>
          </w:tcPr>
          <w:p w14:paraId="554D4349" w14:textId="77777777" w:rsidR="003A096D" w:rsidRPr="003A096D" w:rsidRDefault="003A096D" w:rsidP="00D044E6">
            <w:pPr>
              <w:spacing w:line="240" w:lineRule="auto"/>
              <w:rPr>
                <w:rFonts w:ascii="Arial" w:hAnsi="Arial" w:cs="Arial"/>
                <w:sz w:val="22"/>
              </w:rPr>
            </w:pPr>
            <w:r w:rsidRPr="003A096D">
              <w:rPr>
                <w:rFonts w:ascii="Arial" w:hAnsi="Arial" w:cs="Arial"/>
                <w:sz w:val="22"/>
              </w:rPr>
              <w:t>Nackta</w:t>
            </w:r>
          </w:p>
        </w:tc>
        <w:tc>
          <w:tcPr>
            <w:tcW w:w="1417" w:type="dxa"/>
            <w:hideMark/>
          </w:tcPr>
          <w:p w14:paraId="101B2628" w14:textId="77777777" w:rsidR="003A096D" w:rsidRPr="003A096D" w:rsidRDefault="003A096D" w:rsidP="00D044E6">
            <w:pPr>
              <w:spacing w:line="240" w:lineRule="auto"/>
              <w:rPr>
                <w:rFonts w:ascii="Arial" w:hAnsi="Arial" w:cs="Arial"/>
                <w:sz w:val="22"/>
              </w:rPr>
            </w:pPr>
            <w:r w:rsidRPr="003A096D">
              <w:rPr>
                <w:rFonts w:ascii="Arial" w:hAnsi="Arial" w:cs="Arial"/>
                <w:sz w:val="22"/>
              </w:rPr>
              <w:t>Germany</w:t>
            </w:r>
          </w:p>
        </w:tc>
        <w:tc>
          <w:tcPr>
            <w:tcW w:w="1843" w:type="dxa"/>
            <w:noWrap/>
            <w:hideMark/>
          </w:tcPr>
          <w:p w14:paraId="7C938FD0"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0FDC1541" w14:textId="77777777" w:rsidTr="00D73490">
        <w:trPr>
          <w:trHeight w:val="510"/>
        </w:trPr>
        <w:tc>
          <w:tcPr>
            <w:tcW w:w="1555" w:type="dxa"/>
            <w:hideMark/>
          </w:tcPr>
          <w:p w14:paraId="7AACCF72"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2970</w:t>
            </w:r>
          </w:p>
        </w:tc>
        <w:tc>
          <w:tcPr>
            <w:tcW w:w="1984" w:type="dxa"/>
            <w:hideMark/>
          </w:tcPr>
          <w:p w14:paraId="529F464B"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C04C97">
              <w:rPr>
                <w:rFonts w:ascii="Arial" w:hAnsi="Arial" w:cs="Arial"/>
                <w:sz w:val="22"/>
              </w:rPr>
              <w:t>var.</w:t>
            </w:r>
            <w:r w:rsidRPr="00C627F3">
              <w:rPr>
                <w:rFonts w:ascii="Arial" w:hAnsi="Arial" w:cs="Arial"/>
                <w:i/>
                <w:iCs/>
                <w:sz w:val="22"/>
              </w:rPr>
              <w:t xml:space="preserve"> hybernum Viborg</w:t>
            </w:r>
          </w:p>
        </w:tc>
        <w:tc>
          <w:tcPr>
            <w:tcW w:w="1418" w:type="dxa"/>
            <w:hideMark/>
          </w:tcPr>
          <w:p w14:paraId="43588B14" w14:textId="77777777" w:rsidR="003A096D" w:rsidRPr="003A096D" w:rsidRDefault="003A096D" w:rsidP="00D044E6">
            <w:pPr>
              <w:spacing w:line="240" w:lineRule="auto"/>
              <w:rPr>
                <w:rFonts w:ascii="Arial" w:hAnsi="Arial" w:cs="Arial"/>
                <w:sz w:val="22"/>
              </w:rPr>
            </w:pPr>
            <w:r w:rsidRPr="003A096D">
              <w:rPr>
                <w:rFonts w:ascii="Arial" w:hAnsi="Arial" w:cs="Arial"/>
                <w:sz w:val="22"/>
              </w:rPr>
              <w:t>Triumph (Vierzeilig)</w:t>
            </w:r>
          </w:p>
        </w:tc>
        <w:tc>
          <w:tcPr>
            <w:tcW w:w="1417" w:type="dxa"/>
            <w:hideMark/>
          </w:tcPr>
          <w:p w14:paraId="36DC6452" w14:textId="77777777" w:rsidR="003A096D" w:rsidRPr="003A096D" w:rsidRDefault="003A096D" w:rsidP="00D044E6">
            <w:pPr>
              <w:spacing w:line="240" w:lineRule="auto"/>
              <w:rPr>
                <w:rFonts w:ascii="Arial" w:hAnsi="Arial" w:cs="Arial"/>
                <w:sz w:val="22"/>
              </w:rPr>
            </w:pPr>
            <w:r w:rsidRPr="003A096D">
              <w:rPr>
                <w:rFonts w:ascii="Arial" w:hAnsi="Arial" w:cs="Arial"/>
                <w:sz w:val="22"/>
              </w:rPr>
              <w:t>Germany (before 1945)</w:t>
            </w:r>
          </w:p>
        </w:tc>
        <w:tc>
          <w:tcPr>
            <w:tcW w:w="1843" w:type="dxa"/>
            <w:noWrap/>
            <w:hideMark/>
          </w:tcPr>
          <w:p w14:paraId="40016067"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427E4673" w14:textId="77777777" w:rsidTr="00D73490">
        <w:trPr>
          <w:trHeight w:val="765"/>
        </w:trPr>
        <w:tc>
          <w:tcPr>
            <w:tcW w:w="1555" w:type="dxa"/>
            <w:hideMark/>
          </w:tcPr>
          <w:p w14:paraId="09281D2F"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337</w:t>
            </w:r>
          </w:p>
        </w:tc>
        <w:tc>
          <w:tcPr>
            <w:tcW w:w="1984" w:type="dxa"/>
            <w:hideMark/>
          </w:tcPr>
          <w:p w14:paraId="62F43AE3"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C04C97">
              <w:rPr>
                <w:rFonts w:ascii="Arial" w:hAnsi="Arial" w:cs="Arial"/>
                <w:sz w:val="22"/>
              </w:rPr>
              <w:t>var.</w:t>
            </w:r>
            <w:r w:rsidRPr="00C627F3">
              <w:rPr>
                <w:rFonts w:ascii="Arial" w:hAnsi="Arial" w:cs="Arial"/>
                <w:i/>
                <w:iCs/>
                <w:sz w:val="22"/>
              </w:rPr>
              <w:t xml:space="preserve"> nudum (L.) Alef.</w:t>
            </w:r>
          </w:p>
        </w:tc>
        <w:tc>
          <w:tcPr>
            <w:tcW w:w="1418" w:type="dxa"/>
            <w:hideMark/>
          </w:tcPr>
          <w:p w14:paraId="4E83F3C0"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372AEC0F" w14:textId="77777777" w:rsidR="003A096D" w:rsidRPr="003A096D" w:rsidRDefault="003A096D" w:rsidP="00D044E6">
            <w:pPr>
              <w:spacing w:line="240" w:lineRule="auto"/>
              <w:rPr>
                <w:rFonts w:ascii="Arial" w:hAnsi="Arial" w:cs="Arial"/>
                <w:sz w:val="22"/>
              </w:rPr>
            </w:pPr>
            <w:r w:rsidRPr="003A096D">
              <w:rPr>
                <w:rFonts w:ascii="Arial" w:hAnsi="Arial" w:cs="Arial"/>
                <w:sz w:val="22"/>
              </w:rPr>
              <w:t>Germany (before 1945)</w:t>
            </w:r>
          </w:p>
        </w:tc>
        <w:tc>
          <w:tcPr>
            <w:tcW w:w="1843" w:type="dxa"/>
            <w:noWrap/>
            <w:hideMark/>
          </w:tcPr>
          <w:p w14:paraId="04AED717"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57CA36D9" w14:textId="77777777" w:rsidTr="00D73490">
        <w:trPr>
          <w:trHeight w:val="510"/>
        </w:trPr>
        <w:tc>
          <w:tcPr>
            <w:tcW w:w="1555" w:type="dxa"/>
            <w:hideMark/>
          </w:tcPr>
          <w:p w14:paraId="0161935B"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10990</w:t>
            </w:r>
          </w:p>
        </w:tc>
        <w:tc>
          <w:tcPr>
            <w:tcW w:w="1984" w:type="dxa"/>
            <w:hideMark/>
          </w:tcPr>
          <w:p w14:paraId="175EBAEA"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C04C97">
              <w:rPr>
                <w:rFonts w:ascii="Arial" w:hAnsi="Arial" w:cs="Arial"/>
                <w:sz w:val="22"/>
              </w:rPr>
              <w:t>var.</w:t>
            </w:r>
            <w:r w:rsidRPr="00C627F3">
              <w:rPr>
                <w:rFonts w:ascii="Arial" w:hAnsi="Arial" w:cs="Arial"/>
                <w:i/>
                <w:iCs/>
                <w:sz w:val="22"/>
              </w:rPr>
              <w:t xml:space="preserve"> hybernum Viborg</w:t>
            </w:r>
          </w:p>
        </w:tc>
        <w:tc>
          <w:tcPr>
            <w:tcW w:w="1418" w:type="dxa"/>
            <w:hideMark/>
          </w:tcPr>
          <w:p w14:paraId="283566F9"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23BC13C5" w14:textId="77777777" w:rsidR="003A096D" w:rsidRPr="003A096D" w:rsidRDefault="003A096D" w:rsidP="00D044E6">
            <w:pPr>
              <w:spacing w:line="240" w:lineRule="auto"/>
              <w:rPr>
                <w:rFonts w:ascii="Arial" w:hAnsi="Arial" w:cs="Arial"/>
                <w:sz w:val="22"/>
              </w:rPr>
            </w:pPr>
            <w:r w:rsidRPr="003A096D">
              <w:rPr>
                <w:rFonts w:ascii="Arial" w:hAnsi="Arial" w:cs="Arial"/>
                <w:sz w:val="22"/>
              </w:rPr>
              <w:t>France</w:t>
            </w:r>
          </w:p>
        </w:tc>
        <w:tc>
          <w:tcPr>
            <w:tcW w:w="1843" w:type="dxa"/>
            <w:noWrap/>
            <w:hideMark/>
          </w:tcPr>
          <w:p w14:paraId="014F3C55"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11DFD4EC" w14:textId="77777777" w:rsidTr="00D73490">
        <w:trPr>
          <w:trHeight w:val="510"/>
        </w:trPr>
        <w:tc>
          <w:tcPr>
            <w:tcW w:w="1555" w:type="dxa"/>
            <w:hideMark/>
          </w:tcPr>
          <w:p w14:paraId="03A6FA3E"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12070</w:t>
            </w:r>
          </w:p>
        </w:tc>
        <w:tc>
          <w:tcPr>
            <w:tcW w:w="1984" w:type="dxa"/>
            <w:hideMark/>
          </w:tcPr>
          <w:p w14:paraId="37DAC3DD"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C04C97">
              <w:rPr>
                <w:rFonts w:ascii="Arial" w:hAnsi="Arial" w:cs="Arial"/>
                <w:sz w:val="22"/>
              </w:rPr>
              <w:t>var.</w:t>
            </w:r>
            <w:r w:rsidRPr="00C627F3">
              <w:rPr>
                <w:rFonts w:ascii="Arial" w:hAnsi="Arial" w:cs="Arial"/>
                <w:i/>
                <w:iCs/>
                <w:sz w:val="22"/>
              </w:rPr>
              <w:t xml:space="preserve"> hybernum Viborg</w:t>
            </w:r>
          </w:p>
        </w:tc>
        <w:tc>
          <w:tcPr>
            <w:tcW w:w="1418" w:type="dxa"/>
            <w:hideMark/>
          </w:tcPr>
          <w:p w14:paraId="5E98B69F" w14:textId="77777777" w:rsidR="003A096D" w:rsidRPr="003A096D" w:rsidRDefault="003A096D" w:rsidP="00D044E6">
            <w:pPr>
              <w:spacing w:line="240" w:lineRule="auto"/>
              <w:rPr>
                <w:rFonts w:ascii="Arial" w:hAnsi="Arial" w:cs="Arial"/>
                <w:sz w:val="22"/>
              </w:rPr>
            </w:pPr>
            <w:r w:rsidRPr="003A096D">
              <w:rPr>
                <w:rFonts w:ascii="Arial" w:hAnsi="Arial" w:cs="Arial"/>
                <w:sz w:val="22"/>
              </w:rPr>
              <w:t>Iris</w:t>
            </w:r>
          </w:p>
        </w:tc>
        <w:tc>
          <w:tcPr>
            <w:tcW w:w="1417" w:type="dxa"/>
            <w:hideMark/>
          </w:tcPr>
          <w:p w14:paraId="23A2DA97" w14:textId="77777777" w:rsidR="003A096D" w:rsidRPr="003A096D" w:rsidRDefault="003A096D" w:rsidP="00D044E6">
            <w:pPr>
              <w:spacing w:line="240" w:lineRule="auto"/>
              <w:rPr>
                <w:rFonts w:ascii="Arial" w:hAnsi="Arial" w:cs="Arial"/>
                <w:sz w:val="22"/>
              </w:rPr>
            </w:pPr>
            <w:r w:rsidRPr="003A096D">
              <w:rPr>
                <w:rFonts w:ascii="Arial" w:hAnsi="Arial" w:cs="Arial"/>
                <w:sz w:val="22"/>
              </w:rPr>
              <w:t>France</w:t>
            </w:r>
          </w:p>
        </w:tc>
        <w:tc>
          <w:tcPr>
            <w:tcW w:w="1843" w:type="dxa"/>
            <w:noWrap/>
            <w:hideMark/>
          </w:tcPr>
          <w:p w14:paraId="39A88AC1"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2A5727B7" w14:textId="77777777" w:rsidTr="00D73490">
        <w:trPr>
          <w:trHeight w:val="765"/>
        </w:trPr>
        <w:tc>
          <w:tcPr>
            <w:tcW w:w="1555" w:type="dxa"/>
            <w:hideMark/>
          </w:tcPr>
          <w:p w14:paraId="52F82E29"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2637</w:t>
            </w:r>
          </w:p>
        </w:tc>
        <w:tc>
          <w:tcPr>
            <w:tcW w:w="1984" w:type="dxa"/>
            <w:hideMark/>
          </w:tcPr>
          <w:p w14:paraId="160FBF3A"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C04C97">
              <w:rPr>
                <w:rFonts w:ascii="Arial" w:hAnsi="Arial" w:cs="Arial"/>
                <w:sz w:val="22"/>
              </w:rPr>
              <w:t>var.</w:t>
            </w:r>
            <w:r w:rsidRPr="00C627F3">
              <w:rPr>
                <w:rFonts w:ascii="Arial" w:hAnsi="Arial" w:cs="Arial"/>
                <w:i/>
                <w:iCs/>
                <w:sz w:val="22"/>
              </w:rPr>
              <w:t xml:space="preserve"> nutans (Rode) Alef.</w:t>
            </w:r>
          </w:p>
        </w:tc>
        <w:tc>
          <w:tcPr>
            <w:tcW w:w="1418" w:type="dxa"/>
            <w:hideMark/>
          </w:tcPr>
          <w:p w14:paraId="7527CFDC" w14:textId="77777777" w:rsidR="003A096D" w:rsidRPr="003A096D" w:rsidRDefault="003A096D" w:rsidP="00D044E6">
            <w:pPr>
              <w:spacing w:line="240" w:lineRule="auto"/>
              <w:rPr>
                <w:rFonts w:ascii="Arial" w:hAnsi="Arial" w:cs="Arial"/>
                <w:sz w:val="22"/>
              </w:rPr>
            </w:pPr>
            <w:r w:rsidRPr="003A096D">
              <w:rPr>
                <w:rFonts w:ascii="Arial" w:hAnsi="Arial" w:cs="Arial"/>
                <w:sz w:val="22"/>
              </w:rPr>
              <w:t>Ponote</w:t>
            </w:r>
          </w:p>
        </w:tc>
        <w:tc>
          <w:tcPr>
            <w:tcW w:w="1417" w:type="dxa"/>
            <w:hideMark/>
          </w:tcPr>
          <w:p w14:paraId="135E292E" w14:textId="77777777" w:rsidR="003A096D" w:rsidRPr="003A096D" w:rsidRDefault="003A096D" w:rsidP="00D044E6">
            <w:pPr>
              <w:spacing w:line="240" w:lineRule="auto"/>
              <w:rPr>
                <w:rFonts w:ascii="Arial" w:hAnsi="Arial" w:cs="Arial"/>
                <w:sz w:val="22"/>
              </w:rPr>
            </w:pPr>
            <w:r w:rsidRPr="003A096D">
              <w:rPr>
                <w:rFonts w:ascii="Arial" w:hAnsi="Arial" w:cs="Arial"/>
                <w:sz w:val="22"/>
              </w:rPr>
              <w:t>France</w:t>
            </w:r>
          </w:p>
        </w:tc>
        <w:tc>
          <w:tcPr>
            <w:tcW w:w="1843" w:type="dxa"/>
            <w:noWrap/>
            <w:hideMark/>
          </w:tcPr>
          <w:p w14:paraId="1E5E7FBD"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46FFDA22" w14:textId="77777777" w:rsidTr="00D73490">
        <w:trPr>
          <w:trHeight w:val="510"/>
        </w:trPr>
        <w:tc>
          <w:tcPr>
            <w:tcW w:w="1555" w:type="dxa"/>
            <w:hideMark/>
          </w:tcPr>
          <w:p w14:paraId="6C9B57D7"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8819</w:t>
            </w:r>
          </w:p>
        </w:tc>
        <w:tc>
          <w:tcPr>
            <w:tcW w:w="1984" w:type="dxa"/>
            <w:hideMark/>
          </w:tcPr>
          <w:p w14:paraId="1E85D46F"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C04C97">
              <w:rPr>
                <w:rFonts w:ascii="Arial" w:hAnsi="Arial" w:cs="Arial"/>
                <w:sz w:val="22"/>
              </w:rPr>
              <w:t>var.</w:t>
            </w:r>
            <w:r w:rsidRPr="00C627F3">
              <w:rPr>
                <w:rFonts w:ascii="Arial" w:hAnsi="Arial" w:cs="Arial"/>
                <w:i/>
                <w:iCs/>
                <w:sz w:val="22"/>
              </w:rPr>
              <w:t xml:space="preserve"> coeleste L.</w:t>
            </w:r>
          </w:p>
        </w:tc>
        <w:tc>
          <w:tcPr>
            <w:tcW w:w="1418" w:type="dxa"/>
            <w:hideMark/>
          </w:tcPr>
          <w:p w14:paraId="0F336D96" w14:textId="77777777" w:rsidR="003A096D" w:rsidRPr="003A096D" w:rsidRDefault="003A096D" w:rsidP="00D044E6">
            <w:pPr>
              <w:spacing w:line="240" w:lineRule="auto"/>
              <w:rPr>
                <w:rFonts w:ascii="Arial" w:hAnsi="Arial" w:cs="Arial"/>
                <w:sz w:val="22"/>
              </w:rPr>
            </w:pPr>
            <w:r w:rsidRPr="003A096D">
              <w:rPr>
                <w:rFonts w:ascii="Arial" w:hAnsi="Arial" w:cs="Arial"/>
                <w:sz w:val="22"/>
              </w:rPr>
              <w:t>Orkisz</w:t>
            </w:r>
          </w:p>
        </w:tc>
        <w:tc>
          <w:tcPr>
            <w:tcW w:w="1417" w:type="dxa"/>
            <w:hideMark/>
          </w:tcPr>
          <w:p w14:paraId="42FFBD01" w14:textId="77777777" w:rsidR="003A096D" w:rsidRPr="003A096D" w:rsidRDefault="003A096D" w:rsidP="00D044E6">
            <w:pPr>
              <w:spacing w:line="240" w:lineRule="auto"/>
              <w:rPr>
                <w:rFonts w:ascii="Arial" w:hAnsi="Arial" w:cs="Arial"/>
                <w:sz w:val="22"/>
              </w:rPr>
            </w:pPr>
            <w:r w:rsidRPr="003A096D">
              <w:rPr>
                <w:rFonts w:ascii="Arial" w:hAnsi="Arial" w:cs="Arial"/>
                <w:sz w:val="22"/>
              </w:rPr>
              <w:t>Poland</w:t>
            </w:r>
          </w:p>
        </w:tc>
        <w:tc>
          <w:tcPr>
            <w:tcW w:w="1843" w:type="dxa"/>
            <w:noWrap/>
            <w:hideMark/>
          </w:tcPr>
          <w:p w14:paraId="68029AF7"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6CBCC348" w14:textId="77777777" w:rsidTr="00D73490">
        <w:trPr>
          <w:trHeight w:val="765"/>
        </w:trPr>
        <w:tc>
          <w:tcPr>
            <w:tcW w:w="1555" w:type="dxa"/>
            <w:hideMark/>
          </w:tcPr>
          <w:p w14:paraId="60603379"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10702</w:t>
            </w:r>
          </w:p>
        </w:tc>
        <w:tc>
          <w:tcPr>
            <w:tcW w:w="1984" w:type="dxa"/>
            <w:hideMark/>
          </w:tcPr>
          <w:p w14:paraId="65A3A317"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C04C97">
              <w:rPr>
                <w:rFonts w:ascii="Arial" w:hAnsi="Arial" w:cs="Arial"/>
                <w:sz w:val="22"/>
              </w:rPr>
              <w:t>var.</w:t>
            </w:r>
            <w:r w:rsidRPr="00C627F3">
              <w:rPr>
                <w:rFonts w:ascii="Arial" w:hAnsi="Arial" w:cs="Arial"/>
                <w:i/>
                <w:iCs/>
                <w:sz w:val="22"/>
              </w:rPr>
              <w:t xml:space="preserve"> nutans (Rode) Alef.</w:t>
            </w:r>
          </w:p>
        </w:tc>
        <w:tc>
          <w:tcPr>
            <w:tcW w:w="1418" w:type="dxa"/>
            <w:hideMark/>
          </w:tcPr>
          <w:p w14:paraId="51B4860A" w14:textId="77777777" w:rsidR="003A096D" w:rsidRPr="003A096D" w:rsidRDefault="003A096D" w:rsidP="00D044E6">
            <w:pPr>
              <w:spacing w:line="240" w:lineRule="auto"/>
              <w:rPr>
                <w:rFonts w:ascii="Arial" w:hAnsi="Arial" w:cs="Arial"/>
                <w:sz w:val="22"/>
              </w:rPr>
            </w:pPr>
            <w:r w:rsidRPr="003A096D">
              <w:rPr>
                <w:rFonts w:ascii="Arial" w:hAnsi="Arial" w:cs="Arial"/>
                <w:sz w:val="22"/>
              </w:rPr>
              <w:t>Gunnar</w:t>
            </w:r>
          </w:p>
        </w:tc>
        <w:tc>
          <w:tcPr>
            <w:tcW w:w="1417" w:type="dxa"/>
            <w:hideMark/>
          </w:tcPr>
          <w:p w14:paraId="158721ED" w14:textId="77777777" w:rsidR="003A096D" w:rsidRPr="003A096D" w:rsidRDefault="003A096D" w:rsidP="00D044E6">
            <w:pPr>
              <w:spacing w:line="240" w:lineRule="auto"/>
              <w:rPr>
                <w:rFonts w:ascii="Arial" w:hAnsi="Arial" w:cs="Arial"/>
                <w:sz w:val="22"/>
              </w:rPr>
            </w:pPr>
            <w:r w:rsidRPr="003A096D">
              <w:rPr>
                <w:rFonts w:ascii="Arial" w:hAnsi="Arial" w:cs="Arial"/>
                <w:sz w:val="22"/>
              </w:rPr>
              <w:t>Sweden</w:t>
            </w:r>
          </w:p>
        </w:tc>
        <w:tc>
          <w:tcPr>
            <w:tcW w:w="1843" w:type="dxa"/>
            <w:noWrap/>
            <w:hideMark/>
          </w:tcPr>
          <w:p w14:paraId="7C2D30F9"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55DEAB48" w14:textId="77777777" w:rsidTr="00D73490">
        <w:trPr>
          <w:trHeight w:val="765"/>
        </w:trPr>
        <w:tc>
          <w:tcPr>
            <w:tcW w:w="1555" w:type="dxa"/>
            <w:hideMark/>
          </w:tcPr>
          <w:p w14:paraId="209C80B1"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4653</w:t>
            </w:r>
          </w:p>
        </w:tc>
        <w:tc>
          <w:tcPr>
            <w:tcW w:w="1984" w:type="dxa"/>
            <w:hideMark/>
          </w:tcPr>
          <w:p w14:paraId="2F01D08E"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C04C97">
              <w:rPr>
                <w:rFonts w:ascii="Arial" w:hAnsi="Arial" w:cs="Arial"/>
                <w:sz w:val="22"/>
              </w:rPr>
              <w:t>var.</w:t>
            </w:r>
            <w:r w:rsidRPr="00C627F3">
              <w:rPr>
                <w:rFonts w:ascii="Arial" w:hAnsi="Arial" w:cs="Arial"/>
                <w:i/>
                <w:iCs/>
                <w:sz w:val="22"/>
              </w:rPr>
              <w:t xml:space="preserve"> nutans (Rode) Alef.</w:t>
            </w:r>
          </w:p>
        </w:tc>
        <w:tc>
          <w:tcPr>
            <w:tcW w:w="1418" w:type="dxa"/>
            <w:hideMark/>
          </w:tcPr>
          <w:p w14:paraId="73AAB1A6" w14:textId="77777777" w:rsidR="003A096D" w:rsidRPr="003A096D" w:rsidRDefault="003A096D" w:rsidP="00D044E6">
            <w:pPr>
              <w:spacing w:line="240" w:lineRule="auto"/>
              <w:rPr>
                <w:rFonts w:ascii="Arial" w:hAnsi="Arial" w:cs="Arial"/>
                <w:sz w:val="22"/>
              </w:rPr>
            </w:pPr>
            <w:r w:rsidRPr="003A096D">
              <w:rPr>
                <w:rFonts w:ascii="Arial" w:hAnsi="Arial" w:cs="Arial"/>
                <w:sz w:val="22"/>
              </w:rPr>
              <w:t>Midas</w:t>
            </w:r>
          </w:p>
        </w:tc>
        <w:tc>
          <w:tcPr>
            <w:tcW w:w="1417" w:type="dxa"/>
            <w:hideMark/>
          </w:tcPr>
          <w:p w14:paraId="766E13E1" w14:textId="77777777" w:rsidR="003A096D" w:rsidRPr="003A096D" w:rsidRDefault="003A096D" w:rsidP="00D044E6">
            <w:pPr>
              <w:spacing w:line="240" w:lineRule="auto"/>
              <w:rPr>
                <w:rFonts w:ascii="Arial" w:hAnsi="Arial" w:cs="Arial"/>
                <w:sz w:val="22"/>
              </w:rPr>
            </w:pPr>
            <w:r w:rsidRPr="003A096D">
              <w:rPr>
                <w:rFonts w:ascii="Arial" w:hAnsi="Arial" w:cs="Arial"/>
                <w:sz w:val="22"/>
              </w:rPr>
              <w:t>UK</w:t>
            </w:r>
          </w:p>
        </w:tc>
        <w:tc>
          <w:tcPr>
            <w:tcW w:w="1843" w:type="dxa"/>
            <w:noWrap/>
            <w:hideMark/>
          </w:tcPr>
          <w:p w14:paraId="77FD9233"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725CC44E" w14:textId="77777777" w:rsidTr="00D73490">
        <w:trPr>
          <w:trHeight w:val="300"/>
        </w:trPr>
        <w:tc>
          <w:tcPr>
            <w:tcW w:w="1555" w:type="dxa"/>
            <w:hideMark/>
          </w:tcPr>
          <w:p w14:paraId="5A5DD3A1" w14:textId="77777777" w:rsidR="003A096D" w:rsidRPr="003A096D" w:rsidRDefault="003A096D" w:rsidP="00D044E6">
            <w:pPr>
              <w:spacing w:line="240" w:lineRule="auto"/>
              <w:rPr>
                <w:rFonts w:ascii="Arial" w:hAnsi="Arial" w:cs="Arial"/>
                <w:sz w:val="22"/>
              </w:rPr>
            </w:pPr>
            <w:r w:rsidRPr="003A096D">
              <w:rPr>
                <w:rFonts w:ascii="Arial" w:hAnsi="Arial" w:cs="Arial"/>
                <w:sz w:val="22"/>
              </w:rPr>
              <w:t>**KWS Fantex</w:t>
            </w:r>
          </w:p>
        </w:tc>
        <w:tc>
          <w:tcPr>
            <w:tcW w:w="1984" w:type="dxa"/>
            <w:hideMark/>
          </w:tcPr>
          <w:p w14:paraId="5C8CA599"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1AB9BDD2" w14:textId="77777777" w:rsidR="003A096D" w:rsidRPr="003A096D" w:rsidRDefault="003A096D" w:rsidP="00D044E6">
            <w:pPr>
              <w:spacing w:line="240" w:lineRule="auto"/>
              <w:rPr>
                <w:rFonts w:ascii="Arial" w:hAnsi="Arial" w:cs="Arial"/>
                <w:sz w:val="22"/>
              </w:rPr>
            </w:pPr>
            <w:r w:rsidRPr="003A096D">
              <w:rPr>
                <w:rFonts w:ascii="Arial" w:hAnsi="Arial" w:cs="Arial"/>
                <w:sz w:val="22"/>
              </w:rPr>
              <w:t>KWS Fantex</w:t>
            </w:r>
          </w:p>
        </w:tc>
        <w:tc>
          <w:tcPr>
            <w:tcW w:w="1417" w:type="dxa"/>
            <w:hideMark/>
          </w:tcPr>
          <w:p w14:paraId="62B3CF98" w14:textId="77777777" w:rsidR="003A096D" w:rsidRPr="003A096D" w:rsidRDefault="003A096D" w:rsidP="00D044E6">
            <w:pPr>
              <w:spacing w:line="240" w:lineRule="auto"/>
              <w:rPr>
                <w:rFonts w:ascii="Arial" w:hAnsi="Arial" w:cs="Arial"/>
                <w:sz w:val="22"/>
              </w:rPr>
            </w:pPr>
            <w:r w:rsidRPr="003A096D">
              <w:rPr>
                <w:rFonts w:ascii="Arial" w:hAnsi="Arial" w:cs="Arial"/>
                <w:sz w:val="22"/>
              </w:rPr>
              <w:t>Europe</w:t>
            </w:r>
          </w:p>
        </w:tc>
        <w:tc>
          <w:tcPr>
            <w:tcW w:w="1843" w:type="dxa"/>
            <w:noWrap/>
            <w:hideMark/>
          </w:tcPr>
          <w:p w14:paraId="272FDDCD" w14:textId="77777777" w:rsidR="003A096D" w:rsidRPr="003A096D" w:rsidRDefault="003A096D" w:rsidP="00D044E6">
            <w:pPr>
              <w:spacing w:line="240" w:lineRule="auto"/>
              <w:rPr>
                <w:rFonts w:ascii="Arial" w:hAnsi="Arial" w:cs="Arial"/>
                <w:sz w:val="22"/>
              </w:rPr>
            </w:pPr>
            <w:r w:rsidRPr="003A096D">
              <w:rPr>
                <w:rFonts w:ascii="Arial" w:hAnsi="Arial" w:cs="Arial"/>
                <w:sz w:val="22"/>
              </w:rPr>
              <w:t>KWS SB modern variety</w:t>
            </w:r>
          </w:p>
        </w:tc>
      </w:tr>
      <w:tr w:rsidR="003A096D" w:rsidRPr="003A096D" w14:paraId="69B02B36" w14:textId="77777777" w:rsidTr="00D73490">
        <w:trPr>
          <w:trHeight w:val="300"/>
        </w:trPr>
        <w:tc>
          <w:tcPr>
            <w:tcW w:w="1555" w:type="dxa"/>
            <w:hideMark/>
          </w:tcPr>
          <w:p w14:paraId="6BE3E56F" w14:textId="77777777" w:rsidR="003A096D" w:rsidRPr="003A096D" w:rsidRDefault="003A096D" w:rsidP="00D044E6">
            <w:pPr>
              <w:spacing w:line="240" w:lineRule="auto"/>
              <w:rPr>
                <w:rFonts w:ascii="Arial" w:hAnsi="Arial" w:cs="Arial"/>
                <w:sz w:val="22"/>
              </w:rPr>
            </w:pPr>
            <w:r w:rsidRPr="003A096D">
              <w:rPr>
                <w:rFonts w:ascii="Arial" w:hAnsi="Arial" w:cs="Arial"/>
                <w:sz w:val="22"/>
              </w:rPr>
              <w:t>**KWS Chrissie</w:t>
            </w:r>
          </w:p>
        </w:tc>
        <w:tc>
          <w:tcPr>
            <w:tcW w:w="1984" w:type="dxa"/>
            <w:hideMark/>
          </w:tcPr>
          <w:p w14:paraId="20E5D254"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2BC2B5DC" w14:textId="77777777" w:rsidR="003A096D" w:rsidRPr="003A096D" w:rsidRDefault="003A096D" w:rsidP="00D044E6">
            <w:pPr>
              <w:spacing w:line="240" w:lineRule="auto"/>
              <w:rPr>
                <w:rFonts w:ascii="Arial" w:hAnsi="Arial" w:cs="Arial"/>
                <w:sz w:val="22"/>
              </w:rPr>
            </w:pPr>
            <w:r w:rsidRPr="003A096D">
              <w:rPr>
                <w:rFonts w:ascii="Arial" w:hAnsi="Arial" w:cs="Arial"/>
                <w:sz w:val="22"/>
              </w:rPr>
              <w:t>KWS Chrissie</w:t>
            </w:r>
          </w:p>
        </w:tc>
        <w:tc>
          <w:tcPr>
            <w:tcW w:w="1417" w:type="dxa"/>
            <w:hideMark/>
          </w:tcPr>
          <w:p w14:paraId="67C78E7D" w14:textId="77777777" w:rsidR="003A096D" w:rsidRPr="003A096D" w:rsidRDefault="003A096D" w:rsidP="00D044E6">
            <w:pPr>
              <w:spacing w:line="240" w:lineRule="auto"/>
              <w:rPr>
                <w:rFonts w:ascii="Arial" w:hAnsi="Arial" w:cs="Arial"/>
                <w:sz w:val="22"/>
              </w:rPr>
            </w:pPr>
            <w:r w:rsidRPr="003A096D">
              <w:rPr>
                <w:rFonts w:ascii="Arial" w:hAnsi="Arial" w:cs="Arial"/>
                <w:sz w:val="22"/>
              </w:rPr>
              <w:t>Europe</w:t>
            </w:r>
          </w:p>
        </w:tc>
        <w:tc>
          <w:tcPr>
            <w:tcW w:w="1843" w:type="dxa"/>
            <w:noWrap/>
            <w:hideMark/>
          </w:tcPr>
          <w:p w14:paraId="6DB23BE1" w14:textId="77777777" w:rsidR="003A096D" w:rsidRPr="003A096D" w:rsidRDefault="003A096D" w:rsidP="00D044E6">
            <w:pPr>
              <w:spacing w:line="240" w:lineRule="auto"/>
              <w:rPr>
                <w:rFonts w:ascii="Arial" w:hAnsi="Arial" w:cs="Arial"/>
                <w:sz w:val="22"/>
              </w:rPr>
            </w:pPr>
            <w:r w:rsidRPr="003A096D">
              <w:rPr>
                <w:rFonts w:ascii="Arial" w:hAnsi="Arial" w:cs="Arial"/>
                <w:sz w:val="22"/>
              </w:rPr>
              <w:t>KWS SB modern variety</w:t>
            </w:r>
          </w:p>
        </w:tc>
      </w:tr>
      <w:tr w:rsidR="003A096D" w:rsidRPr="003A096D" w14:paraId="4C7E6E96" w14:textId="77777777" w:rsidTr="00D73490">
        <w:trPr>
          <w:trHeight w:val="300"/>
        </w:trPr>
        <w:tc>
          <w:tcPr>
            <w:tcW w:w="1555" w:type="dxa"/>
            <w:hideMark/>
          </w:tcPr>
          <w:p w14:paraId="267695DA" w14:textId="77777777" w:rsidR="003A096D" w:rsidRPr="003A096D" w:rsidRDefault="003A096D" w:rsidP="00D044E6">
            <w:pPr>
              <w:spacing w:line="240" w:lineRule="auto"/>
              <w:rPr>
                <w:rFonts w:ascii="Arial" w:hAnsi="Arial" w:cs="Arial"/>
                <w:sz w:val="22"/>
              </w:rPr>
            </w:pPr>
            <w:r w:rsidRPr="003A096D">
              <w:rPr>
                <w:rFonts w:ascii="Arial" w:hAnsi="Arial" w:cs="Arial"/>
                <w:sz w:val="22"/>
              </w:rPr>
              <w:lastRenderedPageBreak/>
              <w:t>KWS 17/2942</w:t>
            </w:r>
          </w:p>
        </w:tc>
        <w:tc>
          <w:tcPr>
            <w:tcW w:w="1984" w:type="dxa"/>
            <w:hideMark/>
          </w:tcPr>
          <w:p w14:paraId="2E5FA0DE"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25AB21DE" w14:textId="53B9DD59" w:rsidR="003A096D" w:rsidRPr="003A096D" w:rsidRDefault="00BD1E5C" w:rsidP="00D044E6">
            <w:pPr>
              <w:spacing w:line="240" w:lineRule="auto"/>
              <w:rPr>
                <w:rFonts w:ascii="Arial" w:hAnsi="Arial" w:cs="Arial"/>
                <w:sz w:val="22"/>
              </w:rPr>
            </w:pPr>
            <w:r>
              <w:rPr>
                <w:rFonts w:ascii="Arial" w:hAnsi="Arial" w:cs="Arial"/>
                <w:sz w:val="22"/>
              </w:rPr>
              <w:t>KWS Thalis</w:t>
            </w:r>
          </w:p>
        </w:tc>
        <w:tc>
          <w:tcPr>
            <w:tcW w:w="1417" w:type="dxa"/>
            <w:hideMark/>
          </w:tcPr>
          <w:p w14:paraId="313F047C" w14:textId="77777777" w:rsidR="003A096D" w:rsidRPr="003A096D" w:rsidRDefault="003A096D" w:rsidP="00D044E6">
            <w:pPr>
              <w:spacing w:line="240" w:lineRule="auto"/>
              <w:rPr>
                <w:rFonts w:ascii="Arial" w:hAnsi="Arial" w:cs="Arial"/>
                <w:sz w:val="22"/>
              </w:rPr>
            </w:pPr>
            <w:r w:rsidRPr="003A096D">
              <w:rPr>
                <w:rFonts w:ascii="Arial" w:hAnsi="Arial" w:cs="Arial"/>
                <w:sz w:val="22"/>
              </w:rPr>
              <w:t>Europe</w:t>
            </w:r>
          </w:p>
        </w:tc>
        <w:tc>
          <w:tcPr>
            <w:tcW w:w="1843" w:type="dxa"/>
            <w:noWrap/>
            <w:hideMark/>
          </w:tcPr>
          <w:p w14:paraId="599BE3C9" w14:textId="77777777" w:rsidR="003A096D" w:rsidRPr="003A096D" w:rsidRDefault="003A096D" w:rsidP="00D044E6">
            <w:pPr>
              <w:spacing w:line="240" w:lineRule="auto"/>
              <w:rPr>
                <w:rFonts w:ascii="Arial" w:hAnsi="Arial" w:cs="Arial"/>
                <w:sz w:val="22"/>
              </w:rPr>
            </w:pPr>
            <w:r w:rsidRPr="003A096D">
              <w:rPr>
                <w:rFonts w:ascii="Arial" w:hAnsi="Arial" w:cs="Arial"/>
                <w:sz w:val="22"/>
              </w:rPr>
              <w:t>KWS SB advanced breeding line</w:t>
            </w:r>
          </w:p>
        </w:tc>
      </w:tr>
      <w:tr w:rsidR="003A096D" w:rsidRPr="003A096D" w14:paraId="1FF9F21B" w14:textId="77777777" w:rsidTr="00D73490">
        <w:trPr>
          <w:trHeight w:val="300"/>
        </w:trPr>
        <w:tc>
          <w:tcPr>
            <w:tcW w:w="1555" w:type="dxa"/>
            <w:hideMark/>
          </w:tcPr>
          <w:p w14:paraId="29653ECB" w14:textId="77777777" w:rsidR="003A096D" w:rsidRPr="003A096D" w:rsidRDefault="003A096D" w:rsidP="00D044E6">
            <w:pPr>
              <w:spacing w:line="240" w:lineRule="auto"/>
              <w:rPr>
                <w:rFonts w:ascii="Arial" w:hAnsi="Arial" w:cs="Arial"/>
                <w:sz w:val="22"/>
              </w:rPr>
            </w:pPr>
            <w:r w:rsidRPr="003A096D">
              <w:rPr>
                <w:rFonts w:ascii="Arial" w:hAnsi="Arial" w:cs="Arial"/>
                <w:sz w:val="22"/>
              </w:rPr>
              <w:t>RGT Planet</w:t>
            </w:r>
          </w:p>
        </w:tc>
        <w:tc>
          <w:tcPr>
            <w:tcW w:w="1984" w:type="dxa"/>
            <w:hideMark/>
          </w:tcPr>
          <w:p w14:paraId="2C26C478"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664BF773" w14:textId="77777777" w:rsidR="003A096D" w:rsidRPr="003A096D" w:rsidRDefault="003A096D" w:rsidP="00D044E6">
            <w:pPr>
              <w:spacing w:line="240" w:lineRule="auto"/>
              <w:rPr>
                <w:rFonts w:ascii="Arial" w:hAnsi="Arial" w:cs="Arial"/>
                <w:sz w:val="22"/>
              </w:rPr>
            </w:pPr>
            <w:r w:rsidRPr="003A096D">
              <w:rPr>
                <w:rFonts w:ascii="Arial" w:hAnsi="Arial" w:cs="Arial"/>
                <w:sz w:val="22"/>
              </w:rPr>
              <w:t>RGT Planet</w:t>
            </w:r>
          </w:p>
        </w:tc>
        <w:tc>
          <w:tcPr>
            <w:tcW w:w="1417" w:type="dxa"/>
            <w:hideMark/>
          </w:tcPr>
          <w:p w14:paraId="0B60D80A" w14:textId="77777777" w:rsidR="003A096D" w:rsidRPr="003A096D" w:rsidRDefault="003A096D" w:rsidP="00D044E6">
            <w:pPr>
              <w:spacing w:line="240" w:lineRule="auto"/>
              <w:rPr>
                <w:rFonts w:ascii="Arial" w:hAnsi="Arial" w:cs="Arial"/>
                <w:sz w:val="22"/>
              </w:rPr>
            </w:pPr>
            <w:r w:rsidRPr="003A096D">
              <w:rPr>
                <w:rFonts w:ascii="Arial" w:hAnsi="Arial" w:cs="Arial"/>
                <w:sz w:val="22"/>
              </w:rPr>
              <w:t>Europe</w:t>
            </w:r>
          </w:p>
        </w:tc>
        <w:tc>
          <w:tcPr>
            <w:tcW w:w="1843" w:type="dxa"/>
            <w:noWrap/>
            <w:hideMark/>
          </w:tcPr>
          <w:p w14:paraId="1D4CA245" w14:textId="77777777" w:rsidR="003A096D" w:rsidRPr="003A096D" w:rsidRDefault="003A096D" w:rsidP="00D044E6">
            <w:pPr>
              <w:spacing w:line="240" w:lineRule="auto"/>
              <w:rPr>
                <w:rFonts w:ascii="Arial" w:hAnsi="Arial" w:cs="Arial"/>
                <w:sz w:val="22"/>
              </w:rPr>
            </w:pPr>
            <w:r w:rsidRPr="003A096D">
              <w:rPr>
                <w:rFonts w:ascii="Arial" w:hAnsi="Arial" w:cs="Arial"/>
                <w:sz w:val="22"/>
              </w:rPr>
              <w:t>RAGT SB modern variety</w:t>
            </w:r>
          </w:p>
        </w:tc>
      </w:tr>
      <w:tr w:rsidR="003A096D" w:rsidRPr="003A096D" w14:paraId="5ACE25C6" w14:textId="77777777" w:rsidTr="00D73490">
        <w:trPr>
          <w:trHeight w:val="300"/>
        </w:trPr>
        <w:tc>
          <w:tcPr>
            <w:tcW w:w="1555" w:type="dxa"/>
            <w:hideMark/>
          </w:tcPr>
          <w:p w14:paraId="52C9C2C2" w14:textId="77777777" w:rsidR="003A096D" w:rsidRPr="003A096D" w:rsidRDefault="003A096D" w:rsidP="00D044E6">
            <w:pPr>
              <w:spacing w:line="240" w:lineRule="auto"/>
              <w:rPr>
                <w:rFonts w:ascii="Arial" w:hAnsi="Arial" w:cs="Arial"/>
                <w:sz w:val="22"/>
              </w:rPr>
            </w:pPr>
            <w:r w:rsidRPr="003A096D">
              <w:rPr>
                <w:rFonts w:ascii="Arial" w:hAnsi="Arial" w:cs="Arial"/>
                <w:sz w:val="22"/>
              </w:rPr>
              <w:t>Lauréate</w:t>
            </w:r>
          </w:p>
        </w:tc>
        <w:tc>
          <w:tcPr>
            <w:tcW w:w="1984" w:type="dxa"/>
            <w:hideMark/>
          </w:tcPr>
          <w:p w14:paraId="21417B39"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6820FF03" w14:textId="77777777" w:rsidR="003A096D" w:rsidRPr="003A096D" w:rsidRDefault="003A096D" w:rsidP="00D044E6">
            <w:pPr>
              <w:spacing w:line="240" w:lineRule="auto"/>
              <w:rPr>
                <w:rFonts w:ascii="Arial" w:hAnsi="Arial" w:cs="Arial"/>
                <w:sz w:val="22"/>
              </w:rPr>
            </w:pPr>
            <w:r w:rsidRPr="003A096D">
              <w:rPr>
                <w:rFonts w:ascii="Arial" w:hAnsi="Arial" w:cs="Arial"/>
                <w:sz w:val="22"/>
              </w:rPr>
              <w:t>Lauréate</w:t>
            </w:r>
          </w:p>
        </w:tc>
        <w:tc>
          <w:tcPr>
            <w:tcW w:w="1417" w:type="dxa"/>
            <w:hideMark/>
          </w:tcPr>
          <w:p w14:paraId="54E416F7" w14:textId="77777777" w:rsidR="003A096D" w:rsidRPr="003A096D" w:rsidRDefault="003A096D" w:rsidP="00D044E6">
            <w:pPr>
              <w:spacing w:line="240" w:lineRule="auto"/>
              <w:rPr>
                <w:rFonts w:ascii="Arial" w:hAnsi="Arial" w:cs="Arial"/>
                <w:sz w:val="22"/>
              </w:rPr>
            </w:pPr>
            <w:r w:rsidRPr="003A096D">
              <w:rPr>
                <w:rFonts w:ascii="Arial" w:hAnsi="Arial" w:cs="Arial"/>
                <w:sz w:val="22"/>
              </w:rPr>
              <w:t>Europe</w:t>
            </w:r>
          </w:p>
        </w:tc>
        <w:tc>
          <w:tcPr>
            <w:tcW w:w="1843" w:type="dxa"/>
            <w:noWrap/>
            <w:hideMark/>
          </w:tcPr>
          <w:p w14:paraId="4D51EBC1" w14:textId="77777777" w:rsidR="003A096D" w:rsidRPr="003A096D" w:rsidRDefault="003A096D" w:rsidP="00D044E6">
            <w:pPr>
              <w:spacing w:line="240" w:lineRule="auto"/>
              <w:rPr>
                <w:rFonts w:ascii="Arial" w:hAnsi="Arial" w:cs="Arial"/>
                <w:sz w:val="22"/>
              </w:rPr>
            </w:pPr>
            <w:r w:rsidRPr="003A096D">
              <w:rPr>
                <w:rFonts w:ascii="Arial" w:hAnsi="Arial" w:cs="Arial"/>
                <w:sz w:val="22"/>
              </w:rPr>
              <w:t>Syngenta SB modern variety</w:t>
            </w:r>
          </w:p>
        </w:tc>
      </w:tr>
      <w:tr w:rsidR="003A096D" w:rsidRPr="003A096D" w14:paraId="74A325D8" w14:textId="77777777" w:rsidTr="00D73490">
        <w:trPr>
          <w:trHeight w:val="300"/>
        </w:trPr>
        <w:tc>
          <w:tcPr>
            <w:tcW w:w="1555" w:type="dxa"/>
            <w:hideMark/>
          </w:tcPr>
          <w:p w14:paraId="318C14E4" w14:textId="77777777" w:rsidR="003A096D" w:rsidRPr="003A096D" w:rsidRDefault="003A096D" w:rsidP="00D044E6">
            <w:pPr>
              <w:spacing w:line="240" w:lineRule="auto"/>
              <w:rPr>
                <w:rFonts w:ascii="Arial" w:hAnsi="Arial" w:cs="Arial"/>
                <w:sz w:val="22"/>
              </w:rPr>
            </w:pPr>
            <w:r w:rsidRPr="003A096D">
              <w:rPr>
                <w:rFonts w:ascii="Arial" w:hAnsi="Arial" w:cs="Arial"/>
                <w:sz w:val="22"/>
              </w:rPr>
              <w:t>Fandaga</w:t>
            </w:r>
          </w:p>
        </w:tc>
        <w:tc>
          <w:tcPr>
            <w:tcW w:w="1984" w:type="dxa"/>
            <w:hideMark/>
          </w:tcPr>
          <w:p w14:paraId="660A413F"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32760699" w14:textId="77777777" w:rsidR="003A096D" w:rsidRPr="003A096D" w:rsidRDefault="003A096D" w:rsidP="00D044E6">
            <w:pPr>
              <w:spacing w:line="240" w:lineRule="auto"/>
              <w:rPr>
                <w:rFonts w:ascii="Arial" w:hAnsi="Arial" w:cs="Arial"/>
                <w:sz w:val="22"/>
              </w:rPr>
            </w:pPr>
            <w:r w:rsidRPr="003A096D">
              <w:rPr>
                <w:rFonts w:ascii="Arial" w:hAnsi="Arial" w:cs="Arial"/>
                <w:sz w:val="22"/>
              </w:rPr>
              <w:t>Fandaga</w:t>
            </w:r>
          </w:p>
        </w:tc>
        <w:tc>
          <w:tcPr>
            <w:tcW w:w="1417" w:type="dxa"/>
            <w:hideMark/>
          </w:tcPr>
          <w:p w14:paraId="74E7E6F5" w14:textId="77777777" w:rsidR="003A096D" w:rsidRPr="003A096D" w:rsidRDefault="003A096D" w:rsidP="00D044E6">
            <w:pPr>
              <w:spacing w:line="240" w:lineRule="auto"/>
              <w:rPr>
                <w:rFonts w:ascii="Arial" w:hAnsi="Arial" w:cs="Arial"/>
                <w:sz w:val="22"/>
              </w:rPr>
            </w:pPr>
            <w:r w:rsidRPr="003A096D">
              <w:rPr>
                <w:rFonts w:ascii="Arial" w:hAnsi="Arial" w:cs="Arial"/>
                <w:sz w:val="22"/>
              </w:rPr>
              <w:t>Europe</w:t>
            </w:r>
          </w:p>
        </w:tc>
        <w:tc>
          <w:tcPr>
            <w:tcW w:w="1843" w:type="dxa"/>
            <w:noWrap/>
            <w:hideMark/>
          </w:tcPr>
          <w:p w14:paraId="7F943ADD" w14:textId="77777777" w:rsidR="003A096D" w:rsidRPr="003A096D" w:rsidRDefault="003A096D" w:rsidP="00D044E6">
            <w:pPr>
              <w:spacing w:line="240" w:lineRule="auto"/>
              <w:rPr>
                <w:rFonts w:ascii="Arial" w:hAnsi="Arial" w:cs="Arial"/>
                <w:sz w:val="22"/>
              </w:rPr>
            </w:pPr>
            <w:r w:rsidRPr="003A096D">
              <w:rPr>
                <w:rFonts w:ascii="Arial" w:hAnsi="Arial" w:cs="Arial"/>
                <w:sz w:val="22"/>
              </w:rPr>
              <w:t>Saaten-Union SB modern variety</w:t>
            </w:r>
          </w:p>
        </w:tc>
      </w:tr>
      <w:tr w:rsidR="003A096D" w:rsidRPr="003A096D" w14:paraId="7D9DD8CB" w14:textId="77777777" w:rsidTr="00D73490">
        <w:trPr>
          <w:trHeight w:val="300"/>
        </w:trPr>
        <w:tc>
          <w:tcPr>
            <w:tcW w:w="1555" w:type="dxa"/>
            <w:hideMark/>
          </w:tcPr>
          <w:p w14:paraId="31EFCF86" w14:textId="77777777" w:rsidR="003A096D" w:rsidRPr="003A096D" w:rsidRDefault="003A096D" w:rsidP="00D044E6">
            <w:pPr>
              <w:spacing w:line="240" w:lineRule="auto"/>
              <w:rPr>
                <w:rFonts w:ascii="Arial" w:hAnsi="Arial" w:cs="Arial"/>
                <w:sz w:val="22"/>
              </w:rPr>
            </w:pPr>
            <w:r w:rsidRPr="003A096D">
              <w:rPr>
                <w:rFonts w:ascii="Arial" w:hAnsi="Arial" w:cs="Arial"/>
                <w:sz w:val="22"/>
              </w:rPr>
              <w:t>LG Tosca</w:t>
            </w:r>
          </w:p>
        </w:tc>
        <w:tc>
          <w:tcPr>
            <w:tcW w:w="1984" w:type="dxa"/>
            <w:hideMark/>
          </w:tcPr>
          <w:p w14:paraId="57F90B7D"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083AA304" w14:textId="77777777" w:rsidR="003A096D" w:rsidRPr="003A096D" w:rsidRDefault="003A096D" w:rsidP="00D044E6">
            <w:pPr>
              <w:spacing w:line="240" w:lineRule="auto"/>
              <w:rPr>
                <w:rFonts w:ascii="Arial" w:hAnsi="Arial" w:cs="Arial"/>
                <w:sz w:val="22"/>
              </w:rPr>
            </w:pPr>
            <w:r w:rsidRPr="003A096D">
              <w:rPr>
                <w:rFonts w:ascii="Arial" w:hAnsi="Arial" w:cs="Arial"/>
                <w:sz w:val="22"/>
              </w:rPr>
              <w:t>LG Tosca</w:t>
            </w:r>
          </w:p>
        </w:tc>
        <w:tc>
          <w:tcPr>
            <w:tcW w:w="1417" w:type="dxa"/>
            <w:hideMark/>
          </w:tcPr>
          <w:p w14:paraId="4C8C7372" w14:textId="77777777" w:rsidR="003A096D" w:rsidRPr="003A096D" w:rsidRDefault="003A096D" w:rsidP="00D044E6">
            <w:pPr>
              <w:spacing w:line="240" w:lineRule="auto"/>
              <w:rPr>
                <w:rFonts w:ascii="Arial" w:hAnsi="Arial" w:cs="Arial"/>
                <w:sz w:val="22"/>
              </w:rPr>
            </w:pPr>
            <w:r w:rsidRPr="003A096D">
              <w:rPr>
                <w:rFonts w:ascii="Arial" w:hAnsi="Arial" w:cs="Arial"/>
                <w:sz w:val="22"/>
              </w:rPr>
              <w:t>Europe</w:t>
            </w:r>
          </w:p>
        </w:tc>
        <w:tc>
          <w:tcPr>
            <w:tcW w:w="1843" w:type="dxa"/>
            <w:noWrap/>
            <w:hideMark/>
          </w:tcPr>
          <w:p w14:paraId="4335AF96" w14:textId="77777777" w:rsidR="003A096D" w:rsidRPr="003A096D" w:rsidRDefault="003A096D" w:rsidP="00D044E6">
            <w:pPr>
              <w:spacing w:line="240" w:lineRule="auto"/>
              <w:rPr>
                <w:rFonts w:ascii="Arial" w:hAnsi="Arial" w:cs="Arial"/>
                <w:sz w:val="22"/>
              </w:rPr>
            </w:pPr>
            <w:r w:rsidRPr="003A096D">
              <w:rPr>
                <w:rFonts w:ascii="Arial" w:hAnsi="Arial" w:cs="Arial"/>
                <w:sz w:val="22"/>
              </w:rPr>
              <w:t>Limagrain SB modern variety</w:t>
            </w:r>
          </w:p>
        </w:tc>
      </w:tr>
      <w:tr w:rsidR="003A096D" w:rsidRPr="003A096D" w14:paraId="61A31194" w14:textId="77777777" w:rsidTr="00D73490">
        <w:trPr>
          <w:trHeight w:val="300"/>
        </w:trPr>
        <w:tc>
          <w:tcPr>
            <w:tcW w:w="1555" w:type="dxa"/>
            <w:hideMark/>
          </w:tcPr>
          <w:p w14:paraId="2B92D2A4" w14:textId="77777777" w:rsidR="003A096D" w:rsidRPr="003A096D" w:rsidRDefault="003A096D" w:rsidP="00D044E6">
            <w:pPr>
              <w:spacing w:line="240" w:lineRule="auto"/>
              <w:rPr>
                <w:rFonts w:ascii="Arial" w:hAnsi="Arial" w:cs="Arial"/>
                <w:sz w:val="22"/>
              </w:rPr>
            </w:pPr>
            <w:r w:rsidRPr="003A096D">
              <w:rPr>
                <w:rFonts w:ascii="Arial" w:hAnsi="Arial" w:cs="Arial"/>
                <w:sz w:val="22"/>
              </w:rPr>
              <w:t>Concerto</w:t>
            </w:r>
          </w:p>
        </w:tc>
        <w:tc>
          <w:tcPr>
            <w:tcW w:w="1984" w:type="dxa"/>
            <w:hideMark/>
          </w:tcPr>
          <w:p w14:paraId="3AA7B0D3"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4E3760EC" w14:textId="77777777" w:rsidR="003A096D" w:rsidRPr="003A096D" w:rsidRDefault="003A096D" w:rsidP="00D044E6">
            <w:pPr>
              <w:spacing w:line="240" w:lineRule="auto"/>
              <w:rPr>
                <w:rFonts w:ascii="Arial" w:hAnsi="Arial" w:cs="Arial"/>
                <w:sz w:val="22"/>
              </w:rPr>
            </w:pPr>
            <w:r w:rsidRPr="003A096D">
              <w:rPr>
                <w:rFonts w:ascii="Arial" w:hAnsi="Arial" w:cs="Arial"/>
                <w:sz w:val="22"/>
              </w:rPr>
              <w:t>Concerto</w:t>
            </w:r>
          </w:p>
        </w:tc>
        <w:tc>
          <w:tcPr>
            <w:tcW w:w="1417" w:type="dxa"/>
            <w:hideMark/>
          </w:tcPr>
          <w:p w14:paraId="3D8E2882" w14:textId="77777777" w:rsidR="003A096D" w:rsidRPr="003A096D" w:rsidRDefault="003A096D" w:rsidP="00D044E6">
            <w:pPr>
              <w:spacing w:line="240" w:lineRule="auto"/>
              <w:rPr>
                <w:rFonts w:ascii="Arial" w:hAnsi="Arial" w:cs="Arial"/>
                <w:sz w:val="22"/>
              </w:rPr>
            </w:pPr>
            <w:r w:rsidRPr="003A096D">
              <w:rPr>
                <w:rFonts w:ascii="Arial" w:hAnsi="Arial" w:cs="Arial"/>
                <w:sz w:val="22"/>
              </w:rPr>
              <w:t>Europe</w:t>
            </w:r>
          </w:p>
        </w:tc>
        <w:tc>
          <w:tcPr>
            <w:tcW w:w="1843" w:type="dxa"/>
            <w:noWrap/>
            <w:hideMark/>
          </w:tcPr>
          <w:p w14:paraId="11B4D6DA" w14:textId="77777777" w:rsidR="003A096D" w:rsidRPr="003A096D" w:rsidRDefault="003A096D" w:rsidP="00D044E6">
            <w:pPr>
              <w:spacing w:line="240" w:lineRule="auto"/>
              <w:rPr>
                <w:rFonts w:ascii="Arial" w:hAnsi="Arial" w:cs="Arial"/>
                <w:sz w:val="22"/>
              </w:rPr>
            </w:pPr>
            <w:r w:rsidRPr="003A096D">
              <w:rPr>
                <w:rFonts w:ascii="Arial" w:hAnsi="Arial" w:cs="Arial"/>
                <w:sz w:val="22"/>
              </w:rPr>
              <w:t>Limagrain SB modern variety</w:t>
            </w:r>
          </w:p>
        </w:tc>
      </w:tr>
      <w:tr w:rsidR="003A096D" w:rsidRPr="003A096D" w14:paraId="096C5E0F" w14:textId="77777777" w:rsidTr="00D73490">
        <w:trPr>
          <w:trHeight w:val="510"/>
        </w:trPr>
        <w:tc>
          <w:tcPr>
            <w:tcW w:w="1555" w:type="dxa"/>
            <w:hideMark/>
          </w:tcPr>
          <w:p w14:paraId="47E6574C"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13987</w:t>
            </w:r>
          </w:p>
        </w:tc>
        <w:tc>
          <w:tcPr>
            <w:tcW w:w="1984" w:type="dxa"/>
            <w:hideMark/>
          </w:tcPr>
          <w:p w14:paraId="6AAFD41A"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CB7C97">
              <w:rPr>
                <w:rFonts w:ascii="Arial" w:hAnsi="Arial" w:cs="Arial"/>
                <w:sz w:val="22"/>
              </w:rPr>
              <w:t>var.</w:t>
            </w:r>
            <w:r w:rsidRPr="00C627F3">
              <w:rPr>
                <w:rFonts w:ascii="Arial" w:hAnsi="Arial" w:cs="Arial"/>
                <w:i/>
                <w:iCs/>
                <w:sz w:val="22"/>
              </w:rPr>
              <w:t xml:space="preserve"> hybernum Viborg</w:t>
            </w:r>
          </w:p>
        </w:tc>
        <w:tc>
          <w:tcPr>
            <w:tcW w:w="1418" w:type="dxa"/>
            <w:hideMark/>
          </w:tcPr>
          <w:p w14:paraId="7668CCF2" w14:textId="77777777" w:rsidR="003A096D" w:rsidRPr="003A096D" w:rsidRDefault="003A096D" w:rsidP="00D044E6">
            <w:pPr>
              <w:spacing w:line="240" w:lineRule="auto"/>
              <w:rPr>
                <w:rFonts w:ascii="Arial" w:hAnsi="Arial" w:cs="Arial"/>
                <w:sz w:val="22"/>
              </w:rPr>
            </w:pPr>
            <w:r w:rsidRPr="003A096D">
              <w:rPr>
                <w:rFonts w:ascii="Arial" w:hAnsi="Arial" w:cs="Arial"/>
                <w:sz w:val="22"/>
              </w:rPr>
              <w:t>Mittelgerste</w:t>
            </w:r>
          </w:p>
        </w:tc>
        <w:tc>
          <w:tcPr>
            <w:tcW w:w="1417" w:type="dxa"/>
            <w:hideMark/>
          </w:tcPr>
          <w:p w14:paraId="2D8B6883" w14:textId="77777777" w:rsidR="003A096D" w:rsidRPr="003A096D" w:rsidRDefault="003A096D" w:rsidP="00D044E6">
            <w:pPr>
              <w:spacing w:line="240" w:lineRule="auto"/>
              <w:rPr>
                <w:rFonts w:ascii="Arial" w:hAnsi="Arial" w:cs="Arial"/>
                <w:sz w:val="22"/>
              </w:rPr>
            </w:pPr>
            <w:r w:rsidRPr="003A096D">
              <w:rPr>
                <w:rFonts w:ascii="Arial" w:hAnsi="Arial" w:cs="Arial"/>
                <w:sz w:val="22"/>
              </w:rPr>
              <w:t>Ethiopia</w:t>
            </w:r>
          </w:p>
        </w:tc>
        <w:tc>
          <w:tcPr>
            <w:tcW w:w="1843" w:type="dxa"/>
            <w:noWrap/>
            <w:hideMark/>
          </w:tcPr>
          <w:p w14:paraId="58352229"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2BEDBD93" w14:textId="77777777" w:rsidTr="00D73490">
        <w:trPr>
          <w:trHeight w:val="765"/>
        </w:trPr>
        <w:tc>
          <w:tcPr>
            <w:tcW w:w="1555" w:type="dxa"/>
            <w:hideMark/>
          </w:tcPr>
          <w:p w14:paraId="1D610CCA"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5020</w:t>
            </w:r>
          </w:p>
        </w:tc>
        <w:tc>
          <w:tcPr>
            <w:tcW w:w="1984" w:type="dxa"/>
            <w:hideMark/>
          </w:tcPr>
          <w:p w14:paraId="2F3462B9"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CB7C97">
              <w:rPr>
                <w:rFonts w:ascii="Arial" w:hAnsi="Arial" w:cs="Arial"/>
                <w:sz w:val="22"/>
              </w:rPr>
              <w:t>var.</w:t>
            </w:r>
            <w:r w:rsidRPr="00C627F3">
              <w:rPr>
                <w:rFonts w:ascii="Arial" w:hAnsi="Arial" w:cs="Arial"/>
                <w:i/>
                <w:iCs/>
                <w:sz w:val="22"/>
              </w:rPr>
              <w:t xml:space="preserve"> nigrum (Willd.) Link</w:t>
            </w:r>
          </w:p>
        </w:tc>
        <w:tc>
          <w:tcPr>
            <w:tcW w:w="1418" w:type="dxa"/>
            <w:hideMark/>
          </w:tcPr>
          <w:p w14:paraId="07BC15AC"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Tradak</w:t>
            </w:r>
          </w:p>
        </w:tc>
        <w:tc>
          <w:tcPr>
            <w:tcW w:w="1417" w:type="dxa"/>
            <w:hideMark/>
          </w:tcPr>
          <w:p w14:paraId="55981F61" w14:textId="77777777" w:rsidR="003A096D" w:rsidRPr="003A096D" w:rsidRDefault="003A096D" w:rsidP="00D044E6">
            <w:pPr>
              <w:spacing w:line="240" w:lineRule="auto"/>
              <w:rPr>
                <w:rFonts w:ascii="Arial" w:hAnsi="Arial" w:cs="Arial"/>
                <w:sz w:val="22"/>
              </w:rPr>
            </w:pPr>
            <w:r w:rsidRPr="003A096D">
              <w:rPr>
                <w:rFonts w:ascii="Arial" w:hAnsi="Arial" w:cs="Arial"/>
                <w:sz w:val="22"/>
              </w:rPr>
              <w:t>Ethiopia</w:t>
            </w:r>
          </w:p>
        </w:tc>
        <w:tc>
          <w:tcPr>
            <w:tcW w:w="1843" w:type="dxa"/>
            <w:noWrap/>
            <w:hideMark/>
          </w:tcPr>
          <w:p w14:paraId="47F8B969"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60623F35" w14:textId="77777777" w:rsidTr="00D73490">
        <w:trPr>
          <w:trHeight w:val="765"/>
        </w:trPr>
        <w:tc>
          <w:tcPr>
            <w:tcW w:w="1555" w:type="dxa"/>
            <w:hideMark/>
          </w:tcPr>
          <w:p w14:paraId="5A8E6E5E"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5373</w:t>
            </w:r>
          </w:p>
        </w:tc>
        <w:tc>
          <w:tcPr>
            <w:tcW w:w="1984" w:type="dxa"/>
            <w:hideMark/>
          </w:tcPr>
          <w:p w14:paraId="252CEE4E"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CB7C97">
              <w:rPr>
                <w:rFonts w:ascii="Arial" w:hAnsi="Arial" w:cs="Arial"/>
                <w:sz w:val="22"/>
              </w:rPr>
              <w:t>var.</w:t>
            </w:r>
            <w:r w:rsidRPr="00C627F3">
              <w:rPr>
                <w:rFonts w:ascii="Arial" w:hAnsi="Arial" w:cs="Arial"/>
                <w:i/>
                <w:iCs/>
                <w:sz w:val="22"/>
              </w:rPr>
              <w:t xml:space="preserve"> medicum Körn.</w:t>
            </w:r>
          </w:p>
        </w:tc>
        <w:tc>
          <w:tcPr>
            <w:tcW w:w="1418" w:type="dxa"/>
            <w:hideMark/>
          </w:tcPr>
          <w:p w14:paraId="47BEFE3A"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052BD363" w14:textId="77777777" w:rsidR="003A096D" w:rsidRPr="003A096D" w:rsidRDefault="003A096D" w:rsidP="00D044E6">
            <w:pPr>
              <w:spacing w:line="240" w:lineRule="auto"/>
              <w:rPr>
                <w:rFonts w:ascii="Arial" w:hAnsi="Arial" w:cs="Arial"/>
                <w:sz w:val="22"/>
              </w:rPr>
            </w:pPr>
            <w:r w:rsidRPr="003A096D">
              <w:rPr>
                <w:rFonts w:ascii="Arial" w:hAnsi="Arial" w:cs="Arial"/>
                <w:sz w:val="22"/>
              </w:rPr>
              <w:t>Ethiopia</w:t>
            </w:r>
          </w:p>
        </w:tc>
        <w:tc>
          <w:tcPr>
            <w:tcW w:w="1843" w:type="dxa"/>
            <w:noWrap/>
            <w:hideMark/>
          </w:tcPr>
          <w:p w14:paraId="7D59280C"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33A4E41A" w14:textId="77777777" w:rsidTr="00D73490">
        <w:trPr>
          <w:trHeight w:val="765"/>
        </w:trPr>
        <w:tc>
          <w:tcPr>
            <w:tcW w:w="1555" w:type="dxa"/>
            <w:hideMark/>
          </w:tcPr>
          <w:p w14:paraId="341FAEFE"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5486</w:t>
            </w:r>
          </w:p>
        </w:tc>
        <w:tc>
          <w:tcPr>
            <w:tcW w:w="1984" w:type="dxa"/>
            <w:hideMark/>
          </w:tcPr>
          <w:p w14:paraId="3E891ED7"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CB7C97">
              <w:rPr>
                <w:rFonts w:ascii="Arial" w:hAnsi="Arial" w:cs="Arial"/>
                <w:sz w:val="22"/>
              </w:rPr>
              <w:t>var.</w:t>
            </w:r>
            <w:r w:rsidRPr="00C627F3">
              <w:rPr>
                <w:rFonts w:ascii="Arial" w:hAnsi="Arial" w:cs="Arial"/>
                <w:i/>
                <w:iCs/>
                <w:sz w:val="22"/>
              </w:rPr>
              <w:t xml:space="preserve"> nutans (Rode) Alef.</w:t>
            </w:r>
          </w:p>
        </w:tc>
        <w:tc>
          <w:tcPr>
            <w:tcW w:w="1418" w:type="dxa"/>
            <w:hideMark/>
          </w:tcPr>
          <w:p w14:paraId="2D70EC68"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602A2480" w14:textId="77777777" w:rsidR="003A096D" w:rsidRPr="003A096D" w:rsidRDefault="003A096D" w:rsidP="00D044E6">
            <w:pPr>
              <w:spacing w:line="240" w:lineRule="auto"/>
              <w:rPr>
                <w:rFonts w:ascii="Arial" w:hAnsi="Arial" w:cs="Arial"/>
                <w:sz w:val="22"/>
              </w:rPr>
            </w:pPr>
            <w:r w:rsidRPr="003A096D">
              <w:rPr>
                <w:rFonts w:ascii="Arial" w:hAnsi="Arial" w:cs="Arial"/>
                <w:sz w:val="22"/>
              </w:rPr>
              <w:t>Ethiopia</w:t>
            </w:r>
          </w:p>
        </w:tc>
        <w:tc>
          <w:tcPr>
            <w:tcW w:w="1843" w:type="dxa"/>
            <w:noWrap/>
            <w:hideMark/>
          </w:tcPr>
          <w:p w14:paraId="4BC730B8"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5E2C14A0" w14:textId="77777777" w:rsidTr="00D73490">
        <w:trPr>
          <w:trHeight w:val="510"/>
        </w:trPr>
        <w:tc>
          <w:tcPr>
            <w:tcW w:w="1555" w:type="dxa"/>
            <w:hideMark/>
          </w:tcPr>
          <w:p w14:paraId="57CF8A71"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5876</w:t>
            </w:r>
          </w:p>
        </w:tc>
        <w:tc>
          <w:tcPr>
            <w:tcW w:w="1984" w:type="dxa"/>
            <w:hideMark/>
          </w:tcPr>
          <w:p w14:paraId="4FFEF874"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CB7C97">
              <w:rPr>
                <w:rFonts w:ascii="Arial" w:hAnsi="Arial" w:cs="Arial"/>
                <w:sz w:val="22"/>
              </w:rPr>
              <w:t>var.</w:t>
            </w:r>
            <w:r w:rsidRPr="00C627F3">
              <w:rPr>
                <w:rFonts w:ascii="Arial" w:hAnsi="Arial" w:cs="Arial"/>
                <w:i/>
                <w:iCs/>
                <w:sz w:val="22"/>
              </w:rPr>
              <w:t xml:space="preserve"> rikotense Regel</w:t>
            </w:r>
          </w:p>
        </w:tc>
        <w:tc>
          <w:tcPr>
            <w:tcW w:w="1418" w:type="dxa"/>
            <w:hideMark/>
          </w:tcPr>
          <w:p w14:paraId="038E4719" w14:textId="77777777" w:rsidR="003A096D" w:rsidRPr="003A096D" w:rsidRDefault="003A096D" w:rsidP="00D044E6">
            <w:pPr>
              <w:spacing w:line="240" w:lineRule="auto"/>
              <w:rPr>
                <w:rFonts w:ascii="Arial" w:hAnsi="Arial" w:cs="Arial"/>
                <w:sz w:val="22"/>
              </w:rPr>
            </w:pPr>
            <w:r w:rsidRPr="003A096D">
              <w:rPr>
                <w:rFonts w:ascii="Arial" w:hAnsi="Arial" w:cs="Arial"/>
                <w:sz w:val="22"/>
              </w:rPr>
              <w:t>No. 122</w:t>
            </w:r>
          </w:p>
        </w:tc>
        <w:tc>
          <w:tcPr>
            <w:tcW w:w="1417" w:type="dxa"/>
            <w:hideMark/>
          </w:tcPr>
          <w:p w14:paraId="044A2C1A" w14:textId="77777777" w:rsidR="003A096D" w:rsidRPr="003A096D" w:rsidRDefault="003A096D" w:rsidP="00D044E6">
            <w:pPr>
              <w:spacing w:line="240" w:lineRule="auto"/>
              <w:rPr>
                <w:rFonts w:ascii="Arial" w:hAnsi="Arial" w:cs="Arial"/>
                <w:sz w:val="22"/>
              </w:rPr>
            </w:pPr>
            <w:r w:rsidRPr="003A096D">
              <w:rPr>
                <w:rFonts w:ascii="Arial" w:hAnsi="Arial" w:cs="Arial"/>
                <w:sz w:val="22"/>
              </w:rPr>
              <w:t>Ethiopia</w:t>
            </w:r>
          </w:p>
        </w:tc>
        <w:tc>
          <w:tcPr>
            <w:tcW w:w="1843" w:type="dxa"/>
            <w:noWrap/>
            <w:hideMark/>
          </w:tcPr>
          <w:p w14:paraId="2C8AA6C1"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4FD5FC77" w14:textId="77777777" w:rsidTr="00D73490">
        <w:trPr>
          <w:trHeight w:val="765"/>
        </w:trPr>
        <w:tc>
          <w:tcPr>
            <w:tcW w:w="1555" w:type="dxa"/>
            <w:hideMark/>
          </w:tcPr>
          <w:p w14:paraId="5C202826"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6220</w:t>
            </w:r>
          </w:p>
        </w:tc>
        <w:tc>
          <w:tcPr>
            <w:tcW w:w="1984" w:type="dxa"/>
            <w:hideMark/>
          </w:tcPr>
          <w:p w14:paraId="58B11477"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labile (Schiem.) Mansf. </w:t>
            </w:r>
            <w:r w:rsidRPr="00CB7C97">
              <w:rPr>
                <w:rFonts w:ascii="Arial" w:hAnsi="Arial" w:cs="Arial"/>
                <w:sz w:val="22"/>
              </w:rPr>
              <w:t>var.</w:t>
            </w:r>
            <w:r w:rsidRPr="00C627F3">
              <w:rPr>
                <w:rFonts w:ascii="Arial" w:hAnsi="Arial" w:cs="Arial"/>
                <w:i/>
                <w:iCs/>
                <w:sz w:val="22"/>
              </w:rPr>
              <w:t xml:space="preserve"> hybernum-deficiens</w:t>
            </w:r>
          </w:p>
        </w:tc>
        <w:tc>
          <w:tcPr>
            <w:tcW w:w="1418" w:type="dxa"/>
            <w:hideMark/>
          </w:tcPr>
          <w:p w14:paraId="1C6B1131"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527F5739" w14:textId="77777777" w:rsidR="003A096D" w:rsidRPr="003A096D" w:rsidRDefault="003A096D" w:rsidP="00D044E6">
            <w:pPr>
              <w:spacing w:line="240" w:lineRule="auto"/>
              <w:rPr>
                <w:rFonts w:ascii="Arial" w:hAnsi="Arial" w:cs="Arial"/>
                <w:sz w:val="22"/>
              </w:rPr>
            </w:pPr>
            <w:r w:rsidRPr="003A096D">
              <w:rPr>
                <w:rFonts w:ascii="Arial" w:hAnsi="Arial" w:cs="Arial"/>
                <w:sz w:val="22"/>
              </w:rPr>
              <w:t>Ethiopia</w:t>
            </w:r>
          </w:p>
        </w:tc>
        <w:tc>
          <w:tcPr>
            <w:tcW w:w="1843" w:type="dxa"/>
            <w:noWrap/>
            <w:hideMark/>
          </w:tcPr>
          <w:p w14:paraId="7A41F80D"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2FE35178" w14:textId="77777777" w:rsidTr="00D73490">
        <w:trPr>
          <w:trHeight w:val="765"/>
        </w:trPr>
        <w:tc>
          <w:tcPr>
            <w:tcW w:w="1555" w:type="dxa"/>
            <w:hideMark/>
          </w:tcPr>
          <w:p w14:paraId="5F4330E1"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6892</w:t>
            </w:r>
          </w:p>
        </w:tc>
        <w:tc>
          <w:tcPr>
            <w:tcW w:w="1984" w:type="dxa"/>
            <w:hideMark/>
          </w:tcPr>
          <w:p w14:paraId="2FB704CD"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CB7C97">
              <w:rPr>
                <w:rFonts w:ascii="Arial" w:hAnsi="Arial" w:cs="Arial"/>
                <w:sz w:val="22"/>
              </w:rPr>
              <w:t>var</w:t>
            </w:r>
            <w:r w:rsidRPr="00C627F3">
              <w:rPr>
                <w:rFonts w:ascii="Arial" w:hAnsi="Arial" w:cs="Arial"/>
                <w:i/>
                <w:iCs/>
                <w:sz w:val="22"/>
              </w:rPr>
              <w:t>. viride (Vavilov &amp; Orlov) Mansf.</w:t>
            </w:r>
          </w:p>
        </w:tc>
        <w:tc>
          <w:tcPr>
            <w:tcW w:w="1418" w:type="dxa"/>
            <w:hideMark/>
          </w:tcPr>
          <w:p w14:paraId="1B3FF6E1"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7FEED75F" w14:textId="77777777" w:rsidR="003A096D" w:rsidRPr="003A096D" w:rsidRDefault="003A096D" w:rsidP="00D044E6">
            <w:pPr>
              <w:spacing w:line="240" w:lineRule="auto"/>
              <w:rPr>
                <w:rFonts w:ascii="Arial" w:hAnsi="Arial" w:cs="Arial"/>
                <w:sz w:val="22"/>
              </w:rPr>
            </w:pPr>
            <w:r w:rsidRPr="003A096D">
              <w:rPr>
                <w:rFonts w:ascii="Arial" w:hAnsi="Arial" w:cs="Arial"/>
                <w:sz w:val="22"/>
              </w:rPr>
              <w:t>Ethiopia</w:t>
            </w:r>
          </w:p>
        </w:tc>
        <w:tc>
          <w:tcPr>
            <w:tcW w:w="1843" w:type="dxa"/>
            <w:noWrap/>
            <w:hideMark/>
          </w:tcPr>
          <w:p w14:paraId="08C95C37"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71C7201B" w14:textId="77777777" w:rsidTr="00D73490">
        <w:trPr>
          <w:trHeight w:val="765"/>
        </w:trPr>
        <w:tc>
          <w:tcPr>
            <w:tcW w:w="1555" w:type="dxa"/>
            <w:hideMark/>
          </w:tcPr>
          <w:p w14:paraId="3EB937DE"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9043</w:t>
            </w:r>
          </w:p>
        </w:tc>
        <w:tc>
          <w:tcPr>
            <w:tcW w:w="1984" w:type="dxa"/>
            <w:hideMark/>
          </w:tcPr>
          <w:p w14:paraId="62A1203B"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CB7C97">
              <w:rPr>
                <w:rFonts w:ascii="Arial" w:hAnsi="Arial" w:cs="Arial"/>
                <w:sz w:val="22"/>
              </w:rPr>
              <w:lastRenderedPageBreak/>
              <w:t>var.</w:t>
            </w:r>
            <w:r w:rsidRPr="00C627F3">
              <w:rPr>
                <w:rFonts w:ascii="Arial" w:hAnsi="Arial" w:cs="Arial"/>
                <w:i/>
                <w:iCs/>
                <w:sz w:val="22"/>
              </w:rPr>
              <w:t xml:space="preserve"> himalayense (Rittig) Körn.</w:t>
            </w:r>
          </w:p>
        </w:tc>
        <w:tc>
          <w:tcPr>
            <w:tcW w:w="1418" w:type="dxa"/>
            <w:hideMark/>
          </w:tcPr>
          <w:p w14:paraId="5A5E5671" w14:textId="77777777" w:rsidR="003A096D" w:rsidRPr="003A096D" w:rsidRDefault="003A096D" w:rsidP="00D044E6">
            <w:pPr>
              <w:spacing w:line="240" w:lineRule="auto"/>
              <w:rPr>
                <w:rFonts w:ascii="Arial" w:hAnsi="Arial" w:cs="Arial"/>
                <w:sz w:val="22"/>
              </w:rPr>
            </w:pPr>
            <w:r w:rsidRPr="003A096D">
              <w:rPr>
                <w:rFonts w:ascii="Arial" w:hAnsi="Arial" w:cs="Arial"/>
                <w:sz w:val="22"/>
              </w:rPr>
              <w:lastRenderedPageBreak/>
              <w:t>-----</w:t>
            </w:r>
          </w:p>
        </w:tc>
        <w:tc>
          <w:tcPr>
            <w:tcW w:w="1417" w:type="dxa"/>
            <w:hideMark/>
          </w:tcPr>
          <w:p w14:paraId="7027132D" w14:textId="77777777" w:rsidR="003A096D" w:rsidRPr="003A096D" w:rsidRDefault="003A096D" w:rsidP="00D044E6">
            <w:pPr>
              <w:spacing w:line="240" w:lineRule="auto"/>
              <w:rPr>
                <w:rFonts w:ascii="Arial" w:hAnsi="Arial" w:cs="Arial"/>
                <w:sz w:val="22"/>
              </w:rPr>
            </w:pPr>
            <w:r w:rsidRPr="003A096D">
              <w:rPr>
                <w:rFonts w:ascii="Arial" w:hAnsi="Arial" w:cs="Arial"/>
                <w:sz w:val="22"/>
              </w:rPr>
              <w:t>Ethiopia</w:t>
            </w:r>
          </w:p>
        </w:tc>
        <w:tc>
          <w:tcPr>
            <w:tcW w:w="1843" w:type="dxa"/>
            <w:noWrap/>
            <w:hideMark/>
          </w:tcPr>
          <w:p w14:paraId="2617954B"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07E52FEA" w14:textId="77777777" w:rsidTr="00D73490">
        <w:trPr>
          <w:trHeight w:val="300"/>
        </w:trPr>
        <w:tc>
          <w:tcPr>
            <w:tcW w:w="1555" w:type="dxa"/>
            <w:hideMark/>
          </w:tcPr>
          <w:p w14:paraId="7F279F0B"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18201</w:t>
            </w:r>
          </w:p>
        </w:tc>
        <w:tc>
          <w:tcPr>
            <w:tcW w:w="1984" w:type="dxa"/>
            <w:hideMark/>
          </w:tcPr>
          <w:p w14:paraId="2E0D7749"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55A602F6" w14:textId="77777777" w:rsidR="003A096D" w:rsidRPr="003A096D" w:rsidRDefault="003A096D" w:rsidP="00D044E6">
            <w:pPr>
              <w:spacing w:line="240" w:lineRule="auto"/>
              <w:rPr>
                <w:rFonts w:ascii="Arial" w:hAnsi="Arial" w:cs="Arial"/>
                <w:sz w:val="22"/>
              </w:rPr>
            </w:pPr>
            <w:r w:rsidRPr="003A096D">
              <w:rPr>
                <w:rFonts w:ascii="Arial" w:hAnsi="Arial" w:cs="Arial"/>
                <w:sz w:val="22"/>
              </w:rPr>
              <w:t>ZONI (TIBESTI OASE)</w:t>
            </w:r>
          </w:p>
        </w:tc>
        <w:tc>
          <w:tcPr>
            <w:tcW w:w="1417" w:type="dxa"/>
            <w:hideMark/>
          </w:tcPr>
          <w:p w14:paraId="5CCC703B" w14:textId="77777777" w:rsidR="003A096D" w:rsidRPr="003A096D" w:rsidRDefault="003A096D" w:rsidP="00D044E6">
            <w:pPr>
              <w:spacing w:line="240" w:lineRule="auto"/>
              <w:rPr>
                <w:rFonts w:ascii="Arial" w:hAnsi="Arial" w:cs="Arial"/>
                <w:sz w:val="22"/>
              </w:rPr>
            </w:pPr>
            <w:r w:rsidRPr="003A096D">
              <w:rPr>
                <w:rFonts w:ascii="Arial" w:hAnsi="Arial" w:cs="Arial"/>
                <w:sz w:val="22"/>
              </w:rPr>
              <w:t>Chad</w:t>
            </w:r>
          </w:p>
        </w:tc>
        <w:tc>
          <w:tcPr>
            <w:tcW w:w="1843" w:type="dxa"/>
            <w:noWrap/>
            <w:hideMark/>
          </w:tcPr>
          <w:p w14:paraId="29FA719C"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5A70A3CA" w14:textId="77777777" w:rsidTr="00D73490">
        <w:trPr>
          <w:trHeight w:val="510"/>
        </w:trPr>
        <w:tc>
          <w:tcPr>
            <w:tcW w:w="1555" w:type="dxa"/>
            <w:hideMark/>
          </w:tcPr>
          <w:p w14:paraId="7E6BC6FF"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21641</w:t>
            </w:r>
          </w:p>
        </w:tc>
        <w:tc>
          <w:tcPr>
            <w:tcW w:w="1984" w:type="dxa"/>
            <w:hideMark/>
          </w:tcPr>
          <w:p w14:paraId="07BE1E2D"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CB7C97">
              <w:rPr>
                <w:rFonts w:ascii="Arial" w:hAnsi="Arial" w:cs="Arial"/>
                <w:sz w:val="22"/>
              </w:rPr>
              <w:t>var.</w:t>
            </w:r>
            <w:r w:rsidRPr="00C627F3">
              <w:rPr>
                <w:rFonts w:ascii="Arial" w:hAnsi="Arial" w:cs="Arial"/>
                <w:i/>
                <w:iCs/>
                <w:sz w:val="22"/>
              </w:rPr>
              <w:t xml:space="preserve"> hybernum Viborg</w:t>
            </w:r>
          </w:p>
        </w:tc>
        <w:tc>
          <w:tcPr>
            <w:tcW w:w="1418" w:type="dxa"/>
            <w:hideMark/>
          </w:tcPr>
          <w:p w14:paraId="23984970" w14:textId="77777777" w:rsidR="003A096D" w:rsidRPr="003A096D" w:rsidRDefault="003A096D" w:rsidP="00D044E6">
            <w:pPr>
              <w:spacing w:line="240" w:lineRule="auto"/>
              <w:rPr>
                <w:rFonts w:ascii="Arial" w:hAnsi="Arial" w:cs="Arial"/>
                <w:sz w:val="22"/>
              </w:rPr>
            </w:pPr>
            <w:r w:rsidRPr="003A096D">
              <w:rPr>
                <w:rFonts w:ascii="Arial" w:hAnsi="Arial" w:cs="Arial"/>
                <w:sz w:val="22"/>
              </w:rPr>
              <w:t>DOBASSO (OASE TIBESTI)</w:t>
            </w:r>
          </w:p>
        </w:tc>
        <w:tc>
          <w:tcPr>
            <w:tcW w:w="1417" w:type="dxa"/>
            <w:hideMark/>
          </w:tcPr>
          <w:p w14:paraId="24462428" w14:textId="77777777" w:rsidR="003A096D" w:rsidRPr="003A096D" w:rsidRDefault="003A096D" w:rsidP="00D044E6">
            <w:pPr>
              <w:spacing w:line="240" w:lineRule="auto"/>
              <w:rPr>
                <w:rFonts w:ascii="Arial" w:hAnsi="Arial" w:cs="Arial"/>
                <w:sz w:val="22"/>
              </w:rPr>
            </w:pPr>
            <w:r w:rsidRPr="003A096D">
              <w:rPr>
                <w:rFonts w:ascii="Arial" w:hAnsi="Arial" w:cs="Arial"/>
                <w:sz w:val="22"/>
              </w:rPr>
              <w:t>Chad</w:t>
            </w:r>
          </w:p>
        </w:tc>
        <w:tc>
          <w:tcPr>
            <w:tcW w:w="1843" w:type="dxa"/>
            <w:noWrap/>
            <w:hideMark/>
          </w:tcPr>
          <w:p w14:paraId="31E5DD89"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3E1E236D" w14:textId="77777777" w:rsidTr="00D73490">
        <w:trPr>
          <w:trHeight w:val="765"/>
        </w:trPr>
        <w:tc>
          <w:tcPr>
            <w:tcW w:w="1555" w:type="dxa"/>
            <w:hideMark/>
          </w:tcPr>
          <w:p w14:paraId="2E48601D"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7474</w:t>
            </w:r>
          </w:p>
        </w:tc>
        <w:tc>
          <w:tcPr>
            <w:tcW w:w="1984" w:type="dxa"/>
            <w:hideMark/>
          </w:tcPr>
          <w:p w14:paraId="299C094F"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CB7C97">
              <w:rPr>
                <w:rFonts w:ascii="Arial" w:hAnsi="Arial" w:cs="Arial"/>
                <w:sz w:val="22"/>
              </w:rPr>
              <w:t>var.</w:t>
            </w:r>
            <w:r w:rsidRPr="00C627F3">
              <w:rPr>
                <w:rFonts w:ascii="Arial" w:hAnsi="Arial" w:cs="Arial"/>
                <w:i/>
                <w:iCs/>
                <w:sz w:val="22"/>
              </w:rPr>
              <w:t xml:space="preserve"> nutans (Rode) Alef.</w:t>
            </w:r>
          </w:p>
        </w:tc>
        <w:tc>
          <w:tcPr>
            <w:tcW w:w="1418" w:type="dxa"/>
            <w:hideMark/>
          </w:tcPr>
          <w:p w14:paraId="621DEE32" w14:textId="77777777" w:rsidR="003A096D" w:rsidRPr="003A096D" w:rsidRDefault="003A096D" w:rsidP="00D044E6">
            <w:pPr>
              <w:spacing w:line="240" w:lineRule="auto"/>
              <w:rPr>
                <w:rFonts w:ascii="Arial" w:hAnsi="Arial" w:cs="Arial"/>
                <w:sz w:val="22"/>
              </w:rPr>
            </w:pPr>
            <w:r w:rsidRPr="003A096D">
              <w:rPr>
                <w:rFonts w:ascii="Arial" w:hAnsi="Arial" w:cs="Arial"/>
                <w:sz w:val="22"/>
              </w:rPr>
              <w:t>B. Caupin</w:t>
            </w:r>
          </w:p>
        </w:tc>
        <w:tc>
          <w:tcPr>
            <w:tcW w:w="1417" w:type="dxa"/>
            <w:hideMark/>
          </w:tcPr>
          <w:p w14:paraId="3147CD7B" w14:textId="77777777" w:rsidR="003A096D" w:rsidRPr="003A096D" w:rsidRDefault="003A096D" w:rsidP="00D044E6">
            <w:pPr>
              <w:spacing w:line="240" w:lineRule="auto"/>
              <w:rPr>
                <w:rFonts w:ascii="Arial" w:hAnsi="Arial" w:cs="Arial"/>
                <w:sz w:val="22"/>
              </w:rPr>
            </w:pPr>
            <w:r w:rsidRPr="003A096D">
              <w:rPr>
                <w:rFonts w:ascii="Arial" w:hAnsi="Arial" w:cs="Arial"/>
                <w:sz w:val="22"/>
              </w:rPr>
              <w:t>Argentina</w:t>
            </w:r>
          </w:p>
        </w:tc>
        <w:tc>
          <w:tcPr>
            <w:tcW w:w="1843" w:type="dxa"/>
            <w:noWrap/>
            <w:hideMark/>
          </w:tcPr>
          <w:p w14:paraId="2AA2AEF1"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14D2F979" w14:textId="77777777" w:rsidTr="00D73490">
        <w:trPr>
          <w:trHeight w:val="300"/>
        </w:trPr>
        <w:tc>
          <w:tcPr>
            <w:tcW w:w="1555" w:type="dxa"/>
            <w:hideMark/>
          </w:tcPr>
          <w:p w14:paraId="2541D834"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18924</w:t>
            </w:r>
          </w:p>
        </w:tc>
        <w:tc>
          <w:tcPr>
            <w:tcW w:w="1984" w:type="dxa"/>
            <w:hideMark/>
          </w:tcPr>
          <w:p w14:paraId="6A1000EE"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03009397" w14:textId="77777777" w:rsidR="003A096D" w:rsidRPr="003A096D" w:rsidRDefault="003A096D" w:rsidP="00D044E6">
            <w:pPr>
              <w:spacing w:line="240" w:lineRule="auto"/>
              <w:rPr>
                <w:rFonts w:ascii="Arial" w:hAnsi="Arial" w:cs="Arial"/>
                <w:sz w:val="22"/>
              </w:rPr>
            </w:pPr>
            <w:r w:rsidRPr="003A096D">
              <w:rPr>
                <w:rFonts w:ascii="Arial" w:hAnsi="Arial" w:cs="Arial"/>
                <w:sz w:val="22"/>
              </w:rPr>
              <w:t>SANTA CRUZ</w:t>
            </w:r>
          </w:p>
        </w:tc>
        <w:tc>
          <w:tcPr>
            <w:tcW w:w="1417" w:type="dxa"/>
            <w:hideMark/>
          </w:tcPr>
          <w:p w14:paraId="482AB543" w14:textId="77777777" w:rsidR="003A096D" w:rsidRPr="003A096D" w:rsidRDefault="003A096D" w:rsidP="00D044E6">
            <w:pPr>
              <w:spacing w:line="240" w:lineRule="auto"/>
              <w:rPr>
                <w:rFonts w:ascii="Arial" w:hAnsi="Arial" w:cs="Arial"/>
                <w:sz w:val="22"/>
              </w:rPr>
            </w:pPr>
            <w:r w:rsidRPr="003A096D">
              <w:rPr>
                <w:rFonts w:ascii="Arial" w:hAnsi="Arial" w:cs="Arial"/>
                <w:sz w:val="22"/>
              </w:rPr>
              <w:t>Bolivia</w:t>
            </w:r>
          </w:p>
        </w:tc>
        <w:tc>
          <w:tcPr>
            <w:tcW w:w="1843" w:type="dxa"/>
            <w:noWrap/>
            <w:hideMark/>
          </w:tcPr>
          <w:p w14:paraId="2978A808"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2097C0C6" w14:textId="77777777" w:rsidTr="00D73490">
        <w:trPr>
          <w:trHeight w:val="300"/>
        </w:trPr>
        <w:tc>
          <w:tcPr>
            <w:tcW w:w="1555" w:type="dxa"/>
            <w:hideMark/>
          </w:tcPr>
          <w:p w14:paraId="7CB96421"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18381</w:t>
            </w:r>
          </w:p>
        </w:tc>
        <w:tc>
          <w:tcPr>
            <w:tcW w:w="1984" w:type="dxa"/>
            <w:hideMark/>
          </w:tcPr>
          <w:p w14:paraId="6F4349A2"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036CD19A" w14:textId="77777777" w:rsidR="003A096D" w:rsidRPr="003A096D" w:rsidRDefault="003A096D" w:rsidP="00D044E6">
            <w:pPr>
              <w:spacing w:line="240" w:lineRule="auto"/>
              <w:rPr>
                <w:rFonts w:ascii="Arial" w:hAnsi="Arial" w:cs="Arial"/>
                <w:sz w:val="22"/>
              </w:rPr>
            </w:pPr>
            <w:r w:rsidRPr="003A096D">
              <w:rPr>
                <w:rFonts w:ascii="Arial" w:hAnsi="Arial" w:cs="Arial"/>
                <w:sz w:val="22"/>
              </w:rPr>
              <w:t>R.T.RAMAGE AP BULK 3</w:t>
            </w:r>
          </w:p>
        </w:tc>
        <w:tc>
          <w:tcPr>
            <w:tcW w:w="1417" w:type="dxa"/>
            <w:hideMark/>
          </w:tcPr>
          <w:p w14:paraId="00B1BD44" w14:textId="77777777" w:rsidR="003A096D" w:rsidRPr="003A096D" w:rsidRDefault="003A096D" w:rsidP="00D044E6">
            <w:pPr>
              <w:spacing w:line="240" w:lineRule="auto"/>
              <w:rPr>
                <w:rFonts w:ascii="Arial" w:hAnsi="Arial" w:cs="Arial"/>
                <w:sz w:val="22"/>
              </w:rPr>
            </w:pPr>
            <w:r w:rsidRPr="003A096D">
              <w:rPr>
                <w:rFonts w:ascii="Arial" w:hAnsi="Arial" w:cs="Arial"/>
                <w:sz w:val="22"/>
              </w:rPr>
              <w:t>Mexico</w:t>
            </w:r>
          </w:p>
        </w:tc>
        <w:tc>
          <w:tcPr>
            <w:tcW w:w="1843" w:type="dxa"/>
            <w:noWrap/>
            <w:hideMark/>
          </w:tcPr>
          <w:p w14:paraId="3DB695A5"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221CE595" w14:textId="77777777" w:rsidTr="00D73490">
        <w:trPr>
          <w:trHeight w:val="510"/>
        </w:trPr>
        <w:tc>
          <w:tcPr>
            <w:tcW w:w="1555" w:type="dxa"/>
            <w:hideMark/>
          </w:tcPr>
          <w:p w14:paraId="78CB2519"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18385</w:t>
            </w:r>
          </w:p>
        </w:tc>
        <w:tc>
          <w:tcPr>
            <w:tcW w:w="1984" w:type="dxa"/>
            <w:hideMark/>
          </w:tcPr>
          <w:p w14:paraId="245B20A0"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56FF6D5F" w14:textId="77777777" w:rsidR="003A096D" w:rsidRPr="003A096D" w:rsidRDefault="003A096D" w:rsidP="00D044E6">
            <w:pPr>
              <w:spacing w:line="240" w:lineRule="auto"/>
              <w:rPr>
                <w:rFonts w:ascii="Arial" w:hAnsi="Arial" w:cs="Arial"/>
                <w:sz w:val="22"/>
              </w:rPr>
            </w:pPr>
            <w:r w:rsidRPr="003A096D">
              <w:rPr>
                <w:rFonts w:ascii="Arial" w:hAnsi="Arial" w:cs="Arial"/>
                <w:sz w:val="22"/>
              </w:rPr>
              <w:t>R.T.RAMAGE BULK LINE 1</w:t>
            </w:r>
          </w:p>
        </w:tc>
        <w:tc>
          <w:tcPr>
            <w:tcW w:w="1417" w:type="dxa"/>
            <w:hideMark/>
          </w:tcPr>
          <w:p w14:paraId="2013A7C9" w14:textId="77777777" w:rsidR="003A096D" w:rsidRPr="003A096D" w:rsidRDefault="003A096D" w:rsidP="00D044E6">
            <w:pPr>
              <w:spacing w:line="240" w:lineRule="auto"/>
              <w:rPr>
                <w:rFonts w:ascii="Arial" w:hAnsi="Arial" w:cs="Arial"/>
                <w:sz w:val="22"/>
              </w:rPr>
            </w:pPr>
            <w:r w:rsidRPr="003A096D">
              <w:rPr>
                <w:rFonts w:ascii="Arial" w:hAnsi="Arial" w:cs="Arial"/>
                <w:sz w:val="22"/>
              </w:rPr>
              <w:t>Mexico</w:t>
            </w:r>
          </w:p>
        </w:tc>
        <w:tc>
          <w:tcPr>
            <w:tcW w:w="1843" w:type="dxa"/>
            <w:noWrap/>
            <w:hideMark/>
          </w:tcPr>
          <w:p w14:paraId="2D188E6E"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76035271" w14:textId="77777777" w:rsidTr="00D73490">
        <w:trPr>
          <w:trHeight w:val="510"/>
        </w:trPr>
        <w:tc>
          <w:tcPr>
            <w:tcW w:w="1555" w:type="dxa"/>
            <w:hideMark/>
          </w:tcPr>
          <w:p w14:paraId="49A053E1"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11431</w:t>
            </w:r>
          </w:p>
        </w:tc>
        <w:tc>
          <w:tcPr>
            <w:tcW w:w="1984" w:type="dxa"/>
            <w:hideMark/>
          </w:tcPr>
          <w:p w14:paraId="26BEB4E8"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CB7C97">
              <w:rPr>
                <w:rFonts w:ascii="Arial" w:hAnsi="Arial" w:cs="Arial"/>
                <w:sz w:val="22"/>
              </w:rPr>
              <w:t>var.</w:t>
            </w:r>
            <w:r w:rsidRPr="00C627F3">
              <w:rPr>
                <w:rFonts w:ascii="Arial" w:hAnsi="Arial" w:cs="Arial"/>
                <w:i/>
                <w:iCs/>
                <w:sz w:val="22"/>
              </w:rPr>
              <w:t xml:space="preserve"> coeleste L.</w:t>
            </w:r>
          </w:p>
        </w:tc>
        <w:tc>
          <w:tcPr>
            <w:tcW w:w="1418" w:type="dxa"/>
            <w:hideMark/>
          </w:tcPr>
          <w:p w14:paraId="7D2EFDC5"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0ECA7870" w14:textId="77777777" w:rsidR="003A096D" w:rsidRPr="003A096D" w:rsidRDefault="003A096D" w:rsidP="00D044E6">
            <w:pPr>
              <w:spacing w:line="240" w:lineRule="auto"/>
              <w:rPr>
                <w:rFonts w:ascii="Arial" w:hAnsi="Arial" w:cs="Arial"/>
                <w:sz w:val="22"/>
              </w:rPr>
            </w:pPr>
            <w:r w:rsidRPr="003A096D">
              <w:rPr>
                <w:rFonts w:ascii="Arial" w:hAnsi="Arial" w:cs="Arial"/>
                <w:sz w:val="22"/>
              </w:rPr>
              <w:t>Peru</w:t>
            </w:r>
          </w:p>
        </w:tc>
        <w:tc>
          <w:tcPr>
            <w:tcW w:w="1843" w:type="dxa"/>
            <w:noWrap/>
            <w:hideMark/>
          </w:tcPr>
          <w:p w14:paraId="087B1C8F"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370AB0D0" w14:textId="77777777" w:rsidTr="00D73490">
        <w:trPr>
          <w:trHeight w:val="510"/>
        </w:trPr>
        <w:tc>
          <w:tcPr>
            <w:tcW w:w="1555" w:type="dxa"/>
            <w:hideMark/>
          </w:tcPr>
          <w:p w14:paraId="787EB79A"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13800</w:t>
            </w:r>
          </w:p>
        </w:tc>
        <w:tc>
          <w:tcPr>
            <w:tcW w:w="1984" w:type="dxa"/>
            <w:hideMark/>
          </w:tcPr>
          <w:p w14:paraId="30568735"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CB7C97">
              <w:rPr>
                <w:rFonts w:ascii="Arial" w:hAnsi="Arial" w:cs="Arial"/>
                <w:sz w:val="22"/>
              </w:rPr>
              <w:t>var.</w:t>
            </w:r>
            <w:r w:rsidRPr="00C627F3">
              <w:rPr>
                <w:rFonts w:ascii="Arial" w:hAnsi="Arial" w:cs="Arial"/>
                <w:i/>
                <w:iCs/>
                <w:sz w:val="22"/>
              </w:rPr>
              <w:t xml:space="preserve"> hybernum Viborg</w:t>
            </w:r>
          </w:p>
        </w:tc>
        <w:tc>
          <w:tcPr>
            <w:tcW w:w="1418" w:type="dxa"/>
            <w:hideMark/>
          </w:tcPr>
          <w:p w14:paraId="028DC444" w14:textId="77777777" w:rsidR="003A096D" w:rsidRPr="003A096D" w:rsidRDefault="003A096D" w:rsidP="00D044E6">
            <w:pPr>
              <w:spacing w:line="240" w:lineRule="auto"/>
              <w:rPr>
                <w:rFonts w:ascii="Arial" w:hAnsi="Arial" w:cs="Arial"/>
                <w:sz w:val="22"/>
              </w:rPr>
            </w:pPr>
            <w:r w:rsidRPr="003A096D">
              <w:rPr>
                <w:rFonts w:ascii="Arial" w:hAnsi="Arial" w:cs="Arial"/>
                <w:sz w:val="22"/>
              </w:rPr>
              <w:t>ABARIK</w:t>
            </w:r>
          </w:p>
        </w:tc>
        <w:tc>
          <w:tcPr>
            <w:tcW w:w="1417" w:type="dxa"/>
            <w:hideMark/>
          </w:tcPr>
          <w:p w14:paraId="13AF072C" w14:textId="77777777" w:rsidR="003A096D" w:rsidRPr="003A096D" w:rsidRDefault="003A096D" w:rsidP="00D044E6">
            <w:pPr>
              <w:spacing w:line="240" w:lineRule="auto"/>
              <w:rPr>
                <w:rFonts w:ascii="Arial" w:hAnsi="Arial" w:cs="Arial"/>
                <w:sz w:val="22"/>
              </w:rPr>
            </w:pPr>
            <w:r w:rsidRPr="003A096D">
              <w:rPr>
                <w:rFonts w:ascii="Arial" w:hAnsi="Arial" w:cs="Arial"/>
                <w:sz w:val="22"/>
              </w:rPr>
              <w:t>Soviet Union</w:t>
            </w:r>
          </w:p>
        </w:tc>
        <w:tc>
          <w:tcPr>
            <w:tcW w:w="1843" w:type="dxa"/>
            <w:noWrap/>
            <w:hideMark/>
          </w:tcPr>
          <w:p w14:paraId="3CB2EBBE"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619D4872" w14:textId="77777777" w:rsidTr="00D73490">
        <w:trPr>
          <w:trHeight w:val="300"/>
        </w:trPr>
        <w:tc>
          <w:tcPr>
            <w:tcW w:w="1555" w:type="dxa"/>
            <w:hideMark/>
          </w:tcPr>
          <w:p w14:paraId="302DFEC5"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15840</w:t>
            </w:r>
          </w:p>
        </w:tc>
        <w:tc>
          <w:tcPr>
            <w:tcW w:w="1984" w:type="dxa"/>
            <w:hideMark/>
          </w:tcPr>
          <w:p w14:paraId="6F9391EC"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0B51FA15" w14:textId="77777777" w:rsidR="003A096D" w:rsidRPr="003A096D" w:rsidRDefault="003A096D" w:rsidP="00D044E6">
            <w:pPr>
              <w:spacing w:line="240" w:lineRule="auto"/>
              <w:rPr>
                <w:rFonts w:ascii="Arial" w:hAnsi="Arial" w:cs="Arial"/>
                <w:sz w:val="22"/>
              </w:rPr>
            </w:pPr>
            <w:r w:rsidRPr="003A096D">
              <w:rPr>
                <w:rFonts w:ascii="Arial" w:hAnsi="Arial" w:cs="Arial"/>
                <w:sz w:val="22"/>
              </w:rPr>
              <w:t>ODESSKIJ 14</w:t>
            </w:r>
          </w:p>
        </w:tc>
        <w:tc>
          <w:tcPr>
            <w:tcW w:w="1417" w:type="dxa"/>
            <w:hideMark/>
          </w:tcPr>
          <w:p w14:paraId="62F3A81B" w14:textId="77777777" w:rsidR="003A096D" w:rsidRPr="003A096D" w:rsidRDefault="003A096D" w:rsidP="00D044E6">
            <w:pPr>
              <w:spacing w:line="240" w:lineRule="auto"/>
              <w:rPr>
                <w:rFonts w:ascii="Arial" w:hAnsi="Arial" w:cs="Arial"/>
                <w:sz w:val="22"/>
              </w:rPr>
            </w:pPr>
            <w:r w:rsidRPr="003A096D">
              <w:rPr>
                <w:rFonts w:ascii="Arial" w:hAnsi="Arial" w:cs="Arial"/>
                <w:sz w:val="22"/>
              </w:rPr>
              <w:t>Soviet Union</w:t>
            </w:r>
          </w:p>
        </w:tc>
        <w:tc>
          <w:tcPr>
            <w:tcW w:w="1843" w:type="dxa"/>
            <w:noWrap/>
            <w:hideMark/>
          </w:tcPr>
          <w:p w14:paraId="388501A7"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3487407E" w14:textId="77777777" w:rsidTr="00D73490">
        <w:trPr>
          <w:trHeight w:val="300"/>
        </w:trPr>
        <w:tc>
          <w:tcPr>
            <w:tcW w:w="1555" w:type="dxa"/>
            <w:hideMark/>
          </w:tcPr>
          <w:p w14:paraId="69F12304"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15857</w:t>
            </w:r>
          </w:p>
        </w:tc>
        <w:tc>
          <w:tcPr>
            <w:tcW w:w="1984" w:type="dxa"/>
            <w:hideMark/>
          </w:tcPr>
          <w:p w14:paraId="62D935FB"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41F8BCBE" w14:textId="77777777" w:rsidR="003A096D" w:rsidRPr="003A096D" w:rsidRDefault="003A096D" w:rsidP="00D044E6">
            <w:pPr>
              <w:spacing w:line="240" w:lineRule="auto"/>
              <w:rPr>
                <w:rFonts w:ascii="Arial" w:hAnsi="Arial" w:cs="Arial"/>
                <w:sz w:val="22"/>
              </w:rPr>
            </w:pPr>
            <w:r w:rsidRPr="003A096D">
              <w:rPr>
                <w:rFonts w:ascii="Arial" w:hAnsi="Arial" w:cs="Arial"/>
                <w:sz w:val="22"/>
              </w:rPr>
              <w:t>BELORUSSKY 18</w:t>
            </w:r>
          </w:p>
        </w:tc>
        <w:tc>
          <w:tcPr>
            <w:tcW w:w="1417" w:type="dxa"/>
            <w:hideMark/>
          </w:tcPr>
          <w:p w14:paraId="7E6DA7B3" w14:textId="77777777" w:rsidR="003A096D" w:rsidRPr="003A096D" w:rsidRDefault="003A096D" w:rsidP="00D044E6">
            <w:pPr>
              <w:spacing w:line="240" w:lineRule="auto"/>
              <w:rPr>
                <w:rFonts w:ascii="Arial" w:hAnsi="Arial" w:cs="Arial"/>
                <w:sz w:val="22"/>
              </w:rPr>
            </w:pPr>
            <w:r w:rsidRPr="003A096D">
              <w:rPr>
                <w:rFonts w:ascii="Arial" w:hAnsi="Arial" w:cs="Arial"/>
                <w:sz w:val="22"/>
              </w:rPr>
              <w:t>Soviet Union</w:t>
            </w:r>
          </w:p>
        </w:tc>
        <w:tc>
          <w:tcPr>
            <w:tcW w:w="1843" w:type="dxa"/>
            <w:noWrap/>
            <w:hideMark/>
          </w:tcPr>
          <w:p w14:paraId="4FC786B2"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2B1F89EE" w14:textId="77777777" w:rsidTr="00D73490">
        <w:trPr>
          <w:trHeight w:val="300"/>
        </w:trPr>
        <w:tc>
          <w:tcPr>
            <w:tcW w:w="1555" w:type="dxa"/>
            <w:hideMark/>
          </w:tcPr>
          <w:p w14:paraId="43C1F5D8"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15898</w:t>
            </w:r>
          </w:p>
        </w:tc>
        <w:tc>
          <w:tcPr>
            <w:tcW w:w="1984" w:type="dxa"/>
            <w:hideMark/>
          </w:tcPr>
          <w:p w14:paraId="030131AB"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5FDB2A90" w14:textId="77777777" w:rsidR="003A096D" w:rsidRPr="003A096D" w:rsidRDefault="003A096D" w:rsidP="00D044E6">
            <w:pPr>
              <w:spacing w:line="240" w:lineRule="auto"/>
              <w:rPr>
                <w:rFonts w:ascii="Arial" w:hAnsi="Arial" w:cs="Arial"/>
                <w:sz w:val="22"/>
              </w:rPr>
            </w:pPr>
            <w:r w:rsidRPr="003A096D">
              <w:rPr>
                <w:rFonts w:ascii="Arial" w:hAnsi="Arial" w:cs="Arial"/>
                <w:sz w:val="22"/>
              </w:rPr>
              <w:t>RUSS.NR.10242</w:t>
            </w:r>
          </w:p>
        </w:tc>
        <w:tc>
          <w:tcPr>
            <w:tcW w:w="1417" w:type="dxa"/>
            <w:hideMark/>
          </w:tcPr>
          <w:p w14:paraId="75FCAE0E" w14:textId="77777777" w:rsidR="003A096D" w:rsidRPr="003A096D" w:rsidRDefault="003A096D" w:rsidP="00D044E6">
            <w:pPr>
              <w:spacing w:line="240" w:lineRule="auto"/>
              <w:rPr>
                <w:rFonts w:ascii="Arial" w:hAnsi="Arial" w:cs="Arial"/>
                <w:sz w:val="22"/>
              </w:rPr>
            </w:pPr>
            <w:r w:rsidRPr="003A096D">
              <w:rPr>
                <w:rFonts w:ascii="Arial" w:hAnsi="Arial" w:cs="Arial"/>
                <w:sz w:val="22"/>
              </w:rPr>
              <w:t>Soviet Union</w:t>
            </w:r>
          </w:p>
        </w:tc>
        <w:tc>
          <w:tcPr>
            <w:tcW w:w="1843" w:type="dxa"/>
            <w:noWrap/>
            <w:hideMark/>
          </w:tcPr>
          <w:p w14:paraId="79AE3476"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6A43B524" w14:textId="77777777" w:rsidTr="00D73490">
        <w:trPr>
          <w:trHeight w:val="300"/>
        </w:trPr>
        <w:tc>
          <w:tcPr>
            <w:tcW w:w="1555" w:type="dxa"/>
            <w:hideMark/>
          </w:tcPr>
          <w:p w14:paraId="73FB3B10"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15905</w:t>
            </w:r>
          </w:p>
        </w:tc>
        <w:tc>
          <w:tcPr>
            <w:tcW w:w="1984" w:type="dxa"/>
            <w:hideMark/>
          </w:tcPr>
          <w:p w14:paraId="0815B938"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446F5C1B" w14:textId="77777777" w:rsidR="003A096D" w:rsidRPr="003A096D" w:rsidRDefault="003A096D" w:rsidP="00D044E6">
            <w:pPr>
              <w:spacing w:line="240" w:lineRule="auto"/>
              <w:rPr>
                <w:rFonts w:ascii="Arial" w:hAnsi="Arial" w:cs="Arial"/>
                <w:sz w:val="22"/>
              </w:rPr>
            </w:pPr>
            <w:r w:rsidRPr="003A096D">
              <w:rPr>
                <w:rFonts w:ascii="Arial" w:hAnsi="Arial" w:cs="Arial"/>
                <w:sz w:val="22"/>
              </w:rPr>
              <w:t>KALUGENSE</w:t>
            </w:r>
          </w:p>
        </w:tc>
        <w:tc>
          <w:tcPr>
            <w:tcW w:w="1417" w:type="dxa"/>
            <w:hideMark/>
          </w:tcPr>
          <w:p w14:paraId="7F2D4B93" w14:textId="77777777" w:rsidR="003A096D" w:rsidRPr="003A096D" w:rsidRDefault="003A096D" w:rsidP="00D044E6">
            <w:pPr>
              <w:spacing w:line="240" w:lineRule="auto"/>
              <w:rPr>
                <w:rFonts w:ascii="Arial" w:hAnsi="Arial" w:cs="Arial"/>
                <w:sz w:val="22"/>
              </w:rPr>
            </w:pPr>
            <w:r w:rsidRPr="003A096D">
              <w:rPr>
                <w:rFonts w:ascii="Arial" w:hAnsi="Arial" w:cs="Arial"/>
                <w:sz w:val="22"/>
              </w:rPr>
              <w:t>Soviet Union</w:t>
            </w:r>
          </w:p>
        </w:tc>
        <w:tc>
          <w:tcPr>
            <w:tcW w:w="1843" w:type="dxa"/>
            <w:noWrap/>
            <w:hideMark/>
          </w:tcPr>
          <w:p w14:paraId="07B94975"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68D5385A" w14:textId="77777777" w:rsidTr="00D73490">
        <w:trPr>
          <w:trHeight w:val="300"/>
        </w:trPr>
        <w:tc>
          <w:tcPr>
            <w:tcW w:w="1555" w:type="dxa"/>
            <w:hideMark/>
          </w:tcPr>
          <w:p w14:paraId="4289034A"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19952</w:t>
            </w:r>
          </w:p>
        </w:tc>
        <w:tc>
          <w:tcPr>
            <w:tcW w:w="1984" w:type="dxa"/>
            <w:hideMark/>
          </w:tcPr>
          <w:p w14:paraId="1D50063A"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220B9878" w14:textId="77777777" w:rsidR="003A096D" w:rsidRPr="003A096D" w:rsidRDefault="003A096D" w:rsidP="00D044E6">
            <w:pPr>
              <w:spacing w:line="240" w:lineRule="auto"/>
              <w:rPr>
                <w:rFonts w:ascii="Arial" w:hAnsi="Arial" w:cs="Arial"/>
                <w:sz w:val="22"/>
              </w:rPr>
            </w:pPr>
            <w:r w:rsidRPr="003A096D">
              <w:rPr>
                <w:rFonts w:ascii="Arial" w:hAnsi="Arial" w:cs="Arial"/>
                <w:sz w:val="22"/>
              </w:rPr>
              <w:t>NIEPOLEGAJUSZCZIJ</w:t>
            </w:r>
          </w:p>
        </w:tc>
        <w:tc>
          <w:tcPr>
            <w:tcW w:w="1417" w:type="dxa"/>
            <w:hideMark/>
          </w:tcPr>
          <w:p w14:paraId="31E4EC51" w14:textId="77777777" w:rsidR="003A096D" w:rsidRPr="003A096D" w:rsidRDefault="003A096D" w:rsidP="00D044E6">
            <w:pPr>
              <w:spacing w:line="240" w:lineRule="auto"/>
              <w:rPr>
                <w:rFonts w:ascii="Arial" w:hAnsi="Arial" w:cs="Arial"/>
                <w:sz w:val="22"/>
              </w:rPr>
            </w:pPr>
            <w:r w:rsidRPr="003A096D">
              <w:rPr>
                <w:rFonts w:ascii="Arial" w:hAnsi="Arial" w:cs="Arial"/>
                <w:sz w:val="22"/>
              </w:rPr>
              <w:t>Soviet Union</w:t>
            </w:r>
          </w:p>
        </w:tc>
        <w:tc>
          <w:tcPr>
            <w:tcW w:w="1843" w:type="dxa"/>
            <w:noWrap/>
            <w:hideMark/>
          </w:tcPr>
          <w:p w14:paraId="364AA629"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1EA01C98" w14:textId="77777777" w:rsidTr="00D73490">
        <w:trPr>
          <w:trHeight w:val="765"/>
        </w:trPr>
        <w:tc>
          <w:tcPr>
            <w:tcW w:w="1555" w:type="dxa"/>
            <w:hideMark/>
          </w:tcPr>
          <w:p w14:paraId="56DFBD25"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3912</w:t>
            </w:r>
          </w:p>
        </w:tc>
        <w:tc>
          <w:tcPr>
            <w:tcW w:w="1984" w:type="dxa"/>
            <w:hideMark/>
          </w:tcPr>
          <w:p w14:paraId="60681639"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3019AF">
              <w:rPr>
                <w:rFonts w:ascii="Arial" w:hAnsi="Arial" w:cs="Arial"/>
                <w:sz w:val="22"/>
              </w:rPr>
              <w:t>var.</w:t>
            </w:r>
            <w:r w:rsidRPr="00C627F3">
              <w:rPr>
                <w:rFonts w:ascii="Arial" w:hAnsi="Arial" w:cs="Arial"/>
                <w:i/>
                <w:iCs/>
                <w:sz w:val="22"/>
              </w:rPr>
              <w:t xml:space="preserve"> nutans (Rode) Alef.</w:t>
            </w:r>
          </w:p>
        </w:tc>
        <w:tc>
          <w:tcPr>
            <w:tcW w:w="1418" w:type="dxa"/>
            <w:hideMark/>
          </w:tcPr>
          <w:p w14:paraId="1429641F" w14:textId="77777777" w:rsidR="003A096D" w:rsidRPr="003A096D" w:rsidRDefault="003A096D" w:rsidP="00D044E6">
            <w:pPr>
              <w:spacing w:line="240" w:lineRule="auto"/>
              <w:rPr>
                <w:rFonts w:ascii="Arial" w:hAnsi="Arial" w:cs="Arial"/>
                <w:sz w:val="22"/>
              </w:rPr>
            </w:pPr>
            <w:r w:rsidRPr="003A096D">
              <w:rPr>
                <w:rFonts w:ascii="Arial" w:hAnsi="Arial" w:cs="Arial"/>
                <w:sz w:val="22"/>
              </w:rPr>
              <w:t>Cernigovskij</w:t>
            </w:r>
          </w:p>
        </w:tc>
        <w:tc>
          <w:tcPr>
            <w:tcW w:w="1417" w:type="dxa"/>
            <w:hideMark/>
          </w:tcPr>
          <w:p w14:paraId="12F2C3D2" w14:textId="77777777" w:rsidR="003A096D" w:rsidRPr="003A096D" w:rsidRDefault="003A096D" w:rsidP="00D044E6">
            <w:pPr>
              <w:spacing w:line="240" w:lineRule="auto"/>
              <w:rPr>
                <w:rFonts w:ascii="Arial" w:hAnsi="Arial" w:cs="Arial"/>
                <w:sz w:val="22"/>
              </w:rPr>
            </w:pPr>
            <w:r w:rsidRPr="003A096D">
              <w:rPr>
                <w:rFonts w:ascii="Arial" w:hAnsi="Arial" w:cs="Arial"/>
                <w:sz w:val="22"/>
              </w:rPr>
              <w:t>Soviet Union</w:t>
            </w:r>
          </w:p>
        </w:tc>
        <w:tc>
          <w:tcPr>
            <w:tcW w:w="1843" w:type="dxa"/>
            <w:noWrap/>
            <w:hideMark/>
          </w:tcPr>
          <w:p w14:paraId="064EF881"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5E2EA938" w14:textId="77777777" w:rsidTr="00D73490">
        <w:trPr>
          <w:trHeight w:val="765"/>
        </w:trPr>
        <w:tc>
          <w:tcPr>
            <w:tcW w:w="1555" w:type="dxa"/>
            <w:hideMark/>
          </w:tcPr>
          <w:p w14:paraId="7F75C1BD"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7428</w:t>
            </w:r>
          </w:p>
        </w:tc>
        <w:tc>
          <w:tcPr>
            <w:tcW w:w="1984" w:type="dxa"/>
            <w:hideMark/>
          </w:tcPr>
          <w:p w14:paraId="63967DA6"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19AF">
              <w:rPr>
                <w:rFonts w:ascii="Arial" w:hAnsi="Arial" w:cs="Arial"/>
                <w:sz w:val="22"/>
              </w:rPr>
              <w:lastRenderedPageBreak/>
              <w:t>var.</w:t>
            </w:r>
            <w:r w:rsidRPr="00C627F3">
              <w:rPr>
                <w:rFonts w:ascii="Arial" w:hAnsi="Arial" w:cs="Arial"/>
                <w:i/>
                <w:iCs/>
                <w:sz w:val="22"/>
              </w:rPr>
              <w:t xml:space="preserve"> nuditonsum (Körn.) Mansf.</w:t>
            </w:r>
          </w:p>
        </w:tc>
        <w:tc>
          <w:tcPr>
            <w:tcW w:w="1418" w:type="dxa"/>
            <w:hideMark/>
          </w:tcPr>
          <w:p w14:paraId="1F5F2B3D" w14:textId="77777777" w:rsidR="003A096D" w:rsidRPr="003A096D" w:rsidRDefault="003A096D" w:rsidP="00D044E6">
            <w:pPr>
              <w:spacing w:line="240" w:lineRule="auto"/>
              <w:rPr>
                <w:rFonts w:ascii="Arial" w:hAnsi="Arial" w:cs="Arial"/>
                <w:sz w:val="22"/>
              </w:rPr>
            </w:pPr>
            <w:r w:rsidRPr="003A096D">
              <w:rPr>
                <w:rFonts w:ascii="Arial" w:hAnsi="Arial" w:cs="Arial"/>
                <w:sz w:val="22"/>
              </w:rPr>
              <w:lastRenderedPageBreak/>
              <w:t>-----</w:t>
            </w:r>
          </w:p>
        </w:tc>
        <w:tc>
          <w:tcPr>
            <w:tcW w:w="1417" w:type="dxa"/>
            <w:hideMark/>
          </w:tcPr>
          <w:p w14:paraId="210A8626" w14:textId="77777777" w:rsidR="003A096D" w:rsidRPr="003A096D" w:rsidRDefault="003A096D" w:rsidP="00D044E6">
            <w:pPr>
              <w:spacing w:line="240" w:lineRule="auto"/>
              <w:rPr>
                <w:rFonts w:ascii="Arial" w:hAnsi="Arial" w:cs="Arial"/>
                <w:sz w:val="22"/>
              </w:rPr>
            </w:pPr>
            <w:r w:rsidRPr="003A096D">
              <w:rPr>
                <w:rFonts w:ascii="Arial" w:hAnsi="Arial" w:cs="Arial"/>
                <w:sz w:val="22"/>
              </w:rPr>
              <w:t>Russia</w:t>
            </w:r>
          </w:p>
        </w:tc>
        <w:tc>
          <w:tcPr>
            <w:tcW w:w="1843" w:type="dxa"/>
            <w:noWrap/>
            <w:hideMark/>
          </w:tcPr>
          <w:p w14:paraId="2BC9221E"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3881B92A" w14:textId="77777777" w:rsidTr="00D73490">
        <w:trPr>
          <w:trHeight w:val="510"/>
        </w:trPr>
        <w:tc>
          <w:tcPr>
            <w:tcW w:w="1555" w:type="dxa"/>
            <w:hideMark/>
          </w:tcPr>
          <w:p w14:paraId="3F1EBEC2"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14411</w:t>
            </w:r>
          </w:p>
        </w:tc>
        <w:tc>
          <w:tcPr>
            <w:tcW w:w="1984" w:type="dxa"/>
            <w:hideMark/>
          </w:tcPr>
          <w:p w14:paraId="1988E428"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19AF">
              <w:rPr>
                <w:rFonts w:ascii="Arial" w:hAnsi="Arial" w:cs="Arial"/>
                <w:sz w:val="22"/>
              </w:rPr>
              <w:t>var.</w:t>
            </w:r>
            <w:r w:rsidRPr="00C627F3">
              <w:rPr>
                <w:rFonts w:ascii="Arial" w:hAnsi="Arial" w:cs="Arial"/>
                <w:i/>
                <w:iCs/>
                <w:sz w:val="22"/>
              </w:rPr>
              <w:t xml:space="preserve"> hybernum Viborg</w:t>
            </w:r>
          </w:p>
        </w:tc>
        <w:tc>
          <w:tcPr>
            <w:tcW w:w="1418" w:type="dxa"/>
            <w:hideMark/>
          </w:tcPr>
          <w:p w14:paraId="33A5978B" w14:textId="77777777" w:rsidR="003A096D" w:rsidRPr="003A096D" w:rsidRDefault="003A096D" w:rsidP="00D044E6">
            <w:pPr>
              <w:spacing w:line="240" w:lineRule="auto"/>
              <w:rPr>
                <w:rFonts w:ascii="Arial" w:hAnsi="Arial" w:cs="Arial"/>
                <w:sz w:val="22"/>
              </w:rPr>
            </w:pPr>
            <w:r w:rsidRPr="003A096D">
              <w:rPr>
                <w:rFonts w:ascii="Arial" w:hAnsi="Arial" w:cs="Arial"/>
                <w:sz w:val="22"/>
              </w:rPr>
              <w:t>AEGYPTISCHE VIERZEILIGE</w:t>
            </w:r>
          </w:p>
        </w:tc>
        <w:tc>
          <w:tcPr>
            <w:tcW w:w="1417" w:type="dxa"/>
            <w:hideMark/>
          </w:tcPr>
          <w:p w14:paraId="72B36E22" w14:textId="77777777" w:rsidR="003A096D" w:rsidRPr="003A096D" w:rsidRDefault="003A096D" w:rsidP="00D044E6">
            <w:pPr>
              <w:spacing w:line="240" w:lineRule="auto"/>
              <w:rPr>
                <w:rFonts w:ascii="Arial" w:hAnsi="Arial" w:cs="Arial"/>
                <w:sz w:val="22"/>
              </w:rPr>
            </w:pPr>
            <w:r w:rsidRPr="003A096D">
              <w:rPr>
                <w:rFonts w:ascii="Arial" w:hAnsi="Arial" w:cs="Arial"/>
                <w:sz w:val="22"/>
              </w:rPr>
              <w:t>Egypt</w:t>
            </w:r>
          </w:p>
        </w:tc>
        <w:tc>
          <w:tcPr>
            <w:tcW w:w="1843" w:type="dxa"/>
            <w:noWrap/>
            <w:hideMark/>
          </w:tcPr>
          <w:p w14:paraId="689508DB"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25187AED" w14:textId="77777777" w:rsidTr="00D73490">
        <w:trPr>
          <w:trHeight w:val="510"/>
        </w:trPr>
        <w:tc>
          <w:tcPr>
            <w:tcW w:w="1555" w:type="dxa"/>
            <w:hideMark/>
          </w:tcPr>
          <w:p w14:paraId="63A9408B"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8659</w:t>
            </w:r>
          </w:p>
        </w:tc>
        <w:tc>
          <w:tcPr>
            <w:tcW w:w="1984" w:type="dxa"/>
            <w:hideMark/>
          </w:tcPr>
          <w:p w14:paraId="6F1E0EDA"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19AF">
              <w:rPr>
                <w:rFonts w:ascii="Arial" w:hAnsi="Arial" w:cs="Arial"/>
                <w:sz w:val="22"/>
              </w:rPr>
              <w:t>var.</w:t>
            </w:r>
            <w:r w:rsidRPr="00C627F3">
              <w:rPr>
                <w:rFonts w:ascii="Arial" w:hAnsi="Arial" w:cs="Arial"/>
                <w:i/>
                <w:iCs/>
                <w:sz w:val="22"/>
              </w:rPr>
              <w:t xml:space="preserve"> hybernum Viborg</w:t>
            </w:r>
          </w:p>
        </w:tc>
        <w:tc>
          <w:tcPr>
            <w:tcW w:w="1418" w:type="dxa"/>
            <w:hideMark/>
          </w:tcPr>
          <w:p w14:paraId="6F2CB2C9"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20D3B0F3" w14:textId="77777777" w:rsidR="003A096D" w:rsidRPr="003A096D" w:rsidRDefault="003A096D" w:rsidP="00D044E6">
            <w:pPr>
              <w:spacing w:line="240" w:lineRule="auto"/>
              <w:rPr>
                <w:rFonts w:ascii="Arial" w:hAnsi="Arial" w:cs="Arial"/>
                <w:sz w:val="22"/>
              </w:rPr>
            </w:pPr>
            <w:r w:rsidRPr="003A096D">
              <w:rPr>
                <w:rFonts w:ascii="Arial" w:hAnsi="Arial" w:cs="Arial"/>
                <w:sz w:val="22"/>
              </w:rPr>
              <w:t>Egypt</w:t>
            </w:r>
          </w:p>
        </w:tc>
        <w:tc>
          <w:tcPr>
            <w:tcW w:w="1843" w:type="dxa"/>
            <w:noWrap/>
            <w:hideMark/>
          </w:tcPr>
          <w:p w14:paraId="74380B5A"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271EC597" w14:textId="77777777" w:rsidTr="00D73490">
        <w:trPr>
          <w:trHeight w:val="510"/>
        </w:trPr>
        <w:tc>
          <w:tcPr>
            <w:tcW w:w="1555" w:type="dxa"/>
            <w:hideMark/>
          </w:tcPr>
          <w:p w14:paraId="37309A0F"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1384</w:t>
            </w:r>
          </w:p>
        </w:tc>
        <w:tc>
          <w:tcPr>
            <w:tcW w:w="1984" w:type="dxa"/>
            <w:hideMark/>
          </w:tcPr>
          <w:p w14:paraId="5E93019F"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19AF">
              <w:rPr>
                <w:rFonts w:ascii="Arial" w:hAnsi="Arial" w:cs="Arial"/>
                <w:sz w:val="22"/>
              </w:rPr>
              <w:t>var.</w:t>
            </w:r>
            <w:r w:rsidRPr="00C627F3">
              <w:rPr>
                <w:rFonts w:ascii="Arial" w:hAnsi="Arial" w:cs="Arial"/>
                <w:i/>
                <w:iCs/>
                <w:sz w:val="22"/>
              </w:rPr>
              <w:t xml:space="preserve"> hybernum Viborg</w:t>
            </w:r>
          </w:p>
        </w:tc>
        <w:tc>
          <w:tcPr>
            <w:tcW w:w="1418" w:type="dxa"/>
            <w:hideMark/>
          </w:tcPr>
          <w:p w14:paraId="48B2183D"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7358B014" w14:textId="77777777" w:rsidR="003A096D" w:rsidRPr="003A096D" w:rsidRDefault="003A096D" w:rsidP="00D044E6">
            <w:pPr>
              <w:spacing w:line="240" w:lineRule="auto"/>
              <w:rPr>
                <w:rFonts w:ascii="Arial" w:hAnsi="Arial" w:cs="Arial"/>
                <w:sz w:val="22"/>
              </w:rPr>
            </w:pPr>
            <w:r w:rsidRPr="003A096D">
              <w:rPr>
                <w:rFonts w:ascii="Arial" w:hAnsi="Arial" w:cs="Arial"/>
                <w:sz w:val="22"/>
              </w:rPr>
              <w:t>Greece</w:t>
            </w:r>
          </w:p>
        </w:tc>
        <w:tc>
          <w:tcPr>
            <w:tcW w:w="1843" w:type="dxa"/>
            <w:noWrap/>
            <w:hideMark/>
          </w:tcPr>
          <w:p w14:paraId="2C67D9E4"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0ECF108E" w14:textId="77777777" w:rsidTr="00D73490">
        <w:trPr>
          <w:trHeight w:val="300"/>
        </w:trPr>
        <w:tc>
          <w:tcPr>
            <w:tcW w:w="1555" w:type="dxa"/>
            <w:hideMark/>
          </w:tcPr>
          <w:p w14:paraId="628EE973"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15908</w:t>
            </w:r>
          </w:p>
        </w:tc>
        <w:tc>
          <w:tcPr>
            <w:tcW w:w="1984" w:type="dxa"/>
            <w:hideMark/>
          </w:tcPr>
          <w:p w14:paraId="1F9ED871"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2BE21D9A" w14:textId="77777777" w:rsidR="003A096D" w:rsidRPr="003A096D" w:rsidRDefault="003A096D" w:rsidP="00D044E6">
            <w:pPr>
              <w:spacing w:line="240" w:lineRule="auto"/>
              <w:rPr>
                <w:rFonts w:ascii="Arial" w:hAnsi="Arial" w:cs="Arial"/>
                <w:sz w:val="22"/>
              </w:rPr>
            </w:pPr>
            <w:r w:rsidRPr="003A096D">
              <w:rPr>
                <w:rFonts w:ascii="Arial" w:hAnsi="Arial" w:cs="Arial"/>
                <w:sz w:val="22"/>
              </w:rPr>
              <w:t>INSEL SIRINA</w:t>
            </w:r>
          </w:p>
        </w:tc>
        <w:tc>
          <w:tcPr>
            <w:tcW w:w="1417" w:type="dxa"/>
            <w:hideMark/>
          </w:tcPr>
          <w:p w14:paraId="1C96596A" w14:textId="77777777" w:rsidR="003A096D" w:rsidRPr="003A096D" w:rsidRDefault="003A096D" w:rsidP="00D044E6">
            <w:pPr>
              <w:spacing w:line="240" w:lineRule="auto"/>
              <w:rPr>
                <w:rFonts w:ascii="Arial" w:hAnsi="Arial" w:cs="Arial"/>
                <w:sz w:val="22"/>
              </w:rPr>
            </w:pPr>
            <w:r w:rsidRPr="003A096D">
              <w:rPr>
                <w:rFonts w:ascii="Arial" w:hAnsi="Arial" w:cs="Arial"/>
                <w:sz w:val="22"/>
              </w:rPr>
              <w:t>Greece</w:t>
            </w:r>
          </w:p>
        </w:tc>
        <w:tc>
          <w:tcPr>
            <w:tcW w:w="1843" w:type="dxa"/>
            <w:noWrap/>
            <w:hideMark/>
          </w:tcPr>
          <w:p w14:paraId="4EF10163"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0E1303DF" w14:textId="77777777" w:rsidTr="00D73490">
        <w:trPr>
          <w:trHeight w:val="765"/>
        </w:trPr>
        <w:tc>
          <w:tcPr>
            <w:tcW w:w="1555" w:type="dxa"/>
            <w:hideMark/>
          </w:tcPr>
          <w:p w14:paraId="38BAC60B"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869</w:t>
            </w:r>
          </w:p>
        </w:tc>
        <w:tc>
          <w:tcPr>
            <w:tcW w:w="1984" w:type="dxa"/>
            <w:hideMark/>
          </w:tcPr>
          <w:p w14:paraId="704C5F26"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3019AF">
              <w:rPr>
                <w:rFonts w:ascii="Arial" w:hAnsi="Arial" w:cs="Arial"/>
                <w:sz w:val="22"/>
              </w:rPr>
              <w:t>var.</w:t>
            </w:r>
            <w:r w:rsidRPr="00C627F3">
              <w:rPr>
                <w:rFonts w:ascii="Arial" w:hAnsi="Arial" w:cs="Arial"/>
                <w:i/>
                <w:iCs/>
                <w:sz w:val="22"/>
              </w:rPr>
              <w:t xml:space="preserve"> nutans (Rode) Alef.</w:t>
            </w:r>
          </w:p>
        </w:tc>
        <w:tc>
          <w:tcPr>
            <w:tcW w:w="1418" w:type="dxa"/>
            <w:hideMark/>
          </w:tcPr>
          <w:p w14:paraId="3CEB15C3"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21AEB57B" w14:textId="77777777" w:rsidR="003A096D" w:rsidRPr="003A096D" w:rsidRDefault="003A096D" w:rsidP="00D044E6">
            <w:pPr>
              <w:spacing w:line="240" w:lineRule="auto"/>
              <w:rPr>
                <w:rFonts w:ascii="Arial" w:hAnsi="Arial" w:cs="Arial"/>
                <w:sz w:val="22"/>
              </w:rPr>
            </w:pPr>
            <w:r w:rsidRPr="003A096D">
              <w:rPr>
                <w:rFonts w:ascii="Arial" w:hAnsi="Arial" w:cs="Arial"/>
                <w:sz w:val="22"/>
              </w:rPr>
              <w:t>Greece</w:t>
            </w:r>
          </w:p>
        </w:tc>
        <w:tc>
          <w:tcPr>
            <w:tcW w:w="1843" w:type="dxa"/>
            <w:noWrap/>
            <w:hideMark/>
          </w:tcPr>
          <w:p w14:paraId="4674E8C7"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56BAFFF2" w14:textId="77777777" w:rsidTr="00D73490">
        <w:trPr>
          <w:trHeight w:val="765"/>
        </w:trPr>
        <w:tc>
          <w:tcPr>
            <w:tcW w:w="1555" w:type="dxa"/>
            <w:hideMark/>
          </w:tcPr>
          <w:p w14:paraId="0A8832DE"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10784</w:t>
            </w:r>
          </w:p>
        </w:tc>
        <w:tc>
          <w:tcPr>
            <w:tcW w:w="1984" w:type="dxa"/>
            <w:hideMark/>
          </w:tcPr>
          <w:p w14:paraId="2614329C"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3019AF">
              <w:rPr>
                <w:rFonts w:ascii="Arial" w:hAnsi="Arial" w:cs="Arial"/>
                <w:sz w:val="22"/>
              </w:rPr>
              <w:t>var.</w:t>
            </w:r>
            <w:r w:rsidRPr="00C627F3">
              <w:rPr>
                <w:rFonts w:ascii="Arial" w:hAnsi="Arial" w:cs="Arial"/>
                <w:i/>
                <w:iCs/>
                <w:sz w:val="22"/>
              </w:rPr>
              <w:t xml:space="preserve"> nutans (Rode) Alef.</w:t>
            </w:r>
          </w:p>
        </w:tc>
        <w:tc>
          <w:tcPr>
            <w:tcW w:w="1418" w:type="dxa"/>
            <w:hideMark/>
          </w:tcPr>
          <w:p w14:paraId="6FE65AD8" w14:textId="77777777" w:rsidR="003A096D" w:rsidRPr="003A096D" w:rsidRDefault="003A096D" w:rsidP="00D044E6">
            <w:pPr>
              <w:spacing w:line="240" w:lineRule="auto"/>
              <w:rPr>
                <w:rFonts w:ascii="Arial" w:hAnsi="Arial" w:cs="Arial"/>
                <w:sz w:val="22"/>
              </w:rPr>
            </w:pPr>
            <w:r w:rsidRPr="003A096D">
              <w:rPr>
                <w:rFonts w:ascii="Arial" w:hAnsi="Arial" w:cs="Arial"/>
                <w:sz w:val="22"/>
              </w:rPr>
              <w:t>Marzuolo</w:t>
            </w:r>
          </w:p>
        </w:tc>
        <w:tc>
          <w:tcPr>
            <w:tcW w:w="1417" w:type="dxa"/>
            <w:hideMark/>
          </w:tcPr>
          <w:p w14:paraId="7337F7F1" w14:textId="77777777" w:rsidR="003A096D" w:rsidRPr="003A096D" w:rsidRDefault="003A096D" w:rsidP="00D044E6">
            <w:pPr>
              <w:spacing w:line="240" w:lineRule="auto"/>
              <w:rPr>
                <w:rFonts w:ascii="Arial" w:hAnsi="Arial" w:cs="Arial"/>
                <w:sz w:val="22"/>
              </w:rPr>
            </w:pPr>
            <w:r w:rsidRPr="003A096D">
              <w:rPr>
                <w:rFonts w:ascii="Arial" w:hAnsi="Arial" w:cs="Arial"/>
                <w:sz w:val="22"/>
              </w:rPr>
              <w:t>Italy</w:t>
            </w:r>
          </w:p>
        </w:tc>
        <w:tc>
          <w:tcPr>
            <w:tcW w:w="1843" w:type="dxa"/>
            <w:noWrap/>
            <w:hideMark/>
          </w:tcPr>
          <w:p w14:paraId="452FD2E9"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30917443" w14:textId="77777777" w:rsidTr="00D73490">
        <w:trPr>
          <w:trHeight w:val="510"/>
        </w:trPr>
        <w:tc>
          <w:tcPr>
            <w:tcW w:w="1555" w:type="dxa"/>
            <w:hideMark/>
          </w:tcPr>
          <w:p w14:paraId="5EF9D5CE"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12791</w:t>
            </w:r>
          </w:p>
        </w:tc>
        <w:tc>
          <w:tcPr>
            <w:tcW w:w="1984" w:type="dxa"/>
            <w:hideMark/>
          </w:tcPr>
          <w:p w14:paraId="318C3972"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 convar. vulgare</w:t>
            </w:r>
          </w:p>
        </w:tc>
        <w:tc>
          <w:tcPr>
            <w:tcW w:w="1418" w:type="dxa"/>
            <w:hideMark/>
          </w:tcPr>
          <w:p w14:paraId="6B849CAF"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597BD059" w14:textId="77777777" w:rsidR="003A096D" w:rsidRPr="003A096D" w:rsidRDefault="003A096D" w:rsidP="00D044E6">
            <w:pPr>
              <w:spacing w:line="240" w:lineRule="auto"/>
              <w:rPr>
                <w:rFonts w:ascii="Arial" w:hAnsi="Arial" w:cs="Arial"/>
                <w:sz w:val="22"/>
              </w:rPr>
            </w:pPr>
            <w:r w:rsidRPr="003A096D">
              <w:rPr>
                <w:rFonts w:ascii="Arial" w:hAnsi="Arial" w:cs="Arial"/>
                <w:sz w:val="22"/>
              </w:rPr>
              <w:t>Italy</w:t>
            </w:r>
          </w:p>
        </w:tc>
        <w:tc>
          <w:tcPr>
            <w:tcW w:w="1843" w:type="dxa"/>
            <w:noWrap/>
            <w:hideMark/>
          </w:tcPr>
          <w:p w14:paraId="7DF4BA06"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4D4C2152" w14:textId="77777777" w:rsidTr="00D73490">
        <w:trPr>
          <w:trHeight w:val="765"/>
        </w:trPr>
        <w:tc>
          <w:tcPr>
            <w:tcW w:w="1555" w:type="dxa"/>
            <w:hideMark/>
          </w:tcPr>
          <w:p w14:paraId="57260063"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13462</w:t>
            </w:r>
          </w:p>
        </w:tc>
        <w:tc>
          <w:tcPr>
            <w:tcW w:w="1984" w:type="dxa"/>
            <w:hideMark/>
          </w:tcPr>
          <w:p w14:paraId="67E9ABD5"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3019AF">
              <w:rPr>
                <w:rFonts w:ascii="Arial" w:hAnsi="Arial" w:cs="Arial"/>
                <w:sz w:val="22"/>
              </w:rPr>
              <w:t>var.</w:t>
            </w:r>
            <w:r w:rsidRPr="00C627F3">
              <w:rPr>
                <w:rFonts w:ascii="Arial" w:hAnsi="Arial" w:cs="Arial"/>
                <w:i/>
                <w:iCs/>
                <w:sz w:val="22"/>
              </w:rPr>
              <w:t xml:space="preserve"> nutans (Rode) Alef.</w:t>
            </w:r>
          </w:p>
        </w:tc>
        <w:tc>
          <w:tcPr>
            <w:tcW w:w="1418" w:type="dxa"/>
            <w:hideMark/>
          </w:tcPr>
          <w:p w14:paraId="0A71EA5E"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4F38BF69" w14:textId="77777777" w:rsidR="003A096D" w:rsidRPr="003A096D" w:rsidRDefault="003A096D" w:rsidP="00D044E6">
            <w:pPr>
              <w:spacing w:line="240" w:lineRule="auto"/>
              <w:rPr>
                <w:rFonts w:ascii="Arial" w:hAnsi="Arial" w:cs="Arial"/>
                <w:sz w:val="22"/>
              </w:rPr>
            </w:pPr>
            <w:r w:rsidRPr="003A096D">
              <w:rPr>
                <w:rFonts w:ascii="Arial" w:hAnsi="Arial" w:cs="Arial"/>
                <w:sz w:val="22"/>
              </w:rPr>
              <w:t>Italy</w:t>
            </w:r>
          </w:p>
        </w:tc>
        <w:tc>
          <w:tcPr>
            <w:tcW w:w="1843" w:type="dxa"/>
            <w:noWrap/>
            <w:hideMark/>
          </w:tcPr>
          <w:p w14:paraId="4F13FFE0"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540B8314" w14:textId="77777777" w:rsidTr="00D73490">
        <w:trPr>
          <w:trHeight w:val="300"/>
        </w:trPr>
        <w:tc>
          <w:tcPr>
            <w:tcW w:w="1555" w:type="dxa"/>
            <w:hideMark/>
          </w:tcPr>
          <w:p w14:paraId="7CA724AC"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18681</w:t>
            </w:r>
          </w:p>
        </w:tc>
        <w:tc>
          <w:tcPr>
            <w:tcW w:w="1984" w:type="dxa"/>
            <w:hideMark/>
          </w:tcPr>
          <w:p w14:paraId="3336CB2D"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581D5E61" w14:textId="77777777" w:rsidR="003A096D" w:rsidRPr="003A096D" w:rsidRDefault="003A096D" w:rsidP="00D044E6">
            <w:pPr>
              <w:spacing w:line="240" w:lineRule="auto"/>
              <w:rPr>
                <w:rFonts w:ascii="Arial" w:hAnsi="Arial" w:cs="Arial"/>
                <w:sz w:val="22"/>
              </w:rPr>
            </w:pPr>
            <w:r w:rsidRPr="003A096D">
              <w:rPr>
                <w:rFonts w:ascii="Arial" w:hAnsi="Arial" w:cs="Arial"/>
                <w:sz w:val="22"/>
              </w:rPr>
              <w:t>PERUGIA</w:t>
            </w:r>
          </w:p>
        </w:tc>
        <w:tc>
          <w:tcPr>
            <w:tcW w:w="1417" w:type="dxa"/>
            <w:hideMark/>
          </w:tcPr>
          <w:p w14:paraId="79BA91B1" w14:textId="77777777" w:rsidR="003A096D" w:rsidRPr="003A096D" w:rsidRDefault="003A096D" w:rsidP="00D044E6">
            <w:pPr>
              <w:spacing w:line="240" w:lineRule="auto"/>
              <w:rPr>
                <w:rFonts w:ascii="Arial" w:hAnsi="Arial" w:cs="Arial"/>
                <w:sz w:val="22"/>
              </w:rPr>
            </w:pPr>
            <w:r w:rsidRPr="003A096D">
              <w:rPr>
                <w:rFonts w:ascii="Arial" w:hAnsi="Arial" w:cs="Arial"/>
                <w:sz w:val="22"/>
              </w:rPr>
              <w:t>Italy</w:t>
            </w:r>
          </w:p>
        </w:tc>
        <w:tc>
          <w:tcPr>
            <w:tcW w:w="1843" w:type="dxa"/>
            <w:noWrap/>
            <w:hideMark/>
          </w:tcPr>
          <w:p w14:paraId="05742712"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60C7D4E8" w14:textId="77777777" w:rsidTr="00D73490">
        <w:trPr>
          <w:trHeight w:val="765"/>
        </w:trPr>
        <w:tc>
          <w:tcPr>
            <w:tcW w:w="1555" w:type="dxa"/>
            <w:hideMark/>
          </w:tcPr>
          <w:p w14:paraId="58B0702E"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9724</w:t>
            </w:r>
          </w:p>
        </w:tc>
        <w:tc>
          <w:tcPr>
            <w:tcW w:w="1984" w:type="dxa"/>
            <w:hideMark/>
          </w:tcPr>
          <w:p w14:paraId="03CC6D5B"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3019AF">
              <w:rPr>
                <w:rFonts w:ascii="Arial" w:hAnsi="Arial" w:cs="Arial"/>
                <w:sz w:val="22"/>
              </w:rPr>
              <w:t>var.</w:t>
            </w:r>
            <w:r w:rsidRPr="00C627F3">
              <w:rPr>
                <w:rFonts w:ascii="Arial" w:hAnsi="Arial" w:cs="Arial"/>
                <w:i/>
                <w:iCs/>
                <w:sz w:val="22"/>
              </w:rPr>
              <w:t xml:space="preserve"> nutans (Rode) Alef.</w:t>
            </w:r>
          </w:p>
        </w:tc>
        <w:tc>
          <w:tcPr>
            <w:tcW w:w="1418" w:type="dxa"/>
            <w:hideMark/>
          </w:tcPr>
          <w:p w14:paraId="548BEAF6"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16C1D455" w14:textId="77777777" w:rsidR="003A096D" w:rsidRPr="003A096D" w:rsidRDefault="003A096D" w:rsidP="00D044E6">
            <w:pPr>
              <w:spacing w:line="240" w:lineRule="auto"/>
              <w:rPr>
                <w:rFonts w:ascii="Arial" w:hAnsi="Arial" w:cs="Arial"/>
                <w:sz w:val="22"/>
              </w:rPr>
            </w:pPr>
            <w:r w:rsidRPr="003A096D">
              <w:rPr>
                <w:rFonts w:ascii="Arial" w:hAnsi="Arial" w:cs="Arial"/>
                <w:sz w:val="22"/>
              </w:rPr>
              <w:t>Libya</w:t>
            </w:r>
          </w:p>
        </w:tc>
        <w:tc>
          <w:tcPr>
            <w:tcW w:w="1843" w:type="dxa"/>
            <w:noWrap/>
            <w:hideMark/>
          </w:tcPr>
          <w:p w14:paraId="24FB891D"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773B39C5" w14:textId="77777777" w:rsidTr="00D73490">
        <w:trPr>
          <w:trHeight w:val="510"/>
        </w:trPr>
        <w:tc>
          <w:tcPr>
            <w:tcW w:w="1555" w:type="dxa"/>
            <w:hideMark/>
          </w:tcPr>
          <w:p w14:paraId="6D3FAB09"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9927</w:t>
            </w:r>
          </w:p>
        </w:tc>
        <w:tc>
          <w:tcPr>
            <w:tcW w:w="1984" w:type="dxa"/>
            <w:hideMark/>
          </w:tcPr>
          <w:p w14:paraId="3E91618B"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19AF">
              <w:rPr>
                <w:rFonts w:ascii="Arial" w:hAnsi="Arial" w:cs="Arial"/>
                <w:sz w:val="22"/>
              </w:rPr>
              <w:t>var.</w:t>
            </w:r>
            <w:r w:rsidRPr="00C627F3">
              <w:rPr>
                <w:rFonts w:ascii="Arial" w:hAnsi="Arial" w:cs="Arial"/>
                <w:i/>
                <w:iCs/>
                <w:sz w:val="22"/>
              </w:rPr>
              <w:t xml:space="preserve"> hybernum Viborg</w:t>
            </w:r>
          </w:p>
        </w:tc>
        <w:tc>
          <w:tcPr>
            <w:tcW w:w="1418" w:type="dxa"/>
            <w:hideMark/>
          </w:tcPr>
          <w:p w14:paraId="6A57F346"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4B1CC635" w14:textId="77777777" w:rsidR="003A096D" w:rsidRPr="003A096D" w:rsidRDefault="003A096D" w:rsidP="00D044E6">
            <w:pPr>
              <w:spacing w:line="240" w:lineRule="auto"/>
              <w:rPr>
                <w:rFonts w:ascii="Arial" w:hAnsi="Arial" w:cs="Arial"/>
                <w:sz w:val="22"/>
              </w:rPr>
            </w:pPr>
            <w:r w:rsidRPr="003A096D">
              <w:rPr>
                <w:rFonts w:ascii="Arial" w:hAnsi="Arial" w:cs="Arial"/>
                <w:sz w:val="22"/>
              </w:rPr>
              <w:t>Libya</w:t>
            </w:r>
          </w:p>
        </w:tc>
        <w:tc>
          <w:tcPr>
            <w:tcW w:w="1843" w:type="dxa"/>
            <w:noWrap/>
            <w:hideMark/>
          </w:tcPr>
          <w:p w14:paraId="29ECA9CF"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719CCF6E" w14:textId="77777777" w:rsidTr="00D73490">
        <w:trPr>
          <w:trHeight w:val="300"/>
        </w:trPr>
        <w:tc>
          <w:tcPr>
            <w:tcW w:w="1555" w:type="dxa"/>
            <w:hideMark/>
          </w:tcPr>
          <w:p w14:paraId="36243706"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16071</w:t>
            </w:r>
          </w:p>
        </w:tc>
        <w:tc>
          <w:tcPr>
            <w:tcW w:w="1984" w:type="dxa"/>
            <w:hideMark/>
          </w:tcPr>
          <w:p w14:paraId="265FAFC8"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3FE753E3" w14:textId="77777777" w:rsidR="003A096D" w:rsidRPr="003A096D" w:rsidRDefault="003A096D" w:rsidP="00D044E6">
            <w:pPr>
              <w:spacing w:line="240" w:lineRule="auto"/>
              <w:rPr>
                <w:rFonts w:ascii="Arial" w:hAnsi="Arial" w:cs="Arial"/>
                <w:sz w:val="22"/>
              </w:rPr>
            </w:pPr>
            <w:r w:rsidRPr="003A096D">
              <w:rPr>
                <w:rFonts w:ascii="Arial" w:hAnsi="Arial" w:cs="Arial"/>
                <w:sz w:val="22"/>
              </w:rPr>
              <w:t>RUMAENE 4</w:t>
            </w:r>
          </w:p>
        </w:tc>
        <w:tc>
          <w:tcPr>
            <w:tcW w:w="1417" w:type="dxa"/>
            <w:hideMark/>
          </w:tcPr>
          <w:p w14:paraId="288A0934" w14:textId="77777777" w:rsidR="003A096D" w:rsidRPr="003A096D" w:rsidRDefault="003A096D" w:rsidP="00D044E6">
            <w:pPr>
              <w:spacing w:line="240" w:lineRule="auto"/>
              <w:rPr>
                <w:rFonts w:ascii="Arial" w:hAnsi="Arial" w:cs="Arial"/>
                <w:sz w:val="22"/>
              </w:rPr>
            </w:pPr>
            <w:r w:rsidRPr="003A096D">
              <w:rPr>
                <w:rFonts w:ascii="Arial" w:hAnsi="Arial" w:cs="Arial"/>
                <w:sz w:val="22"/>
              </w:rPr>
              <w:t>Romania</w:t>
            </w:r>
          </w:p>
        </w:tc>
        <w:tc>
          <w:tcPr>
            <w:tcW w:w="1843" w:type="dxa"/>
            <w:noWrap/>
            <w:hideMark/>
          </w:tcPr>
          <w:p w14:paraId="528FCC48"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1E4E97F8" w14:textId="77777777" w:rsidTr="00D73490">
        <w:trPr>
          <w:trHeight w:val="510"/>
        </w:trPr>
        <w:tc>
          <w:tcPr>
            <w:tcW w:w="1555" w:type="dxa"/>
            <w:hideMark/>
          </w:tcPr>
          <w:p w14:paraId="27CE90AB"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19313</w:t>
            </w:r>
          </w:p>
        </w:tc>
        <w:tc>
          <w:tcPr>
            <w:tcW w:w="1984" w:type="dxa"/>
            <w:hideMark/>
          </w:tcPr>
          <w:p w14:paraId="3A90C491"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5ED1BD59" w14:textId="77777777" w:rsidR="003A096D" w:rsidRPr="003A096D" w:rsidRDefault="003A096D" w:rsidP="00D044E6">
            <w:pPr>
              <w:spacing w:line="240" w:lineRule="auto"/>
              <w:rPr>
                <w:rFonts w:ascii="Arial" w:hAnsi="Arial" w:cs="Arial"/>
                <w:sz w:val="22"/>
              </w:rPr>
            </w:pPr>
            <w:r w:rsidRPr="003A096D">
              <w:rPr>
                <w:rFonts w:ascii="Arial" w:hAnsi="Arial" w:cs="Arial"/>
                <w:sz w:val="22"/>
              </w:rPr>
              <w:t>TONAT NOERDLIC</w:t>
            </w:r>
            <w:r w:rsidRPr="003A096D">
              <w:rPr>
                <w:rFonts w:ascii="Arial" w:hAnsi="Arial" w:cs="Arial"/>
                <w:sz w:val="22"/>
              </w:rPr>
              <w:lastRenderedPageBreak/>
              <w:t>HE SAHARA</w:t>
            </w:r>
          </w:p>
        </w:tc>
        <w:tc>
          <w:tcPr>
            <w:tcW w:w="1417" w:type="dxa"/>
            <w:hideMark/>
          </w:tcPr>
          <w:p w14:paraId="2F59F4E5" w14:textId="77777777" w:rsidR="003A096D" w:rsidRPr="003A096D" w:rsidRDefault="003A096D" w:rsidP="00D044E6">
            <w:pPr>
              <w:spacing w:line="240" w:lineRule="auto"/>
              <w:rPr>
                <w:rFonts w:ascii="Arial" w:hAnsi="Arial" w:cs="Arial"/>
                <w:sz w:val="22"/>
              </w:rPr>
            </w:pPr>
            <w:r w:rsidRPr="003A096D">
              <w:rPr>
                <w:rFonts w:ascii="Arial" w:hAnsi="Arial" w:cs="Arial"/>
                <w:sz w:val="22"/>
              </w:rPr>
              <w:lastRenderedPageBreak/>
              <w:t>Northern Africa</w:t>
            </w:r>
          </w:p>
        </w:tc>
        <w:tc>
          <w:tcPr>
            <w:tcW w:w="1843" w:type="dxa"/>
            <w:noWrap/>
            <w:hideMark/>
          </w:tcPr>
          <w:p w14:paraId="2914CECF" w14:textId="77777777" w:rsidR="003A096D" w:rsidRPr="003A096D" w:rsidRDefault="003A096D" w:rsidP="00D044E6">
            <w:pPr>
              <w:spacing w:line="240" w:lineRule="auto"/>
              <w:rPr>
                <w:rFonts w:ascii="Arial" w:hAnsi="Arial" w:cs="Arial"/>
                <w:sz w:val="22"/>
              </w:rPr>
            </w:pPr>
            <w:r w:rsidRPr="003A096D">
              <w:rPr>
                <w:rFonts w:ascii="Arial" w:hAnsi="Arial" w:cs="Arial"/>
                <w:sz w:val="22"/>
              </w:rPr>
              <w:t> </w:t>
            </w:r>
          </w:p>
        </w:tc>
      </w:tr>
      <w:tr w:rsidR="003A096D" w:rsidRPr="003A096D" w14:paraId="0F599A4C" w14:textId="77777777" w:rsidTr="00D73490">
        <w:trPr>
          <w:trHeight w:val="300"/>
        </w:trPr>
        <w:tc>
          <w:tcPr>
            <w:tcW w:w="1555" w:type="dxa"/>
            <w:hideMark/>
          </w:tcPr>
          <w:p w14:paraId="4828C47C"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14689</w:t>
            </w:r>
          </w:p>
        </w:tc>
        <w:tc>
          <w:tcPr>
            <w:tcW w:w="1984" w:type="dxa"/>
            <w:hideMark/>
          </w:tcPr>
          <w:p w14:paraId="5F069626"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Hordeum vulgare L.</w:t>
            </w:r>
          </w:p>
        </w:tc>
        <w:tc>
          <w:tcPr>
            <w:tcW w:w="1418" w:type="dxa"/>
            <w:hideMark/>
          </w:tcPr>
          <w:p w14:paraId="1ABB0620" w14:textId="77777777" w:rsidR="003A096D" w:rsidRPr="003A096D" w:rsidRDefault="003A096D" w:rsidP="00D044E6">
            <w:pPr>
              <w:spacing w:line="240" w:lineRule="auto"/>
              <w:rPr>
                <w:rFonts w:ascii="Arial" w:hAnsi="Arial" w:cs="Arial"/>
                <w:sz w:val="22"/>
              </w:rPr>
            </w:pPr>
            <w:r w:rsidRPr="003A096D">
              <w:rPr>
                <w:rFonts w:ascii="Arial" w:hAnsi="Arial" w:cs="Arial"/>
                <w:sz w:val="22"/>
              </w:rPr>
              <w:t>CALIFORNIA MARIOUT</w:t>
            </w:r>
          </w:p>
        </w:tc>
        <w:tc>
          <w:tcPr>
            <w:tcW w:w="1417" w:type="dxa"/>
            <w:hideMark/>
          </w:tcPr>
          <w:p w14:paraId="13E6B6B2" w14:textId="77777777" w:rsidR="003A096D" w:rsidRPr="003A096D" w:rsidRDefault="003A096D" w:rsidP="00D044E6">
            <w:pPr>
              <w:spacing w:line="240" w:lineRule="auto"/>
              <w:rPr>
                <w:rFonts w:ascii="Arial" w:hAnsi="Arial" w:cs="Arial"/>
                <w:sz w:val="22"/>
              </w:rPr>
            </w:pPr>
            <w:r w:rsidRPr="003A096D">
              <w:rPr>
                <w:rFonts w:ascii="Arial" w:hAnsi="Arial" w:cs="Arial"/>
                <w:sz w:val="22"/>
              </w:rPr>
              <w:t>USA</w:t>
            </w:r>
          </w:p>
        </w:tc>
        <w:tc>
          <w:tcPr>
            <w:tcW w:w="1843" w:type="dxa"/>
            <w:noWrap/>
            <w:hideMark/>
          </w:tcPr>
          <w:p w14:paraId="14FB7F91"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19F4C81A" w14:textId="77777777" w:rsidTr="00D73490">
        <w:trPr>
          <w:trHeight w:val="765"/>
        </w:trPr>
        <w:tc>
          <w:tcPr>
            <w:tcW w:w="1555" w:type="dxa"/>
            <w:hideMark/>
          </w:tcPr>
          <w:p w14:paraId="7B81070F"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15895</w:t>
            </w:r>
          </w:p>
        </w:tc>
        <w:tc>
          <w:tcPr>
            <w:tcW w:w="1984" w:type="dxa"/>
            <w:hideMark/>
          </w:tcPr>
          <w:p w14:paraId="1FF8C628"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19AF">
              <w:rPr>
                <w:rFonts w:ascii="Arial" w:hAnsi="Arial" w:cs="Arial"/>
                <w:sz w:val="22"/>
              </w:rPr>
              <w:t>var.</w:t>
            </w:r>
            <w:r w:rsidRPr="00C627F3">
              <w:rPr>
                <w:rFonts w:ascii="Arial" w:hAnsi="Arial" w:cs="Arial"/>
                <w:i/>
                <w:iCs/>
                <w:sz w:val="22"/>
              </w:rPr>
              <w:t xml:space="preserve"> glabriparallelum (Orlov) Mansf.</w:t>
            </w:r>
          </w:p>
        </w:tc>
        <w:tc>
          <w:tcPr>
            <w:tcW w:w="1418" w:type="dxa"/>
            <w:hideMark/>
          </w:tcPr>
          <w:p w14:paraId="25D6C22D" w14:textId="77777777" w:rsidR="003A096D" w:rsidRPr="003A096D" w:rsidRDefault="003A096D" w:rsidP="00D044E6">
            <w:pPr>
              <w:spacing w:line="240" w:lineRule="auto"/>
              <w:rPr>
                <w:rFonts w:ascii="Arial" w:hAnsi="Arial" w:cs="Arial"/>
                <w:sz w:val="22"/>
              </w:rPr>
            </w:pPr>
            <w:r w:rsidRPr="003A096D">
              <w:rPr>
                <w:rFonts w:ascii="Arial" w:hAnsi="Arial" w:cs="Arial"/>
                <w:sz w:val="22"/>
              </w:rPr>
              <w:t>A.HIND</w:t>
            </w:r>
          </w:p>
        </w:tc>
        <w:tc>
          <w:tcPr>
            <w:tcW w:w="1417" w:type="dxa"/>
            <w:hideMark/>
          </w:tcPr>
          <w:p w14:paraId="3AE4036D" w14:textId="77777777" w:rsidR="003A096D" w:rsidRPr="003A096D" w:rsidRDefault="003A096D" w:rsidP="00D044E6">
            <w:pPr>
              <w:spacing w:line="240" w:lineRule="auto"/>
              <w:rPr>
                <w:rFonts w:ascii="Arial" w:hAnsi="Arial" w:cs="Arial"/>
                <w:sz w:val="22"/>
              </w:rPr>
            </w:pPr>
            <w:r w:rsidRPr="003A096D">
              <w:rPr>
                <w:rFonts w:ascii="Arial" w:hAnsi="Arial" w:cs="Arial"/>
                <w:sz w:val="22"/>
              </w:rPr>
              <w:t>USA</w:t>
            </w:r>
          </w:p>
        </w:tc>
        <w:tc>
          <w:tcPr>
            <w:tcW w:w="1843" w:type="dxa"/>
            <w:noWrap/>
            <w:hideMark/>
          </w:tcPr>
          <w:p w14:paraId="58644696"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4A05DE70" w14:textId="77777777" w:rsidTr="00D73490">
        <w:trPr>
          <w:trHeight w:val="510"/>
        </w:trPr>
        <w:tc>
          <w:tcPr>
            <w:tcW w:w="1555" w:type="dxa"/>
            <w:hideMark/>
          </w:tcPr>
          <w:p w14:paraId="5EAD5E97"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2749</w:t>
            </w:r>
          </w:p>
        </w:tc>
        <w:tc>
          <w:tcPr>
            <w:tcW w:w="1984" w:type="dxa"/>
            <w:hideMark/>
          </w:tcPr>
          <w:p w14:paraId="3C12BC32"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19AF">
              <w:rPr>
                <w:rFonts w:ascii="Arial" w:hAnsi="Arial" w:cs="Arial"/>
                <w:sz w:val="22"/>
              </w:rPr>
              <w:t>var.</w:t>
            </w:r>
            <w:r w:rsidRPr="00C627F3">
              <w:rPr>
                <w:rFonts w:ascii="Arial" w:hAnsi="Arial" w:cs="Arial"/>
                <w:i/>
                <w:iCs/>
                <w:sz w:val="22"/>
              </w:rPr>
              <w:t xml:space="preserve"> rikotense Regel</w:t>
            </w:r>
          </w:p>
        </w:tc>
        <w:tc>
          <w:tcPr>
            <w:tcW w:w="1418" w:type="dxa"/>
            <w:hideMark/>
          </w:tcPr>
          <w:p w14:paraId="35CA8EE0" w14:textId="77777777" w:rsidR="003A096D" w:rsidRPr="003A096D" w:rsidRDefault="003A096D" w:rsidP="00D044E6">
            <w:pPr>
              <w:spacing w:line="240" w:lineRule="auto"/>
              <w:rPr>
                <w:rFonts w:ascii="Arial" w:hAnsi="Arial" w:cs="Arial"/>
                <w:sz w:val="22"/>
              </w:rPr>
            </w:pPr>
            <w:r w:rsidRPr="003A096D">
              <w:rPr>
                <w:rFonts w:ascii="Arial" w:hAnsi="Arial" w:cs="Arial"/>
                <w:sz w:val="22"/>
              </w:rPr>
              <w:t>Custer</w:t>
            </w:r>
          </w:p>
        </w:tc>
        <w:tc>
          <w:tcPr>
            <w:tcW w:w="1417" w:type="dxa"/>
            <w:hideMark/>
          </w:tcPr>
          <w:p w14:paraId="36D7F082" w14:textId="77777777" w:rsidR="003A096D" w:rsidRPr="003A096D" w:rsidRDefault="003A096D" w:rsidP="00D044E6">
            <w:pPr>
              <w:spacing w:line="240" w:lineRule="auto"/>
              <w:rPr>
                <w:rFonts w:ascii="Arial" w:hAnsi="Arial" w:cs="Arial"/>
                <w:sz w:val="22"/>
              </w:rPr>
            </w:pPr>
            <w:r w:rsidRPr="003A096D">
              <w:rPr>
                <w:rFonts w:ascii="Arial" w:hAnsi="Arial" w:cs="Arial"/>
                <w:sz w:val="22"/>
              </w:rPr>
              <w:t>USA</w:t>
            </w:r>
          </w:p>
        </w:tc>
        <w:tc>
          <w:tcPr>
            <w:tcW w:w="1843" w:type="dxa"/>
            <w:noWrap/>
            <w:hideMark/>
          </w:tcPr>
          <w:p w14:paraId="1532697F"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77660CDB" w14:textId="77777777" w:rsidTr="00D73490">
        <w:trPr>
          <w:trHeight w:val="510"/>
        </w:trPr>
        <w:tc>
          <w:tcPr>
            <w:tcW w:w="1555" w:type="dxa"/>
            <w:hideMark/>
          </w:tcPr>
          <w:p w14:paraId="5E335C75"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3926</w:t>
            </w:r>
          </w:p>
        </w:tc>
        <w:tc>
          <w:tcPr>
            <w:tcW w:w="1984" w:type="dxa"/>
            <w:hideMark/>
          </w:tcPr>
          <w:p w14:paraId="736ED250"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19AF">
              <w:rPr>
                <w:rFonts w:ascii="Arial" w:hAnsi="Arial" w:cs="Arial"/>
                <w:sz w:val="22"/>
              </w:rPr>
              <w:t>var.</w:t>
            </w:r>
            <w:r w:rsidRPr="00C627F3">
              <w:rPr>
                <w:rFonts w:ascii="Arial" w:hAnsi="Arial" w:cs="Arial"/>
                <w:i/>
                <w:iCs/>
                <w:sz w:val="22"/>
              </w:rPr>
              <w:t xml:space="preserve"> rikotense Regel</w:t>
            </w:r>
          </w:p>
        </w:tc>
        <w:tc>
          <w:tcPr>
            <w:tcW w:w="1418" w:type="dxa"/>
            <w:hideMark/>
          </w:tcPr>
          <w:p w14:paraId="7D8730C8" w14:textId="77777777" w:rsidR="003A096D" w:rsidRPr="003A096D" w:rsidRDefault="003A096D" w:rsidP="00D044E6">
            <w:pPr>
              <w:spacing w:line="240" w:lineRule="auto"/>
              <w:rPr>
                <w:rFonts w:ascii="Arial" w:hAnsi="Arial" w:cs="Arial"/>
                <w:sz w:val="22"/>
              </w:rPr>
            </w:pPr>
            <w:r w:rsidRPr="003A096D">
              <w:rPr>
                <w:rFonts w:ascii="Arial" w:hAnsi="Arial" w:cs="Arial"/>
                <w:sz w:val="22"/>
              </w:rPr>
              <w:t>Barbless</w:t>
            </w:r>
          </w:p>
        </w:tc>
        <w:tc>
          <w:tcPr>
            <w:tcW w:w="1417" w:type="dxa"/>
            <w:hideMark/>
          </w:tcPr>
          <w:p w14:paraId="4667743F" w14:textId="77777777" w:rsidR="003A096D" w:rsidRPr="003A096D" w:rsidRDefault="003A096D" w:rsidP="00D044E6">
            <w:pPr>
              <w:spacing w:line="240" w:lineRule="auto"/>
              <w:rPr>
                <w:rFonts w:ascii="Arial" w:hAnsi="Arial" w:cs="Arial"/>
                <w:sz w:val="22"/>
              </w:rPr>
            </w:pPr>
            <w:r w:rsidRPr="003A096D">
              <w:rPr>
                <w:rFonts w:ascii="Arial" w:hAnsi="Arial" w:cs="Arial"/>
                <w:sz w:val="22"/>
              </w:rPr>
              <w:t>USA</w:t>
            </w:r>
          </w:p>
        </w:tc>
        <w:tc>
          <w:tcPr>
            <w:tcW w:w="1843" w:type="dxa"/>
            <w:noWrap/>
            <w:hideMark/>
          </w:tcPr>
          <w:p w14:paraId="09E37E04"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56E24C58" w14:textId="77777777" w:rsidTr="00D73490">
        <w:trPr>
          <w:trHeight w:val="765"/>
        </w:trPr>
        <w:tc>
          <w:tcPr>
            <w:tcW w:w="1555" w:type="dxa"/>
            <w:hideMark/>
          </w:tcPr>
          <w:p w14:paraId="2108309C"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4030</w:t>
            </w:r>
          </w:p>
        </w:tc>
        <w:tc>
          <w:tcPr>
            <w:tcW w:w="1984" w:type="dxa"/>
            <w:hideMark/>
          </w:tcPr>
          <w:p w14:paraId="523D9EAC"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3019AF">
              <w:rPr>
                <w:rFonts w:ascii="Arial" w:hAnsi="Arial" w:cs="Arial"/>
                <w:sz w:val="22"/>
              </w:rPr>
              <w:t>var.</w:t>
            </w:r>
            <w:r w:rsidRPr="00C627F3">
              <w:rPr>
                <w:rFonts w:ascii="Arial" w:hAnsi="Arial" w:cs="Arial"/>
                <w:i/>
                <w:iCs/>
                <w:sz w:val="22"/>
              </w:rPr>
              <w:t xml:space="preserve"> nutans (Rode) Alef.</w:t>
            </w:r>
          </w:p>
        </w:tc>
        <w:tc>
          <w:tcPr>
            <w:tcW w:w="1418" w:type="dxa"/>
            <w:hideMark/>
          </w:tcPr>
          <w:p w14:paraId="20FD09B3"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2669CA02" w14:textId="77777777" w:rsidR="003A096D" w:rsidRPr="003A096D" w:rsidRDefault="003A096D" w:rsidP="00D044E6">
            <w:pPr>
              <w:spacing w:line="240" w:lineRule="auto"/>
              <w:rPr>
                <w:rFonts w:ascii="Arial" w:hAnsi="Arial" w:cs="Arial"/>
                <w:sz w:val="22"/>
              </w:rPr>
            </w:pPr>
            <w:r w:rsidRPr="003A096D">
              <w:rPr>
                <w:rFonts w:ascii="Arial" w:hAnsi="Arial" w:cs="Arial"/>
                <w:sz w:val="22"/>
              </w:rPr>
              <w:t>USA</w:t>
            </w:r>
          </w:p>
        </w:tc>
        <w:tc>
          <w:tcPr>
            <w:tcW w:w="1843" w:type="dxa"/>
            <w:noWrap/>
            <w:hideMark/>
          </w:tcPr>
          <w:p w14:paraId="4377681F"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51DFA499" w14:textId="77777777" w:rsidTr="00D73490">
        <w:trPr>
          <w:trHeight w:val="510"/>
        </w:trPr>
        <w:tc>
          <w:tcPr>
            <w:tcW w:w="1555" w:type="dxa"/>
            <w:hideMark/>
          </w:tcPr>
          <w:p w14:paraId="4297B911"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9492</w:t>
            </w:r>
          </w:p>
        </w:tc>
        <w:tc>
          <w:tcPr>
            <w:tcW w:w="1984" w:type="dxa"/>
            <w:hideMark/>
          </w:tcPr>
          <w:p w14:paraId="51A386A2"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19AF">
              <w:rPr>
                <w:rFonts w:ascii="Arial" w:hAnsi="Arial" w:cs="Arial"/>
                <w:sz w:val="22"/>
              </w:rPr>
              <w:t>var.</w:t>
            </w:r>
            <w:r w:rsidRPr="00C627F3">
              <w:rPr>
                <w:rFonts w:ascii="Arial" w:hAnsi="Arial" w:cs="Arial"/>
                <w:i/>
                <w:iCs/>
                <w:sz w:val="22"/>
              </w:rPr>
              <w:t xml:space="preserve"> hybernum Viborg</w:t>
            </w:r>
          </w:p>
        </w:tc>
        <w:tc>
          <w:tcPr>
            <w:tcW w:w="1418" w:type="dxa"/>
            <w:hideMark/>
          </w:tcPr>
          <w:p w14:paraId="0970DD4E" w14:textId="77777777" w:rsidR="003A096D" w:rsidRPr="003A096D" w:rsidRDefault="003A096D" w:rsidP="00D044E6">
            <w:pPr>
              <w:spacing w:line="240" w:lineRule="auto"/>
              <w:rPr>
                <w:rFonts w:ascii="Arial" w:hAnsi="Arial" w:cs="Arial"/>
                <w:sz w:val="22"/>
              </w:rPr>
            </w:pPr>
            <w:r w:rsidRPr="003A096D">
              <w:rPr>
                <w:rFonts w:ascii="Arial" w:hAnsi="Arial" w:cs="Arial"/>
                <w:sz w:val="22"/>
              </w:rPr>
              <w:t>Canadian Lake Share</w:t>
            </w:r>
          </w:p>
        </w:tc>
        <w:tc>
          <w:tcPr>
            <w:tcW w:w="1417" w:type="dxa"/>
            <w:hideMark/>
          </w:tcPr>
          <w:p w14:paraId="49E6B4C1" w14:textId="77777777" w:rsidR="003A096D" w:rsidRPr="003A096D" w:rsidRDefault="003A096D" w:rsidP="00D044E6">
            <w:pPr>
              <w:spacing w:line="240" w:lineRule="auto"/>
              <w:rPr>
                <w:rFonts w:ascii="Arial" w:hAnsi="Arial" w:cs="Arial"/>
                <w:sz w:val="22"/>
              </w:rPr>
            </w:pPr>
            <w:r w:rsidRPr="003A096D">
              <w:rPr>
                <w:rFonts w:ascii="Arial" w:hAnsi="Arial" w:cs="Arial"/>
                <w:sz w:val="22"/>
              </w:rPr>
              <w:t>USA</w:t>
            </w:r>
          </w:p>
        </w:tc>
        <w:tc>
          <w:tcPr>
            <w:tcW w:w="1843" w:type="dxa"/>
            <w:noWrap/>
            <w:hideMark/>
          </w:tcPr>
          <w:p w14:paraId="32B12B87"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64B6F9AD" w14:textId="77777777" w:rsidTr="00D73490">
        <w:trPr>
          <w:trHeight w:val="510"/>
        </w:trPr>
        <w:tc>
          <w:tcPr>
            <w:tcW w:w="1555" w:type="dxa"/>
            <w:hideMark/>
          </w:tcPr>
          <w:p w14:paraId="0BBA5129"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9808</w:t>
            </w:r>
          </w:p>
        </w:tc>
        <w:tc>
          <w:tcPr>
            <w:tcW w:w="1984" w:type="dxa"/>
            <w:hideMark/>
          </w:tcPr>
          <w:p w14:paraId="05C841A1"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19AF">
              <w:rPr>
                <w:rFonts w:ascii="Arial" w:hAnsi="Arial" w:cs="Arial"/>
                <w:sz w:val="22"/>
              </w:rPr>
              <w:t>var.</w:t>
            </w:r>
            <w:r w:rsidRPr="00C627F3">
              <w:rPr>
                <w:rFonts w:ascii="Arial" w:hAnsi="Arial" w:cs="Arial"/>
                <w:i/>
                <w:iCs/>
                <w:sz w:val="22"/>
              </w:rPr>
              <w:t xml:space="preserve"> parallelum Körn.</w:t>
            </w:r>
          </w:p>
        </w:tc>
        <w:tc>
          <w:tcPr>
            <w:tcW w:w="1418" w:type="dxa"/>
            <w:hideMark/>
          </w:tcPr>
          <w:p w14:paraId="6E8A65A6" w14:textId="77777777" w:rsidR="003A096D" w:rsidRPr="003A096D" w:rsidRDefault="003A096D" w:rsidP="00D044E6">
            <w:pPr>
              <w:spacing w:line="240" w:lineRule="auto"/>
              <w:rPr>
                <w:rFonts w:ascii="Arial" w:hAnsi="Arial" w:cs="Arial"/>
                <w:sz w:val="22"/>
              </w:rPr>
            </w:pPr>
            <w:r w:rsidRPr="003A096D">
              <w:rPr>
                <w:rFonts w:ascii="Arial" w:hAnsi="Arial" w:cs="Arial"/>
                <w:sz w:val="22"/>
              </w:rPr>
              <w:t>-----</w:t>
            </w:r>
          </w:p>
        </w:tc>
        <w:tc>
          <w:tcPr>
            <w:tcW w:w="1417" w:type="dxa"/>
            <w:hideMark/>
          </w:tcPr>
          <w:p w14:paraId="4E6A78EE" w14:textId="77777777" w:rsidR="003A096D" w:rsidRPr="003A096D" w:rsidRDefault="003A096D" w:rsidP="00D044E6">
            <w:pPr>
              <w:spacing w:line="240" w:lineRule="auto"/>
              <w:rPr>
                <w:rFonts w:ascii="Arial" w:hAnsi="Arial" w:cs="Arial"/>
                <w:sz w:val="22"/>
              </w:rPr>
            </w:pPr>
            <w:r w:rsidRPr="003A096D">
              <w:rPr>
                <w:rFonts w:ascii="Arial" w:hAnsi="Arial" w:cs="Arial"/>
                <w:sz w:val="22"/>
              </w:rPr>
              <w:t>USA</w:t>
            </w:r>
          </w:p>
        </w:tc>
        <w:tc>
          <w:tcPr>
            <w:tcW w:w="1843" w:type="dxa"/>
            <w:noWrap/>
            <w:hideMark/>
          </w:tcPr>
          <w:p w14:paraId="65AE2464" w14:textId="77777777" w:rsidR="003A096D" w:rsidRPr="003A096D" w:rsidRDefault="003A096D" w:rsidP="00D044E6">
            <w:pPr>
              <w:spacing w:line="240" w:lineRule="auto"/>
              <w:rPr>
                <w:rFonts w:ascii="Arial" w:hAnsi="Arial" w:cs="Arial"/>
                <w:sz w:val="22"/>
              </w:rPr>
            </w:pPr>
            <w:r w:rsidRPr="003A096D">
              <w:rPr>
                <w:rFonts w:ascii="Arial" w:hAnsi="Arial" w:cs="Arial"/>
                <w:sz w:val="22"/>
              </w:rPr>
              <w:t>Traditional cultivar/landrace</w:t>
            </w:r>
          </w:p>
        </w:tc>
      </w:tr>
      <w:tr w:rsidR="003A096D" w:rsidRPr="003A096D" w14:paraId="1211366C" w14:textId="77777777" w:rsidTr="00D73490">
        <w:trPr>
          <w:trHeight w:val="510"/>
        </w:trPr>
        <w:tc>
          <w:tcPr>
            <w:tcW w:w="1555" w:type="dxa"/>
            <w:hideMark/>
          </w:tcPr>
          <w:p w14:paraId="5A954A85" w14:textId="77777777" w:rsidR="003A096D" w:rsidRPr="003A096D" w:rsidRDefault="003A096D" w:rsidP="00D044E6">
            <w:pPr>
              <w:spacing w:line="240" w:lineRule="auto"/>
              <w:rPr>
                <w:rFonts w:ascii="Arial" w:hAnsi="Arial" w:cs="Arial"/>
                <w:sz w:val="22"/>
              </w:rPr>
            </w:pPr>
            <w:r w:rsidRPr="003A096D">
              <w:rPr>
                <w:rFonts w:ascii="Arial" w:hAnsi="Arial" w:cs="Arial"/>
                <w:sz w:val="22"/>
              </w:rPr>
              <w:t>HOR 2403</w:t>
            </w:r>
          </w:p>
        </w:tc>
        <w:tc>
          <w:tcPr>
            <w:tcW w:w="1984" w:type="dxa"/>
            <w:hideMark/>
          </w:tcPr>
          <w:p w14:paraId="2C58C701"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vulgare </w:t>
            </w:r>
            <w:r w:rsidRPr="003019AF">
              <w:rPr>
                <w:rFonts w:ascii="Arial" w:hAnsi="Arial" w:cs="Arial"/>
                <w:sz w:val="22"/>
              </w:rPr>
              <w:t>var.</w:t>
            </w:r>
            <w:r w:rsidRPr="00C627F3">
              <w:rPr>
                <w:rFonts w:ascii="Arial" w:hAnsi="Arial" w:cs="Arial"/>
                <w:i/>
                <w:iCs/>
                <w:sz w:val="22"/>
              </w:rPr>
              <w:t xml:space="preserve"> rikotense Regel</w:t>
            </w:r>
          </w:p>
        </w:tc>
        <w:tc>
          <w:tcPr>
            <w:tcW w:w="1418" w:type="dxa"/>
            <w:hideMark/>
          </w:tcPr>
          <w:p w14:paraId="64D74069" w14:textId="77777777" w:rsidR="003A096D" w:rsidRPr="003A096D" w:rsidRDefault="003A096D" w:rsidP="00D044E6">
            <w:pPr>
              <w:spacing w:line="240" w:lineRule="auto"/>
              <w:rPr>
                <w:rFonts w:ascii="Arial" w:hAnsi="Arial" w:cs="Arial"/>
                <w:sz w:val="22"/>
              </w:rPr>
            </w:pPr>
            <w:r w:rsidRPr="003A096D">
              <w:rPr>
                <w:rFonts w:ascii="Arial" w:hAnsi="Arial" w:cs="Arial"/>
                <w:sz w:val="22"/>
              </w:rPr>
              <w:t>Titan</w:t>
            </w:r>
          </w:p>
        </w:tc>
        <w:tc>
          <w:tcPr>
            <w:tcW w:w="1417" w:type="dxa"/>
            <w:hideMark/>
          </w:tcPr>
          <w:p w14:paraId="30CEEE30" w14:textId="77777777" w:rsidR="003A096D" w:rsidRPr="003A096D" w:rsidRDefault="003A096D" w:rsidP="00D044E6">
            <w:pPr>
              <w:spacing w:line="240" w:lineRule="auto"/>
              <w:rPr>
                <w:rFonts w:ascii="Arial" w:hAnsi="Arial" w:cs="Arial"/>
                <w:sz w:val="22"/>
              </w:rPr>
            </w:pPr>
            <w:r w:rsidRPr="003A096D">
              <w:rPr>
                <w:rFonts w:ascii="Arial" w:hAnsi="Arial" w:cs="Arial"/>
                <w:sz w:val="22"/>
              </w:rPr>
              <w:t>Canada</w:t>
            </w:r>
          </w:p>
        </w:tc>
        <w:tc>
          <w:tcPr>
            <w:tcW w:w="1843" w:type="dxa"/>
            <w:noWrap/>
            <w:hideMark/>
          </w:tcPr>
          <w:p w14:paraId="0D946C73" w14:textId="77777777" w:rsidR="003A096D" w:rsidRPr="003A096D" w:rsidRDefault="003A096D" w:rsidP="00D044E6">
            <w:pPr>
              <w:spacing w:line="240" w:lineRule="auto"/>
              <w:rPr>
                <w:rFonts w:ascii="Arial" w:hAnsi="Arial" w:cs="Arial"/>
                <w:sz w:val="22"/>
              </w:rPr>
            </w:pPr>
            <w:r w:rsidRPr="003A096D">
              <w:rPr>
                <w:rFonts w:ascii="Arial" w:hAnsi="Arial" w:cs="Arial"/>
                <w:sz w:val="22"/>
              </w:rPr>
              <w:t>Advanced/improved cultivar</w:t>
            </w:r>
          </w:p>
        </w:tc>
      </w:tr>
      <w:tr w:rsidR="003A096D" w:rsidRPr="003A096D" w14:paraId="38C45280" w14:textId="77777777" w:rsidTr="00D73490">
        <w:trPr>
          <w:trHeight w:val="765"/>
        </w:trPr>
        <w:tc>
          <w:tcPr>
            <w:tcW w:w="1555" w:type="dxa"/>
            <w:hideMark/>
          </w:tcPr>
          <w:p w14:paraId="39617B04" w14:textId="77777777" w:rsidR="003A096D" w:rsidRPr="003A096D" w:rsidRDefault="003A096D" w:rsidP="00D044E6">
            <w:pPr>
              <w:spacing w:line="240" w:lineRule="auto"/>
              <w:rPr>
                <w:rFonts w:ascii="Arial" w:hAnsi="Arial" w:cs="Arial"/>
                <w:sz w:val="22"/>
              </w:rPr>
            </w:pPr>
            <w:r w:rsidRPr="003A096D">
              <w:rPr>
                <w:rFonts w:ascii="Arial" w:hAnsi="Arial" w:cs="Arial"/>
                <w:sz w:val="22"/>
              </w:rPr>
              <w:t>BCC 1705</w:t>
            </w:r>
          </w:p>
        </w:tc>
        <w:tc>
          <w:tcPr>
            <w:tcW w:w="1984" w:type="dxa"/>
            <w:hideMark/>
          </w:tcPr>
          <w:p w14:paraId="6BB9219E" w14:textId="77777777" w:rsidR="003A096D" w:rsidRPr="00C627F3" w:rsidRDefault="003A096D" w:rsidP="00D044E6">
            <w:pPr>
              <w:spacing w:line="240" w:lineRule="auto"/>
              <w:rPr>
                <w:rFonts w:ascii="Arial" w:hAnsi="Arial" w:cs="Arial"/>
                <w:i/>
                <w:iCs/>
                <w:sz w:val="22"/>
              </w:rPr>
            </w:pPr>
            <w:r w:rsidRPr="00C627F3">
              <w:rPr>
                <w:rFonts w:ascii="Arial" w:hAnsi="Arial" w:cs="Arial"/>
                <w:i/>
                <w:iCs/>
                <w:sz w:val="22"/>
              </w:rPr>
              <w:t xml:space="preserve">Hordeum vulgare L. convar. distichon (L.) Alef. </w:t>
            </w:r>
            <w:r w:rsidRPr="003019AF">
              <w:rPr>
                <w:rFonts w:ascii="Arial" w:hAnsi="Arial" w:cs="Arial"/>
                <w:sz w:val="22"/>
              </w:rPr>
              <w:t>var.</w:t>
            </w:r>
            <w:r w:rsidRPr="00C627F3">
              <w:rPr>
                <w:rFonts w:ascii="Arial" w:hAnsi="Arial" w:cs="Arial"/>
                <w:i/>
                <w:iCs/>
                <w:sz w:val="22"/>
              </w:rPr>
              <w:t xml:space="preserve"> nutans (Rode) Alef.</w:t>
            </w:r>
          </w:p>
        </w:tc>
        <w:tc>
          <w:tcPr>
            <w:tcW w:w="1418" w:type="dxa"/>
            <w:hideMark/>
          </w:tcPr>
          <w:p w14:paraId="384B8A15" w14:textId="77777777" w:rsidR="003A096D" w:rsidRPr="003A096D" w:rsidRDefault="003A096D" w:rsidP="00D044E6">
            <w:pPr>
              <w:spacing w:line="240" w:lineRule="auto"/>
              <w:rPr>
                <w:rFonts w:ascii="Arial" w:hAnsi="Arial" w:cs="Arial"/>
                <w:sz w:val="22"/>
              </w:rPr>
            </w:pPr>
            <w:r w:rsidRPr="003A096D">
              <w:rPr>
                <w:rFonts w:ascii="Arial" w:hAnsi="Arial" w:cs="Arial"/>
                <w:sz w:val="22"/>
              </w:rPr>
              <w:t>Clipper</w:t>
            </w:r>
          </w:p>
        </w:tc>
        <w:tc>
          <w:tcPr>
            <w:tcW w:w="1417" w:type="dxa"/>
            <w:hideMark/>
          </w:tcPr>
          <w:p w14:paraId="44FD1FD2" w14:textId="77777777" w:rsidR="003A096D" w:rsidRPr="003A096D" w:rsidRDefault="003A096D" w:rsidP="00D044E6">
            <w:pPr>
              <w:spacing w:line="240" w:lineRule="auto"/>
              <w:rPr>
                <w:rFonts w:ascii="Arial" w:hAnsi="Arial" w:cs="Arial"/>
                <w:sz w:val="22"/>
              </w:rPr>
            </w:pPr>
            <w:r w:rsidRPr="003A096D">
              <w:rPr>
                <w:rFonts w:ascii="Arial" w:hAnsi="Arial" w:cs="Arial"/>
                <w:sz w:val="22"/>
              </w:rPr>
              <w:t>Australia</w:t>
            </w:r>
          </w:p>
        </w:tc>
        <w:tc>
          <w:tcPr>
            <w:tcW w:w="1843" w:type="dxa"/>
            <w:noWrap/>
            <w:hideMark/>
          </w:tcPr>
          <w:p w14:paraId="3DBA8D1C" w14:textId="77777777" w:rsidR="003A096D" w:rsidRPr="003A096D" w:rsidRDefault="003A096D" w:rsidP="00D044E6">
            <w:pPr>
              <w:spacing w:line="240" w:lineRule="auto"/>
              <w:rPr>
                <w:rFonts w:ascii="Arial" w:hAnsi="Arial" w:cs="Arial"/>
                <w:sz w:val="22"/>
              </w:rPr>
            </w:pPr>
            <w:r w:rsidRPr="003A096D">
              <w:rPr>
                <w:rFonts w:ascii="Arial" w:hAnsi="Arial" w:cs="Arial"/>
                <w:sz w:val="22"/>
              </w:rPr>
              <w:t> </w:t>
            </w:r>
          </w:p>
        </w:tc>
      </w:tr>
    </w:tbl>
    <w:p w14:paraId="5B01B751" w14:textId="0092233A" w:rsidR="003A096D" w:rsidRDefault="0057183C" w:rsidP="0057183C">
      <w:pPr>
        <w:pStyle w:val="Caption"/>
      </w:pPr>
      <w:bookmarkStart w:id="62" w:name="_Toc146657532"/>
      <w:bookmarkStart w:id="63" w:name="_Toc154331516"/>
      <w:r>
        <w:t xml:space="preserve">Table </w:t>
      </w:r>
      <w:fldSimple w:instr=" STYLEREF 1 \s ">
        <w:r w:rsidR="004B7F70">
          <w:rPr>
            <w:noProof/>
          </w:rPr>
          <w:t>2</w:t>
        </w:r>
      </w:fldSimple>
      <w:r w:rsidR="00646450">
        <w:t>.</w:t>
      </w:r>
      <w:fldSimple w:instr=" SEQ Table \* ARABIC \s 1 ">
        <w:r w:rsidR="004B7F70">
          <w:rPr>
            <w:noProof/>
          </w:rPr>
          <w:t>2</w:t>
        </w:r>
      </w:fldSimple>
      <w:r>
        <w:t xml:space="preserve"> </w:t>
      </w:r>
      <w:r w:rsidRPr="004F5A72">
        <w:t xml:space="preserve">Barley germplasm </w:t>
      </w:r>
      <w:r>
        <w:t>using in the soil volume phenotyping screen</w:t>
      </w:r>
      <w:bookmarkEnd w:id="62"/>
      <w:bookmarkEnd w:id="63"/>
    </w:p>
    <w:p w14:paraId="501D3943" w14:textId="76480013" w:rsidR="0057183C" w:rsidRDefault="001D2C2A" w:rsidP="0057183C">
      <w:pPr>
        <w:pStyle w:val="Description"/>
        <w:rPr>
          <w:rFonts w:eastAsia="Calibri"/>
        </w:rPr>
      </w:pPr>
      <w:r>
        <w:rPr>
          <w:rFonts w:eastAsia="Calibri"/>
        </w:rPr>
        <w:t>All information k</w:t>
      </w:r>
      <w:r w:rsidR="0057183C">
        <w:rPr>
          <w:rFonts w:eastAsia="Calibri"/>
        </w:rPr>
        <w:t xml:space="preserve">indly provided by </w:t>
      </w:r>
      <w:r w:rsidR="00A35495">
        <w:rPr>
          <w:rFonts w:eastAsia="Calibri"/>
        </w:rPr>
        <w:t xml:space="preserve">Klaus Oldach, </w:t>
      </w:r>
      <w:r w:rsidR="0057183C">
        <w:rPr>
          <w:rFonts w:eastAsia="Calibri"/>
        </w:rPr>
        <w:t>KWS.</w:t>
      </w:r>
    </w:p>
    <w:p w14:paraId="6657C95C" w14:textId="77777777" w:rsidR="0057183C" w:rsidRDefault="0057183C" w:rsidP="0057183C">
      <w:pPr>
        <w:rPr>
          <w:rFonts w:eastAsia="Calibri"/>
        </w:rPr>
      </w:pPr>
    </w:p>
    <w:p w14:paraId="17449272" w14:textId="2820E5A7" w:rsidR="0057183C" w:rsidRDefault="0057183C" w:rsidP="0057183C">
      <w:r>
        <w:t>All other barley experiments were conducted with</w:t>
      </w:r>
      <w:r w:rsidR="00CD11E2">
        <w:t xml:space="preserve"> the</w:t>
      </w:r>
      <w:r>
        <w:t xml:space="preserve"> spring </w:t>
      </w:r>
      <w:r w:rsidR="002E33C4">
        <w:t xml:space="preserve">barley </w:t>
      </w:r>
      <w:r w:rsidR="00CD11E2">
        <w:t xml:space="preserve">variety </w:t>
      </w:r>
      <w:r>
        <w:t>Charon</w:t>
      </w:r>
      <w:r w:rsidR="00A35495">
        <w:t xml:space="preserve"> (provided by ADAS)</w:t>
      </w:r>
      <w:r>
        <w:t>.</w:t>
      </w:r>
    </w:p>
    <w:p w14:paraId="0A225A30" w14:textId="77777777" w:rsidR="0057183C" w:rsidRDefault="0057183C" w:rsidP="0057183C">
      <w:pPr>
        <w:rPr>
          <w:rFonts w:eastAsia="Calibri"/>
        </w:rPr>
      </w:pPr>
    </w:p>
    <w:p w14:paraId="5847BBC3" w14:textId="388EA457" w:rsidR="0057183C" w:rsidRPr="00052704" w:rsidRDefault="0057183C" w:rsidP="00743E4C">
      <w:pPr>
        <w:pStyle w:val="Heading3"/>
        <w:rPr>
          <w:i/>
          <w:iCs/>
        </w:rPr>
      </w:pPr>
      <w:bookmarkStart w:id="64" w:name="_Toc154331459"/>
      <w:r w:rsidRPr="00052704">
        <w:rPr>
          <w:i/>
          <w:iCs/>
        </w:rPr>
        <w:lastRenderedPageBreak/>
        <w:t>Triticum aestivum</w:t>
      </w:r>
      <w:bookmarkEnd w:id="64"/>
    </w:p>
    <w:p w14:paraId="46185E5B" w14:textId="50A068F4" w:rsidR="0057183C" w:rsidRDefault="0057183C" w:rsidP="0057183C">
      <w:pPr>
        <w:spacing w:line="480" w:lineRule="auto"/>
        <w:rPr>
          <w:szCs w:val="24"/>
        </w:rPr>
      </w:pPr>
      <w:r>
        <w:rPr>
          <w:szCs w:val="24"/>
        </w:rPr>
        <w:t xml:space="preserve">Landrace wheat line Yogi 005, Yogi 020, Yogi 343, Yogi 065, Yogi 101, Yogi 137 </w:t>
      </w:r>
      <w:r w:rsidR="00AA6B9B">
        <w:rPr>
          <w:szCs w:val="24"/>
        </w:rPr>
        <w:t xml:space="preserve">were </w:t>
      </w:r>
      <w:r w:rsidR="006068FB">
        <w:rPr>
          <w:szCs w:val="24"/>
        </w:rPr>
        <w:t>provided by Andrea Harper</w:t>
      </w:r>
      <w:r>
        <w:rPr>
          <w:szCs w:val="24"/>
        </w:rPr>
        <w:t xml:space="preserve"> </w:t>
      </w:r>
      <w:r w:rsidR="00AA6B9B">
        <w:rPr>
          <w:szCs w:val="24"/>
        </w:rPr>
        <w:t>and experiments involving these are</w:t>
      </w:r>
      <w:r>
        <w:rPr>
          <w:szCs w:val="24"/>
        </w:rPr>
        <w:t xml:space="preserve"> in Section 3.4.4. </w:t>
      </w:r>
      <w:r w:rsidR="00885D91">
        <w:rPr>
          <w:szCs w:val="24"/>
        </w:rPr>
        <w:t xml:space="preserve">All other experiments </w:t>
      </w:r>
      <w:r w:rsidR="006E6721">
        <w:rPr>
          <w:szCs w:val="24"/>
        </w:rPr>
        <w:t>using wheat were carried out using the e</w:t>
      </w:r>
      <w:r w:rsidRPr="00542483">
        <w:rPr>
          <w:szCs w:val="24"/>
        </w:rPr>
        <w:t>lite spring wheat variety Mulika</w:t>
      </w:r>
      <w:r w:rsidR="006068FB">
        <w:rPr>
          <w:szCs w:val="24"/>
        </w:rPr>
        <w:t>, provided by ADAS</w:t>
      </w:r>
      <w:r w:rsidR="006E6721">
        <w:rPr>
          <w:szCs w:val="24"/>
        </w:rPr>
        <w:t>.</w:t>
      </w:r>
    </w:p>
    <w:p w14:paraId="76D30F68" w14:textId="77777777" w:rsidR="00D12A28" w:rsidRDefault="00D12A28" w:rsidP="0057183C">
      <w:pPr>
        <w:spacing w:line="480" w:lineRule="auto"/>
        <w:rPr>
          <w:szCs w:val="24"/>
        </w:rPr>
      </w:pPr>
    </w:p>
    <w:p w14:paraId="7DF8C5D8" w14:textId="630CA124" w:rsidR="00D12A28" w:rsidRPr="00052704" w:rsidRDefault="00D12A28" w:rsidP="00743E4C">
      <w:pPr>
        <w:pStyle w:val="Heading3"/>
        <w:rPr>
          <w:i/>
          <w:iCs/>
        </w:rPr>
      </w:pPr>
      <w:bookmarkStart w:id="65" w:name="_Toc154331460"/>
      <w:r w:rsidRPr="00052704">
        <w:rPr>
          <w:i/>
          <w:iCs/>
        </w:rPr>
        <w:t>Pisum sativum</w:t>
      </w:r>
      <w:bookmarkEnd w:id="65"/>
    </w:p>
    <w:tbl>
      <w:tblPr>
        <w:tblStyle w:val="TableGrid"/>
        <w:tblW w:w="0" w:type="auto"/>
        <w:tblLook w:val="04A0" w:firstRow="1" w:lastRow="0" w:firstColumn="1" w:lastColumn="0" w:noHBand="0" w:noVBand="1"/>
      </w:tblPr>
      <w:tblGrid>
        <w:gridCol w:w="2120"/>
        <w:gridCol w:w="1617"/>
        <w:gridCol w:w="3062"/>
        <w:gridCol w:w="1353"/>
      </w:tblGrid>
      <w:tr w:rsidR="00467725" w:rsidRPr="00D12A28" w14:paraId="1E726C2A" w14:textId="77777777" w:rsidTr="00467725">
        <w:tc>
          <w:tcPr>
            <w:tcW w:w="2120" w:type="dxa"/>
            <w:shd w:val="clear" w:color="auto" w:fill="D9D9D9" w:themeFill="background1" w:themeFillShade="D9"/>
          </w:tcPr>
          <w:p w14:paraId="2D1AFD7C" w14:textId="77777777" w:rsidR="000772A5" w:rsidRPr="00D12A28" w:rsidRDefault="000772A5" w:rsidP="00D044E6">
            <w:pPr>
              <w:spacing w:line="360" w:lineRule="auto"/>
              <w:rPr>
                <w:rFonts w:ascii="Arial" w:hAnsi="Arial" w:cs="Arial"/>
                <w:b/>
                <w:bCs/>
              </w:rPr>
            </w:pPr>
            <w:bookmarkStart w:id="66" w:name="_Hlk123730494"/>
            <w:r w:rsidRPr="00D12A28">
              <w:rPr>
                <w:rFonts w:ascii="Arial" w:hAnsi="Arial" w:cs="Arial"/>
                <w:b/>
                <w:bCs/>
              </w:rPr>
              <w:t>Name</w:t>
            </w:r>
          </w:p>
        </w:tc>
        <w:tc>
          <w:tcPr>
            <w:tcW w:w="1617" w:type="dxa"/>
            <w:shd w:val="clear" w:color="auto" w:fill="D9D9D9" w:themeFill="background1" w:themeFillShade="D9"/>
          </w:tcPr>
          <w:p w14:paraId="7F7B5735" w14:textId="77777777" w:rsidR="000772A5" w:rsidRPr="00D12A28" w:rsidRDefault="000772A5" w:rsidP="00D044E6">
            <w:pPr>
              <w:spacing w:line="360" w:lineRule="auto"/>
              <w:rPr>
                <w:rFonts w:ascii="Arial" w:hAnsi="Arial" w:cs="Arial"/>
                <w:b/>
                <w:bCs/>
              </w:rPr>
            </w:pPr>
            <w:r w:rsidRPr="00D12A28">
              <w:rPr>
                <w:rFonts w:ascii="Arial" w:hAnsi="Arial" w:cs="Arial"/>
                <w:b/>
                <w:bCs/>
              </w:rPr>
              <w:t>Background</w:t>
            </w:r>
          </w:p>
        </w:tc>
        <w:tc>
          <w:tcPr>
            <w:tcW w:w="3062" w:type="dxa"/>
            <w:shd w:val="clear" w:color="auto" w:fill="D9D9D9" w:themeFill="background1" w:themeFillShade="D9"/>
          </w:tcPr>
          <w:p w14:paraId="21A30956" w14:textId="4BCF5C78" w:rsidR="000772A5" w:rsidRPr="000772A5" w:rsidRDefault="000772A5" w:rsidP="00D044E6">
            <w:pPr>
              <w:spacing w:line="360" w:lineRule="auto"/>
              <w:rPr>
                <w:rFonts w:ascii="Arial" w:hAnsi="Arial" w:cs="Arial"/>
                <w:b/>
                <w:bCs/>
              </w:rPr>
            </w:pPr>
            <w:r w:rsidRPr="000772A5">
              <w:rPr>
                <w:rFonts w:ascii="Arial" w:hAnsi="Arial" w:cs="Arial"/>
                <w:b/>
                <w:bCs/>
              </w:rPr>
              <w:t>Mutation</w:t>
            </w:r>
          </w:p>
        </w:tc>
        <w:tc>
          <w:tcPr>
            <w:tcW w:w="1353" w:type="dxa"/>
            <w:shd w:val="clear" w:color="auto" w:fill="D9D9D9" w:themeFill="background1" w:themeFillShade="D9"/>
          </w:tcPr>
          <w:p w14:paraId="39CD924D" w14:textId="67AE37E4" w:rsidR="000772A5" w:rsidRPr="00D12A28" w:rsidRDefault="000772A5" w:rsidP="00D044E6">
            <w:pPr>
              <w:spacing w:line="360" w:lineRule="auto"/>
              <w:rPr>
                <w:rFonts w:ascii="Arial" w:hAnsi="Arial" w:cs="Arial"/>
                <w:b/>
                <w:bCs/>
              </w:rPr>
            </w:pPr>
            <w:r w:rsidRPr="00D12A28">
              <w:rPr>
                <w:rFonts w:ascii="Arial" w:hAnsi="Arial" w:cs="Arial"/>
                <w:b/>
                <w:bCs/>
              </w:rPr>
              <w:t>Source</w:t>
            </w:r>
          </w:p>
        </w:tc>
      </w:tr>
      <w:bookmarkEnd w:id="66"/>
      <w:tr w:rsidR="00467725" w:rsidRPr="00D12A28" w14:paraId="161C2365" w14:textId="77777777" w:rsidTr="00467725">
        <w:tc>
          <w:tcPr>
            <w:tcW w:w="2120" w:type="dxa"/>
          </w:tcPr>
          <w:p w14:paraId="26AC5915" w14:textId="77777777" w:rsidR="000772A5" w:rsidRPr="00D12A28" w:rsidRDefault="000772A5" w:rsidP="00D044E6">
            <w:pPr>
              <w:spacing w:line="276" w:lineRule="auto"/>
              <w:rPr>
                <w:rFonts w:ascii="Arial" w:hAnsi="Arial" w:cs="Arial"/>
                <w:sz w:val="22"/>
                <w:szCs w:val="20"/>
              </w:rPr>
            </w:pPr>
            <w:r w:rsidRPr="00D12A28">
              <w:rPr>
                <w:rFonts w:ascii="Arial" w:hAnsi="Arial" w:cs="Arial"/>
                <w:sz w:val="22"/>
                <w:szCs w:val="20"/>
              </w:rPr>
              <w:t>L77 Wild-type</w:t>
            </w:r>
          </w:p>
        </w:tc>
        <w:tc>
          <w:tcPr>
            <w:tcW w:w="1617" w:type="dxa"/>
          </w:tcPr>
          <w:p w14:paraId="3CE23B98" w14:textId="77777777" w:rsidR="000772A5" w:rsidRPr="00D12A28" w:rsidRDefault="000772A5" w:rsidP="00D044E6">
            <w:pPr>
              <w:spacing w:line="276" w:lineRule="auto"/>
              <w:rPr>
                <w:rFonts w:ascii="Arial" w:hAnsi="Arial" w:cs="Arial"/>
                <w:sz w:val="22"/>
                <w:szCs w:val="20"/>
              </w:rPr>
            </w:pPr>
            <w:r w:rsidRPr="00D12A28">
              <w:rPr>
                <w:rFonts w:ascii="Arial" w:hAnsi="Arial" w:cs="Arial"/>
                <w:sz w:val="22"/>
                <w:szCs w:val="20"/>
              </w:rPr>
              <w:t>L77</w:t>
            </w:r>
          </w:p>
        </w:tc>
        <w:tc>
          <w:tcPr>
            <w:tcW w:w="3062" w:type="dxa"/>
          </w:tcPr>
          <w:p w14:paraId="646F24B3" w14:textId="241A4FD7" w:rsidR="000772A5" w:rsidRPr="00AD3484" w:rsidRDefault="006734CE" w:rsidP="00D044E6">
            <w:pPr>
              <w:spacing w:line="276" w:lineRule="auto"/>
              <w:rPr>
                <w:rFonts w:ascii="Arial" w:hAnsi="Arial" w:cs="Arial"/>
                <w:sz w:val="22"/>
              </w:rPr>
            </w:pPr>
            <w:r w:rsidRPr="00AD3484">
              <w:rPr>
                <w:rFonts w:ascii="Arial" w:hAnsi="Arial" w:cs="Arial"/>
                <w:sz w:val="22"/>
              </w:rPr>
              <w:t>N/A</w:t>
            </w:r>
          </w:p>
        </w:tc>
        <w:tc>
          <w:tcPr>
            <w:tcW w:w="1353" w:type="dxa"/>
          </w:tcPr>
          <w:p w14:paraId="4E14FC34" w14:textId="4453F873" w:rsidR="000772A5" w:rsidRPr="00D12A28" w:rsidRDefault="000772A5" w:rsidP="00D044E6">
            <w:pPr>
              <w:spacing w:line="276" w:lineRule="auto"/>
              <w:rPr>
                <w:rFonts w:ascii="Arial" w:hAnsi="Arial" w:cs="Arial"/>
                <w:sz w:val="22"/>
                <w:szCs w:val="20"/>
              </w:rPr>
            </w:pPr>
            <w:r w:rsidRPr="00D12A28">
              <w:rPr>
                <w:rFonts w:ascii="Arial" w:hAnsi="Arial" w:cs="Arial"/>
                <w:sz w:val="22"/>
                <w:szCs w:val="20"/>
              </w:rPr>
              <w:t>Christine Beveridge</w:t>
            </w:r>
          </w:p>
        </w:tc>
      </w:tr>
      <w:tr w:rsidR="00467725" w:rsidRPr="00D12A28" w14:paraId="65FD94AF" w14:textId="77777777" w:rsidTr="00467725">
        <w:tc>
          <w:tcPr>
            <w:tcW w:w="2120" w:type="dxa"/>
          </w:tcPr>
          <w:p w14:paraId="50869EA0" w14:textId="77777777" w:rsidR="000772A5" w:rsidRPr="00D12A28" w:rsidRDefault="000772A5" w:rsidP="00D044E6">
            <w:pPr>
              <w:spacing w:line="276" w:lineRule="auto"/>
              <w:rPr>
                <w:rFonts w:ascii="Arial" w:hAnsi="Arial" w:cs="Arial"/>
                <w:i/>
                <w:iCs/>
                <w:sz w:val="22"/>
                <w:szCs w:val="20"/>
              </w:rPr>
            </w:pPr>
            <w:r w:rsidRPr="00D12A28">
              <w:rPr>
                <w:rFonts w:ascii="Arial" w:hAnsi="Arial" w:cs="Arial"/>
                <w:i/>
                <w:iCs/>
                <w:sz w:val="22"/>
                <w:szCs w:val="20"/>
              </w:rPr>
              <w:t>rms1-1</w:t>
            </w:r>
          </w:p>
        </w:tc>
        <w:tc>
          <w:tcPr>
            <w:tcW w:w="1617" w:type="dxa"/>
          </w:tcPr>
          <w:p w14:paraId="57803E29" w14:textId="77777777" w:rsidR="000772A5" w:rsidRPr="00D12A28" w:rsidRDefault="000772A5" w:rsidP="00D044E6">
            <w:pPr>
              <w:spacing w:line="276" w:lineRule="auto"/>
              <w:rPr>
                <w:rFonts w:ascii="Arial" w:hAnsi="Arial" w:cs="Arial"/>
                <w:sz w:val="22"/>
                <w:szCs w:val="20"/>
              </w:rPr>
            </w:pPr>
            <w:r w:rsidRPr="00D12A28">
              <w:rPr>
                <w:rFonts w:ascii="Arial" w:hAnsi="Arial" w:cs="Arial"/>
                <w:sz w:val="22"/>
                <w:szCs w:val="20"/>
              </w:rPr>
              <w:t>L77</w:t>
            </w:r>
          </w:p>
        </w:tc>
        <w:tc>
          <w:tcPr>
            <w:tcW w:w="3062" w:type="dxa"/>
          </w:tcPr>
          <w:p w14:paraId="0CF33008" w14:textId="16402A31" w:rsidR="000772A5" w:rsidRPr="00AD3484" w:rsidRDefault="004C08F3" w:rsidP="00D044E6">
            <w:pPr>
              <w:spacing w:line="276" w:lineRule="auto"/>
              <w:rPr>
                <w:rFonts w:ascii="Arial" w:hAnsi="Arial" w:cs="Arial"/>
                <w:sz w:val="22"/>
              </w:rPr>
            </w:pPr>
            <w:r w:rsidRPr="00AD3484">
              <w:rPr>
                <w:rFonts w:ascii="Arial" w:hAnsi="Arial" w:cs="Arial"/>
                <w:sz w:val="22"/>
              </w:rPr>
              <w:t>X-rays</w:t>
            </w:r>
            <w:r w:rsidR="00741871" w:rsidRPr="00AD3484">
              <w:rPr>
                <w:rFonts w:ascii="Arial" w:hAnsi="Arial" w:cs="Arial"/>
                <w:sz w:val="22"/>
              </w:rPr>
              <w:t xml:space="preserve"> </w:t>
            </w:r>
            <w:r w:rsidR="00741871" w:rsidRPr="00AD3484">
              <w:rPr>
                <w:sz w:val="22"/>
              </w:rPr>
              <w:fldChar w:fldCharType="begin" w:fldLock="1"/>
            </w:r>
            <w:r w:rsidR="00EB63F3" w:rsidRPr="00AD3484">
              <w:rPr>
                <w:rFonts w:ascii="Arial" w:hAnsi="Arial" w:cs="Arial"/>
                <w:sz w:val="22"/>
              </w:rPr>
              <w:instrText>ADDIN CSL_CITATION {"citationItems":[{"id":"ITEM-1","itemData":{"author":[{"dropping-particle":"","family":"Symons","given":"G.M.","non-dropping-particle":"","parse-names":false,"suffix":""},{"dropping-particle":"","family":"Murfet","given":"I.","non-dropping-particle":"","parse-names":false,"suffix":""}],"container-title":"Pisum Genet","id":"ITEM-1","issued":{"date-parts":[["1997"]]},"page":"1-6","title":"Inheritance and allelism tests on six further branching mutants in pea","type":"article-journal","volume":"29"},"uris":["http://www.mendeley.com/documents/?uuid=d30de986-f91e-42a9-bcc5-c9c72f634eab"]}],"mendeley":{"formattedCitation":"(Symons and Murfet, 1997)","plainTextFormattedCitation":"(Symons and Murfet, 1997)","previouslyFormattedCitation":"(Symons and Murfet, 1997)"},"properties":{"noteIndex":0},"schema":"https://github.com/citation-style-language/schema/raw/master/csl-citation.json"}</w:instrText>
            </w:r>
            <w:r w:rsidR="00741871" w:rsidRPr="00AD3484">
              <w:rPr>
                <w:sz w:val="22"/>
              </w:rPr>
              <w:fldChar w:fldCharType="separate"/>
            </w:r>
            <w:r w:rsidR="00741871" w:rsidRPr="00AD3484">
              <w:rPr>
                <w:rFonts w:ascii="Arial" w:hAnsi="Arial" w:cs="Arial"/>
                <w:noProof/>
                <w:sz w:val="22"/>
              </w:rPr>
              <w:t>(Symons and Murfet, 1997)</w:t>
            </w:r>
            <w:r w:rsidR="00741871" w:rsidRPr="00AD3484">
              <w:rPr>
                <w:sz w:val="22"/>
              </w:rPr>
              <w:fldChar w:fldCharType="end"/>
            </w:r>
          </w:p>
        </w:tc>
        <w:tc>
          <w:tcPr>
            <w:tcW w:w="1353" w:type="dxa"/>
          </w:tcPr>
          <w:p w14:paraId="6DDD8328" w14:textId="5F2E43FD" w:rsidR="000772A5" w:rsidRPr="00D12A28" w:rsidRDefault="000772A5" w:rsidP="00D044E6">
            <w:pPr>
              <w:spacing w:line="276" w:lineRule="auto"/>
              <w:rPr>
                <w:rFonts w:ascii="Arial" w:hAnsi="Arial" w:cs="Arial"/>
                <w:sz w:val="22"/>
                <w:szCs w:val="20"/>
              </w:rPr>
            </w:pPr>
            <w:r w:rsidRPr="00D12A28">
              <w:rPr>
                <w:rFonts w:ascii="Arial" w:hAnsi="Arial" w:cs="Arial"/>
                <w:sz w:val="22"/>
                <w:szCs w:val="20"/>
              </w:rPr>
              <w:t>Christine Beveridge</w:t>
            </w:r>
          </w:p>
        </w:tc>
      </w:tr>
      <w:tr w:rsidR="00467725" w:rsidRPr="00D12A28" w14:paraId="479ABA4B" w14:textId="77777777" w:rsidTr="00467725">
        <w:tc>
          <w:tcPr>
            <w:tcW w:w="2120" w:type="dxa"/>
          </w:tcPr>
          <w:p w14:paraId="4C3DE0DB" w14:textId="77777777" w:rsidR="000772A5" w:rsidRPr="00D12A28" w:rsidRDefault="000772A5" w:rsidP="00D044E6">
            <w:pPr>
              <w:spacing w:line="276" w:lineRule="auto"/>
              <w:rPr>
                <w:rFonts w:ascii="Arial" w:hAnsi="Arial" w:cs="Arial"/>
                <w:sz w:val="22"/>
                <w:szCs w:val="20"/>
              </w:rPr>
            </w:pPr>
            <w:r w:rsidRPr="00D12A28">
              <w:rPr>
                <w:rFonts w:ascii="Arial" w:hAnsi="Arial" w:cs="Arial"/>
                <w:sz w:val="22"/>
                <w:szCs w:val="20"/>
              </w:rPr>
              <w:t>Torsdag Wild-type</w:t>
            </w:r>
          </w:p>
        </w:tc>
        <w:tc>
          <w:tcPr>
            <w:tcW w:w="1617" w:type="dxa"/>
          </w:tcPr>
          <w:p w14:paraId="7CE7FEE2" w14:textId="77777777" w:rsidR="000772A5" w:rsidRPr="00D12A28" w:rsidRDefault="000772A5" w:rsidP="00D044E6">
            <w:pPr>
              <w:spacing w:line="276" w:lineRule="auto"/>
              <w:rPr>
                <w:rFonts w:ascii="Arial" w:hAnsi="Arial" w:cs="Arial"/>
                <w:sz w:val="22"/>
                <w:szCs w:val="20"/>
              </w:rPr>
            </w:pPr>
            <w:r w:rsidRPr="00D12A28">
              <w:rPr>
                <w:rFonts w:ascii="Arial" w:hAnsi="Arial" w:cs="Arial"/>
                <w:sz w:val="22"/>
                <w:szCs w:val="20"/>
              </w:rPr>
              <w:t>Torsdag</w:t>
            </w:r>
          </w:p>
        </w:tc>
        <w:tc>
          <w:tcPr>
            <w:tcW w:w="3062" w:type="dxa"/>
          </w:tcPr>
          <w:p w14:paraId="14FF523F" w14:textId="155597CF" w:rsidR="000772A5" w:rsidRPr="00AD3484" w:rsidRDefault="006734CE" w:rsidP="00D044E6">
            <w:pPr>
              <w:spacing w:line="276" w:lineRule="auto"/>
              <w:rPr>
                <w:rFonts w:ascii="Arial" w:hAnsi="Arial" w:cs="Arial"/>
                <w:sz w:val="22"/>
              </w:rPr>
            </w:pPr>
            <w:r w:rsidRPr="00AD3484">
              <w:rPr>
                <w:rFonts w:ascii="Arial" w:hAnsi="Arial" w:cs="Arial"/>
                <w:sz w:val="22"/>
              </w:rPr>
              <w:t>N/A</w:t>
            </w:r>
          </w:p>
        </w:tc>
        <w:tc>
          <w:tcPr>
            <w:tcW w:w="1353" w:type="dxa"/>
          </w:tcPr>
          <w:p w14:paraId="6B2A0F52" w14:textId="38BBBAF0" w:rsidR="000772A5" w:rsidRPr="00D12A28" w:rsidRDefault="000772A5" w:rsidP="00D044E6">
            <w:pPr>
              <w:spacing w:line="276" w:lineRule="auto"/>
              <w:rPr>
                <w:rFonts w:ascii="Arial" w:hAnsi="Arial" w:cs="Arial"/>
                <w:sz w:val="22"/>
                <w:szCs w:val="20"/>
              </w:rPr>
            </w:pPr>
            <w:r w:rsidRPr="00D12A28">
              <w:rPr>
                <w:rFonts w:ascii="Arial" w:hAnsi="Arial" w:cs="Arial"/>
                <w:sz w:val="22"/>
                <w:szCs w:val="20"/>
              </w:rPr>
              <w:t>Catherine Rameau</w:t>
            </w:r>
          </w:p>
        </w:tc>
      </w:tr>
      <w:tr w:rsidR="00467725" w:rsidRPr="00D12A28" w14:paraId="5B20D2FC" w14:textId="77777777" w:rsidTr="00467725">
        <w:tc>
          <w:tcPr>
            <w:tcW w:w="2120" w:type="dxa"/>
          </w:tcPr>
          <w:p w14:paraId="15E9B2AE" w14:textId="77777777" w:rsidR="000772A5" w:rsidRPr="00D12A28" w:rsidRDefault="000772A5" w:rsidP="00D044E6">
            <w:pPr>
              <w:spacing w:line="276" w:lineRule="auto"/>
              <w:rPr>
                <w:rFonts w:ascii="Arial" w:hAnsi="Arial" w:cs="Arial"/>
                <w:sz w:val="22"/>
                <w:szCs w:val="20"/>
              </w:rPr>
            </w:pPr>
            <w:r w:rsidRPr="00D12A28">
              <w:rPr>
                <w:rFonts w:ascii="Arial" w:hAnsi="Arial" w:cs="Arial"/>
                <w:i/>
                <w:iCs/>
                <w:sz w:val="22"/>
                <w:szCs w:val="20"/>
              </w:rPr>
              <w:t>rms1</w:t>
            </w:r>
            <w:r w:rsidRPr="00D12A28">
              <w:rPr>
                <w:rFonts w:ascii="Arial" w:hAnsi="Arial" w:cs="Arial"/>
                <w:sz w:val="22"/>
                <w:szCs w:val="20"/>
              </w:rPr>
              <w:t>-2T</w:t>
            </w:r>
          </w:p>
        </w:tc>
        <w:tc>
          <w:tcPr>
            <w:tcW w:w="1617" w:type="dxa"/>
          </w:tcPr>
          <w:p w14:paraId="4178721C" w14:textId="77777777" w:rsidR="000772A5" w:rsidRPr="00D12A28" w:rsidRDefault="000772A5" w:rsidP="00D044E6">
            <w:pPr>
              <w:spacing w:line="276" w:lineRule="auto"/>
              <w:rPr>
                <w:rFonts w:ascii="Arial" w:hAnsi="Arial" w:cs="Arial"/>
                <w:sz w:val="22"/>
                <w:szCs w:val="20"/>
              </w:rPr>
            </w:pPr>
            <w:r w:rsidRPr="00D12A28">
              <w:rPr>
                <w:rFonts w:ascii="Arial" w:hAnsi="Arial" w:cs="Arial"/>
                <w:sz w:val="22"/>
                <w:szCs w:val="20"/>
              </w:rPr>
              <w:t>Torsdag</w:t>
            </w:r>
          </w:p>
        </w:tc>
        <w:tc>
          <w:tcPr>
            <w:tcW w:w="3062" w:type="dxa"/>
          </w:tcPr>
          <w:p w14:paraId="454F85C2" w14:textId="47BCBEF6" w:rsidR="000772A5" w:rsidRPr="00AD3484" w:rsidRDefault="008C56BA" w:rsidP="00D044E6">
            <w:pPr>
              <w:spacing w:line="276" w:lineRule="auto"/>
              <w:rPr>
                <w:rFonts w:ascii="Arial" w:hAnsi="Arial" w:cs="Arial"/>
                <w:sz w:val="22"/>
              </w:rPr>
            </w:pPr>
            <w:r w:rsidRPr="00AD3484">
              <w:rPr>
                <w:rFonts w:ascii="Arial" w:hAnsi="Arial" w:cs="Arial"/>
                <w:sz w:val="22"/>
              </w:rPr>
              <w:t xml:space="preserve">Backcross of the </w:t>
            </w:r>
            <w:r w:rsidRPr="00AD3484">
              <w:rPr>
                <w:rFonts w:ascii="Arial" w:hAnsi="Arial" w:cs="Arial"/>
                <w:i/>
                <w:iCs/>
                <w:sz w:val="22"/>
              </w:rPr>
              <w:t>rms1-2</w:t>
            </w:r>
            <w:r w:rsidRPr="00AD3484">
              <w:rPr>
                <w:rFonts w:ascii="Arial" w:hAnsi="Arial" w:cs="Arial"/>
                <w:sz w:val="22"/>
              </w:rPr>
              <w:t xml:space="preserve"> allele </w:t>
            </w:r>
            <w:r w:rsidR="00755304" w:rsidRPr="00AD3484">
              <w:rPr>
                <w:rFonts w:ascii="Arial" w:hAnsi="Arial" w:cs="Arial"/>
                <w:sz w:val="22"/>
              </w:rPr>
              <w:t xml:space="preserve">from Weitor background </w:t>
            </w:r>
            <w:r w:rsidR="00467725" w:rsidRPr="00AD3484">
              <w:rPr>
                <w:rFonts w:ascii="Arial" w:hAnsi="Arial" w:cs="Arial"/>
                <w:sz w:val="22"/>
              </w:rPr>
              <w:t xml:space="preserve">to Torsdag background </w:t>
            </w:r>
            <w:r w:rsidRPr="00AD3484">
              <w:rPr>
                <w:sz w:val="22"/>
              </w:rPr>
              <w:fldChar w:fldCharType="begin" w:fldLock="1"/>
            </w:r>
            <w:r w:rsidR="00D80B41" w:rsidRPr="00AD3484">
              <w:rPr>
                <w:rFonts w:ascii="Arial" w:hAnsi="Arial" w:cs="Arial"/>
                <w:sz w:val="22"/>
              </w:rPr>
              <w:instrText>ADDIN CSL_CITATION {"citationItems":[{"id":"ITEM-1","itemData":{"ISBN":"201913:53:02","author":[{"dropping-particle":"","family":"Beveridge","given":"Christine A","non-dropping-particle":"","parse-names":false,"suffix":""},{"dropping-particle":"","family":"Symons","given":"Gregory M","non-dropping-particle":"","parse-names":false,"suffix":""},{"dropping-particle":"","family":"Murfet","given":"Ian C","non-dropping-particle":"","parse-names":false,"suffix":""},{"dropping-particle":"","family":"Ross","given":"John J","non-dropping-particle":"","parse-names":false,"suffix":""},{"dropping-particle":"","family":"Rameau","given":"Catherine","non-dropping-particle":"","parse-names":false,"suffix":""}],"container-title":"Physiology","id":"ITEM-1","issue":"3","issued":{"date-parts":[["1997"]]},"page":"1251-1258","title":"The rms1 mutant of pea has elevated Indole-3-Acetic Acid levels and reduced root-sap zeatin riboside content but increased branching controlled by graft-transmissible signal(s)","type":"article-journal","volume":"115"},"uris":["http://www.mendeley.com/documents/?uuid=07700ffe-3ac0-3716-b482-0e307b393bc9"]}],"mendeley":{"formattedCitation":"(Beveridge et al., 1997)","plainTextFormattedCitation":"(Beveridge et al., 1997)","previouslyFormattedCitation":"(Beveridge et al., 1997)"},"properties":{"noteIndex":0},"schema":"https://github.com/citation-style-language/schema/raw/master/csl-citation.json"}</w:instrText>
            </w:r>
            <w:r w:rsidRPr="00AD3484">
              <w:rPr>
                <w:sz w:val="22"/>
              </w:rPr>
              <w:fldChar w:fldCharType="separate"/>
            </w:r>
            <w:r w:rsidRPr="00AD3484">
              <w:rPr>
                <w:rFonts w:ascii="Arial" w:hAnsi="Arial" w:cs="Arial"/>
                <w:noProof/>
                <w:sz w:val="22"/>
              </w:rPr>
              <w:t>(Beveridge et al., 1997)</w:t>
            </w:r>
            <w:r w:rsidRPr="00AD3484">
              <w:rPr>
                <w:sz w:val="22"/>
              </w:rPr>
              <w:fldChar w:fldCharType="end"/>
            </w:r>
          </w:p>
        </w:tc>
        <w:tc>
          <w:tcPr>
            <w:tcW w:w="1353" w:type="dxa"/>
          </w:tcPr>
          <w:p w14:paraId="44BE7F27" w14:textId="54867551" w:rsidR="000772A5" w:rsidRPr="00D12A28" w:rsidRDefault="000772A5" w:rsidP="00D044E6">
            <w:pPr>
              <w:spacing w:line="276" w:lineRule="auto"/>
              <w:rPr>
                <w:rFonts w:ascii="Arial" w:hAnsi="Arial" w:cs="Arial"/>
                <w:sz w:val="22"/>
                <w:szCs w:val="20"/>
              </w:rPr>
            </w:pPr>
            <w:r w:rsidRPr="00D12A28">
              <w:rPr>
                <w:rFonts w:ascii="Arial" w:hAnsi="Arial" w:cs="Arial"/>
                <w:sz w:val="22"/>
                <w:szCs w:val="20"/>
              </w:rPr>
              <w:t>Christine Beveridge</w:t>
            </w:r>
          </w:p>
        </w:tc>
      </w:tr>
      <w:tr w:rsidR="00467725" w:rsidRPr="00D12A28" w14:paraId="5A1F4C71" w14:textId="77777777" w:rsidTr="00467725">
        <w:tc>
          <w:tcPr>
            <w:tcW w:w="2120" w:type="dxa"/>
          </w:tcPr>
          <w:p w14:paraId="154AE2E5" w14:textId="77777777" w:rsidR="000772A5" w:rsidRPr="00D12A28" w:rsidRDefault="000772A5" w:rsidP="00D044E6">
            <w:pPr>
              <w:spacing w:line="276" w:lineRule="auto"/>
              <w:rPr>
                <w:rFonts w:ascii="Arial" w:hAnsi="Arial" w:cs="Arial"/>
                <w:sz w:val="22"/>
                <w:szCs w:val="20"/>
              </w:rPr>
            </w:pPr>
            <w:r w:rsidRPr="00D12A28">
              <w:rPr>
                <w:rFonts w:ascii="Arial" w:hAnsi="Arial" w:cs="Arial"/>
                <w:i/>
                <w:iCs/>
                <w:sz w:val="22"/>
                <w:szCs w:val="20"/>
              </w:rPr>
              <w:t>rms3</w:t>
            </w:r>
            <w:r w:rsidRPr="00D12A28">
              <w:rPr>
                <w:rFonts w:ascii="Arial" w:hAnsi="Arial" w:cs="Arial"/>
                <w:sz w:val="22"/>
                <w:szCs w:val="20"/>
              </w:rPr>
              <w:t>-1</w:t>
            </w:r>
          </w:p>
        </w:tc>
        <w:tc>
          <w:tcPr>
            <w:tcW w:w="1617" w:type="dxa"/>
          </w:tcPr>
          <w:p w14:paraId="74EF1A65" w14:textId="77777777" w:rsidR="000772A5" w:rsidRPr="00D12A28" w:rsidRDefault="000772A5" w:rsidP="00D044E6">
            <w:pPr>
              <w:spacing w:line="276" w:lineRule="auto"/>
              <w:rPr>
                <w:rFonts w:ascii="Arial" w:hAnsi="Arial" w:cs="Arial"/>
                <w:sz w:val="22"/>
                <w:szCs w:val="20"/>
              </w:rPr>
            </w:pPr>
            <w:r w:rsidRPr="00D12A28">
              <w:rPr>
                <w:rFonts w:ascii="Arial" w:hAnsi="Arial" w:cs="Arial"/>
                <w:sz w:val="22"/>
                <w:szCs w:val="20"/>
              </w:rPr>
              <w:t>Torsdag</w:t>
            </w:r>
          </w:p>
        </w:tc>
        <w:tc>
          <w:tcPr>
            <w:tcW w:w="3062" w:type="dxa"/>
          </w:tcPr>
          <w:p w14:paraId="135BE11E" w14:textId="2E733B72" w:rsidR="000772A5" w:rsidRPr="00AD3484" w:rsidRDefault="00F8109B" w:rsidP="00D044E6">
            <w:pPr>
              <w:spacing w:line="276" w:lineRule="auto"/>
              <w:rPr>
                <w:rFonts w:ascii="Arial" w:hAnsi="Arial" w:cs="Arial"/>
                <w:sz w:val="22"/>
              </w:rPr>
            </w:pPr>
            <w:r w:rsidRPr="00AD3484">
              <w:rPr>
                <w:rFonts w:ascii="Arial" w:hAnsi="Arial" w:cs="Arial"/>
                <w:sz w:val="22"/>
              </w:rPr>
              <w:t xml:space="preserve">EMS </w:t>
            </w:r>
            <w:r w:rsidR="00DB311A" w:rsidRPr="00AD3484">
              <w:rPr>
                <w:sz w:val="22"/>
              </w:rPr>
              <w:fldChar w:fldCharType="begin" w:fldLock="1"/>
            </w:r>
            <w:r w:rsidR="008C56BA" w:rsidRPr="00AD3484">
              <w:rPr>
                <w:rFonts w:ascii="Arial" w:hAnsi="Arial" w:cs="Arial"/>
                <w:sz w:val="22"/>
              </w:rPr>
              <w:instrText>ADDIN CSL_CITATION {"citationItems":[{"id":"ITEM-1","itemData":{"author":[{"dropping-particle":"","family":"Rameau","given":"C.C.","non-dropping-particle":"","parse-names":false,"suffix":""},{"dropping-particle":"","family":"Bodelin","given":"C.","non-dropping-particle":"","parse-names":false,"suffix":""},{"dropping-particle":"","family":"Cadier","given":"D.","non-dropping-particle":"","parse-names":false,"suffix":""},{"dropping-particle":"","family":"Grandjean","given":"O.","non-dropping-particle":"","parse-names":false,"suffix":""},{"dropping-particle":"","family":"Miard","given":"F.","non-dropping-particle":"","parse-names":false,"suffix":""},{"dropping-particle":"","family":"Murfet","given":"I.C.","non-dropping-particle":"","parse-names":false,"suffix":""}],"container-title":"Pisum genetics","id":"ITEM-1","issued":{"date-parts":[["1997"]]},"page":"7-12","title":"New ramosus mutants at loci Rms1, Rms3 and Rms4 resulting from the mutation breeding program at Versailles.","type":"article-journal","volume":"29"},"uris":["http://www.mendeley.com/documents/?uuid=13bcc75e-dbeb-4225-9ce9-fd22e0a5253d"]}],"mendeley":{"formattedCitation":"(Rameau et al., 1997)","plainTextFormattedCitation":"(Rameau et al., 1997)","previouslyFormattedCitation":"(Rameau et al., 1997)"},"properties":{"noteIndex":0},"schema":"https://github.com/citation-style-language/schema/raw/master/csl-citation.json"}</w:instrText>
            </w:r>
            <w:r w:rsidR="00DB311A" w:rsidRPr="00AD3484">
              <w:rPr>
                <w:sz w:val="22"/>
              </w:rPr>
              <w:fldChar w:fldCharType="separate"/>
            </w:r>
            <w:r w:rsidR="00DB311A" w:rsidRPr="00AD3484">
              <w:rPr>
                <w:rFonts w:ascii="Arial" w:hAnsi="Arial" w:cs="Arial"/>
                <w:noProof/>
                <w:sz w:val="22"/>
              </w:rPr>
              <w:t>(Rameau et al., 1997)</w:t>
            </w:r>
            <w:r w:rsidR="00DB311A" w:rsidRPr="00AD3484">
              <w:rPr>
                <w:sz w:val="22"/>
              </w:rPr>
              <w:fldChar w:fldCharType="end"/>
            </w:r>
          </w:p>
        </w:tc>
        <w:tc>
          <w:tcPr>
            <w:tcW w:w="1353" w:type="dxa"/>
          </w:tcPr>
          <w:p w14:paraId="13D47F2B" w14:textId="573B2734" w:rsidR="000772A5" w:rsidRPr="00D12A28" w:rsidRDefault="000772A5" w:rsidP="00D044E6">
            <w:pPr>
              <w:spacing w:line="276" w:lineRule="auto"/>
              <w:rPr>
                <w:rFonts w:ascii="Arial" w:hAnsi="Arial" w:cs="Arial"/>
                <w:sz w:val="22"/>
                <w:szCs w:val="20"/>
              </w:rPr>
            </w:pPr>
            <w:r w:rsidRPr="00D12A28">
              <w:rPr>
                <w:rFonts w:ascii="Arial" w:hAnsi="Arial" w:cs="Arial"/>
                <w:sz w:val="22"/>
                <w:szCs w:val="20"/>
              </w:rPr>
              <w:t>Catherine Rameau</w:t>
            </w:r>
          </w:p>
        </w:tc>
      </w:tr>
      <w:tr w:rsidR="00467725" w:rsidRPr="00D12A28" w14:paraId="31F3E575" w14:textId="77777777" w:rsidTr="00467725">
        <w:tc>
          <w:tcPr>
            <w:tcW w:w="2120" w:type="dxa"/>
          </w:tcPr>
          <w:p w14:paraId="7DC47140" w14:textId="77777777" w:rsidR="000772A5" w:rsidRPr="00D12A28" w:rsidRDefault="000772A5" w:rsidP="00D044E6">
            <w:pPr>
              <w:spacing w:line="276" w:lineRule="auto"/>
              <w:rPr>
                <w:rFonts w:ascii="Arial" w:hAnsi="Arial" w:cs="Arial"/>
                <w:sz w:val="22"/>
                <w:szCs w:val="20"/>
              </w:rPr>
            </w:pPr>
            <w:r w:rsidRPr="00D12A28">
              <w:rPr>
                <w:rFonts w:ascii="Arial" w:hAnsi="Arial" w:cs="Arial"/>
                <w:i/>
                <w:iCs/>
                <w:sz w:val="22"/>
                <w:szCs w:val="20"/>
              </w:rPr>
              <w:t>rms5</w:t>
            </w:r>
            <w:r w:rsidRPr="00D12A28">
              <w:rPr>
                <w:rFonts w:ascii="Arial" w:hAnsi="Arial" w:cs="Arial"/>
                <w:sz w:val="22"/>
                <w:szCs w:val="20"/>
              </w:rPr>
              <w:t>-BL298</w:t>
            </w:r>
          </w:p>
        </w:tc>
        <w:tc>
          <w:tcPr>
            <w:tcW w:w="1617" w:type="dxa"/>
          </w:tcPr>
          <w:p w14:paraId="74399B29" w14:textId="77777777" w:rsidR="000772A5" w:rsidRPr="00D12A28" w:rsidRDefault="000772A5" w:rsidP="00D044E6">
            <w:pPr>
              <w:spacing w:line="276" w:lineRule="auto"/>
              <w:rPr>
                <w:rFonts w:ascii="Arial" w:hAnsi="Arial" w:cs="Arial"/>
                <w:sz w:val="22"/>
                <w:szCs w:val="20"/>
              </w:rPr>
            </w:pPr>
            <w:r w:rsidRPr="00D12A28">
              <w:rPr>
                <w:rFonts w:ascii="Arial" w:hAnsi="Arial" w:cs="Arial"/>
                <w:sz w:val="22"/>
                <w:szCs w:val="20"/>
              </w:rPr>
              <w:t>Torsdag</w:t>
            </w:r>
          </w:p>
        </w:tc>
        <w:tc>
          <w:tcPr>
            <w:tcW w:w="3062" w:type="dxa"/>
          </w:tcPr>
          <w:p w14:paraId="3D8050F9" w14:textId="392F32D0" w:rsidR="000772A5" w:rsidRPr="00AD3484" w:rsidRDefault="00972D54" w:rsidP="00D044E6">
            <w:pPr>
              <w:spacing w:line="276" w:lineRule="auto"/>
              <w:rPr>
                <w:rFonts w:ascii="Arial" w:hAnsi="Arial" w:cs="Arial"/>
                <w:sz w:val="22"/>
              </w:rPr>
            </w:pPr>
            <w:r w:rsidRPr="00AD3484">
              <w:rPr>
                <w:rFonts w:ascii="Arial" w:hAnsi="Arial" w:cs="Arial"/>
                <w:sz w:val="22"/>
              </w:rPr>
              <w:t>NEU</w:t>
            </w:r>
            <w:r w:rsidR="004C08F3" w:rsidRPr="00AD3484">
              <w:rPr>
                <w:rFonts w:ascii="Arial" w:hAnsi="Arial" w:cs="Arial"/>
                <w:sz w:val="22"/>
              </w:rPr>
              <w:t xml:space="preserve"> </w:t>
            </w:r>
            <w:r w:rsidR="00EB63F3" w:rsidRPr="00AD3484">
              <w:rPr>
                <w:sz w:val="22"/>
              </w:rPr>
              <w:fldChar w:fldCharType="begin" w:fldLock="1"/>
            </w:r>
            <w:r w:rsidR="00DB311A" w:rsidRPr="00AD3484">
              <w:rPr>
                <w:rFonts w:ascii="Arial" w:hAnsi="Arial" w:cs="Arial"/>
                <w:sz w:val="22"/>
              </w:rPr>
              <w:instrText>ADDIN CSL_CITATION {"citationItems":[{"id":"ITEM-1","itemData":{"author":[{"dropping-particle":"","family":"Symons","given":"G.M.","non-dropping-particle":"","parse-names":false,"suffix":""},{"dropping-particle":"","family":"Murfet","given":"I.","non-dropping-particle":"","parse-names":false,"suffix":""}],"container-title":"Pisum Genet","id":"ITEM-1","issued":{"date-parts":[["1997"]]},"page":"1-6","title":"Inheritance and allelism tests on six further branching mutants in pea","type":"article-journal","volume":"29"},"uris":["http://www.mendeley.com/documents/?uuid=d30de986-f91e-42a9-bcc5-c9c72f634eab"]}],"mendeley":{"formattedCitation":"(Symons and Murfet, 1997)","plainTextFormattedCitation":"(Symons and Murfet, 1997)","previouslyFormattedCitation":"(Symons and Murfet, 1997)"},"properties":{"noteIndex":0},"schema":"https://github.com/citation-style-language/schema/raw/master/csl-citation.json"}</w:instrText>
            </w:r>
            <w:r w:rsidR="00EB63F3" w:rsidRPr="00AD3484">
              <w:rPr>
                <w:sz w:val="22"/>
              </w:rPr>
              <w:fldChar w:fldCharType="separate"/>
            </w:r>
            <w:r w:rsidR="00EB63F3" w:rsidRPr="00AD3484">
              <w:rPr>
                <w:rFonts w:ascii="Arial" w:hAnsi="Arial" w:cs="Arial"/>
                <w:noProof/>
                <w:sz w:val="22"/>
              </w:rPr>
              <w:t>(Symons and Murfet, 1997)</w:t>
            </w:r>
            <w:r w:rsidR="00EB63F3" w:rsidRPr="00AD3484">
              <w:rPr>
                <w:sz w:val="22"/>
              </w:rPr>
              <w:fldChar w:fldCharType="end"/>
            </w:r>
          </w:p>
        </w:tc>
        <w:tc>
          <w:tcPr>
            <w:tcW w:w="1353" w:type="dxa"/>
          </w:tcPr>
          <w:p w14:paraId="610257EC" w14:textId="698C114B" w:rsidR="000772A5" w:rsidRPr="00D12A28" w:rsidRDefault="000772A5" w:rsidP="00D044E6">
            <w:pPr>
              <w:spacing w:line="276" w:lineRule="auto"/>
              <w:rPr>
                <w:rFonts w:ascii="Arial" w:hAnsi="Arial" w:cs="Arial"/>
                <w:sz w:val="22"/>
                <w:szCs w:val="20"/>
              </w:rPr>
            </w:pPr>
            <w:r w:rsidRPr="00D12A28">
              <w:rPr>
                <w:rFonts w:ascii="Arial" w:hAnsi="Arial" w:cs="Arial"/>
                <w:sz w:val="22"/>
                <w:szCs w:val="20"/>
              </w:rPr>
              <w:t>Christine Beveridge</w:t>
            </w:r>
          </w:p>
        </w:tc>
      </w:tr>
    </w:tbl>
    <w:p w14:paraId="5F94D7F8" w14:textId="77777777" w:rsidR="00D12A28" w:rsidRPr="00D12A28" w:rsidRDefault="00D12A28" w:rsidP="00D12A28"/>
    <w:p w14:paraId="1EA5208E" w14:textId="257BB674" w:rsidR="0057183C" w:rsidRDefault="00D12A28" w:rsidP="00D12A28">
      <w:pPr>
        <w:pStyle w:val="Caption"/>
      </w:pPr>
      <w:bookmarkStart w:id="67" w:name="_Toc146657533"/>
      <w:bookmarkStart w:id="68" w:name="_Toc154331517"/>
      <w:r>
        <w:t xml:space="preserve">Table </w:t>
      </w:r>
      <w:fldSimple w:instr=" STYLEREF 1 \s ">
        <w:r w:rsidR="004B7F70">
          <w:rPr>
            <w:noProof/>
          </w:rPr>
          <w:t>2</w:t>
        </w:r>
      </w:fldSimple>
      <w:r w:rsidR="00646450">
        <w:t>.</w:t>
      </w:r>
      <w:fldSimple w:instr=" SEQ Table \* ARABIC \s 1 ">
        <w:r w:rsidR="004B7F70">
          <w:rPr>
            <w:noProof/>
          </w:rPr>
          <w:t>3</w:t>
        </w:r>
      </w:fldSimple>
      <w:r>
        <w:t xml:space="preserve"> </w:t>
      </w:r>
      <w:r w:rsidRPr="00A15E14">
        <w:rPr>
          <w:i/>
          <w:iCs/>
        </w:rPr>
        <w:t>Pisum sativum</w:t>
      </w:r>
      <w:r>
        <w:t xml:space="preserve"> genotypes</w:t>
      </w:r>
      <w:bookmarkEnd w:id="67"/>
      <w:bookmarkEnd w:id="68"/>
    </w:p>
    <w:p w14:paraId="0AEC37E8" w14:textId="21A25173" w:rsidR="00D12A28" w:rsidRDefault="00D12A28" w:rsidP="00D12A28">
      <w:pPr>
        <w:pStyle w:val="Description"/>
      </w:pPr>
      <w:r w:rsidRPr="00542483">
        <w:t>Table is modified from Wheeldon et al (2022)</w:t>
      </w:r>
      <w:r w:rsidR="00D80B41">
        <w:t xml:space="preserve"> with additional information from </w:t>
      </w:r>
      <w:r w:rsidR="00D80B41">
        <w:fldChar w:fldCharType="begin" w:fldLock="1"/>
      </w:r>
      <w:r w:rsidR="0082064E">
        <w:instrText>ADDIN CSL_CITATION {"citationItems":[{"id":"ITEM-1","itemData":{"ISBN":"201913:53:02","author":[{"dropping-particle":"","family":"Beveridge","given":"Christine A","non-dropping-particle":"","parse-names":false,"suffix":""},{"dropping-particle":"","family":"Symons","given":"Gregory M","non-dropping-particle":"","parse-names":false,"suffix":""},{"dropping-particle":"","family":"Murfet","given":"Ian C","non-dropping-particle":"","parse-names":false,"suffix":""},{"dropping-particle":"","family":"Ross","given":"John J","non-dropping-particle":"","parse-names":false,"suffix":""},{"dropping-particle":"","family":"Rameau","given":"Catherine","non-dropping-particle":"","parse-names":false,"suffix":""}],"container-title":"Physiology","id":"ITEM-1","issue":"3","issued":{"date-parts":[["1997"]]},"page":"1251-1258","title":"The rms1 mutant of pea has elevated Indole-3-Acetic Acid levels and reduced root-sap zeatin riboside content but increased branching controlled by graft-transmissible signal(s)","type":"article-journal","volume":"115"},"uris":["http://www.mendeley.com/documents/?uuid=07700ffe-3ac0-3716-b482-0e307b393bc9"]},{"id":"ITEM-2","itemData":{"author":[{"dropping-particle":"","family":"Symons","given":"G.M.","non-dropping-particle":"","parse-names":false,"suffix":""},{"dropping-particle":"","family":"Murfet","given":"I.","non-dropping-particle":"","parse-names":false,"suffix":""}],"container-title":"Pisum Genet","id":"ITEM-2","issued":{"date-parts":[["1997"]]},"page":"1-6","title":"Inheritance and allelism tests on six further branching mutants in pea","type":"article-journal","volume":"29"},"uris":["http://www.mendeley.com/documents/?uuid=d30de986-f91e-42a9-bcc5-c9c72f634eab"]},{"id":"ITEM-3","itemData":{"author":[{"dropping-particle":"","family":"Rameau","given":"C.C.","non-dropping-particle":"","parse-names":false,"suffix":""},{"dropping-particle":"","family":"Bodelin","given":"C.","non-dropping-particle":"","parse-names":false,"suffix":""},{"dropping-particle":"","family":"Cadier","given":"D.","non-dropping-particle":"","parse-names":false,"suffix":""},{"dropping-particle":"","family":"Grandjean","given":"O.","non-dropping-particle":"","parse-names":false,"suffix":""},{"dropping-particle":"","family":"Miard","given":"F.","non-dropping-particle":"","parse-names":false,"suffix":""},{"dropping-particle":"","family":"Murfet","given":"I.C.","non-dropping-particle":"","parse-names":false,"suffix":""}],"container-title":"Pisum genetics","id":"ITEM-3","issued":{"date-parts":[["1997"]]},"page":"7-12","title":"New ramosus mutants at loci Rms1, Rms3 and Rms4 resulting from the mutation breeding program at Versailles.","type":"article-journal","volume":"29"},"uris":["http://www.mendeley.com/documents/?uuid=13bcc75e-dbeb-4225-9ce9-fd22e0a5253d"]}],"mendeley":{"formattedCitation":"(Beveridge et al., 1997; Symons and Murfet, 1997; Rameau et al., 1997)","plainTextFormattedCitation":"(Beveridge et al., 1997; Symons and Murfet, 1997; Rameau et al., 1997)","previouslyFormattedCitation":"(Beveridge et al., 1997; Symons and Murfet, 1997; Rameau et al., 1997)"},"properties":{"noteIndex":0},"schema":"https://github.com/citation-style-language/schema/raw/master/csl-citation.json"}</w:instrText>
      </w:r>
      <w:r w:rsidR="00D80B41">
        <w:fldChar w:fldCharType="separate"/>
      </w:r>
      <w:r w:rsidR="00D80B41" w:rsidRPr="00D80B41">
        <w:rPr>
          <w:noProof/>
        </w:rPr>
        <w:t>(Beveridge et al., 1997; Symons and Murfet, 1997; Rameau et al., 1997)</w:t>
      </w:r>
      <w:r w:rsidR="00D80B41">
        <w:fldChar w:fldCharType="end"/>
      </w:r>
      <w:r w:rsidR="00972D54">
        <w:t xml:space="preserve">. </w:t>
      </w:r>
      <w:r w:rsidR="00F60A0E">
        <w:t>Methods for inducing the mutations include</w:t>
      </w:r>
      <w:r w:rsidR="00CB6101">
        <w:t>d</w:t>
      </w:r>
      <w:r w:rsidR="00F60A0E">
        <w:t xml:space="preserve"> </w:t>
      </w:r>
      <w:r w:rsidR="00F60A0E" w:rsidRPr="00F60A0E">
        <w:t>N-nitroso-N-ethyl urea</w:t>
      </w:r>
      <w:r w:rsidR="00F60A0E">
        <w:t xml:space="preserve"> </w:t>
      </w:r>
      <w:r w:rsidR="004C08F3">
        <w:t xml:space="preserve">(NEU), X-rays and </w:t>
      </w:r>
      <w:r w:rsidR="00742045" w:rsidRPr="00742045">
        <w:t>ethyl methanesulfonate (EMS) mutagenesis</w:t>
      </w:r>
      <w:r w:rsidR="00742045">
        <w:t>.</w:t>
      </w:r>
    </w:p>
    <w:p w14:paraId="5F5A1853" w14:textId="77777777" w:rsidR="00D12A28" w:rsidRDefault="00D12A28" w:rsidP="00D12A28"/>
    <w:p w14:paraId="06182355" w14:textId="77777777" w:rsidR="0069514F" w:rsidRDefault="0069514F" w:rsidP="00D12A28"/>
    <w:p w14:paraId="27A84009" w14:textId="77777777" w:rsidR="0069514F" w:rsidRDefault="0069514F" w:rsidP="00D12A28"/>
    <w:p w14:paraId="01958C38" w14:textId="77777777" w:rsidR="0069514F" w:rsidRDefault="0069514F" w:rsidP="00D12A28"/>
    <w:p w14:paraId="7F062F6C" w14:textId="380FA5B4" w:rsidR="00D12A28" w:rsidRPr="00052704" w:rsidRDefault="00D12A28" w:rsidP="00743E4C">
      <w:pPr>
        <w:pStyle w:val="Heading3"/>
        <w:rPr>
          <w:i/>
          <w:iCs/>
        </w:rPr>
      </w:pPr>
      <w:bookmarkStart w:id="69" w:name="_Toc154331461"/>
      <w:r w:rsidRPr="00052704">
        <w:rPr>
          <w:i/>
          <w:iCs/>
        </w:rPr>
        <w:lastRenderedPageBreak/>
        <w:t>Arabidopsis thaliana</w:t>
      </w:r>
      <w:bookmarkEnd w:id="69"/>
    </w:p>
    <w:tbl>
      <w:tblPr>
        <w:tblStyle w:val="TableGrid"/>
        <w:tblW w:w="0" w:type="auto"/>
        <w:tblLook w:val="04A0" w:firstRow="1" w:lastRow="0" w:firstColumn="1" w:lastColumn="0" w:noHBand="0" w:noVBand="1"/>
      </w:tblPr>
      <w:tblGrid>
        <w:gridCol w:w="2818"/>
        <w:gridCol w:w="1900"/>
        <w:gridCol w:w="1535"/>
        <w:gridCol w:w="1899"/>
      </w:tblGrid>
      <w:tr w:rsidR="004079CD" w:rsidRPr="00D12A28" w14:paraId="37B302C1" w14:textId="77777777" w:rsidTr="004079CD">
        <w:tc>
          <w:tcPr>
            <w:tcW w:w="2818" w:type="dxa"/>
            <w:shd w:val="clear" w:color="auto" w:fill="D9D9D9" w:themeFill="background1" w:themeFillShade="D9"/>
          </w:tcPr>
          <w:p w14:paraId="37914D75" w14:textId="77777777" w:rsidR="004079CD" w:rsidRPr="00D12A28" w:rsidRDefault="004079CD" w:rsidP="00D044E6">
            <w:pPr>
              <w:rPr>
                <w:rFonts w:ascii="Arial" w:hAnsi="Arial" w:cs="Arial"/>
                <w:u w:val="single"/>
              </w:rPr>
            </w:pPr>
            <w:r w:rsidRPr="00D12A28">
              <w:rPr>
                <w:rFonts w:ascii="Arial" w:hAnsi="Arial" w:cs="Arial"/>
                <w:b/>
                <w:bCs/>
              </w:rPr>
              <w:t>Name</w:t>
            </w:r>
          </w:p>
        </w:tc>
        <w:tc>
          <w:tcPr>
            <w:tcW w:w="1900" w:type="dxa"/>
            <w:shd w:val="clear" w:color="auto" w:fill="D9D9D9" w:themeFill="background1" w:themeFillShade="D9"/>
          </w:tcPr>
          <w:p w14:paraId="5C556515" w14:textId="77777777" w:rsidR="004079CD" w:rsidRPr="00D12A28" w:rsidRDefault="004079CD" w:rsidP="00D044E6">
            <w:pPr>
              <w:rPr>
                <w:rFonts w:ascii="Arial" w:hAnsi="Arial" w:cs="Arial"/>
                <w:u w:val="single"/>
              </w:rPr>
            </w:pPr>
            <w:r w:rsidRPr="00D12A28">
              <w:rPr>
                <w:rFonts w:ascii="Arial" w:hAnsi="Arial" w:cs="Arial"/>
                <w:b/>
                <w:bCs/>
              </w:rPr>
              <w:t>Background</w:t>
            </w:r>
          </w:p>
        </w:tc>
        <w:tc>
          <w:tcPr>
            <w:tcW w:w="1535" w:type="dxa"/>
            <w:shd w:val="clear" w:color="auto" w:fill="D9D9D9" w:themeFill="background1" w:themeFillShade="D9"/>
          </w:tcPr>
          <w:p w14:paraId="3C8661A2" w14:textId="3747C214" w:rsidR="004079CD" w:rsidRPr="004079CD" w:rsidRDefault="004079CD" w:rsidP="00D044E6">
            <w:pPr>
              <w:rPr>
                <w:rFonts w:ascii="Arial" w:hAnsi="Arial" w:cs="Arial"/>
                <w:b/>
                <w:bCs/>
              </w:rPr>
            </w:pPr>
            <w:r w:rsidRPr="004079CD">
              <w:rPr>
                <w:rFonts w:ascii="Arial" w:hAnsi="Arial" w:cs="Arial"/>
                <w:b/>
                <w:bCs/>
              </w:rPr>
              <w:t>Mutation</w:t>
            </w:r>
          </w:p>
        </w:tc>
        <w:tc>
          <w:tcPr>
            <w:tcW w:w="1899" w:type="dxa"/>
            <w:shd w:val="clear" w:color="auto" w:fill="D9D9D9" w:themeFill="background1" w:themeFillShade="D9"/>
          </w:tcPr>
          <w:p w14:paraId="5313BFD4" w14:textId="619216ED" w:rsidR="004079CD" w:rsidRPr="00D12A28" w:rsidRDefault="004079CD" w:rsidP="00D044E6">
            <w:pPr>
              <w:rPr>
                <w:rFonts w:ascii="Arial" w:hAnsi="Arial" w:cs="Arial"/>
                <w:u w:val="single"/>
              </w:rPr>
            </w:pPr>
            <w:r w:rsidRPr="00D12A28">
              <w:rPr>
                <w:rFonts w:ascii="Arial" w:hAnsi="Arial" w:cs="Arial"/>
                <w:b/>
                <w:bCs/>
              </w:rPr>
              <w:t>Source</w:t>
            </w:r>
          </w:p>
        </w:tc>
      </w:tr>
      <w:tr w:rsidR="004079CD" w:rsidRPr="00D12A28" w14:paraId="1FA207EC" w14:textId="77777777" w:rsidTr="004079CD">
        <w:tc>
          <w:tcPr>
            <w:tcW w:w="2818" w:type="dxa"/>
          </w:tcPr>
          <w:p w14:paraId="697D7EAD" w14:textId="77777777" w:rsidR="004079CD" w:rsidRPr="00D12A28" w:rsidRDefault="004079CD" w:rsidP="00D044E6">
            <w:pPr>
              <w:spacing w:line="276" w:lineRule="auto"/>
              <w:rPr>
                <w:rFonts w:ascii="Arial" w:hAnsi="Arial" w:cs="Arial"/>
                <w:sz w:val="22"/>
                <w:szCs w:val="20"/>
              </w:rPr>
            </w:pPr>
            <w:r w:rsidRPr="00D12A28">
              <w:rPr>
                <w:rFonts w:ascii="Arial" w:hAnsi="Arial" w:cs="Arial"/>
                <w:sz w:val="22"/>
                <w:szCs w:val="20"/>
              </w:rPr>
              <w:t>Col-0</w:t>
            </w:r>
          </w:p>
        </w:tc>
        <w:tc>
          <w:tcPr>
            <w:tcW w:w="1900" w:type="dxa"/>
          </w:tcPr>
          <w:p w14:paraId="0E71A784" w14:textId="77777777" w:rsidR="004079CD" w:rsidRPr="00D12A28" w:rsidRDefault="004079CD" w:rsidP="00D044E6">
            <w:pPr>
              <w:spacing w:line="276" w:lineRule="auto"/>
              <w:rPr>
                <w:rFonts w:ascii="Arial" w:hAnsi="Arial" w:cs="Arial"/>
                <w:sz w:val="22"/>
                <w:szCs w:val="20"/>
              </w:rPr>
            </w:pPr>
            <w:r w:rsidRPr="00D12A28">
              <w:rPr>
                <w:rFonts w:ascii="Arial" w:hAnsi="Arial" w:cs="Arial"/>
                <w:sz w:val="22"/>
                <w:szCs w:val="20"/>
              </w:rPr>
              <w:t>Col-0</w:t>
            </w:r>
          </w:p>
        </w:tc>
        <w:tc>
          <w:tcPr>
            <w:tcW w:w="1535" w:type="dxa"/>
          </w:tcPr>
          <w:p w14:paraId="06C2DDAF" w14:textId="0531441B" w:rsidR="004079CD" w:rsidRPr="00DB2DF6" w:rsidRDefault="004079CD" w:rsidP="00D044E6">
            <w:pPr>
              <w:spacing w:line="276" w:lineRule="auto"/>
              <w:rPr>
                <w:rFonts w:ascii="Arial" w:hAnsi="Arial" w:cs="Arial"/>
                <w:sz w:val="22"/>
              </w:rPr>
            </w:pPr>
            <w:r w:rsidRPr="00DB2DF6">
              <w:rPr>
                <w:rFonts w:ascii="Arial" w:hAnsi="Arial" w:cs="Arial"/>
                <w:sz w:val="22"/>
              </w:rPr>
              <w:t>N/A</w:t>
            </w:r>
          </w:p>
        </w:tc>
        <w:tc>
          <w:tcPr>
            <w:tcW w:w="1899" w:type="dxa"/>
          </w:tcPr>
          <w:p w14:paraId="39341F50" w14:textId="7E1856B2" w:rsidR="004079CD" w:rsidRPr="00DB2DF6" w:rsidRDefault="004079CD" w:rsidP="00D044E6">
            <w:pPr>
              <w:spacing w:line="276" w:lineRule="auto"/>
              <w:rPr>
                <w:rFonts w:ascii="Arial" w:hAnsi="Arial" w:cs="Arial"/>
                <w:sz w:val="22"/>
                <w:szCs w:val="20"/>
              </w:rPr>
            </w:pPr>
            <w:r w:rsidRPr="00DB2DF6">
              <w:rPr>
                <w:rFonts w:ascii="Arial" w:hAnsi="Arial" w:cs="Arial"/>
                <w:sz w:val="22"/>
                <w:szCs w:val="20"/>
              </w:rPr>
              <w:t>NASC</w:t>
            </w:r>
          </w:p>
        </w:tc>
      </w:tr>
      <w:tr w:rsidR="004079CD" w:rsidRPr="00D12A28" w14:paraId="4DAD7CBA" w14:textId="77777777" w:rsidTr="004079CD">
        <w:tc>
          <w:tcPr>
            <w:tcW w:w="2818" w:type="dxa"/>
          </w:tcPr>
          <w:p w14:paraId="2616A3A1" w14:textId="77777777" w:rsidR="004079CD" w:rsidRPr="00D12A28" w:rsidRDefault="004079CD" w:rsidP="00D044E6">
            <w:pPr>
              <w:spacing w:line="276" w:lineRule="auto"/>
              <w:rPr>
                <w:rFonts w:ascii="Arial" w:hAnsi="Arial" w:cs="Arial"/>
                <w:sz w:val="22"/>
                <w:szCs w:val="20"/>
              </w:rPr>
            </w:pPr>
            <w:r w:rsidRPr="00D12A28">
              <w:rPr>
                <w:rFonts w:ascii="Arial" w:hAnsi="Arial" w:cs="Arial"/>
                <w:sz w:val="22"/>
                <w:szCs w:val="20"/>
              </w:rPr>
              <w:t>SALK_046007 (</w:t>
            </w:r>
            <w:r w:rsidRPr="00D12A28">
              <w:rPr>
                <w:rFonts w:ascii="Arial" w:hAnsi="Arial" w:cs="Arial"/>
                <w:i/>
                <w:sz w:val="22"/>
                <w:szCs w:val="20"/>
              </w:rPr>
              <w:t>pdr4-1</w:t>
            </w:r>
            <w:r w:rsidRPr="00D12A28">
              <w:rPr>
                <w:rFonts w:ascii="Arial" w:hAnsi="Arial" w:cs="Arial"/>
                <w:sz w:val="22"/>
                <w:szCs w:val="20"/>
              </w:rPr>
              <w:t>)</w:t>
            </w:r>
          </w:p>
        </w:tc>
        <w:tc>
          <w:tcPr>
            <w:tcW w:w="1900" w:type="dxa"/>
          </w:tcPr>
          <w:p w14:paraId="4D90287C" w14:textId="77777777" w:rsidR="004079CD" w:rsidRPr="00D12A28" w:rsidRDefault="004079CD" w:rsidP="00D044E6">
            <w:pPr>
              <w:spacing w:line="276" w:lineRule="auto"/>
              <w:rPr>
                <w:rFonts w:ascii="Arial" w:hAnsi="Arial" w:cs="Arial"/>
                <w:sz w:val="22"/>
                <w:szCs w:val="20"/>
              </w:rPr>
            </w:pPr>
            <w:r w:rsidRPr="00D12A28">
              <w:rPr>
                <w:rFonts w:ascii="Arial" w:hAnsi="Arial" w:cs="Arial"/>
                <w:sz w:val="22"/>
                <w:szCs w:val="20"/>
              </w:rPr>
              <w:t>Col-0</w:t>
            </w:r>
          </w:p>
        </w:tc>
        <w:tc>
          <w:tcPr>
            <w:tcW w:w="1535" w:type="dxa"/>
          </w:tcPr>
          <w:p w14:paraId="21735EF1" w14:textId="29C22E89" w:rsidR="004079CD" w:rsidRPr="00DB2DF6" w:rsidRDefault="004079CD" w:rsidP="00D044E6">
            <w:pPr>
              <w:spacing w:line="276" w:lineRule="auto"/>
              <w:rPr>
                <w:rFonts w:ascii="Arial" w:hAnsi="Arial" w:cs="Arial"/>
                <w:sz w:val="22"/>
              </w:rPr>
            </w:pPr>
            <w:r w:rsidRPr="00DB2DF6">
              <w:rPr>
                <w:rFonts w:ascii="Arial" w:hAnsi="Arial" w:cs="Arial"/>
                <w:sz w:val="22"/>
              </w:rPr>
              <w:t>T</w:t>
            </w:r>
            <w:r w:rsidR="00ED0956" w:rsidRPr="00DB2DF6">
              <w:rPr>
                <w:rFonts w:ascii="Arial" w:hAnsi="Arial" w:cs="Arial"/>
                <w:sz w:val="22"/>
              </w:rPr>
              <w:t>-DNA</w:t>
            </w:r>
          </w:p>
        </w:tc>
        <w:tc>
          <w:tcPr>
            <w:tcW w:w="1899" w:type="dxa"/>
          </w:tcPr>
          <w:p w14:paraId="2E6E0473" w14:textId="6642884A" w:rsidR="004079CD" w:rsidRPr="00DB2DF6" w:rsidRDefault="004079CD" w:rsidP="00D044E6">
            <w:pPr>
              <w:spacing w:line="276" w:lineRule="auto"/>
              <w:rPr>
                <w:rFonts w:ascii="Arial" w:hAnsi="Arial" w:cs="Arial"/>
                <w:sz w:val="22"/>
                <w:szCs w:val="20"/>
              </w:rPr>
            </w:pPr>
            <w:r w:rsidRPr="00DB2DF6">
              <w:rPr>
                <w:rFonts w:ascii="Arial" w:hAnsi="Arial" w:cs="Arial"/>
                <w:sz w:val="22"/>
                <w:szCs w:val="20"/>
              </w:rPr>
              <w:t>NASC</w:t>
            </w:r>
          </w:p>
        </w:tc>
      </w:tr>
      <w:tr w:rsidR="004079CD" w:rsidRPr="00D12A28" w14:paraId="3C0F8739" w14:textId="77777777" w:rsidTr="004079CD">
        <w:tc>
          <w:tcPr>
            <w:tcW w:w="2818" w:type="dxa"/>
          </w:tcPr>
          <w:p w14:paraId="1396DA51" w14:textId="77777777" w:rsidR="004079CD" w:rsidRPr="00D12A28" w:rsidRDefault="004079CD" w:rsidP="00D044E6">
            <w:pPr>
              <w:spacing w:line="276" w:lineRule="auto"/>
              <w:rPr>
                <w:rFonts w:ascii="Arial" w:hAnsi="Arial" w:cs="Arial"/>
                <w:sz w:val="22"/>
                <w:szCs w:val="20"/>
              </w:rPr>
            </w:pPr>
            <w:r w:rsidRPr="00D12A28">
              <w:rPr>
                <w:rFonts w:ascii="Arial" w:hAnsi="Arial" w:cs="Arial"/>
                <w:sz w:val="22"/>
                <w:szCs w:val="20"/>
              </w:rPr>
              <w:t>SALK_113678 (</w:t>
            </w:r>
            <w:r w:rsidRPr="00D12A28">
              <w:rPr>
                <w:rFonts w:ascii="Arial" w:hAnsi="Arial" w:cs="Arial"/>
                <w:i/>
                <w:sz w:val="22"/>
                <w:szCs w:val="20"/>
              </w:rPr>
              <w:t>pdr4-2</w:t>
            </w:r>
            <w:r w:rsidRPr="00D12A28">
              <w:rPr>
                <w:rFonts w:ascii="Arial" w:hAnsi="Arial" w:cs="Arial"/>
                <w:sz w:val="22"/>
                <w:szCs w:val="20"/>
              </w:rPr>
              <w:t>)</w:t>
            </w:r>
          </w:p>
        </w:tc>
        <w:tc>
          <w:tcPr>
            <w:tcW w:w="1900" w:type="dxa"/>
          </w:tcPr>
          <w:p w14:paraId="1D421ABD" w14:textId="77777777" w:rsidR="004079CD" w:rsidRPr="00D12A28" w:rsidRDefault="004079CD" w:rsidP="00D044E6">
            <w:pPr>
              <w:spacing w:line="276" w:lineRule="auto"/>
              <w:rPr>
                <w:rFonts w:ascii="Arial" w:hAnsi="Arial" w:cs="Arial"/>
                <w:sz w:val="22"/>
                <w:szCs w:val="20"/>
              </w:rPr>
            </w:pPr>
            <w:r w:rsidRPr="00D12A28">
              <w:rPr>
                <w:rFonts w:ascii="Arial" w:hAnsi="Arial" w:cs="Arial"/>
                <w:sz w:val="22"/>
                <w:szCs w:val="20"/>
              </w:rPr>
              <w:t>Col-0</w:t>
            </w:r>
          </w:p>
        </w:tc>
        <w:tc>
          <w:tcPr>
            <w:tcW w:w="1535" w:type="dxa"/>
          </w:tcPr>
          <w:p w14:paraId="49F8005C" w14:textId="412D8834" w:rsidR="004079CD" w:rsidRPr="00DB2DF6" w:rsidRDefault="00F02381" w:rsidP="00F02381">
            <w:pPr>
              <w:spacing w:line="276" w:lineRule="auto"/>
              <w:jc w:val="left"/>
              <w:rPr>
                <w:rFonts w:ascii="Arial" w:hAnsi="Arial" w:cs="Arial"/>
                <w:sz w:val="22"/>
              </w:rPr>
            </w:pPr>
            <w:r w:rsidRPr="00DB2DF6">
              <w:rPr>
                <w:rFonts w:ascii="Arial" w:hAnsi="Arial" w:cs="Arial"/>
                <w:sz w:val="22"/>
              </w:rPr>
              <w:t>T-DNA</w:t>
            </w:r>
          </w:p>
        </w:tc>
        <w:tc>
          <w:tcPr>
            <w:tcW w:w="1899" w:type="dxa"/>
          </w:tcPr>
          <w:p w14:paraId="0C0878D0" w14:textId="78F7800A" w:rsidR="004079CD" w:rsidRPr="00DB2DF6" w:rsidRDefault="004079CD" w:rsidP="00D044E6">
            <w:pPr>
              <w:spacing w:line="276" w:lineRule="auto"/>
              <w:rPr>
                <w:rFonts w:ascii="Arial" w:hAnsi="Arial" w:cs="Arial"/>
                <w:sz w:val="22"/>
                <w:szCs w:val="20"/>
              </w:rPr>
            </w:pPr>
            <w:r w:rsidRPr="00DB2DF6">
              <w:rPr>
                <w:rFonts w:ascii="Arial" w:hAnsi="Arial" w:cs="Arial"/>
                <w:sz w:val="22"/>
                <w:szCs w:val="20"/>
              </w:rPr>
              <w:t>NASC</w:t>
            </w:r>
          </w:p>
        </w:tc>
      </w:tr>
      <w:tr w:rsidR="004079CD" w:rsidRPr="00D12A28" w14:paraId="4FCF3B90" w14:textId="77777777" w:rsidTr="004079CD">
        <w:tc>
          <w:tcPr>
            <w:tcW w:w="2818" w:type="dxa"/>
          </w:tcPr>
          <w:p w14:paraId="3AC3705F" w14:textId="77777777" w:rsidR="004079CD" w:rsidRPr="00D12A28" w:rsidRDefault="004079CD" w:rsidP="00D044E6">
            <w:pPr>
              <w:spacing w:line="276" w:lineRule="auto"/>
              <w:rPr>
                <w:rFonts w:ascii="Arial" w:hAnsi="Arial" w:cs="Arial"/>
                <w:sz w:val="22"/>
                <w:szCs w:val="20"/>
              </w:rPr>
            </w:pPr>
            <w:r w:rsidRPr="00D12A28">
              <w:rPr>
                <w:rFonts w:ascii="Arial" w:hAnsi="Arial" w:cs="Arial"/>
                <w:sz w:val="22"/>
                <w:szCs w:val="20"/>
              </w:rPr>
              <w:t>SAIL_5_G10 (</w:t>
            </w:r>
            <w:r w:rsidRPr="00D12A28">
              <w:rPr>
                <w:rFonts w:ascii="Arial" w:hAnsi="Arial" w:cs="Arial"/>
                <w:i/>
                <w:sz w:val="22"/>
                <w:szCs w:val="20"/>
              </w:rPr>
              <w:t>pdr6</w:t>
            </w:r>
            <w:r w:rsidRPr="00D12A28">
              <w:rPr>
                <w:rFonts w:ascii="Arial" w:hAnsi="Arial" w:cs="Arial"/>
                <w:sz w:val="22"/>
                <w:szCs w:val="20"/>
              </w:rPr>
              <w:t>)</w:t>
            </w:r>
          </w:p>
        </w:tc>
        <w:tc>
          <w:tcPr>
            <w:tcW w:w="1900" w:type="dxa"/>
          </w:tcPr>
          <w:p w14:paraId="76BABE1B" w14:textId="77777777" w:rsidR="004079CD" w:rsidRPr="00D12A28" w:rsidRDefault="004079CD" w:rsidP="00D044E6">
            <w:pPr>
              <w:spacing w:line="276" w:lineRule="auto"/>
              <w:rPr>
                <w:rFonts w:ascii="Arial" w:hAnsi="Arial" w:cs="Arial"/>
                <w:sz w:val="22"/>
                <w:szCs w:val="20"/>
              </w:rPr>
            </w:pPr>
            <w:r w:rsidRPr="00D12A28">
              <w:rPr>
                <w:rFonts w:ascii="Arial" w:hAnsi="Arial" w:cs="Arial"/>
                <w:sz w:val="22"/>
                <w:szCs w:val="20"/>
              </w:rPr>
              <w:t>Col-0</w:t>
            </w:r>
          </w:p>
        </w:tc>
        <w:tc>
          <w:tcPr>
            <w:tcW w:w="1535" w:type="dxa"/>
          </w:tcPr>
          <w:p w14:paraId="7679CA65" w14:textId="00FDDFF4" w:rsidR="004079CD" w:rsidRPr="00DB2DF6" w:rsidRDefault="00C33354" w:rsidP="00F02381">
            <w:pPr>
              <w:spacing w:line="276" w:lineRule="auto"/>
              <w:jc w:val="left"/>
              <w:rPr>
                <w:rFonts w:ascii="Arial" w:hAnsi="Arial" w:cs="Arial"/>
                <w:sz w:val="22"/>
              </w:rPr>
            </w:pPr>
            <w:r w:rsidRPr="00DB2DF6">
              <w:rPr>
                <w:rFonts w:ascii="Arial" w:hAnsi="Arial" w:cs="Arial"/>
                <w:sz w:val="22"/>
              </w:rPr>
              <w:t>T-DNA</w:t>
            </w:r>
          </w:p>
        </w:tc>
        <w:tc>
          <w:tcPr>
            <w:tcW w:w="1899" w:type="dxa"/>
          </w:tcPr>
          <w:p w14:paraId="751C0A97" w14:textId="60E96FFB" w:rsidR="004079CD" w:rsidRPr="00DB2DF6" w:rsidRDefault="004079CD" w:rsidP="00D044E6">
            <w:pPr>
              <w:spacing w:line="276" w:lineRule="auto"/>
              <w:rPr>
                <w:rFonts w:ascii="Arial" w:hAnsi="Arial" w:cs="Arial"/>
                <w:sz w:val="22"/>
                <w:szCs w:val="20"/>
              </w:rPr>
            </w:pPr>
            <w:r w:rsidRPr="00DB2DF6">
              <w:rPr>
                <w:rFonts w:ascii="Arial" w:hAnsi="Arial" w:cs="Arial"/>
                <w:sz w:val="22"/>
                <w:szCs w:val="20"/>
              </w:rPr>
              <w:t>NASC</w:t>
            </w:r>
          </w:p>
        </w:tc>
      </w:tr>
      <w:tr w:rsidR="004079CD" w:rsidRPr="00D12A28" w14:paraId="6A5D463F" w14:textId="77777777" w:rsidTr="004079CD">
        <w:tc>
          <w:tcPr>
            <w:tcW w:w="2818" w:type="dxa"/>
          </w:tcPr>
          <w:p w14:paraId="5C2CF521" w14:textId="77777777" w:rsidR="004079CD" w:rsidRPr="00D12A28" w:rsidRDefault="004079CD" w:rsidP="00D044E6">
            <w:pPr>
              <w:spacing w:line="276" w:lineRule="auto"/>
              <w:rPr>
                <w:rFonts w:ascii="Arial" w:hAnsi="Arial" w:cs="Arial"/>
                <w:sz w:val="22"/>
                <w:szCs w:val="20"/>
              </w:rPr>
            </w:pPr>
            <w:r w:rsidRPr="00D12A28">
              <w:rPr>
                <w:rFonts w:ascii="Arial" w:hAnsi="Arial" w:cs="Arial"/>
                <w:sz w:val="22"/>
                <w:szCs w:val="20"/>
              </w:rPr>
              <w:t>SALK_118823C (</w:t>
            </w:r>
            <w:r w:rsidRPr="00D12A28">
              <w:rPr>
                <w:rFonts w:ascii="Arial" w:hAnsi="Arial" w:cs="Arial"/>
                <w:i/>
                <w:sz w:val="22"/>
                <w:szCs w:val="20"/>
              </w:rPr>
              <w:t>pdr10</w:t>
            </w:r>
            <w:r w:rsidRPr="00D12A28">
              <w:rPr>
                <w:rFonts w:ascii="Arial" w:hAnsi="Arial" w:cs="Arial"/>
                <w:sz w:val="22"/>
                <w:szCs w:val="20"/>
              </w:rPr>
              <w:t>)</w:t>
            </w:r>
          </w:p>
        </w:tc>
        <w:tc>
          <w:tcPr>
            <w:tcW w:w="1900" w:type="dxa"/>
          </w:tcPr>
          <w:p w14:paraId="43C4C975" w14:textId="77777777" w:rsidR="004079CD" w:rsidRPr="00D12A28" w:rsidRDefault="004079CD" w:rsidP="00D044E6">
            <w:pPr>
              <w:spacing w:line="276" w:lineRule="auto"/>
              <w:rPr>
                <w:rFonts w:ascii="Arial" w:hAnsi="Arial" w:cs="Arial"/>
                <w:sz w:val="22"/>
                <w:szCs w:val="20"/>
              </w:rPr>
            </w:pPr>
            <w:r w:rsidRPr="00D12A28">
              <w:rPr>
                <w:rFonts w:ascii="Arial" w:hAnsi="Arial" w:cs="Arial"/>
                <w:sz w:val="22"/>
                <w:szCs w:val="20"/>
              </w:rPr>
              <w:t>Col-0</w:t>
            </w:r>
          </w:p>
        </w:tc>
        <w:tc>
          <w:tcPr>
            <w:tcW w:w="1535" w:type="dxa"/>
          </w:tcPr>
          <w:p w14:paraId="3D354655" w14:textId="5BA8A75C" w:rsidR="004079CD" w:rsidRPr="00DB2DF6" w:rsidRDefault="003E0691" w:rsidP="00F02381">
            <w:pPr>
              <w:spacing w:line="276" w:lineRule="auto"/>
              <w:jc w:val="left"/>
              <w:rPr>
                <w:rFonts w:ascii="Arial" w:hAnsi="Arial" w:cs="Arial"/>
                <w:sz w:val="22"/>
              </w:rPr>
            </w:pPr>
            <w:r w:rsidRPr="00DB2DF6">
              <w:rPr>
                <w:rFonts w:ascii="Arial" w:hAnsi="Arial" w:cs="Arial"/>
                <w:sz w:val="22"/>
              </w:rPr>
              <w:t>T-DNA</w:t>
            </w:r>
          </w:p>
        </w:tc>
        <w:tc>
          <w:tcPr>
            <w:tcW w:w="1899" w:type="dxa"/>
          </w:tcPr>
          <w:p w14:paraId="6F715881" w14:textId="27D54E9B" w:rsidR="004079CD" w:rsidRPr="00DB2DF6" w:rsidRDefault="004079CD" w:rsidP="00D044E6">
            <w:pPr>
              <w:spacing w:line="276" w:lineRule="auto"/>
              <w:rPr>
                <w:rFonts w:ascii="Arial" w:hAnsi="Arial" w:cs="Arial"/>
                <w:sz w:val="22"/>
                <w:szCs w:val="20"/>
              </w:rPr>
            </w:pPr>
            <w:r w:rsidRPr="00DB2DF6">
              <w:rPr>
                <w:rFonts w:ascii="Arial" w:hAnsi="Arial" w:cs="Arial"/>
                <w:sz w:val="22"/>
                <w:szCs w:val="20"/>
              </w:rPr>
              <w:t>NASC</w:t>
            </w:r>
          </w:p>
        </w:tc>
      </w:tr>
      <w:tr w:rsidR="004079CD" w:rsidRPr="00D12A28" w14:paraId="67F581FF" w14:textId="77777777" w:rsidTr="004079CD">
        <w:tc>
          <w:tcPr>
            <w:tcW w:w="2818" w:type="dxa"/>
          </w:tcPr>
          <w:p w14:paraId="175CC29E" w14:textId="77777777" w:rsidR="004079CD" w:rsidRPr="00D12A28" w:rsidRDefault="004079CD" w:rsidP="00D044E6">
            <w:pPr>
              <w:spacing w:line="276" w:lineRule="auto"/>
              <w:rPr>
                <w:rFonts w:ascii="Arial" w:hAnsi="Arial" w:cs="Arial"/>
                <w:sz w:val="22"/>
                <w:szCs w:val="20"/>
              </w:rPr>
            </w:pPr>
            <w:r w:rsidRPr="00D12A28">
              <w:rPr>
                <w:rFonts w:ascii="Arial" w:hAnsi="Arial" w:cs="Arial"/>
                <w:sz w:val="22"/>
                <w:szCs w:val="20"/>
              </w:rPr>
              <w:t>WiscDsLox419G06 (</w:t>
            </w:r>
            <w:r w:rsidRPr="00D12A28">
              <w:rPr>
                <w:rFonts w:ascii="Arial" w:hAnsi="Arial" w:cs="Arial"/>
                <w:i/>
                <w:sz w:val="22"/>
                <w:szCs w:val="20"/>
              </w:rPr>
              <w:t>pdr11</w:t>
            </w:r>
            <w:r w:rsidRPr="00D12A28">
              <w:rPr>
                <w:rFonts w:ascii="Arial" w:hAnsi="Arial" w:cs="Arial"/>
                <w:sz w:val="22"/>
                <w:szCs w:val="20"/>
              </w:rPr>
              <w:t>)</w:t>
            </w:r>
          </w:p>
        </w:tc>
        <w:tc>
          <w:tcPr>
            <w:tcW w:w="1900" w:type="dxa"/>
          </w:tcPr>
          <w:p w14:paraId="5CA2F82B" w14:textId="77777777" w:rsidR="004079CD" w:rsidRPr="00D12A28" w:rsidRDefault="004079CD" w:rsidP="00D044E6">
            <w:pPr>
              <w:spacing w:line="276" w:lineRule="auto"/>
              <w:rPr>
                <w:rFonts w:ascii="Arial" w:hAnsi="Arial" w:cs="Arial"/>
                <w:sz w:val="22"/>
                <w:szCs w:val="20"/>
              </w:rPr>
            </w:pPr>
            <w:r w:rsidRPr="00D12A28">
              <w:rPr>
                <w:rFonts w:ascii="Arial" w:hAnsi="Arial" w:cs="Arial"/>
                <w:sz w:val="22"/>
                <w:szCs w:val="20"/>
              </w:rPr>
              <w:t>Col-0</w:t>
            </w:r>
          </w:p>
        </w:tc>
        <w:tc>
          <w:tcPr>
            <w:tcW w:w="1535" w:type="dxa"/>
          </w:tcPr>
          <w:p w14:paraId="1E131F58" w14:textId="0EC9600D" w:rsidR="004079CD" w:rsidRPr="00DB2DF6" w:rsidRDefault="007232D4" w:rsidP="00F02381">
            <w:pPr>
              <w:spacing w:line="276" w:lineRule="auto"/>
              <w:jc w:val="left"/>
              <w:rPr>
                <w:rFonts w:ascii="Arial" w:hAnsi="Arial" w:cs="Arial"/>
                <w:sz w:val="22"/>
              </w:rPr>
            </w:pPr>
            <w:r w:rsidRPr="00DB2DF6">
              <w:rPr>
                <w:rFonts w:ascii="Arial" w:hAnsi="Arial" w:cs="Arial"/>
                <w:sz w:val="22"/>
              </w:rPr>
              <w:t>T-DNA</w:t>
            </w:r>
          </w:p>
        </w:tc>
        <w:tc>
          <w:tcPr>
            <w:tcW w:w="1899" w:type="dxa"/>
          </w:tcPr>
          <w:p w14:paraId="7317827A" w14:textId="5FFA3D6B" w:rsidR="004079CD" w:rsidRPr="00DB2DF6" w:rsidRDefault="004079CD" w:rsidP="00D044E6">
            <w:pPr>
              <w:spacing w:line="276" w:lineRule="auto"/>
              <w:rPr>
                <w:rFonts w:ascii="Arial" w:hAnsi="Arial" w:cs="Arial"/>
                <w:sz w:val="22"/>
                <w:szCs w:val="20"/>
              </w:rPr>
            </w:pPr>
            <w:r w:rsidRPr="00DB2DF6">
              <w:rPr>
                <w:rFonts w:ascii="Arial" w:hAnsi="Arial" w:cs="Arial"/>
                <w:sz w:val="22"/>
                <w:szCs w:val="20"/>
              </w:rPr>
              <w:t>NASC</w:t>
            </w:r>
          </w:p>
        </w:tc>
      </w:tr>
      <w:tr w:rsidR="004079CD" w:rsidRPr="00D12A28" w14:paraId="3CA1E484" w14:textId="77777777" w:rsidTr="004079CD">
        <w:tc>
          <w:tcPr>
            <w:tcW w:w="2818" w:type="dxa"/>
          </w:tcPr>
          <w:p w14:paraId="50890142" w14:textId="77777777" w:rsidR="004079CD" w:rsidRPr="00D12A28" w:rsidRDefault="004079CD" w:rsidP="00D044E6">
            <w:pPr>
              <w:spacing w:line="276" w:lineRule="auto"/>
              <w:rPr>
                <w:rFonts w:ascii="Arial" w:hAnsi="Arial" w:cs="Arial"/>
                <w:sz w:val="22"/>
                <w:szCs w:val="20"/>
              </w:rPr>
            </w:pPr>
            <w:r w:rsidRPr="00D12A28">
              <w:rPr>
                <w:rFonts w:ascii="Arial" w:hAnsi="Arial" w:cs="Arial"/>
                <w:sz w:val="22"/>
                <w:szCs w:val="20"/>
              </w:rPr>
              <w:t>SAIL_885_E09 (</w:t>
            </w:r>
            <w:r w:rsidRPr="00D12A28">
              <w:rPr>
                <w:rFonts w:ascii="Arial" w:hAnsi="Arial" w:cs="Arial"/>
                <w:i/>
                <w:sz w:val="22"/>
                <w:szCs w:val="20"/>
              </w:rPr>
              <w:t>pdr12)</w:t>
            </w:r>
          </w:p>
        </w:tc>
        <w:tc>
          <w:tcPr>
            <w:tcW w:w="1900" w:type="dxa"/>
          </w:tcPr>
          <w:p w14:paraId="330210DA" w14:textId="77777777" w:rsidR="004079CD" w:rsidRPr="00D12A28" w:rsidRDefault="004079CD" w:rsidP="00D044E6">
            <w:pPr>
              <w:spacing w:line="276" w:lineRule="auto"/>
              <w:rPr>
                <w:rFonts w:ascii="Arial" w:hAnsi="Arial" w:cs="Arial"/>
                <w:sz w:val="22"/>
                <w:szCs w:val="20"/>
              </w:rPr>
            </w:pPr>
            <w:r w:rsidRPr="00D12A28">
              <w:rPr>
                <w:rFonts w:ascii="Arial" w:hAnsi="Arial" w:cs="Arial"/>
                <w:sz w:val="22"/>
                <w:szCs w:val="20"/>
              </w:rPr>
              <w:t>Col-0</w:t>
            </w:r>
          </w:p>
        </w:tc>
        <w:tc>
          <w:tcPr>
            <w:tcW w:w="1535" w:type="dxa"/>
          </w:tcPr>
          <w:p w14:paraId="01F382F7" w14:textId="4AB10DE4" w:rsidR="004079CD" w:rsidRPr="00DB2DF6" w:rsidRDefault="00B23893" w:rsidP="00F02381">
            <w:pPr>
              <w:spacing w:line="276" w:lineRule="auto"/>
              <w:jc w:val="left"/>
              <w:rPr>
                <w:rFonts w:ascii="Arial" w:hAnsi="Arial" w:cs="Arial"/>
                <w:sz w:val="22"/>
              </w:rPr>
            </w:pPr>
            <w:r w:rsidRPr="00DB2DF6">
              <w:rPr>
                <w:rFonts w:ascii="Arial" w:hAnsi="Arial" w:cs="Arial"/>
                <w:sz w:val="22"/>
              </w:rPr>
              <w:t>T-DNA</w:t>
            </w:r>
          </w:p>
        </w:tc>
        <w:tc>
          <w:tcPr>
            <w:tcW w:w="1899" w:type="dxa"/>
          </w:tcPr>
          <w:p w14:paraId="714D46CC" w14:textId="5CCEBB47" w:rsidR="004079CD" w:rsidRPr="00DB2DF6" w:rsidRDefault="004079CD" w:rsidP="00D044E6">
            <w:pPr>
              <w:spacing w:line="276" w:lineRule="auto"/>
              <w:rPr>
                <w:rFonts w:ascii="Arial" w:hAnsi="Arial" w:cs="Arial"/>
                <w:sz w:val="22"/>
                <w:szCs w:val="20"/>
              </w:rPr>
            </w:pPr>
            <w:r w:rsidRPr="00DB2DF6">
              <w:rPr>
                <w:rFonts w:ascii="Arial" w:hAnsi="Arial" w:cs="Arial"/>
                <w:sz w:val="22"/>
                <w:szCs w:val="20"/>
              </w:rPr>
              <w:t>NASC</w:t>
            </w:r>
          </w:p>
        </w:tc>
      </w:tr>
    </w:tbl>
    <w:p w14:paraId="0E325A86" w14:textId="77777777" w:rsidR="00D12A28" w:rsidRPr="00D12A28" w:rsidRDefault="00D12A28" w:rsidP="00D12A28"/>
    <w:p w14:paraId="551D530D" w14:textId="7BC428CA" w:rsidR="00D12A28" w:rsidRDefault="00D12A28" w:rsidP="00D12A28">
      <w:pPr>
        <w:pStyle w:val="Caption"/>
      </w:pPr>
      <w:bookmarkStart w:id="70" w:name="_Toc146657534"/>
      <w:bookmarkStart w:id="71" w:name="_Toc154331518"/>
      <w:r>
        <w:t xml:space="preserve">Table </w:t>
      </w:r>
      <w:fldSimple w:instr=" STYLEREF 1 \s ">
        <w:r w:rsidR="004B7F70">
          <w:rPr>
            <w:noProof/>
          </w:rPr>
          <w:t>2</w:t>
        </w:r>
      </w:fldSimple>
      <w:r w:rsidR="00646450">
        <w:t>.</w:t>
      </w:r>
      <w:fldSimple w:instr=" SEQ Table \* ARABIC \s 1 ">
        <w:r w:rsidR="004B7F70">
          <w:rPr>
            <w:noProof/>
          </w:rPr>
          <w:t>4</w:t>
        </w:r>
      </w:fldSimple>
      <w:r>
        <w:t xml:space="preserve"> </w:t>
      </w:r>
      <w:r w:rsidRPr="00EA2363">
        <w:rPr>
          <w:i/>
          <w:iCs/>
        </w:rPr>
        <w:t>Arabidopsis thaliana</w:t>
      </w:r>
      <w:r>
        <w:t xml:space="preserve"> genotypes</w:t>
      </w:r>
      <w:bookmarkEnd w:id="70"/>
      <w:bookmarkEnd w:id="71"/>
    </w:p>
    <w:p w14:paraId="0A165914" w14:textId="47B28542" w:rsidR="00851577" w:rsidRPr="00851577" w:rsidRDefault="00851577" w:rsidP="00851577">
      <w:pPr>
        <w:pStyle w:val="Description"/>
      </w:pPr>
      <w:r>
        <w:t xml:space="preserve">All </w:t>
      </w:r>
      <w:r w:rsidR="0069514F" w:rsidRPr="00CB6101">
        <w:rPr>
          <w:i/>
          <w:iCs/>
        </w:rPr>
        <w:t>A</w:t>
      </w:r>
      <w:r w:rsidRPr="00CB6101">
        <w:rPr>
          <w:i/>
          <w:iCs/>
        </w:rPr>
        <w:t>rabidopsis thaliana</w:t>
      </w:r>
      <w:r>
        <w:t xml:space="preserve"> genotypes were sourced from the Nottingham</w:t>
      </w:r>
      <w:r w:rsidR="0070606A">
        <w:t xml:space="preserve"> Arabidopsis stock centre (NASC)</w:t>
      </w:r>
      <w:r w:rsidR="00195CD3">
        <w:t xml:space="preserve"> </w:t>
      </w:r>
    </w:p>
    <w:p w14:paraId="7BC9CD3E" w14:textId="77777777" w:rsidR="00D12A28" w:rsidRDefault="00D12A28" w:rsidP="00D12A28">
      <w:pPr>
        <w:pStyle w:val="Description"/>
      </w:pPr>
    </w:p>
    <w:p w14:paraId="6355F950" w14:textId="28130ED8" w:rsidR="00D12A28" w:rsidRDefault="00D12A28" w:rsidP="00743E4C">
      <w:pPr>
        <w:pStyle w:val="Heading2"/>
      </w:pPr>
      <w:bookmarkStart w:id="72" w:name="_Toc154331462"/>
      <w:r>
        <w:t>Molecular Biology</w:t>
      </w:r>
      <w:bookmarkEnd w:id="72"/>
    </w:p>
    <w:p w14:paraId="270E8D51" w14:textId="054B2C15" w:rsidR="00D12A28" w:rsidRDefault="00D12A28" w:rsidP="00743E4C">
      <w:pPr>
        <w:pStyle w:val="Heading3"/>
      </w:pPr>
      <w:bookmarkStart w:id="73" w:name="_Toc154331463"/>
      <w:r>
        <w:t>Genotyping</w:t>
      </w:r>
      <w:bookmarkEnd w:id="73"/>
    </w:p>
    <w:p w14:paraId="4AD3B494" w14:textId="45EAEB84" w:rsidR="00D12A28" w:rsidRDefault="00D12A28" w:rsidP="00D12A28">
      <w:pPr>
        <w:spacing w:line="480" w:lineRule="auto"/>
      </w:pPr>
      <w:r>
        <w:t xml:space="preserve">DNA extraction was carried out on </w:t>
      </w:r>
      <w:r w:rsidR="001719F3" w:rsidRPr="00D65A82">
        <w:t xml:space="preserve">snap </w:t>
      </w:r>
      <w:r w:rsidRPr="00D65A82">
        <w:t xml:space="preserve">frozen </w:t>
      </w:r>
      <w:r w:rsidR="009424B8" w:rsidRPr="00D65A82">
        <w:t>(-80°C)</w:t>
      </w:r>
      <w:r w:rsidR="009424B8">
        <w:t xml:space="preserve"> </w:t>
      </w:r>
      <w:r>
        <w:t xml:space="preserve">cauline leaves </w:t>
      </w:r>
      <w:r w:rsidR="00A35495">
        <w:t xml:space="preserve">of </w:t>
      </w:r>
      <w:r w:rsidRPr="00084A58">
        <w:rPr>
          <w:i/>
          <w:iCs/>
        </w:rPr>
        <w:t>Arabidopsis thaliana</w:t>
      </w:r>
      <w:r>
        <w:t xml:space="preserve"> </w:t>
      </w:r>
      <w:r w:rsidRPr="00DD4A2A">
        <w:rPr>
          <w:i/>
          <w:iCs/>
        </w:rPr>
        <w:t>pdr</w:t>
      </w:r>
      <w:r>
        <w:t xml:space="preserve"> mutants</w:t>
      </w:r>
      <w:r w:rsidR="00A35495">
        <w:t>,</w:t>
      </w:r>
      <w:r>
        <w:t xml:space="preserve"> which had been ground using 3mm steel balls and a TissueLyserLT (Qiagen)</w:t>
      </w:r>
      <w:r w:rsidR="002E33C4">
        <w:t>.</w:t>
      </w:r>
      <w:r>
        <w:t xml:space="preserve"> 400µl Edwards buffer </w:t>
      </w:r>
      <w:r>
        <w:fldChar w:fldCharType="begin" w:fldLock="1"/>
      </w:r>
      <w:r>
        <w:instrText>ADDIN CSL_CITATION {"citationItems":[{"id":"ITEM-1","itemData":{"author":[{"dropping-particle":"","family":"Edwards","given":"K","non-dropping-particle":"","parse-names":false,"suffix":""},{"dropping-particle":"","family":"Johnstone","given":"C","non-dropping-particle":"","parse-names":false,"suffix":""},{"dropping-particle":"","family":"Thompson","given":"C","non-dropping-particle":"","parse-names":false,"suffix":""}],"container-title":"Nucleic Acids Research","id":"ITEM-1","issue":"6","issued":{"date-parts":[["1991","1","2"]]},"page":"1349","title":"A simple and rapid method for the preparation of plant genomic DNA for PCR analysis","type":"article-journal","volume":"19"},"uris":["http://www.mendeley.com/documents/?uuid=60648e8f-ef8f-3dd6-bc36-9f3139b3a59f"]}],"mendeley":{"formattedCitation":"(Edwards et al., 1991)","plainTextFormattedCitation":"(Edwards et al., 1991)","previouslyFormattedCitation":"(Edwards et al., 1991)"},"properties":{"noteIndex":0},"schema":"https://github.com/citation-style-language/schema/raw/master/csl-citation.json"}</w:instrText>
      </w:r>
      <w:r>
        <w:fldChar w:fldCharType="separate"/>
      </w:r>
      <w:r w:rsidRPr="00084A58">
        <w:rPr>
          <w:noProof/>
        </w:rPr>
        <w:t>(Edwards et al., 1991)</w:t>
      </w:r>
      <w:r>
        <w:fldChar w:fldCharType="end"/>
      </w:r>
      <w:r>
        <w:t xml:space="preserve"> was added to the sample tube and vortexed. Samples were placed in the centrifuge at 13,000 RPM for 5 minutes, 300µl of supernatant was transferred to a new tube and 300µl isopropanol was added and briefly mixed before allowing to sit for 2 minutes. Samples were centrifuged at 13,000 RPM for 10 minutes, supernatant was disposed and 70% ethanol was added to wash the pellet and centrifuged at 13,000RPM for 5 minutes. </w:t>
      </w:r>
      <w:r w:rsidR="00710475" w:rsidRPr="00D65A82">
        <w:t>The s</w:t>
      </w:r>
      <w:r w:rsidRPr="00D65A82">
        <w:t xml:space="preserve">upernatant was discarded and pellet air dried for up to 1 hour at 37°C. </w:t>
      </w:r>
      <w:r w:rsidR="009424B8" w:rsidRPr="00D65A82">
        <w:t>The</w:t>
      </w:r>
      <w:r w:rsidR="009424B8">
        <w:t xml:space="preserve"> p</w:t>
      </w:r>
      <w:r>
        <w:t>ellet was resuspended in 40µl dH</w:t>
      </w:r>
      <w:r w:rsidRPr="00034FEA">
        <w:rPr>
          <w:vertAlign w:val="subscript"/>
        </w:rPr>
        <w:t>2</w:t>
      </w:r>
      <w:r>
        <w:t xml:space="preserve">0 </w:t>
      </w:r>
      <w:r>
        <w:fldChar w:fldCharType="begin" w:fldLock="1"/>
      </w:r>
      <w:r w:rsidR="00C67A15">
        <w:instrText>ADDIN CSL_CITATION {"citationItems":[{"id":"ITEM-1","itemData":{"URL":"https://www.protocols.io/view/extraction-of-genomic-dna-using-edwards-buffer-grdbv26.html","author":[{"dropping-particle":"","family":"Fink","given":"Fabian","non-dropping-particle":"","parse-names":false,"suffix":""}],"id":"ITEM-1","issued":{"date-parts":[["2014"]]},"title":"Extraction of genomic DNA using \"Edwards\" buffer V.1, modified after Edwards et al. , 1991 Nucleic Acids Research","type":"webpage"},"uris":["http://www.mendeley.com/documents/?uuid=a5962449-385a-4032-a0ea-3fe63f693acb"]}],"mendeley":{"formattedCitation":"(Fink, 2014)","plainTextFormattedCitation":"(Fink, 2014)","previouslyFormattedCitation":"(Fink, 2014)"},"properties":{"noteIndex":0},"schema":"https://github.com/citation-style-language/schema/raw/master/csl-citation.json"}</w:instrText>
      </w:r>
      <w:r>
        <w:fldChar w:fldCharType="separate"/>
      </w:r>
      <w:r w:rsidRPr="007F5D93">
        <w:rPr>
          <w:noProof/>
        </w:rPr>
        <w:t>(Fink, 2014)</w:t>
      </w:r>
      <w:r>
        <w:fldChar w:fldCharType="end"/>
      </w:r>
      <w:r>
        <w:t xml:space="preserve">.  </w:t>
      </w:r>
    </w:p>
    <w:p w14:paraId="6CAE50D0" w14:textId="378B4894" w:rsidR="0055448C" w:rsidRDefault="00D12A28" w:rsidP="00D12A28">
      <w:pPr>
        <w:spacing w:line="480" w:lineRule="auto"/>
      </w:pPr>
      <w:r>
        <w:rPr>
          <w:i/>
          <w:iCs/>
        </w:rPr>
        <w:lastRenderedPageBreak/>
        <w:t>pdr</w:t>
      </w:r>
      <w:r>
        <w:t xml:space="preserve"> lines were genotyped for homozygosity using primer sequences provided by </w:t>
      </w:r>
      <w:r w:rsidR="00A35495">
        <w:t>T-DNA Express Signal SALK (Table 2.5),</w:t>
      </w:r>
      <w:r w:rsidRPr="00A5658C">
        <w:t xml:space="preserve"> </w:t>
      </w:r>
      <w:r>
        <w:t>all ordered from IDT, using the Sample PCR listed below (Table 2.</w:t>
      </w:r>
      <w:r w:rsidR="00A35495">
        <w:t>6-2.7</w:t>
      </w:r>
      <w:r>
        <w:t xml:space="preserve">). Samples were run on a 1.2% w/vol agarose gel, agarose was dissolved in 1x Tris-acetate-EDTA (TAE) buffer, with 1ul per 10ml of </w:t>
      </w:r>
      <w:r w:rsidRPr="00CA5F71">
        <w:t>SYBR™ Safe DNA Gel Stain</w:t>
      </w:r>
      <w:r>
        <w:t xml:space="preserve"> (Thermo Fisher Scientific). Samples were loaded with </w:t>
      </w:r>
      <w:r w:rsidRPr="001D2540">
        <w:t>Gel Loading Dye, Purple (6X)</w:t>
      </w:r>
      <w:r>
        <w:t xml:space="preserve"> (NEB) as per recommended protocol. A voltage between 80-100V was used and bands were visualised using a UV transilluminator. Homozygous lines were identified from all lines except </w:t>
      </w:r>
      <w:r>
        <w:rPr>
          <w:i/>
          <w:iCs/>
        </w:rPr>
        <w:t>pdr</w:t>
      </w:r>
      <w:r w:rsidRPr="007C49E8">
        <w:rPr>
          <w:i/>
          <w:iCs/>
        </w:rPr>
        <w:t>6</w:t>
      </w:r>
      <w:r>
        <w:t xml:space="preserve">. </w:t>
      </w:r>
    </w:p>
    <w:tbl>
      <w:tblPr>
        <w:tblStyle w:val="TableGrid"/>
        <w:tblW w:w="8359" w:type="dxa"/>
        <w:tblLayout w:type="fixed"/>
        <w:tblLook w:val="04A0" w:firstRow="1" w:lastRow="0" w:firstColumn="1" w:lastColumn="0" w:noHBand="0" w:noVBand="1"/>
      </w:tblPr>
      <w:tblGrid>
        <w:gridCol w:w="1048"/>
        <w:gridCol w:w="2418"/>
        <w:gridCol w:w="1276"/>
        <w:gridCol w:w="3617"/>
      </w:tblGrid>
      <w:tr w:rsidR="00D12A28" w14:paraId="71CBB550" w14:textId="77777777" w:rsidTr="00D12A28">
        <w:tc>
          <w:tcPr>
            <w:tcW w:w="1048" w:type="dxa"/>
            <w:shd w:val="clear" w:color="auto" w:fill="D9D9D9" w:themeFill="background1" w:themeFillShade="D9"/>
          </w:tcPr>
          <w:p w14:paraId="2D48A288" w14:textId="77777777" w:rsidR="00D12A28" w:rsidRPr="00D12A28" w:rsidRDefault="00D12A28" w:rsidP="00D044E6">
            <w:pPr>
              <w:spacing w:line="276" w:lineRule="auto"/>
              <w:rPr>
                <w:rFonts w:ascii="Arial" w:hAnsi="Arial" w:cs="Arial"/>
                <w:b/>
                <w:bCs/>
              </w:rPr>
            </w:pPr>
            <w:r w:rsidRPr="00D12A28">
              <w:rPr>
                <w:rFonts w:ascii="Arial" w:hAnsi="Arial" w:cs="Arial"/>
                <w:b/>
                <w:bCs/>
              </w:rPr>
              <w:t>Gene</w:t>
            </w:r>
          </w:p>
        </w:tc>
        <w:tc>
          <w:tcPr>
            <w:tcW w:w="2418" w:type="dxa"/>
            <w:shd w:val="clear" w:color="auto" w:fill="D9D9D9" w:themeFill="background1" w:themeFillShade="D9"/>
          </w:tcPr>
          <w:p w14:paraId="568FFA6B" w14:textId="77777777" w:rsidR="00D12A28" w:rsidRPr="00D12A28" w:rsidRDefault="00D12A28" w:rsidP="00D044E6">
            <w:pPr>
              <w:spacing w:line="276" w:lineRule="auto"/>
              <w:rPr>
                <w:rFonts w:ascii="Arial" w:hAnsi="Arial" w:cs="Arial"/>
                <w:b/>
                <w:bCs/>
              </w:rPr>
            </w:pPr>
            <w:r w:rsidRPr="00D12A28">
              <w:rPr>
                <w:rFonts w:ascii="Arial" w:hAnsi="Arial" w:cs="Arial"/>
                <w:b/>
                <w:bCs/>
              </w:rPr>
              <w:t>NASC code</w:t>
            </w:r>
          </w:p>
        </w:tc>
        <w:tc>
          <w:tcPr>
            <w:tcW w:w="1276" w:type="dxa"/>
            <w:shd w:val="clear" w:color="auto" w:fill="D9D9D9" w:themeFill="background1" w:themeFillShade="D9"/>
          </w:tcPr>
          <w:p w14:paraId="6C86D1DB" w14:textId="77777777" w:rsidR="00D12A28" w:rsidRPr="00D12A28" w:rsidRDefault="00D12A28" w:rsidP="00D044E6">
            <w:pPr>
              <w:spacing w:line="276" w:lineRule="auto"/>
              <w:rPr>
                <w:rFonts w:ascii="Arial" w:hAnsi="Arial" w:cs="Arial"/>
                <w:b/>
                <w:bCs/>
              </w:rPr>
            </w:pPr>
            <w:r w:rsidRPr="00D12A28">
              <w:rPr>
                <w:rFonts w:ascii="Arial" w:hAnsi="Arial" w:cs="Arial"/>
                <w:b/>
                <w:bCs/>
              </w:rPr>
              <w:t>Left (LP) or Right (RP)</w:t>
            </w:r>
          </w:p>
        </w:tc>
        <w:tc>
          <w:tcPr>
            <w:tcW w:w="3617" w:type="dxa"/>
            <w:shd w:val="clear" w:color="auto" w:fill="D9D9D9" w:themeFill="background1" w:themeFillShade="D9"/>
          </w:tcPr>
          <w:p w14:paraId="0B2DA97C" w14:textId="1894E249" w:rsidR="00D12A28" w:rsidRPr="00D12A28" w:rsidRDefault="00710475" w:rsidP="00D044E6">
            <w:pPr>
              <w:spacing w:line="276" w:lineRule="auto"/>
              <w:rPr>
                <w:rFonts w:ascii="Arial" w:hAnsi="Arial" w:cs="Arial"/>
                <w:b/>
                <w:bCs/>
              </w:rPr>
            </w:pPr>
            <w:r w:rsidRPr="00130702">
              <w:rPr>
                <w:rFonts w:ascii="Arial" w:hAnsi="Arial" w:cs="Arial"/>
                <w:b/>
                <w:bCs/>
              </w:rPr>
              <w:t>Primer</w:t>
            </w:r>
            <w:r>
              <w:rPr>
                <w:rFonts w:ascii="Arial" w:hAnsi="Arial" w:cs="Arial"/>
                <w:b/>
                <w:bCs/>
              </w:rPr>
              <w:t xml:space="preserve"> s</w:t>
            </w:r>
            <w:r w:rsidR="00D12A28" w:rsidRPr="00D12A28">
              <w:rPr>
                <w:rFonts w:ascii="Arial" w:hAnsi="Arial" w:cs="Arial"/>
                <w:b/>
                <w:bCs/>
              </w:rPr>
              <w:t>equence</w:t>
            </w:r>
          </w:p>
        </w:tc>
      </w:tr>
      <w:tr w:rsidR="00D12A28" w14:paraId="3197907A" w14:textId="77777777" w:rsidTr="00D12A28">
        <w:tc>
          <w:tcPr>
            <w:tcW w:w="1048" w:type="dxa"/>
          </w:tcPr>
          <w:p w14:paraId="2EF7B1E7"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PDR4</w:t>
            </w:r>
          </w:p>
        </w:tc>
        <w:tc>
          <w:tcPr>
            <w:tcW w:w="2418" w:type="dxa"/>
          </w:tcPr>
          <w:p w14:paraId="6F70BDDC"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SALK_046007.30.30.x</w:t>
            </w:r>
          </w:p>
        </w:tc>
        <w:tc>
          <w:tcPr>
            <w:tcW w:w="1276" w:type="dxa"/>
          </w:tcPr>
          <w:p w14:paraId="5330A40C"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LP</w:t>
            </w:r>
          </w:p>
        </w:tc>
        <w:tc>
          <w:tcPr>
            <w:tcW w:w="3617" w:type="dxa"/>
          </w:tcPr>
          <w:p w14:paraId="0C123568"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 xml:space="preserve">TTCCGTTTTCGGTTTAGTTCC  </w:t>
            </w:r>
          </w:p>
        </w:tc>
      </w:tr>
      <w:tr w:rsidR="00D12A28" w14:paraId="44331D57" w14:textId="77777777" w:rsidTr="00D12A28">
        <w:tc>
          <w:tcPr>
            <w:tcW w:w="1048" w:type="dxa"/>
          </w:tcPr>
          <w:p w14:paraId="1E8E6CEB"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PDR4</w:t>
            </w:r>
          </w:p>
        </w:tc>
        <w:tc>
          <w:tcPr>
            <w:tcW w:w="2418" w:type="dxa"/>
          </w:tcPr>
          <w:p w14:paraId="58F5299E"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SALK_046007.30.30.x</w:t>
            </w:r>
          </w:p>
        </w:tc>
        <w:tc>
          <w:tcPr>
            <w:tcW w:w="1276" w:type="dxa"/>
          </w:tcPr>
          <w:p w14:paraId="504A7FB8"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RP</w:t>
            </w:r>
          </w:p>
        </w:tc>
        <w:tc>
          <w:tcPr>
            <w:tcW w:w="3617" w:type="dxa"/>
          </w:tcPr>
          <w:p w14:paraId="55129035"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 xml:space="preserve">TGAATGTTCCTCAACAAACCC  </w:t>
            </w:r>
          </w:p>
        </w:tc>
      </w:tr>
      <w:tr w:rsidR="00D12A28" w14:paraId="7523EB74" w14:textId="77777777" w:rsidTr="00D12A28">
        <w:tc>
          <w:tcPr>
            <w:tcW w:w="1048" w:type="dxa"/>
          </w:tcPr>
          <w:p w14:paraId="77F97582"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PDR4</w:t>
            </w:r>
          </w:p>
        </w:tc>
        <w:tc>
          <w:tcPr>
            <w:tcW w:w="2418" w:type="dxa"/>
          </w:tcPr>
          <w:p w14:paraId="381DF370"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 xml:space="preserve">SALK_113678.15.75.x  </w:t>
            </w:r>
          </w:p>
        </w:tc>
        <w:tc>
          <w:tcPr>
            <w:tcW w:w="1276" w:type="dxa"/>
          </w:tcPr>
          <w:p w14:paraId="7010E939"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LP</w:t>
            </w:r>
          </w:p>
        </w:tc>
        <w:tc>
          <w:tcPr>
            <w:tcW w:w="3617" w:type="dxa"/>
          </w:tcPr>
          <w:p w14:paraId="53D0323B"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TTTCCGTTCATATCCAACTGG</w:t>
            </w:r>
          </w:p>
        </w:tc>
      </w:tr>
      <w:tr w:rsidR="00D12A28" w14:paraId="7F50DB0B" w14:textId="77777777" w:rsidTr="00D12A28">
        <w:tc>
          <w:tcPr>
            <w:tcW w:w="1048" w:type="dxa"/>
          </w:tcPr>
          <w:p w14:paraId="7E0CC22A"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PDR4</w:t>
            </w:r>
          </w:p>
        </w:tc>
        <w:tc>
          <w:tcPr>
            <w:tcW w:w="2418" w:type="dxa"/>
          </w:tcPr>
          <w:p w14:paraId="4A81BD5E"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 xml:space="preserve">SALK_113678.15.75.x  </w:t>
            </w:r>
          </w:p>
        </w:tc>
        <w:tc>
          <w:tcPr>
            <w:tcW w:w="1276" w:type="dxa"/>
          </w:tcPr>
          <w:p w14:paraId="6E4A9F94"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RP</w:t>
            </w:r>
          </w:p>
        </w:tc>
        <w:tc>
          <w:tcPr>
            <w:tcW w:w="3617" w:type="dxa"/>
          </w:tcPr>
          <w:p w14:paraId="3FD8E834"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 xml:space="preserve">GAAGCTGCGTTTTGAGCATAC  </w:t>
            </w:r>
          </w:p>
        </w:tc>
      </w:tr>
      <w:tr w:rsidR="00D12A28" w14:paraId="538D649C" w14:textId="77777777" w:rsidTr="00D12A28">
        <w:tc>
          <w:tcPr>
            <w:tcW w:w="1048" w:type="dxa"/>
          </w:tcPr>
          <w:p w14:paraId="5BF03220"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PDR6</w:t>
            </w:r>
          </w:p>
        </w:tc>
        <w:tc>
          <w:tcPr>
            <w:tcW w:w="2418" w:type="dxa"/>
          </w:tcPr>
          <w:p w14:paraId="28BFDCA7"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SAIL_5_G10</w:t>
            </w:r>
          </w:p>
        </w:tc>
        <w:tc>
          <w:tcPr>
            <w:tcW w:w="1276" w:type="dxa"/>
          </w:tcPr>
          <w:p w14:paraId="6380C324"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LP</w:t>
            </w:r>
          </w:p>
        </w:tc>
        <w:tc>
          <w:tcPr>
            <w:tcW w:w="3617" w:type="dxa"/>
          </w:tcPr>
          <w:p w14:paraId="5DCB1910"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 xml:space="preserve">GGAGAAATGACTGTGCGAGAG  </w:t>
            </w:r>
          </w:p>
        </w:tc>
      </w:tr>
      <w:tr w:rsidR="00D12A28" w14:paraId="0B855656" w14:textId="77777777" w:rsidTr="00D12A28">
        <w:tc>
          <w:tcPr>
            <w:tcW w:w="1048" w:type="dxa"/>
          </w:tcPr>
          <w:p w14:paraId="7259A0CA"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PDR6</w:t>
            </w:r>
          </w:p>
        </w:tc>
        <w:tc>
          <w:tcPr>
            <w:tcW w:w="2418" w:type="dxa"/>
          </w:tcPr>
          <w:p w14:paraId="737A69B4"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SAIL_5_G10</w:t>
            </w:r>
          </w:p>
        </w:tc>
        <w:tc>
          <w:tcPr>
            <w:tcW w:w="1276" w:type="dxa"/>
          </w:tcPr>
          <w:p w14:paraId="3A361634"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RP</w:t>
            </w:r>
          </w:p>
        </w:tc>
        <w:tc>
          <w:tcPr>
            <w:tcW w:w="3617" w:type="dxa"/>
          </w:tcPr>
          <w:p w14:paraId="47FE8D73"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GAAGCCTCATCACTGTGAAGG</w:t>
            </w:r>
          </w:p>
        </w:tc>
      </w:tr>
      <w:tr w:rsidR="00D12A28" w14:paraId="1C0AB0A5" w14:textId="77777777" w:rsidTr="00D12A28">
        <w:tc>
          <w:tcPr>
            <w:tcW w:w="1048" w:type="dxa"/>
          </w:tcPr>
          <w:p w14:paraId="154DE7C1"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PDR10</w:t>
            </w:r>
          </w:p>
        </w:tc>
        <w:tc>
          <w:tcPr>
            <w:tcW w:w="2418" w:type="dxa"/>
          </w:tcPr>
          <w:p w14:paraId="68C087AA"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SALK_118823.23.95.x</w:t>
            </w:r>
          </w:p>
        </w:tc>
        <w:tc>
          <w:tcPr>
            <w:tcW w:w="1276" w:type="dxa"/>
          </w:tcPr>
          <w:p w14:paraId="3D217992"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LP</w:t>
            </w:r>
          </w:p>
        </w:tc>
        <w:tc>
          <w:tcPr>
            <w:tcW w:w="3617" w:type="dxa"/>
          </w:tcPr>
          <w:p w14:paraId="4841B6B2"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TGGCAATTATTGATGAATATCAAAC</w:t>
            </w:r>
          </w:p>
        </w:tc>
      </w:tr>
      <w:tr w:rsidR="00D12A28" w14:paraId="0569535A" w14:textId="77777777" w:rsidTr="00D12A28">
        <w:tc>
          <w:tcPr>
            <w:tcW w:w="1048" w:type="dxa"/>
          </w:tcPr>
          <w:p w14:paraId="61276595"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PDR10</w:t>
            </w:r>
          </w:p>
        </w:tc>
        <w:tc>
          <w:tcPr>
            <w:tcW w:w="2418" w:type="dxa"/>
          </w:tcPr>
          <w:p w14:paraId="3F70F572"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SALK_118823.23.95.x</w:t>
            </w:r>
          </w:p>
        </w:tc>
        <w:tc>
          <w:tcPr>
            <w:tcW w:w="1276" w:type="dxa"/>
          </w:tcPr>
          <w:p w14:paraId="6B84FAF7"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RP</w:t>
            </w:r>
          </w:p>
        </w:tc>
        <w:tc>
          <w:tcPr>
            <w:tcW w:w="3617" w:type="dxa"/>
          </w:tcPr>
          <w:p w14:paraId="679CCCCA"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CTGAAACGTCGTCGAGCTATC</w:t>
            </w:r>
          </w:p>
        </w:tc>
      </w:tr>
      <w:tr w:rsidR="00D12A28" w14:paraId="71A3CCA5" w14:textId="77777777" w:rsidTr="00D12A28">
        <w:tc>
          <w:tcPr>
            <w:tcW w:w="1048" w:type="dxa"/>
          </w:tcPr>
          <w:p w14:paraId="34AF61BD"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PDR11</w:t>
            </w:r>
          </w:p>
        </w:tc>
        <w:tc>
          <w:tcPr>
            <w:tcW w:w="2418" w:type="dxa"/>
          </w:tcPr>
          <w:p w14:paraId="4745526C"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WiscDsLox419G06</w:t>
            </w:r>
          </w:p>
        </w:tc>
        <w:tc>
          <w:tcPr>
            <w:tcW w:w="1276" w:type="dxa"/>
          </w:tcPr>
          <w:p w14:paraId="4977CD01"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LP</w:t>
            </w:r>
          </w:p>
        </w:tc>
        <w:tc>
          <w:tcPr>
            <w:tcW w:w="3617" w:type="dxa"/>
          </w:tcPr>
          <w:p w14:paraId="14007C0D"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 xml:space="preserve">ATCTGCCGCATTTAAACAACC  </w:t>
            </w:r>
          </w:p>
        </w:tc>
      </w:tr>
      <w:tr w:rsidR="00D12A28" w14:paraId="32C3B423" w14:textId="77777777" w:rsidTr="00D12A28">
        <w:tc>
          <w:tcPr>
            <w:tcW w:w="1048" w:type="dxa"/>
          </w:tcPr>
          <w:p w14:paraId="33EED28C"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PDR11</w:t>
            </w:r>
          </w:p>
        </w:tc>
        <w:tc>
          <w:tcPr>
            <w:tcW w:w="2418" w:type="dxa"/>
          </w:tcPr>
          <w:p w14:paraId="6C102165"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WiscDsLox419G06</w:t>
            </w:r>
          </w:p>
        </w:tc>
        <w:tc>
          <w:tcPr>
            <w:tcW w:w="1276" w:type="dxa"/>
          </w:tcPr>
          <w:p w14:paraId="41DE060B"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RP</w:t>
            </w:r>
          </w:p>
        </w:tc>
        <w:tc>
          <w:tcPr>
            <w:tcW w:w="3617" w:type="dxa"/>
          </w:tcPr>
          <w:p w14:paraId="7D9AB2A1"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 xml:space="preserve">ATCTGCCGCATTTAAACAACC  </w:t>
            </w:r>
          </w:p>
        </w:tc>
      </w:tr>
      <w:tr w:rsidR="00D12A28" w14:paraId="47CB9AC4" w14:textId="77777777" w:rsidTr="00D12A28">
        <w:tc>
          <w:tcPr>
            <w:tcW w:w="1048" w:type="dxa"/>
          </w:tcPr>
          <w:p w14:paraId="18E2810D"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PDR12</w:t>
            </w:r>
          </w:p>
        </w:tc>
        <w:tc>
          <w:tcPr>
            <w:tcW w:w="2418" w:type="dxa"/>
          </w:tcPr>
          <w:p w14:paraId="447D9D80"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 xml:space="preserve">SAIL_885_E09  </w:t>
            </w:r>
          </w:p>
        </w:tc>
        <w:tc>
          <w:tcPr>
            <w:tcW w:w="1276" w:type="dxa"/>
          </w:tcPr>
          <w:p w14:paraId="220FFFCF"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LP</w:t>
            </w:r>
          </w:p>
        </w:tc>
        <w:tc>
          <w:tcPr>
            <w:tcW w:w="3617" w:type="dxa"/>
          </w:tcPr>
          <w:p w14:paraId="5AD5668A"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TCCTGGTTTCTTGTTGGTTTG</w:t>
            </w:r>
          </w:p>
        </w:tc>
      </w:tr>
      <w:tr w:rsidR="00D12A28" w14:paraId="18C7628A" w14:textId="77777777" w:rsidTr="00D12A28">
        <w:tc>
          <w:tcPr>
            <w:tcW w:w="1048" w:type="dxa"/>
          </w:tcPr>
          <w:p w14:paraId="68FD3ADA"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PDR12</w:t>
            </w:r>
          </w:p>
        </w:tc>
        <w:tc>
          <w:tcPr>
            <w:tcW w:w="2418" w:type="dxa"/>
          </w:tcPr>
          <w:p w14:paraId="55C79B61"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 xml:space="preserve">SAIL_885_E09  </w:t>
            </w:r>
          </w:p>
        </w:tc>
        <w:tc>
          <w:tcPr>
            <w:tcW w:w="1276" w:type="dxa"/>
          </w:tcPr>
          <w:p w14:paraId="65A0BE70"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RP</w:t>
            </w:r>
          </w:p>
        </w:tc>
        <w:tc>
          <w:tcPr>
            <w:tcW w:w="3617" w:type="dxa"/>
          </w:tcPr>
          <w:p w14:paraId="62B6C599" w14:textId="77777777" w:rsidR="00D12A28" w:rsidRPr="00D12A28" w:rsidRDefault="00D12A28" w:rsidP="00D044E6">
            <w:pPr>
              <w:spacing w:line="276" w:lineRule="auto"/>
              <w:rPr>
                <w:rFonts w:ascii="Arial" w:hAnsi="Arial" w:cs="Arial"/>
                <w:sz w:val="22"/>
                <w:szCs w:val="20"/>
              </w:rPr>
            </w:pPr>
            <w:r w:rsidRPr="00D12A28">
              <w:rPr>
                <w:rFonts w:ascii="Arial" w:hAnsi="Arial" w:cs="Arial"/>
                <w:sz w:val="22"/>
                <w:szCs w:val="20"/>
              </w:rPr>
              <w:t>TCCTGGTTTCTTGTTGGTTTG</w:t>
            </w:r>
          </w:p>
        </w:tc>
      </w:tr>
    </w:tbl>
    <w:p w14:paraId="44708B28" w14:textId="1B2B89B5" w:rsidR="00D12A28" w:rsidRDefault="00D12A28" w:rsidP="00D14A42">
      <w:pPr>
        <w:pStyle w:val="Caption"/>
      </w:pPr>
      <w:bookmarkStart w:id="74" w:name="_Toc146657535"/>
      <w:bookmarkStart w:id="75" w:name="_Toc154331519"/>
      <w:r>
        <w:t xml:space="preserve">Table </w:t>
      </w:r>
      <w:fldSimple w:instr=" STYLEREF 1 \s ">
        <w:r w:rsidR="004B7F70">
          <w:rPr>
            <w:noProof/>
          </w:rPr>
          <w:t>2</w:t>
        </w:r>
      </w:fldSimple>
      <w:r w:rsidR="00646450">
        <w:t>.</w:t>
      </w:r>
      <w:fldSimple w:instr=" SEQ Table \* ARABIC \s 1 ">
        <w:r w:rsidR="004B7F70">
          <w:rPr>
            <w:noProof/>
          </w:rPr>
          <w:t>5</w:t>
        </w:r>
      </w:fldSimple>
      <w:r>
        <w:t xml:space="preserve"> </w:t>
      </w:r>
      <w:r w:rsidRPr="00466006">
        <w:rPr>
          <w:i/>
          <w:iCs/>
        </w:rPr>
        <w:t>Arabidopsis thaliana</w:t>
      </w:r>
      <w:r>
        <w:t xml:space="preserve"> PDR genotyping primers</w:t>
      </w:r>
      <w:bookmarkEnd w:id="74"/>
      <w:bookmarkEnd w:id="75"/>
    </w:p>
    <w:p w14:paraId="2A3F09EC" w14:textId="35E84FD7" w:rsidR="00D12A28" w:rsidRDefault="00D12A28" w:rsidP="00D12A28">
      <w:pPr>
        <w:pStyle w:val="Description"/>
      </w:pPr>
      <w:r>
        <w:t>All primer sequences sourced from Signal Salk T-DNA express, and primers ordered from IDT.</w:t>
      </w:r>
    </w:p>
    <w:tbl>
      <w:tblPr>
        <w:tblStyle w:val="TableGrid"/>
        <w:tblpPr w:leftFromText="180" w:rightFromText="180" w:vertAnchor="text" w:horzAnchor="margin" w:tblpY="-143"/>
        <w:tblW w:w="0" w:type="auto"/>
        <w:tblLook w:val="04A0" w:firstRow="1" w:lastRow="0" w:firstColumn="1" w:lastColumn="0" w:noHBand="0" w:noVBand="1"/>
      </w:tblPr>
      <w:tblGrid>
        <w:gridCol w:w="2123"/>
        <w:gridCol w:w="991"/>
        <w:gridCol w:w="1701"/>
        <w:gridCol w:w="1417"/>
      </w:tblGrid>
      <w:tr w:rsidR="00C74559" w14:paraId="62C4394F" w14:textId="77777777" w:rsidTr="00C74559">
        <w:tc>
          <w:tcPr>
            <w:tcW w:w="2123" w:type="dxa"/>
            <w:shd w:val="clear" w:color="auto" w:fill="D9D9D9" w:themeFill="background1" w:themeFillShade="D9"/>
          </w:tcPr>
          <w:p w14:paraId="7567E324" w14:textId="77777777" w:rsidR="00C74559" w:rsidRPr="00D12A28" w:rsidRDefault="00C74559" w:rsidP="00C74559">
            <w:pPr>
              <w:spacing w:line="240" w:lineRule="auto"/>
              <w:rPr>
                <w:rFonts w:ascii="Arial" w:hAnsi="Arial" w:cs="Arial"/>
                <w:b/>
                <w:bCs/>
              </w:rPr>
            </w:pPr>
            <w:r w:rsidRPr="00D12A28">
              <w:rPr>
                <w:rFonts w:ascii="Arial" w:hAnsi="Arial" w:cs="Arial"/>
                <w:b/>
                <w:bCs/>
              </w:rPr>
              <w:lastRenderedPageBreak/>
              <w:t>Step</w:t>
            </w:r>
          </w:p>
        </w:tc>
        <w:tc>
          <w:tcPr>
            <w:tcW w:w="991" w:type="dxa"/>
            <w:shd w:val="clear" w:color="auto" w:fill="D9D9D9" w:themeFill="background1" w:themeFillShade="D9"/>
          </w:tcPr>
          <w:p w14:paraId="2D81C701" w14:textId="77777777" w:rsidR="00C74559" w:rsidRPr="00D12A28" w:rsidRDefault="00C74559" w:rsidP="00C74559">
            <w:pPr>
              <w:spacing w:line="240" w:lineRule="auto"/>
              <w:rPr>
                <w:rFonts w:ascii="Arial" w:hAnsi="Arial" w:cs="Arial"/>
                <w:b/>
                <w:bCs/>
              </w:rPr>
            </w:pPr>
            <w:r w:rsidRPr="00D12A28">
              <w:rPr>
                <w:rFonts w:ascii="Arial" w:hAnsi="Arial" w:cs="Arial"/>
                <w:b/>
                <w:bCs/>
              </w:rPr>
              <w:t>Cycles</w:t>
            </w:r>
          </w:p>
        </w:tc>
        <w:tc>
          <w:tcPr>
            <w:tcW w:w="1701" w:type="dxa"/>
            <w:shd w:val="clear" w:color="auto" w:fill="D9D9D9" w:themeFill="background1" w:themeFillShade="D9"/>
          </w:tcPr>
          <w:p w14:paraId="66BC2CA1" w14:textId="77777777" w:rsidR="00C74559" w:rsidRPr="00D12A28" w:rsidRDefault="00C74559" w:rsidP="00C74559">
            <w:pPr>
              <w:spacing w:line="240" w:lineRule="auto"/>
              <w:rPr>
                <w:rFonts w:ascii="Arial" w:hAnsi="Arial" w:cs="Arial"/>
                <w:b/>
                <w:bCs/>
              </w:rPr>
            </w:pPr>
            <w:r w:rsidRPr="00D12A28">
              <w:rPr>
                <w:rFonts w:ascii="Arial" w:hAnsi="Arial" w:cs="Arial"/>
                <w:b/>
                <w:bCs/>
              </w:rPr>
              <w:t>Temperature (°C)</w:t>
            </w:r>
          </w:p>
        </w:tc>
        <w:tc>
          <w:tcPr>
            <w:tcW w:w="1417" w:type="dxa"/>
            <w:shd w:val="clear" w:color="auto" w:fill="D9D9D9" w:themeFill="background1" w:themeFillShade="D9"/>
          </w:tcPr>
          <w:p w14:paraId="5C091053" w14:textId="77777777" w:rsidR="00C74559" w:rsidRPr="00D12A28" w:rsidRDefault="00C74559" w:rsidP="00C74559">
            <w:pPr>
              <w:spacing w:line="240" w:lineRule="auto"/>
              <w:rPr>
                <w:rFonts w:ascii="Arial" w:hAnsi="Arial" w:cs="Arial"/>
                <w:b/>
                <w:bCs/>
              </w:rPr>
            </w:pPr>
            <w:r w:rsidRPr="00D12A28">
              <w:rPr>
                <w:rFonts w:ascii="Arial" w:hAnsi="Arial" w:cs="Arial"/>
                <w:b/>
                <w:bCs/>
              </w:rPr>
              <w:t>Time</w:t>
            </w:r>
          </w:p>
        </w:tc>
      </w:tr>
      <w:tr w:rsidR="00C74559" w14:paraId="2F9BCC0C" w14:textId="77777777" w:rsidTr="00C74559">
        <w:tc>
          <w:tcPr>
            <w:tcW w:w="2123" w:type="dxa"/>
          </w:tcPr>
          <w:p w14:paraId="1CD780E4" w14:textId="77777777" w:rsidR="00C74559" w:rsidRPr="00D12A28" w:rsidRDefault="00C74559" w:rsidP="00C74559">
            <w:pPr>
              <w:spacing w:line="240" w:lineRule="auto"/>
              <w:rPr>
                <w:rFonts w:ascii="Arial" w:hAnsi="Arial" w:cs="Arial"/>
                <w:sz w:val="22"/>
                <w:szCs w:val="20"/>
              </w:rPr>
            </w:pPr>
            <w:r w:rsidRPr="00D12A28">
              <w:rPr>
                <w:rFonts w:ascii="Arial" w:hAnsi="Arial" w:cs="Arial"/>
                <w:sz w:val="22"/>
                <w:szCs w:val="20"/>
              </w:rPr>
              <w:t>Initial denaturation</w:t>
            </w:r>
          </w:p>
        </w:tc>
        <w:tc>
          <w:tcPr>
            <w:tcW w:w="991" w:type="dxa"/>
            <w:vAlign w:val="center"/>
          </w:tcPr>
          <w:p w14:paraId="1278619B" w14:textId="77777777" w:rsidR="00C74559" w:rsidRPr="00D12A28" w:rsidRDefault="00C74559" w:rsidP="00C74559">
            <w:pPr>
              <w:spacing w:line="240" w:lineRule="auto"/>
              <w:jc w:val="center"/>
              <w:rPr>
                <w:rFonts w:ascii="Arial" w:hAnsi="Arial" w:cs="Arial"/>
                <w:sz w:val="22"/>
                <w:szCs w:val="20"/>
              </w:rPr>
            </w:pPr>
            <w:r w:rsidRPr="00D12A28">
              <w:rPr>
                <w:rFonts w:ascii="Arial" w:hAnsi="Arial" w:cs="Arial"/>
                <w:sz w:val="22"/>
                <w:szCs w:val="20"/>
              </w:rPr>
              <w:t>1</w:t>
            </w:r>
          </w:p>
        </w:tc>
        <w:tc>
          <w:tcPr>
            <w:tcW w:w="1701" w:type="dxa"/>
          </w:tcPr>
          <w:p w14:paraId="2F452252" w14:textId="77777777" w:rsidR="00C74559" w:rsidRPr="00D12A28" w:rsidRDefault="00C74559" w:rsidP="00C74559">
            <w:pPr>
              <w:spacing w:line="240" w:lineRule="auto"/>
              <w:rPr>
                <w:rFonts w:ascii="Arial" w:hAnsi="Arial" w:cs="Arial"/>
                <w:sz w:val="22"/>
                <w:szCs w:val="20"/>
              </w:rPr>
            </w:pPr>
            <w:r w:rsidRPr="00D12A28">
              <w:rPr>
                <w:rFonts w:ascii="Arial" w:hAnsi="Arial" w:cs="Arial"/>
                <w:sz w:val="22"/>
                <w:szCs w:val="20"/>
              </w:rPr>
              <w:t>95</w:t>
            </w:r>
          </w:p>
        </w:tc>
        <w:tc>
          <w:tcPr>
            <w:tcW w:w="1417" w:type="dxa"/>
          </w:tcPr>
          <w:p w14:paraId="0A42614F" w14:textId="77777777" w:rsidR="00C74559" w:rsidRPr="00D12A28" w:rsidRDefault="00C74559" w:rsidP="00C74559">
            <w:pPr>
              <w:spacing w:line="240" w:lineRule="auto"/>
              <w:rPr>
                <w:rFonts w:ascii="Arial" w:hAnsi="Arial" w:cs="Arial"/>
                <w:sz w:val="22"/>
                <w:szCs w:val="20"/>
              </w:rPr>
            </w:pPr>
            <w:r w:rsidRPr="00D12A28">
              <w:rPr>
                <w:rFonts w:ascii="Arial" w:hAnsi="Arial" w:cs="Arial"/>
                <w:sz w:val="22"/>
                <w:szCs w:val="20"/>
              </w:rPr>
              <w:t>2 minutes</w:t>
            </w:r>
          </w:p>
        </w:tc>
      </w:tr>
      <w:tr w:rsidR="00C74559" w14:paraId="06656296" w14:textId="77777777" w:rsidTr="00C74559">
        <w:tc>
          <w:tcPr>
            <w:tcW w:w="2123" w:type="dxa"/>
          </w:tcPr>
          <w:p w14:paraId="06EFB29E" w14:textId="77777777" w:rsidR="00C74559" w:rsidRPr="00D12A28" w:rsidRDefault="00C74559" w:rsidP="00C74559">
            <w:pPr>
              <w:spacing w:line="240" w:lineRule="auto"/>
              <w:rPr>
                <w:rFonts w:ascii="Arial" w:hAnsi="Arial" w:cs="Arial"/>
                <w:sz w:val="22"/>
                <w:szCs w:val="20"/>
              </w:rPr>
            </w:pPr>
            <w:r w:rsidRPr="00D12A28">
              <w:rPr>
                <w:rFonts w:ascii="Arial" w:hAnsi="Arial" w:cs="Arial"/>
                <w:sz w:val="22"/>
                <w:szCs w:val="20"/>
              </w:rPr>
              <w:t>Denaturation</w:t>
            </w:r>
          </w:p>
        </w:tc>
        <w:tc>
          <w:tcPr>
            <w:tcW w:w="991" w:type="dxa"/>
            <w:vMerge w:val="restart"/>
            <w:vAlign w:val="center"/>
          </w:tcPr>
          <w:p w14:paraId="34A40B1A" w14:textId="77777777" w:rsidR="00C74559" w:rsidRPr="00D12A28" w:rsidRDefault="00C74559" w:rsidP="00C74559">
            <w:pPr>
              <w:spacing w:line="240" w:lineRule="auto"/>
              <w:jc w:val="center"/>
              <w:rPr>
                <w:rFonts w:ascii="Arial" w:hAnsi="Arial" w:cs="Arial"/>
                <w:sz w:val="22"/>
                <w:szCs w:val="20"/>
              </w:rPr>
            </w:pPr>
            <w:r w:rsidRPr="00D12A28">
              <w:rPr>
                <w:rFonts w:ascii="Arial" w:hAnsi="Arial" w:cs="Arial"/>
                <w:sz w:val="22"/>
                <w:szCs w:val="20"/>
              </w:rPr>
              <w:t>30</w:t>
            </w:r>
          </w:p>
        </w:tc>
        <w:tc>
          <w:tcPr>
            <w:tcW w:w="1701" w:type="dxa"/>
          </w:tcPr>
          <w:p w14:paraId="144AA4A9" w14:textId="77777777" w:rsidR="00C74559" w:rsidRPr="00D12A28" w:rsidRDefault="00C74559" w:rsidP="00C74559">
            <w:pPr>
              <w:spacing w:line="240" w:lineRule="auto"/>
              <w:rPr>
                <w:rFonts w:ascii="Arial" w:hAnsi="Arial" w:cs="Arial"/>
                <w:sz w:val="22"/>
                <w:szCs w:val="20"/>
              </w:rPr>
            </w:pPr>
            <w:r w:rsidRPr="00D12A28">
              <w:rPr>
                <w:rFonts w:ascii="Arial" w:hAnsi="Arial" w:cs="Arial"/>
                <w:sz w:val="22"/>
                <w:szCs w:val="20"/>
              </w:rPr>
              <w:t>95</w:t>
            </w:r>
          </w:p>
        </w:tc>
        <w:tc>
          <w:tcPr>
            <w:tcW w:w="1417" w:type="dxa"/>
          </w:tcPr>
          <w:p w14:paraId="0E9BB46D" w14:textId="77777777" w:rsidR="00C74559" w:rsidRPr="00D12A28" w:rsidRDefault="00C74559" w:rsidP="00C74559">
            <w:pPr>
              <w:spacing w:line="240" w:lineRule="auto"/>
              <w:rPr>
                <w:rFonts w:ascii="Arial" w:hAnsi="Arial" w:cs="Arial"/>
                <w:sz w:val="22"/>
                <w:szCs w:val="20"/>
              </w:rPr>
            </w:pPr>
            <w:r w:rsidRPr="00D12A28">
              <w:rPr>
                <w:rFonts w:ascii="Arial" w:hAnsi="Arial" w:cs="Arial"/>
                <w:sz w:val="22"/>
                <w:szCs w:val="20"/>
              </w:rPr>
              <w:t>30 seconds</w:t>
            </w:r>
          </w:p>
        </w:tc>
      </w:tr>
      <w:tr w:rsidR="00C74559" w14:paraId="119FB696" w14:textId="77777777" w:rsidTr="00C74559">
        <w:tc>
          <w:tcPr>
            <w:tcW w:w="2123" w:type="dxa"/>
          </w:tcPr>
          <w:p w14:paraId="7A83D5AD" w14:textId="77777777" w:rsidR="00C74559" w:rsidRPr="00D12A28" w:rsidRDefault="00C74559" w:rsidP="00C74559">
            <w:pPr>
              <w:spacing w:line="240" w:lineRule="auto"/>
              <w:rPr>
                <w:rFonts w:ascii="Arial" w:hAnsi="Arial" w:cs="Arial"/>
                <w:sz w:val="22"/>
                <w:szCs w:val="20"/>
              </w:rPr>
            </w:pPr>
            <w:r w:rsidRPr="00D12A28">
              <w:rPr>
                <w:rFonts w:ascii="Arial" w:hAnsi="Arial" w:cs="Arial"/>
                <w:sz w:val="22"/>
                <w:szCs w:val="20"/>
              </w:rPr>
              <w:t>Annealing</w:t>
            </w:r>
          </w:p>
        </w:tc>
        <w:tc>
          <w:tcPr>
            <w:tcW w:w="991" w:type="dxa"/>
            <w:vMerge/>
          </w:tcPr>
          <w:p w14:paraId="2EA94F1A" w14:textId="77777777" w:rsidR="00C74559" w:rsidRPr="00D12A28" w:rsidRDefault="00C74559" w:rsidP="00C74559">
            <w:pPr>
              <w:spacing w:line="240" w:lineRule="auto"/>
              <w:rPr>
                <w:rFonts w:ascii="Arial" w:hAnsi="Arial" w:cs="Arial"/>
                <w:sz w:val="22"/>
                <w:szCs w:val="20"/>
              </w:rPr>
            </w:pPr>
          </w:p>
        </w:tc>
        <w:tc>
          <w:tcPr>
            <w:tcW w:w="1701" w:type="dxa"/>
          </w:tcPr>
          <w:p w14:paraId="304C58A9" w14:textId="77777777" w:rsidR="00C74559" w:rsidRPr="00D12A28" w:rsidRDefault="00C74559" w:rsidP="00C74559">
            <w:pPr>
              <w:spacing w:line="240" w:lineRule="auto"/>
              <w:rPr>
                <w:rFonts w:ascii="Arial" w:hAnsi="Arial" w:cs="Arial"/>
                <w:sz w:val="22"/>
                <w:szCs w:val="20"/>
              </w:rPr>
            </w:pPr>
            <w:r w:rsidRPr="00D12A28">
              <w:rPr>
                <w:rFonts w:ascii="Arial" w:hAnsi="Arial" w:cs="Arial"/>
                <w:sz w:val="22"/>
                <w:szCs w:val="20"/>
              </w:rPr>
              <w:t>Variable</w:t>
            </w:r>
          </w:p>
        </w:tc>
        <w:tc>
          <w:tcPr>
            <w:tcW w:w="1417" w:type="dxa"/>
          </w:tcPr>
          <w:p w14:paraId="7BF2186B" w14:textId="77777777" w:rsidR="00C74559" w:rsidRPr="00D12A28" w:rsidRDefault="00C74559" w:rsidP="00C74559">
            <w:pPr>
              <w:spacing w:line="240" w:lineRule="auto"/>
              <w:rPr>
                <w:rFonts w:ascii="Arial" w:hAnsi="Arial" w:cs="Arial"/>
                <w:sz w:val="22"/>
                <w:szCs w:val="20"/>
              </w:rPr>
            </w:pPr>
            <w:r w:rsidRPr="00D12A28">
              <w:rPr>
                <w:rFonts w:ascii="Arial" w:hAnsi="Arial" w:cs="Arial"/>
                <w:sz w:val="22"/>
                <w:szCs w:val="20"/>
              </w:rPr>
              <w:t>30 seconds</w:t>
            </w:r>
          </w:p>
        </w:tc>
      </w:tr>
      <w:tr w:rsidR="00C74559" w14:paraId="7CA9E80F" w14:textId="77777777" w:rsidTr="00C74559">
        <w:tc>
          <w:tcPr>
            <w:tcW w:w="2123" w:type="dxa"/>
          </w:tcPr>
          <w:p w14:paraId="372C59C1" w14:textId="77777777" w:rsidR="00C74559" w:rsidRPr="00D12A28" w:rsidRDefault="00C74559" w:rsidP="00C74559">
            <w:pPr>
              <w:spacing w:line="240" w:lineRule="auto"/>
              <w:rPr>
                <w:rFonts w:ascii="Arial" w:hAnsi="Arial" w:cs="Arial"/>
                <w:sz w:val="22"/>
                <w:szCs w:val="20"/>
              </w:rPr>
            </w:pPr>
            <w:r w:rsidRPr="00D12A28">
              <w:rPr>
                <w:rFonts w:ascii="Arial" w:hAnsi="Arial" w:cs="Arial"/>
                <w:sz w:val="22"/>
                <w:szCs w:val="20"/>
              </w:rPr>
              <w:t>Extension</w:t>
            </w:r>
          </w:p>
        </w:tc>
        <w:tc>
          <w:tcPr>
            <w:tcW w:w="991" w:type="dxa"/>
            <w:vMerge/>
          </w:tcPr>
          <w:p w14:paraId="3B7C22F8" w14:textId="77777777" w:rsidR="00C74559" w:rsidRPr="00D12A28" w:rsidRDefault="00C74559" w:rsidP="00C74559">
            <w:pPr>
              <w:spacing w:line="240" w:lineRule="auto"/>
              <w:rPr>
                <w:rFonts w:ascii="Arial" w:hAnsi="Arial" w:cs="Arial"/>
                <w:sz w:val="22"/>
                <w:szCs w:val="20"/>
              </w:rPr>
            </w:pPr>
          </w:p>
        </w:tc>
        <w:tc>
          <w:tcPr>
            <w:tcW w:w="1701" w:type="dxa"/>
          </w:tcPr>
          <w:p w14:paraId="2456667A" w14:textId="77777777" w:rsidR="00C74559" w:rsidRPr="00D12A28" w:rsidRDefault="00C74559" w:rsidP="00C74559">
            <w:pPr>
              <w:spacing w:line="240" w:lineRule="auto"/>
              <w:rPr>
                <w:rFonts w:ascii="Arial" w:hAnsi="Arial" w:cs="Arial"/>
                <w:sz w:val="22"/>
                <w:szCs w:val="20"/>
              </w:rPr>
            </w:pPr>
            <w:r w:rsidRPr="00D12A28">
              <w:rPr>
                <w:rFonts w:ascii="Arial" w:hAnsi="Arial" w:cs="Arial"/>
                <w:sz w:val="22"/>
                <w:szCs w:val="20"/>
              </w:rPr>
              <w:t>68</w:t>
            </w:r>
          </w:p>
        </w:tc>
        <w:tc>
          <w:tcPr>
            <w:tcW w:w="1417" w:type="dxa"/>
          </w:tcPr>
          <w:p w14:paraId="21A61CC1" w14:textId="77777777" w:rsidR="00C74559" w:rsidRPr="00D12A28" w:rsidRDefault="00C74559" w:rsidP="00C74559">
            <w:pPr>
              <w:spacing w:line="240" w:lineRule="auto"/>
              <w:rPr>
                <w:rFonts w:ascii="Arial" w:hAnsi="Arial" w:cs="Arial"/>
                <w:sz w:val="22"/>
                <w:szCs w:val="20"/>
              </w:rPr>
            </w:pPr>
            <w:r w:rsidRPr="00D12A28">
              <w:rPr>
                <w:rFonts w:ascii="Arial" w:hAnsi="Arial" w:cs="Arial"/>
                <w:sz w:val="22"/>
                <w:szCs w:val="20"/>
              </w:rPr>
              <w:t>30 seconds</w:t>
            </w:r>
          </w:p>
        </w:tc>
      </w:tr>
      <w:tr w:rsidR="00C74559" w14:paraId="2E1644A7" w14:textId="77777777" w:rsidTr="00C74559">
        <w:tc>
          <w:tcPr>
            <w:tcW w:w="2123" w:type="dxa"/>
          </w:tcPr>
          <w:p w14:paraId="1D388063" w14:textId="77777777" w:rsidR="00C74559" w:rsidRPr="00D12A28" w:rsidRDefault="00C74559" w:rsidP="00C74559">
            <w:pPr>
              <w:spacing w:line="240" w:lineRule="auto"/>
              <w:rPr>
                <w:rFonts w:ascii="Arial" w:hAnsi="Arial" w:cs="Arial"/>
                <w:sz w:val="22"/>
                <w:szCs w:val="20"/>
              </w:rPr>
            </w:pPr>
            <w:r w:rsidRPr="00D12A28">
              <w:rPr>
                <w:rFonts w:ascii="Arial" w:hAnsi="Arial" w:cs="Arial"/>
                <w:sz w:val="22"/>
                <w:szCs w:val="20"/>
              </w:rPr>
              <w:t>Final extension</w:t>
            </w:r>
          </w:p>
        </w:tc>
        <w:tc>
          <w:tcPr>
            <w:tcW w:w="991" w:type="dxa"/>
            <w:vAlign w:val="center"/>
          </w:tcPr>
          <w:p w14:paraId="1BA21009" w14:textId="77777777" w:rsidR="00C74559" w:rsidRPr="00D12A28" w:rsidRDefault="00C74559" w:rsidP="00C74559">
            <w:pPr>
              <w:spacing w:line="240" w:lineRule="auto"/>
              <w:jc w:val="center"/>
              <w:rPr>
                <w:rFonts w:ascii="Arial" w:hAnsi="Arial" w:cs="Arial"/>
                <w:sz w:val="22"/>
                <w:szCs w:val="20"/>
              </w:rPr>
            </w:pPr>
            <w:r w:rsidRPr="00D12A28">
              <w:rPr>
                <w:rFonts w:ascii="Arial" w:hAnsi="Arial" w:cs="Arial"/>
                <w:sz w:val="22"/>
                <w:szCs w:val="20"/>
              </w:rPr>
              <w:t>1</w:t>
            </w:r>
          </w:p>
        </w:tc>
        <w:tc>
          <w:tcPr>
            <w:tcW w:w="1701" w:type="dxa"/>
          </w:tcPr>
          <w:p w14:paraId="334DFA58" w14:textId="77777777" w:rsidR="00C74559" w:rsidRPr="00D12A28" w:rsidRDefault="00C74559" w:rsidP="00C74559">
            <w:pPr>
              <w:spacing w:line="240" w:lineRule="auto"/>
              <w:rPr>
                <w:rFonts w:ascii="Arial" w:hAnsi="Arial" w:cs="Arial"/>
                <w:sz w:val="22"/>
                <w:szCs w:val="20"/>
              </w:rPr>
            </w:pPr>
            <w:r w:rsidRPr="00D12A28">
              <w:rPr>
                <w:rFonts w:ascii="Arial" w:hAnsi="Arial" w:cs="Arial"/>
                <w:sz w:val="22"/>
                <w:szCs w:val="20"/>
              </w:rPr>
              <w:t>3</w:t>
            </w:r>
          </w:p>
        </w:tc>
        <w:tc>
          <w:tcPr>
            <w:tcW w:w="1417" w:type="dxa"/>
          </w:tcPr>
          <w:p w14:paraId="5189C9F9" w14:textId="77777777" w:rsidR="00C74559" w:rsidRPr="00D12A28" w:rsidRDefault="00C74559" w:rsidP="00C74559">
            <w:pPr>
              <w:spacing w:line="240" w:lineRule="auto"/>
              <w:rPr>
                <w:rFonts w:ascii="Arial" w:hAnsi="Arial" w:cs="Arial"/>
                <w:sz w:val="22"/>
                <w:szCs w:val="20"/>
              </w:rPr>
            </w:pPr>
            <w:r w:rsidRPr="00D12A28">
              <w:rPr>
                <w:rFonts w:ascii="Arial" w:hAnsi="Arial" w:cs="Arial"/>
                <w:sz w:val="22"/>
                <w:szCs w:val="20"/>
              </w:rPr>
              <w:t>3 minutes</w:t>
            </w:r>
          </w:p>
        </w:tc>
      </w:tr>
    </w:tbl>
    <w:p w14:paraId="1BD5488A" w14:textId="77777777" w:rsidR="00D12A28" w:rsidRDefault="00D12A28" w:rsidP="00D12A28"/>
    <w:p w14:paraId="7042AE62" w14:textId="77777777" w:rsidR="00C74559" w:rsidRDefault="00C74559" w:rsidP="00D12A28">
      <w:pPr>
        <w:pStyle w:val="Caption"/>
        <w:ind w:left="0" w:firstLine="0"/>
      </w:pPr>
      <w:bookmarkStart w:id="76" w:name="_Toc146657536"/>
    </w:p>
    <w:p w14:paraId="3E0843FC" w14:textId="77777777" w:rsidR="00C74559" w:rsidRDefault="00C74559" w:rsidP="00D12A28">
      <w:pPr>
        <w:pStyle w:val="Caption"/>
        <w:ind w:left="0" w:firstLine="0"/>
      </w:pPr>
    </w:p>
    <w:p w14:paraId="4947BC94" w14:textId="77777777" w:rsidR="00C74559" w:rsidRDefault="00C74559" w:rsidP="00D12A28">
      <w:pPr>
        <w:pStyle w:val="Caption"/>
        <w:ind w:left="0" w:firstLine="0"/>
      </w:pPr>
    </w:p>
    <w:p w14:paraId="6D5F4EF8" w14:textId="77777777" w:rsidR="00C74559" w:rsidRDefault="00C74559" w:rsidP="00D12A28">
      <w:pPr>
        <w:pStyle w:val="Caption"/>
        <w:ind w:left="0" w:firstLine="0"/>
      </w:pPr>
    </w:p>
    <w:p w14:paraId="16981EF1" w14:textId="77777777" w:rsidR="00C74559" w:rsidRDefault="00C74559" w:rsidP="00D12A28">
      <w:pPr>
        <w:pStyle w:val="Caption"/>
        <w:ind w:left="0" w:firstLine="0"/>
      </w:pPr>
    </w:p>
    <w:p w14:paraId="4BF30C88" w14:textId="5D5D75EE" w:rsidR="00D12A28" w:rsidRDefault="00D12A28" w:rsidP="00D12A28">
      <w:pPr>
        <w:pStyle w:val="Caption"/>
        <w:ind w:left="0" w:firstLine="0"/>
      </w:pPr>
      <w:bookmarkStart w:id="77" w:name="_Toc154331520"/>
      <w:r>
        <w:t xml:space="preserve">Table </w:t>
      </w:r>
      <w:fldSimple w:instr=" STYLEREF 1 \s ">
        <w:r w:rsidR="004B7F70">
          <w:rPr>
            <w:noProof/>
          </w:rPr>
          <w:t>2</w:t>
        </w:r>
      </w:fldSimple>
      <w:r w:rsidR="00646450">
        <w:t>.</w:t>
      </w:r>
      <w:fldSimple w:instr=" SEQ Table \* ARABIC \s 1 ">
        <w:r w:rsidR="004B7F70">
          <w:rPr>
            <w:noProof/>
          </w:rPr>
          <w:t>6</w:t>
        </w:r>
      </w:fldSimple>
      <w:r>
        <w:t xml:space="preserve"> Example gDNA genotyping volumes for PCR</w:t>
      </w:r>
      <w:bookmarkEnd w:id="76"/>
      <w:bookmarkEnd w:id="77"/>
    </w:p>
    <w:p w14:paraId="4E319F8D" w14:textId="77777777" w:rsidR="00D12A28" w:rsidRDefault="00D12A28" w:rsidP="00D12A28">
      <w:pPr>
        <w:pStyle w:val="Description"/>
      </w:pPr>
    </w:p>
    <w:tbl>
      <w:tblPr>
        <w:tblStyle w:val="TableGrid"/>
        <w:tblpPr w:leftFromText="180" w:rightFromText="180" w:vertAnchor="page" w:horzAnchor="margin" w:tblpY="5219"/>
        <w:tblOverlap w:val="never"/>
        <w:tblW w:w="7225" w:type="dxa"/>
        <w:tblLayout w:type="fixed"/>
        <w:tblLook w:val="04A0" w:firstRow="1" w:lastRow="0" w:firstColumn="1" w:lastColumn="0" w:noHBand="0" w:noVBand="1"/>
      </w:tblPr>
      <w:tblGrid>
        <w:gridCol w:w="5240"/>
        <w:gridCol w:w="1985"/>
      </w:tblGrid>
      <w:tr w:rsidR="009B1B78" w:rsidRPr="00FD4D11" w14:paraId="388D49F3" w14:textId="77777777" w:rsidTr="009B1B78">
        <w:trPr>
          <w:trHeight w:val="416"/>
        </w:trPr>
        <w:tc>
          <w:tcPr>
            <w:tcW w:w="5240" w:type="dxa"/>
            <w:shd w:val="clear" w:color="auto" w:fill="D9D9D9" w:themeFill="background1" w:themeFillShade="D9"/>
          </w:tcPr>
          <w:p w14:paraId="5CE2BB9D" w14:textId="77777777" w:rsidR="009B1B78" w:rsidRPr="00D12A28" w:rsidRDefault="009B1B78" w:rsidP="009B1B78">
            <w:pPr>
              <w:spacing w:line="240" w:lineRule="auto"/>
              <w:rPr>
                <w:rFonts w:ascii="Arial" w:hAnsi="Arial" w:cs="Arial"/>
                <w:b/>
                <w:szCs w:val="20"/>
              </w:rPr>
            </w:pPr>
            <w:r w:rsidRPr="00D12A28">
              <w:rPr>
                <w:rFonts w:ascii="Arial" w:hAnsi="Arial" w:cs="Arial"/>
                <w:b/>
                <w:szCs w:val="20"/>
              </w:rPr>
              <w:t>Reagent</w:t>
            </w:r>
          </w:p>
        </w:tc>
        <w:tc>
          <w:tcPr>
            <w:tcW w:w="1985" w:type="dxa"/>
            <w:shd w:val="clear" w:color="auto" w:fill="D9D9D9" w:themeFill="background1" w:themeFillShade="D9"/>
          </w:tcPr>
          <w:p w14:paraId="0144696E" w14:textId="77777777" w:rsidR="009B1B78" w:rsidRPr="00D12A28" w:rsidRDefault="009B1B78" w:rsidP="009B1B78">
            <w:pPr>
              <w:spacing w:line="240" w:lineRule="auto"/>
              <w:rPr>
                <w:rFonts w:ascii="Arial" w:hAnsi="Arial" w:cs="Arial"/>
                <w:b/>
                <w:szCs w:val="20"/>
              </w:rPr>
            </w:pPr>
            <w:r w:rsidRPr="00D12A28">
              <w:rPr>
                <w:rFonts w:ascii="Arial" w:hAnsi="Arial" w:cs="Arial"/>
                <w:b/>
                <w:szCs w:val="20"/>
              </w:rPr>
              <w:t>Volume (µl)</w:t>
            </w:r>
          </w:p>
        </w:tc>
      </w:tr>
      <w:tr w:rsidR="009B1B78" w:rsidRPr="00FD4D11" w14:paraId="6733519D" w14:textId="77777777" w:rsidTr="009B1B78">
        <w:tc>
          <w:tcPr>
            <w:tcW w:w="5240" w:type="dxa"/>
          </w:tcPr>
          <w:p w14:paraId="1F5AB078" w14:textId="77777777" w:rsidR="009B1B78" w:rsidRPr="00D12A28" w:rsidRDefault="009B1B78" w:rsidP="009B1B78">
            <w:pPr>
              <w:spacing w:line="240" w:lineRule="auto"/>
              <w:rPr>
                <w:rFonts w:ascii="Arial" w:hAnsi="Arial" w:cs="Arial"/>
                <w:sz w:val="22"/>
                <w:szCs w:val="20"/>
              </w:rPr>
            </w:pPr>
            <w:r w:rsidRPr="00D12A28">
              <w:rPr>
                <w:rFonts w:ascii="Arial" w:hAnsi="Arial" w:cs="Arial"/>
                <w:sz w:val="22"/>
                <w:szCs w:val="20"/>
              </w:rPr>
              <w:t>gDNA</w:t>
            </w:r>
          </w:p>
        </w:tc>
        <w:tc>
          <w:tcPr>
            <w:tcW w:w="1985" w:type="dxa"/>
          </w:tcPr>
          <w:p w14:paraId="7530AB94" w14:textId="77777777" w:rsidR="009B1B78" w:rsidRPr="00D12A28" w:rsidRDefault="009B1B78" w:rsidP="009B1B78">
            <w:pPr>
              <w:spacing w:line="240" w:lineRule="auto"/>
              <w:rPr>
                <w:rFonts w:ascii="Arial" w:hAnsi="Arial" w:cs="Arial"/>
                <w:sz w:val="22"/>
                <w:szCs w:val="20"/>
              </w:rPr>
            </w:pPr>
            <w:r w:rsidRPr="00D12A28">
              <w:rPr>
                <w:rFonts w:ascii="Arial" w:hAnsi="Arial" w:cs="Arial"/>
                <w:sz w:val="22"/>
                <w:szCs w:val="20"/>
              </w:rPr>
              <w:t>1</w:t>
            </w:r>
          </w:p>
        </w:tc>
      </w:tr>
      <w:tr w:rsidR="009B1B78" w:rsidRPr="00FD4D11" w14:paraId="397952E8" w14:textId="77777777" w:rsidTr="009B1B78">
        <w:tc>
          <w:tcPr>
            <w:tcW w:w="5240" w:type="dxa"/>
          </w:tcPr>
          <w:p w14:paraId="36CECFD3" w14:textId="77777777" w:rsidR="009B1B78" w:rsidRPr="00D12A28" w:rsidRDefault="009B1B78" w:rsidP="009B1B78">
            <w:pPr>
              <w:spacing w:line="240" w:lineRule="auto"/>
              <w:rPr>
                <w:rFonts w:ascii="Arial" w:hAnsi="Arial" w:cs="Arial"/>
                <w:sz w:val="22"/>
                <w:szCs w:val="20"/>
              </w:rPr>
            </w:pPr>
            <w:r w:rsidRPr="00D12A28">
              <w:rPr>
                <w:rFonts w:ascii="Arial" w:hAnsi="Arial" w:cs="Arial"/>
                <w:sz w:val="22"/>
                <w:szCs w:val="20"/>
              </w:rPr>
              <w:t>Buffer (ThermoPol® Buffer) (NEB)</w:t>
            </w:r>
          </w:p>
        </w:tc>
        <w:tc>
          <w:tcPr>
            <w:tcW w:w="1985" w:type="dxa"/>
          </w:tcPr>
          <w:p w14:paraId="370798AF" w14:textId="77777777" w:rsidR="009B1B78" w:rsidRPr="00D12A28" w:rsidRDefault="009B1B78" w:rsidP="009B1B78">
            <w:pPr>
              <w:spacing w:line="240" w:lineRule="auto"/>
              <w:rPr>
                <w:rFonts w:ascii="Arial" w:hAnsi="Arial" w:cs="Arial"/>
                <w:sz w:val="22"/>
                <w:szCs w:val="20"/>
              </w:rPr>
            </w:pPr>
            <w:r w:rsidRPr="00D12A28">
              <w:rPr>
                <w:rFonts w:ascii="Arial" w:hAnsi="Arial" w:cs="Arial"/>
                <w:sz w:val="22"/>
                <w:szCs w:val="20"/>
              </w:rPr>
              <w:t>2</w:t>
            </w:r>
          </w:p>
        </w:tc>
      </w:tr>
      <w:tr w:rsidR="009B1B78" w:rsidRPr="00FD4D11" w14:paraId="22A3D906" w14:textId="77777777" w:rsidTr="009B1B78">
        <w:tc>
          <w:tcPr>
            <w:tcW w:w="5240" w:type="dxa"/>
          </w:tcPr>
          <w:p w14:paraId="7E6E663E" w14:textId="77777777" w:rsidR="009B1B78" w:rsidRPr="00D12A28" w:rsidRDefault="009B1B78" w:rsidP="009B1B78">
            <w:pPr>
              <w:spacing w:line="240" w:lineRule="auto"/>
              <w:rPr>
                <w:rFonts w:ascii="Arial" w:hAnsi="Arial" w:cs="Arial"/>
                <w:sz w:val="22"/>
                <w:szCs w:val="20"/>
              </w:rPr>
            </w:pPr>
            <w:r w:rsidRPr="00D12A28">
              <w:rPr>
                <w:rFonts w:ascii="Arial" w:hAnsi="Arial" w:cs="Arial"/>
                <w:sz w:val="22"/>
                <w:szCs w:val="20"/>
              </w:rPr>
              <w:t>dNTP (10mM)</w:t>
            </w:r>
          </w:p>
        </w:tc>
        <w:tc>
          <w:tcPr>
            <w:tcW w:w="1985" w:type="dxa"/>
          </w:tcPr>
          <w:p w14:paraId="6C55622A" w14:textId="77777777" w:rsidR="009B1B78" w:rsidRPr="00D12A28" w:rsidRDefault="009B1B78" w:rsidP="009B1B78">
            <w:pPr>
              <w:spacing w:line="240" w:lineRule="auto"/>
              <w:rPr>
                <w:rFonts w:ascii="Arial" w:hAnsi="Arial" w:cs="Arial"/>
                <w:sz w:val="22"/>
                <w:szCs w:val="20"/>
              </w:rPr>
            </w:pPr>
            <w:r w:rsidRPr="00D12A28">
              <w:rPr>
                <w:rFonts w:ascii="Arial" w:hAnsi="Arial" w:cs="Arial"/>
                <w:sz w:val="22"/>
                <w:szCs w:val="20"/>
              </w:rPr>
              <w:t>0.2</w:t>
            </w:r>
          </w:p>
        </w:tc>
      </w:tr>
      <w:tr w:rsidR="009B1B78" w:rsidRPr="00FD4D11" w14:paraId="01B14F25" w14:textId="77777777" w:rsidTr="009B1B78">
        <w:tc>
          <w:tcPr>
            <w:tcW w:w="5240" w:type="dxa"/>
          </w:tcPr>
          <w:p w14:paraId="02C98716" w14:textId="77777777" w:rsidR="009B1B78" w:rsidRPr="00D12A28" w:rsidRDefault="009B1B78" w:rsidP="009B1B78">
            <w:pPr>
              <w:spacing w:line="240" w:lineRule="auto"/>
              <w:rPr>
                <w:rFonts w:ascii="Arial" w:hAnsi="Arial" w:cs="Arial"/>
                <w:sz w:val="22"/>
                <w:szCs w:val="20"/>
              </w:rPr>
            </w:pPr>
            <w:r w:rsidRPr="00D12A28">
              <w:rPr>
                <w:rFonts w:ascii="Arial" w:hAnsi="Arial" w:cs="Arial"/>
                <w:sz w:val="22"/>
                <w:szCs w:val="20"/>
              </w:rPr>
              <w:t>DMSO</w:t>
            </w:r>
          </w:p>
        </w:tc>
        <w:tc>
          <w:tcPr>
            <w:tcW w:w="1985" w:type="dxa"/>
          </w:tcPr>
          <w:p w14:paraId="08500A8C" w14:textId="77777777" w:rsidR="009B1B78" w:rsidRPr="00D12A28" w:rsidRDefault="009B1B78" w:rsidP="009B1B78">
            <w:pPr>
              <w:spacing w:line="240" w:lineRule="auto"/>
              <w:rPr>
                <w:rFonts w:ascii="Arial" w:hAnsi="Arial" w:cs="Arial"/>
                <w:sz w:val="22"/>
                <w:szCs w:val="20"/>
              </w:rPr>
            </w:pPr>
            <w:r w:rsidRPr="00D12A28">
              <w:rPr>
                <w:rFonts w:ascii="Arial" w:hAnsi="Arial" w:cs="Arial"/>
                <w:sz w:val="22"/>
                <w:szCs w:val="20"/>
              </w:rPr>
              <w:t>0.6</w:t>
            </w:r>
          </w:p>
        </w:tc>
      </w:tr>
      <w:tr w:rsidR="009B1B78" w:rsidRPr="00FD4D11" w14:paraId="202C403B" w14:textId="77777777" w:rsidTr="009B1B78">
        <w:tc>
          <w:tcPr>
            <w:tcW w:w="5240" w:type="dxa"/>
          </w:tcPr>
          <w:p w14:paraId="0A35DDFB" w14:textId="77777777" w:rsidR="009B1B78" w:rsidRPr="00D12A28" w:rsidRDefault="009B1B78" w:rsidP="009B1B78">
            <w:pPr>
              <w:spacing w:line="240" w:lineRule="auto"/>
              <w:rPr>
                <w:rFonts w:ascii="Arial" w:hAnsi="Arial" w:cs="Arial"/>
                <w:sz w:val="22"/>
                <w:szCs w:val="20"/>
              </w:rPr>
            </w:pPr>
            <w:r w:rsidRPr="00D12A28">
              <w:rPr>
                <w:rFonts w:ascii="Arial" w:hAnsi="Arial" w:cs="Arial"/>
                <w:i/>
                <w:iCs/>
                <w:sz w:val="22"/>
                <w:szCs w:val="20"/>
              </w:rPr>
              <w:t>Taq</w:t>
            </w:r>
            <w:r w:rsidRPr="00D12A28">
              <w:rPr>
                <w:rFonts w:ascii="Arial" w:hAnsi="Arial" w:cs="Arial"/>
                <w:sz w:val="22"/>
                <w:szCs w:val="20"/>
              </w:rPr>
              <w:t xml:space="preserve"> DNA Polymerase (NEB)</w:t>
            </w:r>
          </w:p>
        </w:tc>
        <w:tc>
          <w:tcPr>
            <w:tcW w:w="1985" w:type="dxa"/>
          </w:tcPr>
          <w:p w14:paraId="4F919C76" w14:textId="77777777" w:rsidR="009B1B78" w:rsidRPr="00D12A28" w:rsidRDefault="009B1B78" w:rsidP="009B1B78">
            <w:pPr>
              <w:spacing w:line="240" w:lineRule="auto"/>
              <w:rPr>
                <w:rFonts w:ascii="Arial" w:hAnsi="Arial" w:cs="Arial"/>
                <w:sz w:val="22"/>
                <w:szCs w:val="20"/>
              </w:rPr>
            </w:pPr>
            <w:r w:rsidRPr="00D12A28">
              <w:rPr>
                <w:rFonts w:ascii="Arial" w:hAnsi="Arial" w:cs="Arial"/>
                <w:sz w:val="22"/>
                <w:szCs w:val="20"/>
              </w:rPr>
              <w:t>0.1</w:t>
            </w:r>
          </w:p>
        </w:tc>
      </w:tr>
      <w:tr w:rsidR="009B1B78" w:rsidRPr="00FD4D11" w14:paraId="640D70C8" w14:textId="77777777" w:rsidTr="009B1B78">
        <w:tc>
          <w:tcPr>
            <w:tcW w:w="5240" w:type="dxa"/>
          </w:tcPr>
          <w:p w14:paraId="5CA8C98F" w14:textId="77777777" w:rsidR="009B1B78" w:rsidRPr="00D12A28" w:rsidRDefault="009B1B78" w:rsidP="009B1B78">
            <w:pPr>
              <w:spacing w:line="240" w:lineRule="auto"/>
              <w:rPr>
                <w:rFonts w:ascii="Arial" w:hAnsi="Arial" w:cs="Arial"/>
                <w:sz w:val="22"/>
                <w:szCs w:val="20"/>
              </w:rPr>
            </w:pPr>
            <w:r w:rsidRPr="00D12A28">
              <w:rPr>
                <w:rFonts w:ascii="Arial" w:hAnsi="Arial" w:cs="Arial"/>
                <w:sz w:val="22"/>
                <w:szCs w:val="20"/>
              </w:rPr>
              <w:t>Primer (10mM)</w:t>
            </w:r>
          </w:p>
        </w:tc>
        <w:tc>
          <w:tcPr>
            <w:tcW w:w="1985" w:type="dxa"/>
          </w:tcPr>
          <w:p w14:paraId="524960A5" w14:textId="77777777" w:rsidR="009B1B78" w:rsidRPr="00D12A28" w:rsidRDefault="009B1B78" w:rsidP="009B1B78">
            <w:pPr>
              <w:spacing w:line="240" w:lineRule="auto"/>
              <w:rPr>
                <w:rFonts w:ascii="Arial" w:hAnsi="Arial" w:cs="Arial"/>
                <w:sz w:val="22"/>
                <w:szCs w:val="20"/>
              </w:rPr>
            </w:pPr>
            <w:r w:rsidRPr="00D12A28">
              <w:rPr>
                <w:rFonts w:ascii="Arial" w:hAnsi="Arial" w:cs="Arial"/>
                <w:sz w:val="22"/>
                <w:szCs w:val="20"/>
              </w:rPr>
              <w:t>1</w:t>
            </w:r>
          </w:p>
        </w:tc>
      </w:tr>
      <w:tr w:rsidR="009B1B78" w:rsidRPr="00FD4D11" w14:paraId="16D03679" w14:textId="77777777" w:rsidTr="009B1B78">
        <w:tc>
          <w:tcPr>
            <w:tcW w:w="5240" w:type="dxa"/>
          </w:tcPr>
          <w:p w14:paraId="72AC9680" w14:textId="77777777" w:rsidR="009B1B78" w:rsidRPr="00D12A28" w:rsidRDefault="009B1B78" w:rsidP="009B1B78">
            <w:pPr>
              <w:spacing w:line="240" w:lineRule="auto"/>
              <w:rPr>
                <w:rFonts w:ascii="Arial" w:hAnsi="Arial" w:cs="Arial"/>
                <w:sz w:val="22"/>
                <w:szCs w:val="20"/>
              </w:rPr>
            </w:pPr>
            <w:r w:rsidRPr="00D12A28">
              <w:rPr>
                <w:rFonts w:ascii="Arial" w:hAnsi="Arial" w:cs="Arial"/>
                <w:sz w:val="22"/>
                <w:szCs w:val="20"/>
              </w:rPr>
              <w:t>dH</w:t>
            </w:r>
            <w:r w:rsidRPr="00D12A28">
              <w:rPr>
                <w:rFonts w:ascii="Arial" w:hAnsi="Arial" w:cs="Arial"/>
                <w:sz w:val="22"/>
                <w:szCs w:val="20"/>
                <w:vertAlign w:val="subscript"/>
              </w:rPr>
              <w:t>2</w:t>
            </w:r>
            <w:r w:rsidRPr="00D12A28">
              <w:rPr>
                <w:rFonts w:ascii="Arial" w:hAnsi="Arial" w:cs="Arial"/>
                <w:sz w:val="22"/>
                <w:szCs w:val="20"/>
              </w:rPr>
              <w:t>0</w:t>
            </w:r>
          </w:p>
        </w:tc>
        <w:tc>
          <w:tcPr>
            <w:tcW w:w="1985" w:type="dxa"/>
          </w:tcPr>
          <w:p w14:paraId="62169147" w14:textId="77777777" w:rsidR="009B1B78" w:rsidRPr="00D12A28" w:rsidRDefault="009B1B78" w:rsidP="009B1B78">
            <w:pPr>
              <w:spacing w:line="240" w:lineRule="auto"/>
              <w:rPr>
                <w:rFonts w:ascii="Arial" w:hAnsi="Arial" w:cs="Arial"/>
                <w:sz w:val="22"/>
                <w:szCs w:val="20"/>
              </w:rPr>
            </w:pPr>
            <w:r w:rsidRPr="00D12A28">
              <w:rPr>
                <w:rFonts w:ascii="Arial" w:hAnsi="Arial" w:cs="Arial"/>
                <w:sz w:val="22"/>
                <w:szCs w:val="20"/>
              </w:rPr>
              <w:t>15.1</w:t>
            </w:r>
          </w:p>
        </w:tc>
      </w:tr>
    </w:tbl>
    <w:p w14:paraId="58226557" w14:textId="77777777" w:rsidR="00571CB5" w:rsidRDefault="00571CB5" w:rsidP="00571CB5"/>
    <w:p w14:paraId="3F399A88" w14:textId="77777777" w:rsidR="00571CB5" w:rsidRDefault="00571CB5" w:rsidP="00571CB5"/>
    <w:p w14:paraId="77354BC7" w14:textId="77777777" w:rsidR="00571CB5" w:rsidRPr="00571CB5" w:rsidRDefault="00571CB5" w:rsidP="00571CB5"/>
    <w:p w14:paraId="2BE247E3" w14:textId="77777777" w:rsidR="00D12A28" w:rsidRDefault="00D12A28" w:rsidP="00D12A28"/>
    <w:p w14:paraId="72A3D5C9" w14:textId="77777777" w:rsidR="00D12A28" w:rsidRPr="00D12A28" w:rsidRDefault="00D12A28" w:rsidP="00D12A28"/>
    <w:p w14:paraId="3F2C1FD6" w14:textId="77777777" w:rsidR="00D12A28" w:rsidRPr="00D12A28" w:rsidRDefault="00D12A28" w:rsidP="00D12A28"/>
    <w:p w14:paraId="6CCF6162" w14:textId="77777777" w:rsidR="00D12A28" w:rsidRDefault="00D12A28" w:rsidP="00D12A28">
      <w:pPr>
        <w:jc w:val="center"/>
      </w:pPr>
    </w:p>
    <w:p w14:paraId="636255F3" w14:textId="01DDB3D3" w:rsidR="00D12A28" w:rsidRDefault="00D12A28" w:rsidP="00D12A28">
      <w:pPr>
        <w:pStyle w:val="Caption"/>
      </w:pPr>
      <w:bookmarkStart w:id="78" w:name="_Toc146657537"/>
      <w:bookmarkStart w:id="79" w:name="_Toc154331521"/>
      <w:r>
        <w:t xml:space="preserve">Table </w:t>
      </w:r>
      <w:fldSimple w:instr=" STYLEREF 1 \s ">
        <w:r w:rsidR="004B7F70">
          <w:rPr>
            <w:noProof/>
          </w:rPr>
          <w:t>2</w:t>
        </w:r>
      </w:fldSimple>
      <w:r w:rsidR="00646450">
        <w:t>.</w:t>
      </w:r>
      <w:fldSimple w:instr=" SEQ Table \* ARABIC \s 1 ">
        <w:r w:rsidR="004B7F70">
          <w:rPr>
            <w:noProof/>
          </w:rPr>
          <w:t>7</w:t>
        </w:r>
      </w:fldSimple>
      <w:r>
        <w:t xml:space="preserve"> Example PCR for genotyping</w:t>
      </w:r>
      <w:bookmarkEnd w:id="78"/>
      <w:bookmarkEnd w:id="79"/>
    </w:p>
    <w:p w14:paraId="3A648EA5" w14:textId="77777777" w:rsidR="00571CB5" w:rsidRPr="00571CB5" w:rsidRDefault="00571CB5" w:rsidP="00571CB5">
      <w:pPr>
        <w:pStyle w:val="Description"/>
      </w:pPr>
    </w:p>
    <w:p w14:paraId="57E31C3B" w14:textId="2978E579" w:rsidR="00D12A28" w:rsidRDefault="00D12A28" w:rsidP="00743E4C">
      <w:pPr>
        <w:pStyle w:val="Heading2"/>
      </w:pPr>
      <w:bookmarkStart w:id="80" w:name="_Toc154331464"/>
      <w:r>
        <w:t>RNA sequencing</w:t>
      </w:r>
      <w:bookmarkEnd w:id="80"/>
    </w:p>
    <w:p w14:paraId="366F2A8E" w14:textId="6D50B297" w:rsidR="00D12A28" w:rsidRDefault="00D12A28" w:rsidP="00D12A28">
      <w:pPr>
        <w:spacing w:line="480" w:lineRule="auto"/>
      </w:pPr>
      <w:r>
        <w:t>Barley (var. Charon) seeds were germinated in individual 100ml pots of perlite for 1 week</w:t>
      </w:r>
      <w:r w:rsidR="00C92BF9">
        <w:t xml:space="preserve"> (Fig</w:t>
      </w:r>
      <w:r w:rsidR="00AA636C">
        <w:t>. 2.6)</w:t>
      </w:r>
      <w:r>
        <w:t xml:space="preserve">. Plants were placed in the hydroponic system as described earlier in 1 plant per pot configuration. At 4 weeks post germination, all hydroponate was replaced as </w:t>
      </w:r>
      <w:r w:rsidR="00AA636C">
        <w:t xml:space="preserve">described </w:t>
      </w:r>
      <w:r>
        <w:t>above</w:t>
      </w:r>
      <w:r w:rsidR="00AA636C">
        <w:t>.</w:t>
      </w:r>
      <w:r>
        <w:t xml:space="preserve"> </w:t>
      </w:r>
      <w:r w:rsidR="00AA636C">
        <w:t>A</w:t>
      </w:r>
      <w:r w:rsidR="00936506">
        <w:t xml:space="preserve"> subsection of the plants</w:t>
      </w:r>
      <w:r>
        <w:t xml:space="preserve"> remained in the 1/pot configuration and the remaining plants were crowded in 4/pot. At 4</w:t>
      </w:r>
      <w:r w:rsidR="00936506">
        <w:t xml:space="preserve"> and 8 hours</w:t>
      </w:r>
      <w:r>
        <w:t xml:space="preserve"> after crowding root samples were taken</w:t>
      </w:r>
      <w:r w:rsidR="00344845">
        <w:t xml:space="preserve"> (1cm root tip per root), </w:t>
      </w:r>
      <w:r w:rsidRPr="0076022A">
        <w:t>2 seminal roots per plant for 4/pot treatments and 4 roots per plant in 1/pot conditions. Per biological replicate per time point, 2</w:t>
      </w:r>
      <w:r w:rsidR="00344845">
        <w:t>x</w:t>
      </w:r>
      <w:r w:rsidRPr="0076022A">
        <w:t xml:space="preserve"> 1/pot plants were pooled </w:t>
      </w:r>
      <w:r w:rsidR="00344845">
        <w:t xml:space="preserve">(8 root tips: 4x root tips per plant) </w:t>
      </w:r>
      <w:r w:rsidRPr="0076022A">
        <w:t xml:space="preserve">to provide a biological replicate but </w:t>
      </w:r>
      <w:r w:rsidRPr="0076022A">
        <w:lastRenderedPageBreak/>
        <w:t>for 4/pot</w:t>
      </w:r>
      <w:r w:rsidR="00344845">
        <w:t>,</w:t>
      </w:r>
      <w:r w:rsidRPr="0076022A">
        <w:t xml:space="preserve"> 1 pot</w:t>
      </w:r>
      <w:r w:rsidR="00344845">
        <w:t xml:space="preserve"> (8 root tips: 2x root tips per plant)</w:t>
      </w:r>
      <w:r w:rsidRPr="0076022A">
        <w:t xml:space="preserve"> per biological replicate was used</w:t>
      </w:r>
      <w:r>
        <w:t>.</w:t>
      </w:r>
    </w:p>
    <w:p w14:paraId="1C2433A6" w14:textId="2E999F6B" w:rsidR="001C4873" w:rsidRDefault="001C4873" w:rsidP="00D12A28">
      <w:pPr>
        <w:spacing w:line="480" w:lineRule="auto"/>
      </w:pPr>
      <w:r>
        <w:rPr>
          <w:noProof/>
        </w:rPr>
        <w:drawing>
          <wp:inline distT="0" distB="0" distL="0" distR="0" wp14:anchorId="3663DF2F" wp14:editId="745794B7">
            <wp:extent cx="3211195" cy="4132580"/>
            <wp:effectExtent l="0" t="0" r="8255" b="1270"/>
            <wp:docPr id="168001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01963" name="Picture 16800196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11195" cy="4132580"/>
                    </a:xfrm>
                    <a:prstGeom prst="rect">
                      <a:avLst/>
                    </a:prstGeom>
                  </pic:spPr>
                </pic:pic>
              </a:graphicData>
            </a:graphic>
          </wp:inline>
        </w:drawing>
      </w:r>
    </w:p>
    <w:p w14:paraId="0F73FD13" w14:textId="5FEAF411" w:rsidR="001C4873" w:rsidRDefault="001C4873" w:rsidP="001C4873">
      <w:pPr>
        <w:pStyle w:val="Caption"/>
      </w:pPr>
      <w:bookmarkStart w:id="81" w:name="_Toc146657538"/>
      <w:bookmarkStart w:id="82" w:name="_Toc154331532"/>
      <w:r>
        <w:t xml:space="preserve">Figure </w:t>
      </w:r>
      <w:fldSimple w:instr=" STYLEREF 1 \s ">
        <w:r w:rsidR="004B7F70">
          <w:rPr>
            <w:noProof/>
          </w:rPr>
          <w:t>2</w:t>
        </w:r>
      </w:fldSimple>
      <w:r w:rsidR="00C97D34">
        <w:t>.</w:t>
      </w:r>
      <w:fldSimple w:instr=" SEQ Figure \* ARABIC \s 1 ">
        <w:r w:rsidR="004B7F70">
          <w:rPr>
            <w:noProof/>
          </w:rPr>
          <w:t>6</w:t>
        </w:r>
      </w:fldSimple>
      <w:r>
        <w:t xml:space="preserve"> Cartoon of the experimental setup used for RNAseq</w:t>
      </w:r>
      <w:bookmarkEnd w:id="81"/>
      <w:bookmarkEnd w:id="82"/>
    </w:p>
    <w:p w14:paraId="6BB05113" w14:textId="1376C4B2" w:rsidR="001C4873" w:rsidRDefault="00937A75" w:rsidP="009B1B78">
      <w:pPr>
        <w:pStyle w:val="Description"/>
      </w:pPr>
      <w:r>
        <w:t xml:space="preserve">A cartoon </w:t>
      </w:r>
      <w:r w:rsidR="00477855">
        <w:t>describing</w:t>
      </w:r>
      <w:r>
        <w:t xml:space="preserve"> the set up of barley plants (cv. Charon), grown hydroponically </w:t>
      </w:r>
      <w:r w:rsidR="00747882">
        <w:t xml:space="preserve">in 1 plant per pot 1/pot and 4 plants per pot </w:t>
      </w:r>
      <w:r w:rsidR="00C92BF9">
        <w:t>for eventual root sampling for RNA sequencing.</w:t>
      </w:r>
      <w:r w:rsidR="00477855">
        <w:t xml:space="preserve"> </w:t>
      </w:r>
      <w:r w:rsidR="00477855" w:rsidRPr="00130702">
        <w:t xml:space="preserve">Diagram not to scale. </w:t>
      </w:r>
      <w:r w:rsidR="00DF4D8A" w:rsidRPr="00130702">
        <w:t>100ml pots were used for perlite, 1L containers used for hydroponics.</w:t>
      </w:r>
    </w:p>
    <w:p w14:paraId="0496AF1D" w14:textId="77777777" w:rsidR="009B1B78" w:rsidRPr="009B1B78" w:rsidRDefault="009B1B78" w:rsidP="009B1B78"/>
    <w:p w14:paraId="3B7FCC76" w14:textId="0B16C9A9" w:rsidR="00D12A28" w:rsidRDefault="0001501F" w:rsidP="00743E4C">
      <w:pPr>
        <w:pStyle w:val="Heading3"/>
      </w:pPr>
      <w:bookmarkStart w:id="83" w:name="_Toc154331465"/>
      <w:r>
        <w:t>RNA extraction</w:t>
      </w:r>
      <w:bookmarkEnd w:id="83"/>
    </w:p>
    <w:p w14:paraId="26E357F6" w14:textId="794ADCC4" w:rsidR="0001501F" w:rsidRDefault="0001501F" w:rsidP="0001501F">
      <w:pPr>
        <w:spacing w:line="480" w:lineRule="auto"/>
        <w:rPr>
          <w:rFonts w:eastAsia="Calibri" w:cs="Times New Roman"/>
        </w:rPr>
      </w:pPr>
      <w:r>
        <w:t>Root tissue was lysed using 3mm steel balls and a TissueLyserLT (Qiagen). Total RNA was extracted using RNeasy kit (Qiagen) following the manufacturers recommended protocol, samples were eluted in 30µl dH</w:t>
      </w:r>
      <w:r w:rsidRPr="00522B07">
        <w:rPr>
          <w:vertAlign w:val="subscript"/>
        </w:rPr>
        <w:t>2</w:t>
      </w:r>
      <w:r>
        <w:t xml:space="preserve">0. RNA samples were treated with TURBO DNase kit (ThermoFisher Scientific) as per manufacturers protocol. </w:t>
      </w:r>
      <w:r>
        <w:rPr>
          <w:rFonts w:eastAsia="Calibri" w:cs="Times New Roman"/>
        </w:rPr>
        <w:t xml:space="preserve">Samples were </w:t>
      </w:r>
      <w:r w:rsidR="005F0852" w:rsidRPr="00130702">
        <w:rPr>
          <w:rFonts w:eastAsia="Calibri" w:cs="Times New Roman"/>
        </w:rPr>
        <w:t>assessed for concentration and quality</w:t>
      </w:r>
      <w:r>
        <w:rPr>
          <w:rFonts w:eastAsia="Calibri" w:cs="Times New Roman"/>
        </w:rPr>
        <w:t xml:space="preserve"> on the </w:t>
      </w:r>
      <w:r w:rsidR="009371B7">
        <w:rPr>
          <w:rFonts w:eastAsia="Calibri" w:cs="Times New Roman"/>
        </w:rPr>
        <w:t>N</w:t>
      </w:r>
      <w:r>
        <w:rPr>
          <w:rFonts w:eastAsia="Calibri" w:cs="Times New Roman"/>
        </w:rPr>
        <w:t xml:space="preserve">anodrop (spectrophotometry) and all samples were between </w:t>
      </w:r>
      <w:r>
        <w:rPr>
          <w:rFonts w:eastAsia="Calibri" w:cs="Times New Roman"/>
        </w:rPr>
        <w:lastRenderedPageBreak/>
        <w:t>1.83 – 2.03 A260/A280 ratio, these were regarded as good quality. RNA integrity and quality was assessed using t</w:t>
      </w:r>
      <w:r w:rsidRPr="009F050C">
        <w:rPr>
          <w:rFonts w:eastAsia="Calibri" w:cs="Times New Roman"/>
        </w:rPr>
        <w:t>he Qubit 4 Fluorometer (ThermoFisher Scientific, Waltham, MA, USA)</w:t>
      </w:r>
      <w:r>
        <w:rPr>
          <w:rFonts w:eastAsia="Calibri" w:cs="Times New Roman"/>
        </w:rPr>
        <w:t xml:space="preserve"> according to manufacturer guidelines</w:t>
      </w:r>
      <w:r w:rsidR="005C242E">
        <w:rPr>
          <w:rFonts w:eastAsia="Calibri" w:cs="Times New Roman"/>
        </w:rPr>
        <w:t>,</w:t>
      </w:r>
      <w:r>
        <w:rPr>
          <w:rFonts w:eastAsia="Calibri" w:cs="Times New Roman"/>
        </w:rPr>
        <w:t xml:space="preserve"> and using pre-saved standards, all samples showed high quality with RNA IQ scores of between 9.2-10.0. Due to high concentrations of RNA for all samples, all samples were diluted in dH</w:t>
      </w:r>
      <w:r w:rsidRPr="00A21BE0">
        <w:rPr>
          <w:rFonts w:eastAsia="Calibri" w:cs="Times New Roman"/>
          <w:vertAlign w:val="subscript"/>
        </w:rPr>
        <w:t>2</w:t>
      </w:r>
      <w:r>
        <w:rPr>
          <w:rFonts w:eastAsia="Calibri" w:cs="Times New Roman"/>
        </w:rPr>
        <w:t>O to 1</w:t>
      </w:r>
      <w:r>
        <w:rPr>
          <w:rFonts w:eastAsia="Calibri"/>
        </w:rPr>
        <w:t>µ</w:t>
      </w:r>
      <w:r>
        <w:rPr>
          <w:rFonts w:eastAsia="Calibri" w:cs="Times New Roman"/>
        </w:rPr>
        <w:t>g in a volume of 15</w:t>
      </w:r>
      <w:r>
        <w:rPr>
          <w:rFonts w:eastAsia="Calibri"/>
        </w:rPr>
        <w:t>µ</w:t>
      </w:r>
      <w:r>
        <w:rPr>
          <w:rFonts w:eastAsia="Calibri" w:cs="Times New Roman"/>
        </w:rPr>
        <w:t xml:space="preserve">l (66.6666 </w:t>
      </w:r>
      <w:r>
        <w:rPr>
          <w:rFonts w:eastAsia="Calibri"/>
        </w:rPr>
        <w:t>µ</w:t>
      </w:r>
      <w:r>
        <w:rPr>
          <w:rFonts w:eastAsia="Calibri" w:cs="Times New Roman"/>
        </w:rPr>
        <w:t>g/</w:t>
      </w:r>
      <w:r>
        <w:rPr>
          <w:rFonts w:eastAsia="Calibri"/>
        </w:rPr>
        <w:t>µ</w:t>
      </w:r>
      <w:r>
        <w:rPr>
          <w:rFonts w:eastAsia="Calibri" w:cs="Times New Roman"/>
        </w:rPr>
        <w:t xml:space="preserve">l) to be sent to Genewiz. </w:t>
      </w:r>
    </w:p>
    <w:p w14:paraId="0A6684AC" w14:textId="7117F77B" w:rsidR="0001501F" w:rsidRDefault="00610233" w:rsidP="00743E4C">
      <w:pPr>
        <w:pStyle w:val="Heading3"/>
      </w:pPr>
      <w:bookmarkStart w:id="84" w:name="_Toc154331466"/>
      <w:r>
        <w:t xml:space="preserve">Sample information </w:t>
      </w:r>
      <w:r w:rsidR="00DE44E6">
        <w:t>and approach taken by Genewiz for RNA sequencing</w:t>
      </w:r>
      <w:bookmarkEnd w:id="84"/>
    </w:p>
    <w:p w14:paraId="7281C21F" w14:textId="4AE2077C" w:rsidR="0001501F" w:rsidRDefault="0001501F" w:rsidP="0001501F">
      <w:pPr>
        <w:spacing w:line="480" w:lineRule="auto"/>
        <w:rPr>
          <w:rFonts w:eastAsia="Calibri" w:cs="Times New Roman"/>
        </w:rPr>
      </w:pPr>
      <w:r>
        <w:rPr>
          <w:rFonts w:eastAsia="Calibri" w:cs="Times New Roman"/>
        </w:rPr>
        <w:t>Genewiz carried out library preparation and Illumina NovaSeq</w:t>
      </w:r>
      <w:r w:rsidRPr="00525420">
        <w:rPr>
          <w:rFonts w:eastAsia="Calibri" w:cs="Times New Roman"/>
          <w:vertAlign w:val="superscript"/>
        </w:rPr>
        <w:t>TM</w:t>
      </w:r>
      <w:r>
        <w:rPr>
          <w:rFonts w:eastAsia="Calibri" w:cs="Times New Roman"/>
        </w:rPr>
        <w:t xml:space="preserve"> 6000 2x150 bp paired end sequencing. Genewiz carried out sample sequencing and assessed the quality of the samples. A sample quality of greater than 30 is satisfactory. All of my samples were higher than this threshold (</w:t>
      </w:r>
      <w:r w:rsidR="00F6560B">
        <w:rPr>
          <w:rFonts w:eastAsia="Calibri" w:cs="Times New Roman"/>
        </w:rPr>
        <w:t>Table 2.8</w:t>
      </w:r>
      <w:r>
        <w:rPr>
          <w:rFonts w:eastAsia="Calibri" w:cs="Times New Roman"/>
        </w:rPr>
        <w:t>).</w:t>
      </w:r>
    </w:p>
    <w:p w14:paraId="3335A651" w14:textId="77777777" w:rsidR="005C242E" w:rsidRDefault="005C242E" w:rsidP="0001501F">
      <w:pPr>
        <w:spacing w:line="480" w:lineRule="auto"/>
        <w:rPr>
          <w:rFonts w:eastAsia="Calibri" w:cs="Times New Roman"/>
        </w:rPr>
      </w:pPr>
    </w:p>
    <w:p w14:paraId="26B1FFEC" w14:textId="77777777" w:rsidR="00947CFF" w:rsidRDefault="00947CFF" w:rsidP="0001501F">
      <w:pPr>
        <w:spacing w:line="480" w:lineRule="auto"/>
        <w:rPr>
          <w:rFonts w:eastAsia="Calibri" w:cs="Times New Roman"/>
        </w:rPr>
      </w:pPr>
    </w:p>
    <w:p w14:paraId="3A1F1A8E" w14:textId="77777777" w:rsidR="00947CFF" w:rsidRDefault="00947CFF" w:rsidP="0001501F">
      <w:pPr>
        <w:spacing w:line="480" w:lineRule="auto"/>
        <w:rPr>
          <w:rFonts w:eastAsia="Calibri" w:cs="Times New Roman"/>
        </w:rPr>
      </w:pPr>
    </w:p>
    <w:p w14:paraId="05C19161" w14:textId="77777777" w:rsidR="00947CFF" w:rsidRDefault="00947CFF" w:rsidP="0001501F">
      <w:pPr>
        <w:spacing w:line="480" w:lineRule="auto"/>
        <w:rPr>
          <w:rFonts w:eastAsia="Calibri" w:cs="Times New Roman"/>
        </w:rPr>
      </w:pPr>
    </w:p>
    <w:p w14:paraId="187EBFDE" w14:textId="77777777" w:rsidR="00947CFF" w:rsidRDefault="00947CFF" w:rsidP="0001501F">
      <w:pPr>
        <w:spacing w:line="480" w:lineRule="auto"/>
        <w:rPr>
          <w:rFonts w:eastAsia="Calibri" w:cs="Times New Roman"/>
        </w:rPr>
      </w:pPr>
    </w:p>
    <w:p w14:paraId="1C2A372A" w14:textId="77777777" w:rsidR="00947CFF" w:rsidRDefault="00947CFF" w:rsidP="0001501F">
      <w:pPr>
        <w:spacing w:line="480" w:lineRule="auto"/>
        <w:rPr>
          <w:rFonts w:eastAsia="Calibri" w:cs="Times New Roman"/>
        </w:rPr>
      </w:pPr>
    </w:p>
    <w:p w14:paraId="1394B232" w14:textId="77777777" w:rsidR="00947CFF" w:rsidRDefault="00947CFF" w:rsidP="0001501F">
      <w:pPr>
        <w:spacing w:line="480" w:lineRule="auto"/>
        <w:rPr>
          <w:rFonts w:eastAsia="Calibri" w:cs="Times New Roman"/>
        </w:rPr>
      </w:pPr>
    </w:p>
    <w:p w14:paraId="67E4DD7D" w14:textId="77777777" w:rsidR="00947CFF" w:rsidRDefault="00947CFF" w:rsidP="0001501F">
      <w:pPr>
        <w:spacing w:line="480" w:lineRule="auto"/>
        <w:rPr>
          <w:rFonts w:eastAsia="Calibri" w:cs="Times New Roman"/>
        </w:rPr>
      </w:pPr>
    </w:p>
    <w:p w14:paraId="1300C97E" w14:textId="77777777" w:rsidR="00947CFF" w:rsidRDefault="00947CFF" w:rsidP="0001501F">
      <w:pPr>
        <w:spacing w:line="480" w:lineRule="auto"/>
        <w:rPr>
          <w:rFonts w:eastAsia="Calibri" w:cs="Times New Roman"/>
        </w:rPr>
      </w:pPr>
    </w:p>
    <w:p w14:paraId="1F6DBB5E" w14:textId="77777777" w:rsidR="00947CFF" w:rsidRDefault="00947CFF" w:rsidP="0001501F">
      <w:pPr>
        <w:spacing w:line="480" w:lineRule="auto"/>
        <w:rPr>
          <w:rFonts w:eastAsia="Calibri" w:cs="Times New Roman"/>
        </w:rPr>
      </w:pPr>
    </w:p>
    <w:p w14:paraId="2764B054" w14:textId="77777777" w:rsidR="00947CFF" w:rsidRDefault="00947CFF" w:rsidP="0001501F">
      <w:pPr>
        <w:spacing w:line="480" w:lineRule="auto"/>
        <w:rPr>
          <w:rFonts w:eastAsia="Calibri" w:cs="Times New Roman"/>
        </w:rPr>
      </w:pPr>
    </w:p>
    <w:tbl>
      <w:tblPr>
        <w:tblW w:w="7900" w:type="dxa"/>
        <w:tblCellMar>
          <w:left w:w="0" w:type="dxa"/>
          <w:right w:w="0" w:type="dxa"/>
        </w:tblCellMar>
        <w:tblLook w:val="0420" w:firstRow="1" w:lastRow="0" w:firstColumn="0" w:lastColumn="0" w:noHBand="0" w:noVBand="1"/>
      </w:tblPr>
      <w:tblGrid>
        <w:gridCol w:w="1693"/>
        <w:gridCol w:w="2701"/>
        <w:gridCol w:w="1764"/>
        <w:gridCol w:w="1742"/>
      </w:tblGrid>
      <w:tr w:rsidR="0001501F" w:rsidRPr="0001501F" w14:paraId="0797696B" w14:textId="77777777" w:rsidTr="0001501F">
        <w:trPr>
          <w:trHeight w:val="393"/>
        </w:trPr>
        <w:tc>
          <w:tcPr>
            <w:tcW w:w="190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5" w:type="dxa"/>
              <w:bottom w:w="0" w:type="dxa"/>
              <w:right w:w="15" w:type="dxa"/>
            </w:tcMar>
            <w:vAlign w:val="bottom"/>
            <w:hideMark/>
          </w:tcPr>
          <w:p w14:paraId="032ABC1F" w14:textId="77777777" w:rsidR="0001501F" w:rsidRPr="0001501F" w:rsidRDefault="0001501F" w:rsidP="0001501F">
            <w:pPr>
              <w:spacing w:line="240" w:lineRule="auto"/>
              <w:rPr>
                <w:rFonts w:eastAsia="Calibri"/>
              </w:rPr>
            </w:pPr>
            <w:r w:rsidRPr="0001501F">
              <w:rPr>
                <w:rFonts w:eastAsia="Calibri"/>
                <w:b/>
                <w:bCs/>
              </w:rPr>
              <w:t>Sample ID</w:t>
            </w:r>
          </w:p>
        </w:tc>
        <w:tc>
          <w:tcPr>
            <w:tcW w:w="200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5" w:type="dxa"/>
              <w:bottom w:w="0" w:type="dxa"/>
              <w:right w:w="15" w:type="dxa"/>
            </w:tcMar>
            <w:vAlign w:val="bottom"/>
            <w:hideMark/>
          </w:tcPr>
          <w:p w14:paraId="197F9528" w14:textId="77777777" w:rsidR="0001501F" w:rsidRPr="0001501F" w:rsidRDefault="0001501F" w:rsidP="0001501F">
            <w:pPr>
              <w:spacing w:line="240" w:lineRule="auto"/>
              <w:rPr>
                <w:rFonts w:eastAsia="Calibri"/>
              </w:rPr>
            </w:pPr>
            <w:r w:rsidRPr="0001501F">
              <w:rPr>
                <w:rFonts w:eastAsia="Calibri"/>
                <w:b/>
                <w:bCs/>
              </w:rPr>
              <w:t>Barcode Sequence</w:t>
            </w:r>
          </w:p>
        </w:tc>
        <w:tc>
          <w:tcPr>
            <w:tcW w:w="200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5" w:type="dxa"/>
              <w:bottom w:w="0" w:type="dxa"/>
              <w:right w:w="15" w:type="dxa"/>
            </w:tcMar>
            <w:vAlign w:val="bottom"/>
            <w:hideMark/>
          </w:tcPr>
          <w:p w14:paraId="4E89D33C" w14:textId="77777777" w:rsidR="0001501F" w:rsidRPr="0001501F" w:rsidRDefault="0001501F" w:rsidP="0001501F">
            <w:pPr>
              <w:spacing w:line="240" w:lineRule="auto"/>
              <w:jc w:val="left"/>
              <w:rPr>
                <w:rFonts w:eastAsia="Calibri"/>
              </w:rPr>
            </w:pPr>
            <w:r w:rsidRPr="0001501F">
              <w:rPr>
                <w:rFonts w:eastAsia="Calibri"/>
                <w:b/>
                <w:bCs/>
              </w:rPr>
              <w:t>Mean Quality Score</w:t>
            </w:r>
          </w:p>
        </w:tc>
        <w:tc>
          <w:tcPr>
            <w:tcW w:w="200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5" w:type="dxa"/>
              <w:bottom w:w="0" w:type="dxa"/>
              <w:right w:w="15" w:type="dxa"/>
            </w:tcMar>
            <w:vAlign w:val="bottom"/>
            <w:hideMark/>
          </w:tcPr>
          <w:p w14:paraId="18797C04" w14:textId="77777777" w:rsidR="0001501F" w:rsidRPr="0001501F" w:rsidRDefault="0001501F" w:rsidP="0001501F">
            <w:pPr>
              <w:spacing w:line="240" w:lineRule="auto"/>
              <w:rPr>
                <w:rFonts w:eastAsia="Calibri"/>
              </w:rPr>
            </w:pPr>
            <w:r w:rsidRPr="0001501F">
              <w:rPr>
                <w:rFonts w:eastAsia="Calibri"/>
                <w:b/>
                <w:bCs/>
              </w:rPr>
              <w:t>% Bases &gt;= 30</w:t>
            </w:r>
          </w:p>
        </w:tc>
      </w:tr>
      <w:tr w:rsidR="0001501F" w:rsidRPr="0001501F" w14:paraId="216D90C2" w14:textId="77777777" w:rsidTr="0001501F">
        <w:trPr>
          <w:trHeight w:val="360"/>
        </w:trPr>
        <w:tc>
          <w:tcPr>
            <w:tcW w:w="1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6B3D7AE" w14:textId="77777777" w:rsidR="0001501F" w:rsidRPr="0001501F" w:rsidRDefault="0001501F" w:rsidP="0001501F">
            <w:pPr>
              <w:spacing w:line="240" w:lineRule="auto"/>
              <w:jc w:val="left"/>
              <w:rPr>
                <w:rFonts w:eastAsia="Calibri"/>
                <w:sz w:val="22"/>
                <w:szCs w:val="18"/>
              </w:rPr>
            </w:pPr>
            <w:r w:rsidRPr="0001501F">
              <w:rPr>
                <w:rFonts w:eastAsia="Calibri"/>
                <w:sz w:val="22"/>
                <w:szCs w:val="18"/>
              </w:rPr>
              <w:t>4 hours 1/pot sample 1 (A1)</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C6615B0" w14:textId="77777777" w:rsidR="0001501F" w:rsidRPr="0001501F" w:rsidRDefault="0001501F" w:rsidP="0001501F">
            <w:pPr>
              <w:spacing w:line="240" w:lineRule="auto"/>
              <w:rPr>
                <w:rFonts w:eastAsia="Calibri"/>
                <w:sz w:val="22"/>
                <w:szCs w:val="18"/>
              </w:rPr>
            </w:pPr>
            <w:r w:rsidRPr="0001501F">
              <w:rPr>
                <w:rFonts w:eastAsia="Calibri"/>
                <w:sz w:val="22"/>
                <w:szCs w:val="18"/>
              </w:rPr>
              <w:t>TGTCGTAG+TTAGCTTT</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35AD4DC" w14:textId="77777777" w:rsidR="0001501F" w:rsidRPr="0001501F" w:rsidRDefault="0001501F" w:rsidP="0001501F">
            <w:pPr>
              <w:spacing w:line="240" w:lineRule="auto"/>
              <w:rPr>
                <w:rFonts w:eastAsia="Calibri"/>
                <w:sz w:val="22"/>
                <w:szCs w:val="18"/>
              </w:rPr>
            </w:pPr>
            <w:r w:rsidRPr="0001501F">
              <w:rPr>
                <w:rFonts w:eastAsia="Calibri"/>
                <w:sz w:val="22"/>
                <w:szCs w:val="18"/>
              </w:rPr>
              <w:t>35.00</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EA4C02E" w14:textId="77777777" w:rsidR="0001501F" w:rsidRPr="0001501F" w:rsidRDefault="0001501F" w:rsidP="0001501F">
            <w:pPr>
              <w:spacing w:line="240" w:lineRule="auto"/>
              <w:rPr>
                <w:rFonts w:eastAsia="Calibri"/>
                <w:sz w:val="22"/>
                <w:szCs w:val="18"/>
              </w:rPr>
            </w:pPr>
            <w:r w:rsidRPr="0001501F">
              <w:rPr>
                <w:rFonts w:eastAsia="Calibri"/>
                <w:sz w:val="22"/>
                <w:szCs w:val="18"/>
              </w:rPr>
              <w:t>88.78</w:t>
            </w:r>
          </w:p>
        </w:tc>
      </w:tr>
      <w:tr w:rsidR="0001501F" w:rsidRPr="0001501F" w14:paraId="42912BCE" w14:textId="77777777" w:rsidTr="0001501F">
        <w:trPr>
          <w:trHeight w:val="360"/>
        </w:trPr>
        <w:tc>
          <w:tcPr>
            <w:tcW w:w="1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3573979" w14:textId="77777777" w:rsidR="0001501F" w:rsidRPr="0001501F" w:rsidRDefault="0001501F" w:rsidP="0001501F">
            <w:pPr>
              <w:spacing w:line="240" w:lineRule="auto"/>
              <w:jc w:val="left"/>
              <w:rPr>
                <w:rFonts w:eastAsia="Calibri"/>
                <w:sz w:val="22"/>
                <w:szCs w:val="18"/>
              </w:rPr>
            </w:pPr>
            <w:r w:rsidRPr="0001501F">
              <w:rPr>
                <w:rFonts w:eastAsia="Calibri"/>
                <w:sz w:val="22"/>
                <w:szCs w:val="18"/>
              </w:rPr>
              <w:t>4 hours 1/pot sample 2 (A2)</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4448603" w14:textId="77777777" w:rsidR="0001501F" w:rsidRPr="0001501F" w:rsidRDefault="0001501F" w:rsidP="0001501F">
            <w:pPr>
              <w:spacing w:line="240" w:lineRule="auto"/>
              <w:rPr>
                <w:rFonts w:eastAsia="Calibri"/>
                <w:sz w:val="22"/>
                <w:szCs w:val="18"/>
              </w:rPr>
            </w:pPr>
            <w:r w:rsidRPr="0001501F">
              <w:rPr>
                <w:rFonts w:eastAsia="Calibri"/>
                <w:sz w:val="22"/>
                <w:szCs w:val="18"/>
              </w:rPr>
              <w:t>CAATCATA+AATCTCCA</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3D5FDA1" w14:textId="77777777" w:rsidR="0001501F" w:rsidRPr="0001501F" w:rsidRDefault="0001501F" w:rsidP="0001501F">
            <w:pPr>
              <w:spacing w:line="240" w:lineRule="auto"/>
              <w:rPr>
                <w:rFonts w:eastAsia="Calibri"/>
                <w:sz w:val="22"/>
                <w:szCs w:val="18"/>
              </w:rPr>
            </w:pPr>
            <w:r w:rsidRPr="0001501F">
              <w:rPr>
                <w:rFonts w:eastAsia="Calibri"/>
                <w:sz w:val="22"/>
                <w:szCs w:val="18"/>
              </w:rPr>
              <w:t>34.87</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36FC97B" w14:textId="77777777" w:rsidR="0001501F" w:rsidRPr="0001501F" w:rsidRDefault="0001501F" w:rsidP="0001501F">
            <w:pPr>
              <w:spacing w:line="240" w:lineRule="auto"/>
              <w:rPr>
                <w:rFonts w:eastAsia="Calibri"/>
                <w:sz w:val="22"/>
                <w:szCs w:val="18"/>
              </w:rPr>
            </w:pPr>
            <w:r w:rsidRPr="0001501F">
              <w:rPr>
                <w:rFonts w:eastAsia="Calibri"/>
                <w:sz w:val="22"/>
                <w:szCs w:val="18"/>
              </w:rPr>
              <w:t>88.15</w:t>
            </w:r>
          </w:p>
        </w:tc>
      </w:tr>
      <w:tr w:rsidR="0001501F" w:rsidRPr="0001501F" w14:paraId="262745E7" w14:textId="77777777" w:rsidTr="0001501F">
        <w:trPr>
          <w:trHeight w:val="360"/>
        </w:trPr>
        <w:tc>
          <w:tcPr>
            <w:tcW w:w="1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64A598C" w14:textId="77777777" w:rsidR="0001501F" w:rsidRPr="0001501F" w:rsidRDefault="0001501F" w:rsidP="0001501F">
            <w:pPr>
              <w:spacing w:line="240" w:lineRule="auto"/>
              <w:jc w:val="left"/>
              <w:rPr>
                <w:rFonts w:eastAsia="Calibri"/>
                <w:sz w:val="22"/>
                <w:szCs w:val="18"/>
              </w:rPr>
            </w:pPr>
            <w:r w:rsidRPr="0001501F">
              <w:rPr>
                <w:rFonts w:eastAsia="Calibri"/>
                <w:sz w:val="22"/>
                <w:szCs w:val="18"/>
              </w:rPr>
              <w:t>4 hours 1/pot sample 3 (A3)</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D5A3648" w14:textId="77777777" w:rsidR="0001501F" w:rsidRPr="0001501F" w:rsidRDefault="0001501F" w:rsidP="0001501F">
            <w:pPr>
              <w:spacing w:line="240" w:lineRule="auto"/>
              <w:rPr>
                <w:rFonts w:eastAsia="Calibri"/>
                <w:sz w:val="22"/>
                <w:szCs w:val="18"/>
              </w:rPr>
            </w:pPr>
            <w:r w:rsidRPr="0001501F">
              <w:rPr>
                <w:rFonts w:eastAsia="Calibri"/>
                <w:sz w:val="22"/>
                <w:szCs w:val="18"/>
              </w:rPr>
              <w:t>GTTCTTAT+GTCTAATT</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8E173FA" w14:textId="77777777" w:rsidR="0001501F" w:rsidRPr="0001501F" w:rsidRDefault="0001501F" w:rsidP="0001501F">
            <w:pPr>
              <w:spacing w:line="240" w:lineRule="auto"/>
              <w:rPr>
                <w:rFonts w:eastAsia="Calibri"/>
                <w:sz w:val="22"/>
                <w:szCs w:val="18"/>
              </w:rPr>
            </w:pPr>
            <w:r w:rsidRPr="0001501F">
              <w:rPr>
                <w:rFonts w:eastAsia="Calibri"/>
                <w:sz w:val="22"/>
                <w:szCs w:val="18"/>
              </w:rPr>
              <w:t>34.86</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C2AEF33" w14:textId="77777777" w:rsidR="0001501F" w:rsidRPr="0001501F" w:rsidRDefault="0001501F" w:rsidP="0001501F">
            <w:pPr>
              <w:spacing w:line="240" w:lineRule="auto"/>
              <w:rPr>
                <w:rFonts w:eastAsia="Calibri"/>
                <w:sz w:val="22"/>
                <w:szCs w:val="18"/>
              </w:rPr>
            </w:pPr>
            <w:r w:rsidRPr="0001501F">
              <w:rPr>
                <w:rFonts w:eastAsia="Calibri"/>
                <w:sz w:val="22"/>
                <w:szCs w:val="18"/>
              </w:rPr>
              <w:t>88.18</w:t>
            </w:r>
          </w:p>
        </w:tc>
      </w:tr>
      <w:tr w:rsidR="0001501F" w:rsidRPr="0001501F" w14:paraId="764C3436" w14:textId="77777777" w:rsidTr="0001501F">
        <w:trPr>
          <w:trHeight w:val="360"/>
        </w:trPr>
        <w:tc>
          <w:tcPr>
            <w:tcW w:w="1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BB1889B" w14:textId="77777777" w:rsidR="0001501F" w:rsidRPr="0001501F" w:rsidRDefault="0001501F" w:rsidP="0001501F">
            <w:pPr>
              <w:spacing w:line="240" w:lineRule="auto"/>
              <w:jc w:val="left"/>
              <w:rPr>
                <w:rFonts w:eastAsia="Calibri"/>
                <w:sz w:val="22"/>
                <w:szCs w:val="18"/>
              </w:rPr>
            </w:pPr>
            <w:r w:rsidRPr="0001501F">
              <w:rPr>
                <w:rFonts w:eastAsia="Calibri"/>
                <w:sz w:val="22"/>
                <w:szCs w:val="18"/>
              </w:rPr>
              <w:t>4 hours 4/pot sample 1 (B1)</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4D28C67" w14:textId="77777777" w:rsidR="0001501F" w:rsidRPr="0001501F" w:rsidRDefault="0001501F" w:rsidP="0001501F">
            <w:pPr>
              <w:spacing w:line="240" w:lineRule="auto"/>
              <w:rPr>
                <w:rFonts w:eastAsia="Calibri"/>
                <w:sz w:val="22"/>
                <w:szCs w:val="18"/>
              </w:rPr>
            </w:pPr>
            <w:r w:rsidRPr="0001501F">
              <w:rPr>
                <w:rFonts w:eastAsia="Calibri"/>
                <w:sz w:val="22"/>
                <w:szCs w:val="18"/>
              </w:rPr>
              <w:t>GATGCGAC+CCCAAAGT</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C61536A" w14:textId="77777777" w:rsidR="0001501F" w:rsidRPr="0001501F" w:rsidRDefault="0001501F" w:rsidP="0001501F">
            <w:pPr>
              <w:spacing w:line="240" w:lineRule="auto"/>
              <w:rPr>
                <w:rFonts w:eastAsia="Calibri"/>
                <w:sz w:val="22"/>
                <w:szCs w:val="18"/>
              </w:rPr>
            </w:pPr>
            <w:r w:rsidRPr="0001501F">
              <w:rPr>
                <w:rFonts w:eastAsia="Calibri"/>
                <w:sz w:val="22"/>
                <w:szCs w:val="18"/>
              </w:rPr>
              <w:t>34.93</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CC9D70F" w14:textId="77777777" w:rsidR="0001501F" w:rsidRPr="0001501F" w:rsidRDefault="0001501F" w:rsidP="0001501F">
            <w:pPr>
              <w:spacing w:line="240" w:lineRule="auto"/>
              <w:rPr>
                <w:rFonts w:eastAsia="Calibri"/>
                <w:sz w:val="22"/>
                <w:szCs w:val="18"/>
              </w:rPr>
            </w:pPr>
            <w:r w:rsidRPr="0001501F">
              <w:rPr>
                <w:rFonts w:eastAsia="Calibri"/>
                <w:sz w:val="22"/>
                <w:szCs w:val="18"/>
              </w:rPr>
              <w:t>88.36</w:t>
            </w:r>
          </w:p>
        </w:tc>
      </w:tr>
      <w:tr w:rsidR="0001501F" w:rsidRPr="0001501F" w14:paraId="6780CE45" w14:textId="77777777" w:rsidTr="0001501F">
        <w:trPr>
          <w:trHeight w:val="360"/>
        </w:trPr>
        <w:tc>
          <w:tcPr>
            <w:tcW w:w="1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47BECAF" w14:textId="77777777" w:rsidR="0001501F" w:rsidRPr="0001501F" w:rsidRDefault="0001501F" w:rsidP="0001501F">
            <w:pPr>
              <w:spacing w:line="240" w:lineRule="auto"/>
              <w:jc w:val="left"/>
              <w:rPr>
                <w:rFonts w:eastAsia="Calibri"/>
                <w:sz w:val="22"/>
                <w:szCs w:val="18"/>
              </w:rPr>
            </w:pPr>
            <w:r w:rsidRPr="0001501F">
              <w:rPr>
                <w:rFonts w:eastAsia="Calibri"/>
                <w:sz w:val="22"/>
                <w:szCs w:val="18"/>
              </w:rPr>
              <w:t>4 hours 4/pot sample 2 (B2)</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133D32A" w14:textId="77777777" w:rsidR="0001501F" w:rsidRPr="0001501F" w:rsidRDefault="0001501F" w:rsidP="0001501F">
            <w:pPr>
              <w:spacing w:line="240" w:lineRule="auto"/>
              <w:rPr>
                <w:rFonts w:eastAsia="Calibri"/>
                <w:sz w:val="22"/>
                <w:szCs w:val="18"/>
              </w:rPr>
            </w:pPr>
            <w:r w:rsidRPr="0001501F">
              <w:rPr>
                <w:rFonts w:eastAsia="Calibri"/>
                <w:sz w:val="22"/>
                <w:szCs w:val="18"/>
              </w:rPr>
              <w:t>GAAGAGGG+TCCGTCCG</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C38A0B7" w14:textId="77777777" w:rsidR="0001501F" w:rsidRPr="0001501F" w:rsidRDefault="0001501F" w:rsidP="0001501F">
            <w:pPr>
              <w:spacing w:line="240" w:lineRule="auto"/>
              <w:rPr>
                <w:rFonts w:eastAsia="Calibri"/>
                <w:sz w:val="22"/>
                <w:szCs w:val="18"/>
              </w:rPr>
            </w:pPr>
            <w:r w:rsidRPr="0001501F">
              <w:rPr>
                <w:rFonts w:eastAsia="Calibri"/>
                <w:sz w:val="22"/>
                <w:szCs w:val="18"/>
              </w:rPr>
              <w:t>34.84</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37A57A2" w14:textId="77777777" w:rsidR="0001501F" w:rsidRPr="0001501F" w:rsidRDefault="0001501F" w:rsidP="0001501F">
            <w:pPr>
              <w:spacing w:line="240" w:lineRule="auto"/>
              <w:rPr>
                <w:rFonts w:eastAsia="Calibri"/>
                <w:sz w:val="22"/>
                <w:szCs w:val="18"/>
              </w:rPr>
            </w:pPr>
            <w:r w:rsidRPr="0001501F">
              <w:rPr>
                <w:rFonts w:eastAsia="Calibri"/>
                <w:sz w:val="22"/>
                <w:szCs w:val="18"/>
              </w:rPr>
              <w:t>87.96</w:t>
            </w:r>
          </w:p>
        </w:tc>
      </w:tr>
      <w:tr w:rsidR="0001501F" w:rsidRPr="0001501F" w14:paraId="5FBE84AA" w14:textId="77777777" w:rsidTr="0001501F">
        <w:trPr>
          <w:trHeight w:val="360"/>
        </w:trPr>
        <w:tc>
          <w:tcPr>
            <w:tcW w:w="1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37626E6" w14:textId="77777777" w:rsidR="0001501F" w:rsidRPr="0001501F" w:rsidRDefault="0001501F" w:rsidP="0001501F">
            <w:pPr>
              <w:spacing w:line="240" w:lineRule="auto"/>
              <w:jc w:val="left"/>
              <w:rPr>
                <w:rFonts w:eastAsia="Calibri"/>
                <w:sz w:val="22"/>
                <w:szCs w:val="18"/>
              </w:rPr>
            </w:pPr>
            <w:r w:rsidRPr="0001501F">
              <w:rPr>
                <w:rFonts w:eastAsia="Calibri"/>
                <w:sz w:val="22"/>
                <w:szCs w:val="18"/>
              </w:rPr>
              <w:t>4 hours 4/pot sample 3 (B3)</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6BF2CBA" w14:textId="77777777" w:rsidR="0001501F" w:rsidRPr="0001501F" w:rsidRDefault="0001501F" w:rsidP="0001501F">
            <w:pPr>
              <w:spacing w:line="240" w:lineRule="auto"/>
              <w:rPr>
                <w:rFonts w:eastAsia="Calibri"/>
                <w:sz w:val="22"/>
                <w:szCs w:val="18"/>
              </w:rPr>
            </w:pPr>
            <w:r w:rsidRPr="0001501F">
              <w:rPr>
                <w:rFonts w:eastAsia="Calibri"/>
                <w:sz w:val="22"/>
                <w:szCs w:val="18"/>
              </w:rPr>
              <w:t>TAGTAATC+GGCTCTGC</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F23E058" w14:textId="77777777" w:rsidR="0001501F" w:rsidRPr="0001501F" w:rsidRDefault="0001501F" w:rsidP="0001501F">
            <w:pPr>
              <w:spacing w:line="240" w:lineRule="auto"/>
              <w:rPr>
                <w:rFonts w:eastAsia="Calibri"/>
                <w:sz w:val="22"/>
                <w:szCs w:val="18"/>
              </w:rPr>
            </w:pPr>
            <w:r w:rsidRPr="0001501F">
              <w:rPr>
                <w:rFonts w:eastAsia="Calibri"/>
                <w:sz w:val="22"/>
                <w:szCs w:val="18"/>
              </w:rPr>
              <w:t>34.77</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E6264B7" w14:textId="77777777" w:rsidR="0001501F" w:rsidRPr="0001501F" w:rsidRDefault="0001501F" w:rsidP="0001501F">
            <w:pPr>
              <w:spacing w:line="240" w:lineRule="auto"/>
              <w:rPr>
                <w:rFonts w:eastAsia="Calibri"/>
                <w:sz w:val="22"/>
                <w:szCs w:val="18"/>
              </w:rPr>
            </w:pPr>
            <w:r w:rsidRPr="0001501F">
              <w:rPr>
                <w:rFonts w:eastAsia="Calibri"/>
                <w:sz w:val="22"/>
                <w:szCs w:val="18"/>
              </w:rPr>
              <w:t>87.71</w:t>
            </w:r>
          </w:p>
        </w:tc>
      </w:tr>
      <w:tr w:rsidR="0001501F" w:rsidRPr="0001501F" w14:paraId="747262E6" w14:textId="77777777" w:rsidTr="0001501F">
        <w:trPr>
          <w:trHeight w:val="360"/>
        </w:trPr>
        <w:tc>
          <w:tcPr>
            <w:tcW w:w="1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AF452D6" w14:textId="77777777" w:rsidR="0001501F" w:rsidRPr="0001501F" w:rsidRDefault="0001501F" w:rsidP="0001501F">
            <w:pPr>
              <w:spacing w:line="240" w:lineRule="auto"/>
              <w:jc w:val="left"/>
              <w:rPr>
                <w:rFonts w:eastAsia="Calibri"/>
                <w:sz w:val="22"/>
                <w:szCs w:val="18"/>
              </w:rPr>
            </w:pPr>
            <w:r w:rsidRPr="0001501F">
              <w:rPr>
                <w:rFonts w:eastAsia="Calibri"/>
                <w:sz w:val="22"/>
                <w:szCs w:val="18"/>
              </w:rPr>
              <w:t>8 hours 1/pot sample 1 (C1)</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A1AB6DA" w14:textId="77777777" w:rsidR="0001501F" w:rsidRPr="0001501F" w:rsidRDefault="0001501F" w:rsidP="0001501F">
            <w:pPr>
              <w:spacing w:line="240" w:lineRule="auto"/>
              <w:rPr>
                <w:rFonts w:eastAsia="Calibri"/>
                <w:sz w:val="22"/>
                <w:szCs w:val="18"/>
              </w:rPr>
            </w:pPr>
            <w:r w:rsidRPr="0001501F">
              <w:rPr>
                <w:rFonts w:eastAsia="Calibri"/>
                <w:sz w:val="22"/>
                <w:szCs w:val="18"/>
              </w:rPr>
              <w:t>GTGTGGAG+GATCATGC</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DE5C49A" w14:textId="77777777" w:rsidR="0001501F" w:rsidRPr="0001501F" w:rsidRDefault="0001501F" w:rsidP="0001501F">
            <w:pPr>
              <w:spacing w:line="240" w:lineRule="auto"/>
              <w:rPr>
                <w:rFonts w:eastAsia="Calibri"/>
                <w:sz w:val="22"/>
                <w:szCs w:val="18"/>
              </w:rPr>
            </w:pPr>
            <w:r w:rsidRPr="0001501F">
              <w:rPr>
                <w:rFonts w:eastAsia="Calibri"/>
                <w:sz w:val="22"/>
                <w:szCs w:val="18"/>
              </w:rPr>
              <w:t>34.54</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2B42815" w14:textId="77777777" w:rsidR="0001501F" w:rsidRPr="0001501F" w:rsidRDefault="0001501F" w:rsidP="0001501F">
            <w:pPr>
              <w:spacing w:line="240" w:lineRule="auto"/>
              <w:rPr>
                <w:rFonts w:eastAsia="Calibri"/>
                <w:sz w:val="22"/>
                <w:szCs w:val="18"/>
              </w:rPr>
            </w:pPr>
            <w:r w:rsidRPr="0001501F">
              <w:rPr>
                <w:rFonts w:eastAsia="Calibri"/>
                <w:sz w:val="22"/>
                <w:szCs w:val="18"/>
              </w:rPr>
              <w:t>86.35</w:t>
            </w:r>
          </w:p>
        </w:tc>
      </w:tr>
      <w:tr w:rsidR="0001501F" w:rsidRPr="0001501F" w14:paraId="56189529" w14:textId="77777777" w:rsidTr="0001501F">
        <w:trPr>
          <w:trHeight w:val="360"/>
        </w:trPr>
        <w:tc>
          <w:tcPr>
            <w:tcW w:w="1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3491760" w14:textId="77777777" w:rsidR="0001501F" w:rsidRPr="0001501F" w:rsidRDefault="0001501F" w:rsidP="0001501F">
            <w:pPr>
              <w:spacing w:line="240" w:lineRule="auto"/>
              <w:jc w:val="left"/>
              <w:rPr>
                <w:rFonts w:eastAsia="Calibri"/>
                <w:sz w:val="22"/>
                <w:szCs w:val="18"/>
              </w:rPr>
            </w:pPr>
            <w:r w:rsidRPr="0001501F">
              <w:rPr>
                <w:rFonts w:eastAsia="Calibri"/>
                <w:sz w:val="22"/>
                <w:szCs w:val="18"/>
              </w:rPr>
              <w:t>8 hours 1/pot sample 2 (C2)</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612A79A" w14:textId="77777777" w:rsidR="0001501F" w:rsidRPr="0001501F" w:rsidRDefault="0001501F" w:rsidP="0001501F">
            <w:pPr>
              <w:spacing w:line="240" w:lineRule="auto"/>
              <w:rPr>
                <w:rFonts w:eastAsia="Calibri"/>
                <w:sz w:val="22"/>
                <w:szCs w:val="18"/>
              </w:rPr>
            </w:pPr>
            <w:r w:rsidRPr="0001501F">
              <w:rPr>
                <w:rFonts w:eastAsia="Calibri"/>
                <w:sz w:val="22"/>
                <w:szCs w:val="18"/>
              </w:rPr>
              <w:t>ACGTTGTA+TAGGTCGA</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4B47DBD" w14:textId="77777777" w:rsidR="0001501F" w:rsidRPr="0001501F" w:rsidRDefault="0001501F" w:rsidP="0001501F">
            <w:pPr>
              <w:spacing w:line="240" w:lineRule="auto"/>
              <w:rPr>
                <w:rFonts w:eastAsia="Calibri"/>
                <w:sz w:val="22"/>
                <w:szCs w:val="18"/>
              </w:rPr>
            </w:pPr>
            <w:r w:rsidRPr="0001501F">
              <w:rPr>
                <w:rFonts w:eastAsia="Calibri"/>
                <w:sz w:val="22"/>
                <w:szCs w:val="18"/>
              </w:rPr>
              <w:t>34.84</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B487760" w14:textId="77777777" w:rsidR="0001501F" w:rsidRPr="0001501F" w:rsidRDefault="0001501F" w:rsidP="0001501F">
            <w:pPr>
              <w:spacing w:line="240" w:lineRule="auto"/>
              <w:rPr>
                <w:rFonts w:eastAsia="Calibri"/>
                <w:sz w:val="22"/>
                <w:szCs w:val="18"/>
              </w:rPr>
            </w:pPr>
            <w:r w:rsidRPr="0001501F">
              <w:rPr>
                <w:rFonts w:eastAsia="Calibri"/>
                <w:sz w:val="22"/>
                <w:szCs w:val="18"/>
              </w:rPr>
              <w:t>87.91</w:t>
            </w:r>
          </w:p>
        </w:tc>
      </w:tr>
      <w:tr w:rsidR="0001501F" w:rsidRPr="0001501F" w14:paraId="044BE3A8" w14:textId="77777777" w:rsidTr="0001501F">
        <w:trPr>
          <w:trHeight w:val="360"/>
        </w:trPr>
        <w:tc>
          <w:tcPr>
            <w:tcW w:w="1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81F2655" w14:textId="77777777" w:rsidR="0001501F" w:rsidRPr="0001501F" w:rsidRDefault="0001501F" w:rsidP="0001501F">
            <w:pPr>
              <w:spacing w:line="240" w:lineRule="auto"/>
              <w:jc w:val="left"/>
              <w:rPr>
                <w:rFonts w:eastAsia="Calibri"/>
                <w:sz w:val="22"/>
                <w:szCs w:val="18"/>
              </w:rPr>
            </w:pPr>
            <w:r w:rsidRPr="0001501F">
              <w:rPr>
                <w:rFonts w:eastAsia="Calibri"/>
                <w:sz w:val="22"/>
                <w:szCs w:val="18"/>
              </w:rPr>
              <w:t>8 hours 1/pot sample 3 (C3)</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E0E3597" w14:textId="77777777" w:rsidR="0001501F" w:rsidRPr="0001501F" w:rsidRDefault="0001501F" w:rsidP="0001501F">
            <w:pPr>
              <w:spacing w:line="240" w:lineRule="auto"/>
              <w:rPr>
                <w:rFonts w:eastAsia="Calibri"/>
                <w:sz w:val="22"/>
                <w:szCs w:val="18"/>
              </w:rPr>
            </w:pPr>
            <w:r w:rsidRPr="0001501F">
              <w:rPr>
                <w:rFonts w:eastAsia="Calibri"/>
                <w:sz w:val="22"/>
                <w:szCs w:val="18"/>
              </w:rPr>
              <w:t>GCGCTAAT+GTCAGGGT</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22AA9DC" w14:textId="77777777" w:rsidR="0001501F" w:rsidRPr="0001501F" w:rsidRDefault="0001501F" w:rsidP="0001501F">
            <w:pPr>
              <w:spacing w:line="240" w:lineRule="auto"/>
              <w:rPr>
                <w:rFonts w:eastAsia="Calibri"/>
                <w:sz w:val="22"/>
                <w:szCs w:val="18"/>
              </w:rPr>
            </w:pPr>
            <w:r w:rsidRPr="0001501F">
              <w:rPr>
                <w:rFonts w:eastAsia="Calibri"/>
                <w:sz w:val="22"/>
                <w:szCs w:val="18"/>
              </w:rPr>
              <w:t>34.58</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9C34C1D" w14:textId="77777777" w:rsidR="0001501F" w:rsidRPr="0001501F" w:rsidRDefault="0001501F" w:rsidP="0001501F">
            <w:pPr>
              <w:spacing w:line="240" w:lineRule="auto"/>
              <w:rPr>
                <w:rFonts w:eastAsia="Calibri"/>
                <w:sz w:val="22"/>
                <w:szCs w:val="18"/>
              </w:rPr>
            </w:pPr>
            <w:r w:rsidRPr="0001501F">
              <w:rPr>
                <w:rFonts w:eastAsia="Calibri"/>
                <w:sz w:val="22"/>
                <w:szCs w:val="18"/>
              </w:rPr>
              <w:t>86.72</w:t>
            </w:r>
          </w:p>
        </w:tc>
      </w:tr>
      <w:tr w:rsidR="0001501F" w:rsidRPr="0001501F" w14:paraId="68112733" w14:textId="77777777" w:rsidTr="0001501F">
        <w:trPr>
          <w:trHeight w:val="360"/>
        </w:trPr>
        <w:tc>
          <w:tcPr>
            <w:tcW w:w="1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E6965D1" w14:textId="77777777" w:rsidR="0001501F" w:rsidRPr="0001501F" w:rsidRDefault="0001501F" w:rsidP="0001501F">
            <w:pPr>
              <w:spacing w:line="240" w:lineRule="auto"/>
              <w:jc w:val="left"/>
              <w:rPr>
                <w:rFonts w:eastAsia="Calibri"/>
                <w:sz w:val="22"/>
                <w:szCs w:val="18"/>
              </w:rPr>
            </w:pPr>
            <w:r w:rsidRPr="0001501F">
              <w:rPr>
                <w:rFonts w:eastAsia="Calibri"/>
                <w:sz w:val="22"/>
                <w:szCs w:val="18"/>
              </w:rPr>
              <w:t>8 hours 4/pot sample 1 (D1)</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C73EF32" w14:textId="77777777" w:rsidR="0001501F" w:rsidRPr="0001501F" w:rsidRDefault="0001501F" w:rsidP="0001501F">
            <w:pPr>
              <w:spacing w:line="240" w:lineRule="auto"/>
              <w:rPr>
                <w:rFonts w:eastAsia="Calibri"/>
                <w:sz w:val="22"/>
                <w:szCs w:val="18"/>
              </w:rPr>
            </w:pPr>
            <w:r w:rsidRPr="0001501F">
              <w:rPr>
                <w:rFonts w:eastAsia="Calibri"/>
                <w:sz w:val="22"/>
                <w:szCs w:val="18"/>
              </w:rPr>
              <w:t>AGAGCTGC+CCTTCAAC</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6AC3D22" w14:textId="77777777" w:rsidR="0001501F" w:rsidRPr="0001501F" w:rsidRDefault="0001501F" w:rsidP="0001501F">
            <w:pPr>
              <w:spacing w:line="240" w:lineRule="auto"/>
              <w:rPr>
                <w:rFonts w:eastAsia="Calibri"/>
                <w:sz w:val="22"/>
                <w:szCs w:val="18"/>
              </w:rPr>
            </w:pPr>
            <w:r w:rsidRPr="0001501F">
              <w:rPr>
                <w:rFonts w:eastAsia="Calibri"/>
                <w:sz w:val="22"/>
                <w:szCs w:val="18"/>
              </w:rPr>
              <w:t>34.91</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8B237BC" w14:textId="77777777" w:rsidR="0001501F" w:rsidRPr="0001501F" w:rsidRDefault="0001501F" w:rsidP="0001501F">
            <w:pPr>
              <w:spacing w:line="240" w:lineRule="auto"/>
              <w:rPr>
                <w:rFonts w:eastAsia="Calibri"/>
                <w:sz w:val="22"/>
                <w:szCs w:val="18"/>
              </w:rPr>
            </w:pPr>
            <w:r w:rsidRPr="0001501F">
              <w:rPr>
                <w:rFonts w:eastAsia="Calibri"/>
                <w:sz w:val="22"/>
                <w:szCs w:val="18"/>
              </w:rPr>
              <w:t>88.26</w:t>
            </w:r>
          </w:p>
        </w:tc>
      </w:tr>
      <w:tr w:rsidR="0001501F" w:rsidRPr="0001501F" w14:paraId="68D705E6" w14:textId="77777777" w:rsidTr="0001501F">
        <w:trPr>
          <w:trHeight w:val="360"/>
        </w:trPr>
        <w:tc>
          <w:tcPr>
            <w:tcW w:w="1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519ABC3" w14:textId="77777777" w:rsidR="0001501F" w:rsidRPr="0001501F" w:rsidRDefault="0001501F" w:rsidP="0001501F">
            <w:pPr>
              <w:spacing w:line="240" w:lineRule="auto"/>
              <w:jc w:val="left"/>
              <w:rPr>
                <w:rFonts w:eastAsia="Calibri"/>
                <w:sz w:val="22"/>
                <w:szCs w:val="18"/>
              </w:rPr>
            </w:pPr>
            <w:r w:rsidRPr="0001501F">
              <w:rPr>
                <w:rFonts w:eastAsia="Calibri"/>
                <w:sz w:val="22"/>
                <w:szCs w:val="18"/>
              </w:rPr>
              <w:t>8 hours 4/pot sample 2 (D2)</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4DF48AE" w14:textId="77777777" w:rsidR="0001501F" w:rsidRPr="0001501F" w:rsidRDefault="0001501F" w:rsidP="0001501F">
            <w:pPr>
              <w:spacing w:line="240" w:lineRule="auto"/>
              <w:rPr>
                <w:rFonts w:eastAsia="Calibri"/>
                <w:sz w:val="22"/>
                <w:szCs w:val="18"/>
              </w:rPr>
            </w:pPr>
            <w:r w:rsidRPr="0001501F">
              <w:rPr>
                <w:rFonts w:eastAsia="Calibri"/>
                <w:sz w:val="22"/>
                <w:szCs w:val="18"/>
              </w:rPr>
              <w:t>CATACTTA+TCCCGTGC</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4F42A55" w14:textId="77777777" w:rsidR="0001501F" w:rsidRPr="0001501F" w:rsidRDefault="0001501F" w:rsidP="0001501F">
            <w:pPr>
              <w:spacing w:line="240" w:lineRule="auto"/>
              <w:rPr>
                <w:rFonts w:eastAsia="Calibri"/>
                <w:sz w:val="22"/>
                <w:szCs w:val="18"/>
              </w:rPr>
            </w:pPr>
            <w:r w:rsidRPr="0001501F">
              <w:rPr>
                <w:rFonts w:eastAsia="Calibri"/>
                <w:sz w:val="22"/>
                <w:szCs w:val="18"/>
              </w:rPr>
              <w:t>34.63</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608C0BE" w14:textId="77777777" w:rsidR="0001501F" w:rsidRPr="0001501F" w:rsidRDefault="0001501F" w:rsidP="0001501F">
            <w:pPr>
              <w:spacing w:line="240" w:lineRule="auto"/>
              <w:rPr>
                <w:rFonts w:eastAsia="Calibri"/>
                <w:sz w:val="22"/>
                <w:szCs w:val="18"/>
              </w:rPr>
            </w:pPr>
            <w:r w:rsidRPr="0001501F">
              <w:rPr>
                <w:rFonts w:eastAsia="Calibri"/>
                <w:sz w:val="22"/>
                <w:szCs w:val="18"/>
              </w:rPr>
              <w:t>86.84</w:t>
            </w:r>
          </w:p>
        </w:tc>
      </w:tr>
      <w:tr w:rsidR="0001501F" w:rsidRPr="0001501F" w14:paraId="606D80C9" w14:textId="77777777" w:rsidTr="0001501F">
        <w:trPr>
          <w:trHeight w:val="360"/>
        </w:trPr>
        <w:tc>
          <w:tcPr>
            <w:tcW w:w="1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C0A3055" w14:textId="77777777" w:rsidR="0001501F" w:rsidRPr="0001501F" w:rsidRDefault="0001501F" w:rsidP="0001501F">
            <w:pPr>
              <w:spacing w:line="240" w:lineRule="auto"/>
              <w:jc w:val="left"/>
              <w:rPr>
                <w:rFonts w:eastAsia="Calibri"/>
                <w:sz w:val="22"/>
                <w:szCs w:val="18"/>
              </w:rPr>
            </w:pPr>
            <w:r w:rsidRPr="0001501F">
              <w:rPr>
                <w:rFonts w:eastAsia="Calibri"/>
                <w:sz w:val="22"/>
                <w:szCs w:val="18"/>
              </w:rPr>
              <w:t>8 hours 4/pot sample 3 (D3)</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DECF64F" w14:textId="77777777" w:rsidR="0001501F" w:rsidRPr="0001501F" w:rsidRDefault="0001501F" w:rsidP="0001501F">
            <w:pPr>
              <w:spacing w:line="240" w:lineRule="auto"/>
              <w:rPr>
                <w:rFonts w:eastAsia="Calibri"/>
                <w:sz w:val="22"/>
                <w:szCs w:val="18"/>
              </w:rPr>
            </w:pPr>
            <w:r w:rsidRPr="0001501F">
              <w:rPr>
                <w:rFonts w:eastAsia="Calibri"/>
                <w:sz w:val="22"/>
                <w:szCs w:val="18"/>
              </w:rPr>
              <w:t>TTGCACCG+TTTATACG</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6B20ED7" w14:textId="77777777" w:rsidR="0001501F" w:rsidRPr="0001501F" w:rsidRDefault="0001501F" w:rsidP="0001501F">
            <w:pPr>
              <w:spacing w:line="240" w:lineRule="auto"/>
              <w:rPr>
                <w:rFonts w:eastAsia="Calibri"/>
                <w:sz w:val="22"/>
                <w:szCs w:val="18"/>
              </w:rPr>
            </w:pPr>
            <w:r w:rsidRPr="0001501F">
              <w:rPr>
                <w:rFonts w:eastAsia="Calibri"/>
                <w:sz w:val="22"/>
                <w:szCs w:val="18"/>
              </w:rPr>
              <w:t>34.54</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7F0154A" w14:textId="77777777" w:rsidR="0001501F" w:rsidRPr="0001501F" w:rsidRDefault="0001501F" w:rsidP="0001501F">
            <w:pPr>
              <w:spacing w:line="240" w:lineRule="auto"/>
              <w:rPr>
                <w:rFonts w:eastAsia="Calibri"/>
                <w:sz w:val="22"/>
                <w:szCs w:val="18"/>
              </w:rPr>
            </w:pPr>
            <w:r w:rsidRPr="0001501F">
              <w:rPr>
                <w:rFonts w:eastAsia="Calibri"/>
                <w:sz w:val="22"/>
                <w:szCs w:val="18"/>
              </w:rPr>
              <w:t>86.45</w:t>
            </w:r>
          </w:p>
        </w:tc>
      </w:tr>
    </w:tbl>
    <w:p w14:paraId="00C0CF8A" w14:textId="77777777" w:rsidR="0001501F" w:rsidRPr="0001501F" w:rsidRDefault="0001501F" w:rsidP="0001501F">
      <w:pPr>
        <w:rPr>
          <w:rFonts w:eastAsia="Calibri"/>
        </w:rPr>
      </w:pPr>
    </w:p>
    <w:p w14:paraId="25E4986B" w14:textId="35162498" w:rsidR="0001501F" w:rsidRPr="0001501F" w:rsidRDefault="0001501F" w:rsidP="0001501F">
      <w:pPr>
        <w:pStyle w:val="Caption"/>
      </w:pPr>
      <w:bookmarkStart w:id="85" w:name="_Toc146657539"/>
      <w:bookmarkStart w:id="86" w:name="_Toc154331522"/>
      <w:r w:rsidRPr="0001501F">
        <w:t xml:space="preserve">Table </w:t>
      </w:r>
      <w:fldSimple w:instr=" STYLEREF 1 \s ">
        <w:r w:rsidR="004B7F70">
          <w:rPr>
            <w:noProof/>
          </w:rPr>
          <w:t>2</w:t>
        </w:r>
      </w:fldSimple>
      <w:r w:rsidR="00646450">
        <w:t>.</w:t>
      </w:r>
      <w:fldSimple w:instr=" SEQ Table \* ARABIC \s 1 ">
        <w:r w:rsidR="004B7F70">
          <w:rPr>
            <w:noProof/>
          </w:rPr>
          <w:t>8</w:t>
        </w:r>
      </w:fldSimple>
      <w:r w:rsidRPr="0001501F">
        <w:t xml:space="preserve"> </w:t>
      </w:r>
      <w:r w:rsidR="00DE1AFE">
        <w:t>RNAseq sample sequencing</w:t>
      </w:r>
      <w:bookmarkEnd w:id="85"/>
      <w:bookmarkEnd w:id="86"/>
    </w:p>
    <w:p w14:paraId="7587AF10" w14:textId="15BF11DE" w:rsidR="00DE1AFE" w:rsidRPr="00DE1AFE" w:rsidRDefault="00DE1AFE" w:rsidP="0065679E">
      <w:pPr>
        <w:pStyle w:val="Description"/>
      </w:pPr>
      <w:r w:rsidRPr="00DE1AFE">
        <w:t>Table indicating quality score per sample and related information</w:t>
      </w:r>
      <w:r w:rsidR="0065679E">
        <w:t xml:space="preserve"> provided by Genewiz</w:t>
      </w:r>
      <w:r>
        <w:t>.</w:t>
      </w:r>
    </w:p>
    <w:p w14:paraId="7C46D39A" w14:textId="77777777" w:rsidR="0001501F" w:rsidRDefault="0001501F" w:rsidP="0001501F">
      <w:pPr>
        <w:spacing w:line="480" w:lineRule="auto"/>
        <w:rPr>
          <w:rFonts w:eastAsia="Calibri" w:cs="Times New Roman"/>
        </w:rPr>
      </w:pPr>
    </w:p>
    <w:p w14:paraId="754F52B7" w14:textId="5D901866" w:rsidR="0001501F" w:rsidRDefault="0001501F" w:rsidP="0001501F">
      <w:pPr>
        <w:spacing w:line="480" w:lineRule="auto"/>
        <w:rPr>
          <w:rFonts w:eastAsia="Calibri" w:cs="Times New Roman"/>
        </w:rPr>
      </w:pPr>
      <w:r>
        <w:rPr>
          <w:rFonts w:eastAsia="Calibri" w:cs="Times New Roman"/>
        </w:rPr>
        <w:t xml:space="preserve">Data analysis was carried out by Genewiz according to their standard procedures. Raw reads were processed to remove any low-quality reads and adapter sequences using Trimmomatic v.0.36. High quality reads were then mapped to the barley reference genome: </w:t>
      </w:r>
      <w:r w:rsidRPr="002B4B72">
        <w:rPr>
          <w:rFonts w:eastAsia="Calibri" w:cs="Times New Roman"/>
        </w:rPr>
        <w:t>Hordeum_vulgare.MorexV3 reference genome</w:t>
      </w:r>
      <w:r w:rsidR="00C67A15">
        <w:rPr>
          <w:rFonts w:eastAsia="Calibri" w:cs="Times New Roman"/>
        </w:rPr>
        <w:t xml:space="preserve"> </w:t>
      </w:r>
      <w:r w:rsidR="00C67A15">
        <w:rPr>
          <w:rFonts w:eastAsia="Calibri" w:cs="Times New Roman"/>
        </w:rPr>
        <w:fldChar w:fldCharType="begin" w:fldLock="1"/>
      </w:r>
      <w:r w:rsidR="0008677B">
        <w:rPr>
          <w:rFonts w:eastAsia="Calibri" w:cs="Times New Roman"/>
        </w:rPr>
        <w:instrText>ADDIN CSL_CITATION {"citationItems":[{"id":"ITEM-1","itemData":{"URL":"https://plants.ensembl.org/Hordeum_vulgare/Info/Annotation/","author":[{"dropping-particle":"","family":"EnsemblPlants","given":"","non-dropping-particle":"","parse-names":false,"suffix":""}],"id":"ITEM-1","issued":{"date-parts":[["2021"]]},"title":"Hordeum vulgare Assembly and Gene Annotation","type":"webpage"},"uris":["http://www.mendeley.com/documents/?uuid=4b6e17e0-83ca-4ad1-a6c3-729a5e459c09"]}],"mendeley":{"formattedCitation":"(EnsemblPlants, 2021)","plainTextFormattedCitation":"(EnsemblPlants, 2021)","previouslyFormattedCitation":"(EnsemblPlants, 2021)"},"properties":{"noteIndex":0},"schema":"https://github.com/citation-style-language/schema/raw/master/csl-citation.json"}</w:instrText>
      </w:r>
      <w:r w:rsidR="00C67A15">
        <w:rPr>
          <w:rFonts w:eastAsia="Calibri" w:cs="Times New Roman"/>
        </w:rPr>
        <w:fldChar w:fldCharType="separate"/>
      </w:r>
      <w:r w:rsidR="00C67A15" w:rsidRPr="00C67A15">
        <w:rPr>
          <w:rFonts w:eastAsia="Calibri" w:cs="Times New Roman"/>
          <w:noProof/>
        </w:rPr>
        <w:t>(EnsemblPlants, 2021)</w:t>
      </w:r>
      <w:r w:rsidR="00C67A15">
        <w:rPr>
          <w:rFonts w:eastAsia="Calibri" w:cs="Times New Roman"/>
        </w:rPr>
        <w:fldChar w:fldCharType="end"/>
      </w:r>
      <w:r>
        <w:rPr>
          <w:rFonts w:eastAsia="Calibri" w:cs="Times New Roman"/>
        </w:rPr>
        <w:t xml:space="preserve"> (Table</w:t>
      </w:r>
      <w:r w:rsidR="00F6560B">
        <w:rPr>
          <w:rFonts w:eastAsia="Calibri" w:cs="Times New Roman"/>
        </w:rPr>
        <w:t>. 2.9</w:t>
      </w:r>
      <w:r>
        <w:rPr>
          <w:rFonts w:eastAsia="Calibri" w:cs="Times New Roman"/>
        </w:rPr>
        <w:t xml:space="preserve">). </w:t>
      </w:r>
    </w:p>
    <w:tbl>
      <w:tblPr>
        <w:tblW w:w="8212" w:type="dxa"/>
        <w:tblCellMar>
          <w:left w:w="0" w:type="dxa"/>
          <w:right w:w="0" w:type="dxa"/>
        </w:tblCellMar>
        <w:tblLook w:val="0420" w:firstRow="1" w:lastRow="0" w:firstColumn="0" w:lastColumn="0" w:noHBand="0" w:noVBand="1"/>
      </w:tblPr>
      <w:tblGrid>
        <w:gridCol w:w="1639"/>
        <w:gridCol w:w="1277"/>
        <w:gridCol w:w="1232"/>
        <w:gridCol w:w="1035"/>
        <w:gridCol w:w="1753"/>
        <w:gridCol w:w="1276"/>
      </w:tblGrid>
      <w:tr w:rsidR="00DE1AFE" w:rsidRPr="00DE1AFE" w14:paraId="55F0DCEC" w14:textId="77777777" w:rsidTr="00F6560B">
        <w:trPr>
          <w:trHeight w:val="676"/>
        </w:trPr>
        <w:tc>
          <w:tcPr>
            <w:tcW w:w="163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5" w:type="dxa"/>
              <w:bottom w:w="0" w:type="dxa"/>
              <w:right w:w="15" w:type="dxa"/>
            </w:tcMar>
            <w:vAlign w:val="bottom"/>
            <w:hideMark/>
          </w:tcPr>
          <w:p w14:paraId="09D81E18" w14:textId="77777777" w:rsidR="00DE1AFE" w:rsidRPr="00DE1AFE" w:rsidRDefault="00DE1AFE" w:rsidP="00DE1AFE">
            <w:pPr>
              <w:spacing w:line="240" w:lineRule="auto"/>
              <w:jc w:val="left"/>
              <w:rPr>
                <w:rFonts w:eastAsia="Calibri"/>
              </w:rPr>
            </w:pPr>
            <w:r w:rsidRPr="00DE1AFE">
              <w:rPr>
                <w:rFonts w:eastAsia="Calibri"/>
                <w:b/>
                <w:bCs/>
              </w:rPr>
              <w:lastRenderedPageBreak/>
              <w:t>Sample ID</w:t>
            </w:r>
          </w:p>
        </w:tc>
        <w:tc>
          <w:tcPr>
            <w:tcW w:w="127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5" w:type="dxa"/>
              <w:bottom w:w="0" w:type="dxa"/>
              <w:right w:w="15" w:type="dxa"/>
            </w:tcMar>
            <w:vAlign w:val="bottom"/>
            <w:hideMark/>
          </w:tcPr>
          <w:p w14:paraId="43072814" w14:textId="77777777" w:rsidR="00DE1AFE" w:rsidRPr="00DE1AFE" w:rsidRDefault="00DE1AFE" w:rsidP="00DE1AFE">
            <w:pPr>
              <w:spacing w:line="240" w:lineRule="auto"/>
              <w:jc w:val="left"/>
              <w:rPr>
                <w:rFonts w:eastAsia="Calibri"/>
              </w:rPr>
            </w:pPr>
            <w:r w:rsidRPr="00DE1AFE">
              <w:rPr>
                <w:rFonts w:eastAsia="Calibri"/>
                <w:b/>
                <w:bCs/>
              </w:rPr>
              <w:t>Total Reads</w:t>
            </w:r>
          </w:p>
        </w:tc>
        <w:tc>
          <w:tcPr>
            <w:tcW w:w="123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5" w:type="dxa"/>
              <w:bottom w:w="0" w:type="dxa"/>
              <w:right w:w="15" w:type="dxa"/>
            </w:tcMar>
            <w:vAlign w:val="bottom"/>
            <w:hideMark/>
          </w:tcPr>
          <w:p w14:paraId="04996B4D" w14:textId="77777777" w:rsidR="00DE1AFE" w:rsidRPr="00DE1AFE" w:rsidRDefault="00DE1AFE" w:rsidP="00DE1AFE">
            <w:pPr>
              <w:spacing w:line="240" w:lineRule="auto"/>
              <w:jc w:val="left"/>
              <w:rPr>
                <w:rFonts w:eastAsia="Calibri"/>
              </w:rPr>
            </w:pPr>
            <w:r w:rsidRPr="00DE1AFE">
              <w:rPr>
                <w:rFonts w:eastAsia="Calibri"/>
                <w:b/>
                <w:bCs/>
              </w:rPr>
              <w:t>Total Mapped Reads</w:t>
            </w:r>
          </w:p>
        </w:tc>
        <w:tc>
          <w:tcPr>
            <w:tcW w:w="103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5" w:type="dxa"/>
              <w:bottom w:w="0" w:type="dxa"/>
              <w:right w:w="15" w:type="dxa"/>
            </w:tcMar>
            <w:vAlign w:val="bottom"/>
            <w:hideMark/>
          </w:tcPr>
          <w:p w14:paraId="0CB608E5" w14:textId="77777777" w:rsidR="00DE1AFE" w:rsidRPr="00DE1AFE" w:rsidRDefault="00DE1AFE" w:rsidP="00DE1AFE">
            <w:pPr>
              <w:spacing w:line="240" w:lineRule="auto"/>
              <w:jc w:val="left"/>
              <w:rPr>
                <w:rFonts w:eastAsia="Calibri"/>
              </w:rPr>
            </w:pPr>
            <w:r w:rsidRPr="00DE1AFE">
              <w:rPr>
                <w:rFonts w:eastAsia="Calibri"/>
                <w:b/>
                <w:bCs/>
              </w:rPr>
              <w:t>% Total Mapped Reads</w:t>
            </w:r>
          </w:p>
        </w:tc>
        <w:tc>
          <w:tcPr>
            <w:tcW w:w="175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5" w:type="dxa"/>
              <w:bottom w:w="0" w:type="dxa"/>
              <w:right w:w="15" w:type="dxa"/>
            </w:tcMar>
            <w:vAlign w:val="bottom"/>
            <w:hideMark/>
          </w:tcPr>
          <w:p w14:paraId="3E7FFB34" w14:textId="77777777" w:rsidR="00DE1AFE" w:rsidRPr="00DE1AFE" w:rsidRDefault="00DE1AFE" w:rsidP="00DE1AFE">
            <w:pPr>
              <w:spacing w:line="240" w:lineRule="auto"/>
              <w:jc w:val="left"/>
              <w:rPr>
                <w:rFonts w:eastAsia="Calibri"/>
              </w:rPr>
            </w:pPr>
            <w:r w:rsidRPr="00DE1AFE">
              <w:rPr>
                <w:rFonts w:eastAsia="Calibri"/>
                <w:b/>
                <w:bCs/>
              </w:rPr>
              <w:t>Unique Mapped Reads</w:t>
            </w:r>
          </w:p>
        </w:tc>
        <w:tc>
          <w:tcPr>
            <w:tcW w:w="127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5" w:type="dxa"/>
              <w:bottom w:w="0" w:type="dxa"/>
              <w:right w:w="15" w:type="dxa"/>
            </w:tcMar>
            <w:vAlign w:val="bottom"/>
            <w:hideMark/>
          </w:tcPr>
          <w:p w14:paraId="4ED4D4B4" w14:textId="77777777" w:rsidR="00DE1AFE" w:rsidRPr="00DE1AFE" w:rsidRDefault="00DE1AFE" w:rsidP="00DE1AFE">
            <w:pPr>
              <w:spacing w:line="240" w:lineRule="auto"/>
              <w:jc w:val="left"/>
              <w:rPr>
                <w:rFonts w:eastAsia="Calibri"/>
              </w:rPr>
            </w:pPr>
            <w:r w:rsidRPr="00DE1AFE">
              <w:rPr>
                <w:rFonts w:eastAsia="Calibri"/>
                <w:b/>
                <w:bCs/>
              </w:rPr>
              <w:t>% Unique Mapped Reads</w:t>
            </w:r>
          </w:p>
        </w:tc>
      </w:tr>
      <w:tr w:rsidR="00DE1AFE" w:rsidRPr="00DE1AFE" w14:paraId="12446068" w14:textId="77777777" w:rsidTr="00DE1AFE">
        <w:trPr>
          <w:trHeight w:val="439"/>
        </w:trPr>
        <w:tc>
          <w:tcPr>
            <w:tcW w:w="163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4583A48" w14:textId="77777777" w:rsidR="00DE1AFE" w:rsidRPr="00DE1AFE" w:rsidRDefault="00DE1AFE" w:rsidP="00DE1AFE">
            <w:pPr>
              <w:spacing w:line="240" w:lineRule="auto"/>
              <w:rPr>
                <w:rFonts w:eastAsia="Calibri"/>
                <w:sz w:val="22"/>
                <w:szCs w:val="22"/>
              </w:rPr>
            </w:pPr>
            <w:r w:rsidRPr="00DE1AFE">
              <w:rPr>
                <w:rFonts w:eastAsia="Calibri"/>
                <w:sz w:val="22"/>
                <w:szCs w:val="22"/>
              </w:rPr>
              <w:t>4 hours 1/pot sample 1 (A1)</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7C088E4" w14:textId="77777777" w:rsidR="00DE1AFE" w:rsidRPr="00DE1AFE" w:rsidRDefault="00DE1AFE" w:rsidP="00DE1AFE">
            <w:pPr>
              <w:spacing w:line="240" w:lineRule="auto"/>
              <w:rPr>
                <w:rFonts w:eastAsia="Calibri"/>
                <w:sz w:val="22"/>
                <w:szCs w:val="22"/>
              </w:rPr>
            </w:pPr>
            <w:r w:rsidRPr="00DE1AFE">
              <w:rPr>
                <w:rFonts w:eastAsia="Calibri"/>
                <w:sz w:val="22"/>
                <w:szCs w:val="22"/>
              </w:rPr>
              <w:t>27,156,425</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0505729" w14:textId="77777777" w:rsidR="00DE1AFE" w:rsidRPr="00DE1AFE" w:rsidRDefault="00DE1AFE" w:rsidP="00DE1AFE">
            <w:pPr>
              <w:spacing w:line="240" w:lineRule="auto"/>
              <w:rPr>
                <w:rFonts w:eastAsia="Calibri"/>
                <w:sz w:val="22"/>
                <w:szCs w:val="22"/>
              </w:rPr>
            </w:pPr>
            <w:r w:rsidRPr="00DE1AFE">
              <w:rPr>
                <w:rFonts w:eastAsia="Calibri"/>
                <w:sz w:val="22"/>
                <w:szCs w:val="22"/>
              </w:rPr>
              <w:t>26,402,902</w:t>
            </w:r>
          </w:p>
        </w:tc>
        <w:tc>
          <w:tcPr>
            <w:tcW w:w="10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52CB2E9" w14:textId="77777777" w:rsidR="00DE1AFE" w:rsidRPr="00DE1AFE" w:rsidRDefault="00DE1AFE" w:rsidP="00DE1AFE">
            <w:pPr>
              <w:spacing w:line="240" w:lineRule="auto"/>
              <w:rPr>
                <w:rFonts w:eastAsia="Calibri"/>
                <w:sz w:val="22"/>
                <w:szCs w:val="22"/>
              </w:rPr>
            </w:pPr>
            <w:r w:rsidRPr="00DE1AFE">
              <w:rPr>
                <w:rFonts w:eastAsia="Calibri"/>
                <w:sz w:val="22"/>
                <w:szCs w:val="22"/>
              </w:rPr>
              <w:t>97.23</w:t>
            </w:r>
          </w:p>
        </w:tc>
        <w:tc>
          <w:tcPr>
            <w:tcW w:w="17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ED86785" w14:textId="77777777" w:rsidR="00DE1AFE" w:rsidRPr="00DE1AFE" w:rsidRDefault="00DE1AFE" w:rsidP="00DE1AFE">
            <w:pPr>
              <w:spacing w:line="240" w:lineRule="auto"/>
              <w:rPr>
                <w:rFonts w:eastAsia="Calibri"/>
                <w:sz w:val="22"/>
                <w:szCs w:val="22"/>
              </w:rPr>
            </w:pPr>
            <w:r w:rsidRPr="00DE1AFE">
              <w:rPr>
                <w:rFonts w:eastAsia="Calibri"/>
                <w:sz w:val="22"/>
                <w:szCs w:val="22"/>
              </w:rPr>
              <w:t>25,956,510</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F0808C0" w14:textId="77777777" w:rsidR="00DE1AFE" w:rsidRPr="00DE1AFE" w:rsidRDefault="00DE1AFE" w:rsidP="00DE1AFE">
            <w:pPr>
              <w:spacing w:line="240" w:lineRule="auto"/>
              <w:rPr>
                <w:rFonts w:eastAsia="Calibri"/>
                <w:sz w:val="22"/>
                <w:szCs w:val="22"/>
              </w:rPr>
            </w:pPr>
            <w:r w:rsidRPr="00DE1AFE">
              <w:rPr>
                <w:rFonts w:eastAsia="Calibri"/>
                <w:sz w:val="22"/>
                <w:szCs w:val="22"/>
              </w:rPr>
              <w:t>95.58</w:t>
            </w:r>
          </w:p>
        </w:tc>
      </w:tr>
      <w:tr w:rsidR="00DE1AFE" w:rsidRPr="00DE1AFE" w14:paraId="20E37EE2" w14:textId="77777777" w:rsidTr="00DE1AFE">
        <w:trPr>
          <w:trHeight w:val="439"/>
        </w:trPr>
        <w:tc>
          <w:tcPr>
            <w:tcW w:w="163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433212A" w14:textId="77777777" w:rsidR="00DE1AFE" w:rsidRPr="00DE1AFE" w:rsidRDefault="00DE1AFE" w:rsidP="00DE1AFE">
            <w:pPr>
              <w:spacing w:line="240" w:lineRule="auto"/>
              <w:rPr>
                <w:rFonts w:eastAsia="Calibri"/>
                <w:sz w:val="22"/>
                <w:szCs w:val="22"/>
              </w:rPr>
            </w:pPr>
            <w:r w:rsidRPr="00DE1AFE">
              <w:rPr>
                <w:rFonts w:eastAsia="Calibri"/>
                <w:sz w:val="22"/>
                <w:szCs w:val="22"/>
              </w:rPr>
              <w:t>4 hours 1/pot sample 2 (A2)</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88C289E" w14:textId="77777777" w:rsidR="00DE1AFE" w:rsidRPr="00DE1AFE" w:rsidRDefault="00DE1AFE" w:rsidP="00DE1AFE">
            <w:pPr>
              <w:spacing w:line="240" w:lineRule="auto"/>
              <w:rPr>
                <w:rFonts w:eastAsia="Calibri"/>
                <w:sz w:val="22"/>
                <w:szCs w:val="22"/>
              </w:rPr>
            </w:pPr>
            <w:r w:rsidRPr="00DE1AFE">
              <w:rPr>
                <w:rFonts w:eastAsia="Calibri"/>
                <w:sz w:val="22"/>
                <w:szCs w:val="22"/>
              </w:rPr>
              <w:t>17,958,976</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3FEFF80" w14:textId="77777777" w:rsidR="00DE1AFE" w:rsidRPr="00DE1AFE" w:rsidRDefault="00DE1AFE" w:rsidP="00DE1AFE">
            <w:pPr>
              <w:spacing w:line="240" w:lineRule="auto"/>
              <w:rPr>
                <w:rFonts w:eastAsia="Calibri"/>
                <w:sz w:val="22"/>
                <w:szCs w:val="22"/>
              </w:rPr>
            </w:pPr>
            <w:r w:rsidRPr="00DE1AFE">
              <w:rPr>
                <w:rFonts w:eastAsia="Calibri"/>
                <w:sz w:val="22"/>
                <w:szCs w:val="22"/>
              </w:rPr>
              <w:t>17,412,589</w:t>
            </w:r>
          </w:p>
        </w:tc>
        <w:tc>
          <w:tcPr>
            <w:tcW w:w="10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89CC3FD" w14:textId="77777777" w:rsidR="00DE1AFE" w:rsidRPr="00DE1AFE" w:rsidRDefault="00DE1AFE" w:rsidP="00DE1AFE">
            <w:pPr>
              <w:spacing w:line="240" w:lineRule="auto"/>
              <w:rPr>
                <w:rFonts w:eastAsia="Calibri"/>
                <w:sz w:val="22"/>
                <w:szCs w:val="22"/>
              </w:rPr>
            </w:pPr>
            <w:r w:rsidRPr="00DE1AFE">
              <w:rPr>
                <w:rFonts w:eastAsia="Calibri"/>
                <w:sz w:val="22"/>
                <w:szCs w:val="22"/>
              </w:rPr>
              <w:t>96.96</w:t>
            </w:r>
          </w:p>
        </w:tc>
        <w:tc>
          <w:tcPr>
            <w:tcW w:w="17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117AFBB" w14:textId="77777777" w:rsidR="00DE1AFE" w:rsidRPr="00DE1AFE" w:rsidRDefault="00DE1AFE" w:rsidP="00DE1AFE">
            <w:pPr>
              <w:spacing w:line="240" w:lineRule="auto"/>
              <w:rPr>
                <w:rFonts w:eastAsia="Calibri"/>
                <w:sz w:val="22"/>
                <w:szCs w:val="22"/>
              </w:rPr>
            </w:pPr>
            <w:r w:rsidRPr="00DE1AFE">
              <w:rPr>
                <w:rFonts w:eastAsia="Calibri"/>
                <w:sz w:val="22"/>
                <w:szCs w:val="22"/>
              </w:rPr>
              <w:t>17,053,755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4BD6548" w14:textId="77777777" w:rsidR="00DE1AFE" w:rsidRPr="00DE1AFE" w:rsidRDefault="00DE1AFE" w:rsidP="00DE1AFE">
            <w:pPr>
              <w:spacing w:line="240" w:lineRule="auto"/>
              <w:rPr>
                <w:rFonts w:eastAsia="Calibri"/>
                <w:sz w:val="22"/>
                <w:szCs w:val="22"/>
              </w:rPr>
            </w:pPr>
            <w:r w:rsidRPr="00DE1AFE">
              <w:rPr>
                <w:rFonts w:eastAsia="Calibri"/>
                <w:sz w:val="22"/>
                <w:szCs w:val="22"/>
              </w:rPr>
              <w:t>94.96</w:t>
            </w:r>
          </w:p>
        </w:tc>
      </w:tr>
      <w:tr w:rsidR="00DE1AFE" w:rsidRPr="00DE1AFE" w14:paraId="67B7CF97" w14:textId="77777777" w:rsidTr="00DE1AFE">
        <w:trPr>
          <w:trHeight w:val="439"/>
        </w:trPr>
        <w:tc>
          <w:tcPr>
            <w:tcW w:w="163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287642A" w14:textId="77777777" w:rsidR="00DE1AFE" w:rsidRPr="00DE1AFE" w:rsidRDefault="00DE1AFE" w:rsidP="00DE1AFE">
            <w:pPr>
              <w:spacing w:line="240" w:lineRule="auto"/>
              <w:rPr>
                <w:rFonts w:eastAsia="Calibri"/>
                <w:sz w:val="22"/>
                <w:szCs w:val="22"/>
              </w:rPr>
            </w:pPr>
            <w:r w:rsidRPr="00DE1AFE">
              <w:rPr>
                <w:rFonts w:eastAsia="Calibri"/>
                <w:sz w:val="22"/>
                <w:szCs w:val="22"/>
              </w:rPr>
              <w:t>4 hours 1/pot sample 3 (A3)</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F1A84B6" w14:textId="77777777" w:rsidR="00DE1AFE" w:rsidRPr="00DE1AFE" w:rsidRDefault="00DE1AFE" w:rsidP="00DE1AFE">
            <w:pPr>
              <w:spacing w:line="240" w:lineRule="auto"/>
              <w:rPr>
                <w:rFonts w:eastAsia="Calibri"/>
                <w:sz w:val="22"/>
                <w:szCs w:val="22"/>
              </w:rPr>
            </w:pPr>
            <w:r w:rsidRPr="00DE1AFE">
              <w:rPr>
                <w:rFonts w:eastAsia="Calibri"/>
                <w:sz w:val="22"/>
                <w:szCs w:val="22"/>
              </w:rPr>
              <w:t>29,675,440</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76211B6" w14:textId="77777777" w:rsidR="00DE1AFE" w:rsidRPr="00DE1AFE" w:rsidRDefault="00DE1AFE" w:rsidP="00DE1AFE">
            <w:pPr>
              <w:spacing w:line="240" w:lineRule="auto"/>
              <w:rPr>
                <w:rFonts w:eastAsia="Calibri"/>
                <w:sz w:val="22"/>
                <w:szCs w:val="22"/>
              </w:rPr>
            </w:pPr>
            <w:r w:rsidRPr="00DE1AFE">
              <w:rPr>
                <w:rFonts w:eastAsia="Calibri"/>
                <w:sz w:val="22"/>
                <w:szCs w:val="22"/>
              </w:rPr>
              <w:t>28,828,018</w:t>
            </w:r>
          </w:p>
        </w:tc>
        <w:tc>
          <w:tcPr>
            <w:tcW w:w="10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84E338D" w14:textId="77777777" w:rsidR="00DE1AFE" w:rsidRPr="00DE1AFE" w:rsidRDefault="00DE1AFE" w:rsidP="00DE1AFE">
            <w:pPr>
              <w:spacing w:line="240" w:lineRule="auto"/>
              <w:rPr>
                <w:rFonts w:eastAsia="Calibri"/>
                <w:sz w:val="22"/>
                <w:szCs w:val="22"/>
              </w:rPr>
            </w:pPr>
            <w:r w:rsidRPr="00DE1AFE">
              <w:rPr>
                <w:rFonts w:eastAsia="Calibri"/>
                <w:sz w:val="22"/>
                <w:szCs w:val="22"/>
              </w:rPr>
              <w:t>97.14</w:t>
            </w:r>
          </w:p>
        </w:tc>
        <w:tc>
          <w:tcPr>
            <w:tcW w:w="17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B1CB084" w14:textId="77777777" w:rsidR="00DE1AFE" w:rsidRPr="00DE1AFE" w:rsidRDefault="00DE1AFE" w:rsidP="00DE1AFE">
            <w:pPr>
              <w:spacing w:line="240" w:lineRule="auto"/>
              <w:rPr>
                <w:rFonts w:eastAsia="Calibri"/>
                <w:sz w:val="22"/>
                <w:szCs w:val="22"/>
              </w:rPr>
            </w:pPr>
            <w:r w:rsidRPr="00DE1AFE">
              <w:rPr>
                <w:rFonts w:eastAsia="Calibri"/>
                <w:sz w:val="22"/>
                <w:szCs w:val="22"/>
              </w:rPr>
              <w:t>28,204,032</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6ACA161" w14:textId="77777777" w:rsidR="00DE1AFE" w:rsidRPr="00DE1AFE" w:rsidRDefault="00DE1AFE" w:rsidP="00DE1AFE">
            <w:pPr>
              <w:spacing w:line="240" w:lineRule="auto"/>
              <w:rPr>
                <w:rFonts w:eastAsia="Calibri"/>
                <w:sz w:val="22"/>
                <w:szCs w:val="22"/>
              </w:rPr>
            </w:pPr>
            <w:r w:rsidRPr="00DE1AFE">
              <w:rPr>
                <w:rFonts w:eastAsia="Calibri"/>
                <w:sz w:val="22"/>
                <w:szCs w:val="22"/>
              </w:rPr>
              <w:t>95.04</w:t>
            </w:r>
          </w:p>
        </w:tc>
      </w:tr>
      <w:tr w:rsidR="00DE1AFE" w:rsidRPr="00DE1AFE" w14:paraId="56B336F7" w14:textId="77777777" w:rsidTr="00DE1AFE">
        <w:trPr>
          <w:trHeight w:val="439"/>
        </w:trPr>
        <w:tc>
          <w:tcPr>
            <w:tcW w:w="163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1A3CD64" w14:textId="77777777" w:rsidR="00DE1AFE" w:rsidRPr="00DE1AFE" w:rsidRDefault="00DE1AFE" w:rsidP="00DE1AFE">
            <w:pPr>
              <w:spacing w:line="240" w:lineRule="auto"/>
              <w:rPr>
                <w:rFonts w:eastAsia="Calibri"/>
                <w:sz w:val="22"/>
                <w:szCs w:val="22"/>
              </w:rPr>
            </w:pPr>
            <w:r w:rsidRPr="00DE1AFE">
              <w:rPr>
                <w:rFonts w:eastAsia="Calibri"/>
                <w:sz w:val="22"/>
                <w:szCs w:val="22"/>
              </w:rPr>
              <w:t>4 hours 4/pot sample 1 (B1)</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40B40A1" w14:textId="77777777" w:rsidR="00DE1AFE" w:rsidRPr="00DE1AFE" w:rsidRDefault="00DE1AFE" w:rsidP="00DE1AFE">
            <w:pPr>
              <w:spacing w:line="240" w:lineRule="auto"/>
              <w:rPr>
                <w:rFonts w:eastAsia="Calibri"/>
                <w:sz w:val="22"/>
                <w:szCs w:val="22"/>
              </w:rPr>
            </w:pPr>
            <w:r w:rsidRPr="00DE1AFE">
              <w:rPr>
                <w:rFonts w:eastAsia="Calibri"/>
                <w:sz w:val="22"/>
                <w:szCs w:val="22"/>
              </w:rPr>
              <w:t>19,037,206</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EBB4F62" w14:textId="77777777" w:rsidR="00DE1AFE" w:rsidRPr="00DE1AFE" w:rsidRDefault="00DE1AFE" w:rsidP="00DE1AFE">
            <w:pPr>
              <w:spacing w:line="240" w:lineRule="auto"/>
              <w:rPr>
                <w:rFonts w:eastAsia="Calibri"/>
                <w:sz w:val="22"/>
                <w:szCs w:val="22"/>
              </w:rPr>
            </w:pPr>
            <w:r w:rsidRPr="00DE1AFE">
              <w:rPr>
                <w:rFonts w:eastAsia="Calibri"/>
                <w:sz w:val="22"/>
                <w:szCs w:val="22"/>
              </w:rPr>
              <w:t>18,553,173</w:t>
            </w:r>
          </w:p>
        </w:tc>
        <w:tc>
          <w:tcPr>
            <w:tcW w:w="10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2E135DA" w14:textId="77777777" w:rsidR="00DE1AFE" w:rsidRPr="00DE1AFE" w:rsidRDefault="00DE1AFE" w:rsidP="00DE1AFE">
            <w:pPr>
              <w:spacing w:line="240" w:lineRule="auto"/>
              <w:rPr>
                <w:rFonts w:eastAsia="Calibri"/>
                <w:sz w:val="22"/>
                <w:szCs w:val="22"/>
              </w:rPr>
            </w:pPr>
            <w:r w:rsidRPr="00DE1AFE">
              <w:rPr>
                <w:rFonts w:eastAsia="Calibri"/>
                <w:sz w:val="22"/>
                <w:szCs w:val="22"/>
              </w:rPr>
              <w:t>97.46</w:t>
            </w:r>
          </w:p>
        </w:tc>
        <w:tc>
          <w:tcPr>
            <w:tcW w:w="17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4DB981B" w14:textId="77777777" w:rsidR="00DE1AFE" w:rsidRPr="00DE1AFE" w:rsidRDefault="00DE1AFE" w:rsidP="00DE1AFE">
            <w:pPr>
              <w:spacing w:line="240" w:lineRule="auto"/>
              <w:rPr>
                <w:rFonts w:eastAsia="Calibri"/>
                <w:sz w:val="22"/>
                <w:szCs w:val="22"/>
              </w:rPr>
            </w:pPr>
            <w:r w:rsidRPr="00DE1AFE">
              <w:rPr>
                <w:rFonts w:eastAsia="Calibri"/>
                <w:sz w:val="22"/>
                <w:szCs w:val="22"/>
              </w:rPr>
              <w:t>18,180,085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7670838" w14:textId="77777777" w:rsidR="00DE1AFE" w:rsidRPr="00DE1AFE" w:rsidRDefault="00DE1AFE" w:rsidP="00DE1AFE">
            <w:pPr>
              <w:spacing w:line="240" w:lineRule="auto"/>
              <w:rPr>
                <w:rFonts w:eastAsia="Calibri"/>
                <w:sz w:val="22"/>
                <w:szCs w:val="22"/>
              </w:rPr>
            </w:pPr>
            <w:r w:rsidRPr="00DE1AFE">
              <w:rPr>
                <w:rFonts w:eastAsia="Calibri"/>
                <w:sz w:val="22"/>
                <w:szCs w:val="22"/>
              </w:rPr>
              <w:t>95.50</w:t>
            </w:r>
          </w:p>
        </w:tc>
      </w:tr>
      <w:tr w:rsidR="00DE1AFE" w:rsidRPr="00DE1AFE" w14:paraId="0BA21F1D" w14:textId="77777777" w:rsidTr="00DE1AFE">
        <w:trPr>
          <w:trHeight w:val="439"/>
        </w:trPr>
        <w:tc>
          <w:tcPr>
            <w:tcW w:w="163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4508DC7" w14:textId="77777777" w:rsidR="00DE1AFE" w:rsidRPr="00DE1AFE" w:rsidRDefault="00DE1AFE" w:rsidP="00DE1AFE">
            <w:pPr>
              <w:spacing w:line="240" w:lineRule="auto"/>
              <w:rPr>
                <w:rFonts w:eastAsia="Calibri"/>
                <w:sz w:val="22"/>
                <w:szCs w:val="22"/>
              </w:rPr>
            </w:pPr>
            <w:r w:rsidRPr="00DE1AFE">
              <w:rPr>
                <w:rFonts w:eastAsia="Calibri"/>
                <w:sz w:val="22"/>
                <w:szCs w:val="22"/>
              </w:rPr>
              <w:t>4 hours 4/pot sample 2 (B2)</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15BE24A" w14:textId="77777777" w:rsidR="00DE1AFE" w:rsidRPr="00DE1AFE" w:rsidRDefault="00DE1AFE" w:rsidP="00DE1AFE">
            <w:pPr>
              <w:spacing w:line="240" w:lineRule="auto"/>
              <w:rPr>
                <w:rFonts w:eastAsia="Calibri"/>
                <w:sz w:val="22"/>
                <w:szCs w:val="22"/>
              </w:rPr>
            </w:pPr>
            <w:r w:rsidRPr="00DE1AFE">
              <w:rPr>
                <w:rFonts w:eastAsia="Calibri"/>
                <w:sz w:val="22"/>
                <w:szCs w:val="22"/>
              </w:rPr>
              <w:t>21,699,616</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D04DFF1" w14:textId="77777777" w:rsidR="00DE1AFE" w:rsidRPr="00DE1AFE" w:rsidRDefault="00DE1AFE" w:rsidP="00DE1AFE">
            <w:pPr>
              <w:spacing w:line="240" w:lineRule="auto"/>
              <w:rPr>
                <w:rFonts w:eastAsia="Calibri"/>
                <w:sz w:val="22"/>
                <w:szCs w:val="22"/>
              </w:rPr>
            </w:pPr>
            <w:r w:rsidRPr="00DE1AFE">
              <w:rPr>
                <w:rFonts w:eastAsia="Calibri"/>
                <w:sz w:val="22"/>
                <w:szCs w:val="22"/>
              </w:rPr>
              <w:t>21,125,148</w:t>
            </w:r>
          </w:p>
        </w:tc>
        <w:tc>
          <w:tcPr>
            <w:tcW w:w="10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F0FD6BA" w14:textId="77777777" w:rsidR="00DE1AFE" w:rsidRPr="00DE1AFE" w:rsidRDefault="00DE1AFE" w:rsidP="00DE1AFE">
            <w:pPr>
              <w:spacing w:line="240" w:lineRule="auto"/>
              <w:rPr>
                <w:rFonts w:eastAsia="Calibri"/>
                <w:sz w:val="22"/>
                <w:szCs w:val="22"/>
              </w:rPr>
            </w:pPr>
            <w:r w:rsidRPr="00DE1AFE">
              <w:rPr>
                <w:rFonts w:eastAsia="Calibri"/>
                <w:sz w:val="22"/>
                <w:szCs w:val="22"/>
              </w:rPr>
              <w:t>97.35</w:t>
            </w:r>
          </w:p>
        </w:tc>
        <w:tc>
          <w:tcPr>
            <w:tcW w:w="17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DAD5D8E" w14:textId="77777777" w:rsidR="00DE1AFE" w:rsidRPr="00DE1AFE" w:rsidRDefault="00DE1AFE" w:rsidP="00DE1AFE">
            <w:pPr>
              <w:spacing w:line="240" w:lineRule="auto"/>
              <w:rPr>
                <w:rFonts w:eastAsia="Calibri"/>
                <w:sz w:val="22"/>
                <w:szCs w:val="22"/>
              </w:rPr>
            </w:pPr>
            <w:r w:rsidRPr="00DE1AFE">
              <w:rPr>
                <w:rFonts w:eastAsia="Calibri"/>
                <w:sz w:val="22"/>
                <w:szCs w:val="22"/>
              </w:rPr>
              <w:t>20,691,025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EEB156F" w14:textId="77777777" w:rsidR="00DE1AFE" w:rsidRPr="00DE1AFE" w:rsidRDefault="00DE1AFE" w:rsidP="00DE1AFE">
            <w:pPr>
              <w:spacing w:line="240" w:lineRule="auto"/>
              <w:rPr>
                <w:rFonts w:eastAsia="Calibri"/>
                <w:sz w:val="22"/>
                <w:szCs w:val="22"/>
              </w:rPr>
            </w:pPr>
            <w:r w:rsidRPr="00DE1AFE">
              <w:rPr>
                <w:rFonts w:eastAsia="Calibri"/>
                <w:sz w:val="22"/>
                <w:szCs w:val="22"/>
              </w:rPr>
              <w:t>95.35</w:t>
            </w:r>
          </w:p>
        </w:tc>
      </w:tr>
      <w:tr w:rsidR="00DE1AFE" w:rsidRPr="00DE1AFE" w14:paraId="4A6CB842" w14:textId="77777777" w:rsidTr="00DE1AFE">
        <w:trPr>
          <w:trHeight w:val="439"/>
        </w:trPr>
        <w:tc>
          <w:tcPr>
            <w:tcW w:w="163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5906291" w14:textId="77777777" w:rsidR="00DE1AFE" w:rsidRPr="00DE1AFE" w:rsidRDefault="00DE1AFE" w:rsidP="00DE1AFE">
            <w:pPr>
              <w:spacing w:line="240" w:lineRule="auto"/>
              <w:rPr>
                <w:rFonts w:eastAsia="Calibri"/>
                <w:sz w:val="22"/>
                <w:szCs w:val="22"/>
              </w:rPr>
            </w:pPr>
            <w:r w:rsidRPr="00DE1AFE">
              <w:rPr>
                <w:rFonts w:eastAsia="Calibri"/>
                <w:sz w:val="22"/>
                <w:szCs w:val="22"/>
              </w:rPr>
              <w:t>4 hours 4/pot sample 3 (B3)</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F223601" w14:textId="77777777" w:rsidR="00DE1AFE" w:rsidRPr="00DE1AFE" w:rsidRDefault="00DE1AFE" w:rsidP="00DE1AFE">
            <w:pPr>
              <w:spacing w:line="240" w:lineRule="auto"/>
              <w:rPr>
                <w:rFonts w:eastAsia="Calibri"/>
                <w:sz w:val="22"/>
                <w:szCs w:val="22"/>
              </w:rPr>
            </w:pPr>
            <w:r w:rsidRPr="00DE1AFE">
              <w:rPr>
                <w:rFonts w:eastAsia="Calibri"/>
                <w:sz w:val="22"/>
                <w:szCs w:val="22"/>
              </w:rPr>
              <w:t>31,274,119</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E7EC2B2" w14:textId="77777777" w:rsidR="00DE1AFE" w:rsidRPr="00DE1AFE" w:rsidRDefault="00DE1AFE" w:rsidP="00DE1AFE">
            <w:pPr>
              <w:spacing w:line="240" w:lineRule="auto"/>
              <w:rPr>
                <w:rFonts w:eastAsia="Calibri"/>
                <w:sz w:val="22"/>
                <w:szCs w:val="22"/>
              </w:rPr>
            </w:pPr>
            <w:r w:rsidRPr="00DE1AFE">
              <w:rPr>
                <w:rFonts w:eastAsia="Calibri"/>
                <w:sz w:val="22"/>
                <w:szCs w:val="22"/>
              </w:rPr>
              <w:t>30,453,836</w:t>
            </w:r>
          </w:p>
        </w:tc>
        <w:tc>
          <w:tcPr>
            <w:tcW w:w="10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FFFE3BB" w14:textId="77777777" w:rsidR="00DE1AFE" w:rsidRPr="00DE1AFE" w:rsidRDefault="00DE1AFE" w:rsidP="00DE1AFE">
            <w:pPr>
              <w:spacing w:line="240" w:lineRule="auto"/>
              <w:rPr>
                <w:rFonts w:eastAsia="Calibri"/>
                <w:sz w:val="22"/>
                <w:szCs w:val="22"/>
              </w:rPr>
            </w:pPr>
            <w:r w:rsidRPr="00DE1AFE">
              <w:rPr>
                <w:rFonts w:eastAsia="Calibri"/>
                <w:sz w:val="22"/>
                <w:szCs w:val="22"/>
              </w:rPr>
              <w:t>97.38</w:t>
            </w:r>
          </w:p>
        </w:tc>
        <w:tc>
          <w:tcPr>
            <w:tcW w:w="17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6D05833" w14:textId="77777777" w:rsidR="00DE1AFE" w:rsidRPr="00DE1AFE" w:rsidRDefault="00DE1AFE" w:rsidP="00DE1AFE">
            <w:pPr>
              <w:spacing w:line="240" w:lineRule="auto"/>
              <w:rPr>
                <w:rFonts w:eastAsia="Calibri"/>
                <w:sz w:val="22"/>
                <w:szCs w:val="22"/>
              </w:rPr>
            </w:pPr>
            <w:r w:rsidRPr="00DE1AFE">
              <w:rPr>
                <w:rFonts w:eastAsia="Calibri"/>
                <w:sz w:val="22"/>
                <w:szCs w:val="22"/>
              </w:rPr>
              <w:t>29,854,699</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1D45926" w14:textId="77777777" w:rsidR="00DE1AFE" w:rsidRPr="00DE1AFE" w:rsidRDefault="00DE1AFE" w:rsidP="00DE1AFE">
            <w:pPr>
              <w:spacing w:line="240" w:lineRule="auto"/>
              <w:rPr>
                <w:rFonts w:eastAsia="Calibri"/>
                <w:sz w:val="22"/>
                <w:szCs w:val="22"/>
              </w:rPr>
            </w:pPr>
            <w:r w:rsidRPr="00DE1AFE">
              <w:rPr>
                <w:rFonts w:eastAsia="Calibri"/>
                <w:sz w:val="22"/>
                <w:szCs w:val="22"/>
              </w:rPr>
              <w:t>95.46</w:t>
            </w:r>
          </w:p>
        </w:tc>
      </w:tr>
      <w:tr w:rsidR="00DE1AFE" w:rsidRPr="00DE1AFE" w14:paraId="1652ACAB" w14:textId="77777777" w:rsidTr="00DE1AFE">
        <w:trPr>
          <w:trHeight w:val="439"/>
        </w:trPr>
        <w:tc>
          <w:tcPr>
            <w:tcW w:w="163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7E59152" w14:textId="77777777" w:rsidR="00DE1AFE" w:rsidRPr="00DE1AFE" w:rsidRDefault="00DE1AFE" w:rsidP="00DE1AFE">
            <w:pPr>
              <w:spacing w:line="240" w:lineRule="auto"/>
              <w:rPr>
                <w:rFonts w:eastAsia="Calibri"/>
                <w:sz w:val="22"/>
                <w:szCs w:val="22"/>
              </w:rPr>
            </w:pPr>
            <w:r w:rsidRPr="00DE1AFE">
              <w:rPr>
                <w:rFonts w:eastAsia="Calibri"/>
                <w:sz w:val="22"/>
                <w:szCs w:val="22"/>
              </w:rPr>
              <w:t>8 hours 1/pot sample 1 (C1)</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D04E35C" w14:textId="77777777" w:rsidR="00DE1AFE" w:rsidRPr="00DE1AFE" w:rsidRDefault="00DE1AFE" w:rsidP="00DE1AFE">
            <w:pPr>
              <w:spacing w:line="240" w:lineRule="auto"/>
              <w:rPr>
                <w:rFonts w:eastAsia="Calibri"/>
                <w:sz w:val="22"/>
                <w:szCs w:val="22"/>
              </w:rPr>
            </w:pPr>
            <w:r w:rsidRPr="00DE1AFE">
              <w:rPr>
                <w:rFonts w:eastAsia="Calibri"/>
                <w:sz w:val="22"/>
                <w:szCs w:val="22"/>
              </w:rPr>
              <w:t>32,168,773</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F9321D4" w14:textId="77777777" w:rsidR="00DE1AFE" w:rsidRPr="00DE1AFE" w:rsidRDefault="00DE1AFE" w:rsidP="00DE1AFE">
            <w:pPr>
              <w:spacing w:line="240" w:lineRule="auto"/>
              <w:rPr>
                <w:rFonts w:eastAsia="Calibri"/>
                <w:sz w:val="22"/>
                <w:szCs w:val="22"/>
              </w:rPr>
            </w:pPr>
            <w:r w:rsidRPr="00DE1AFE">
              <w:rPr>
                <w:rFonts w:eastAsia="Calibri"/>
                <w:sz w:val="22"/>
                <w:szCs w:val="22"/>
              </w:rPr>
              <w:t>31,162,180</w:t>
            </w:r>
          </w:p>
        </w:tc>
        <w:tc>
          <w:tcPr>
            <w:tcW w:w="10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A85A0F3" w14:textId="77777777" w:rsidR="00DE1AFE" w:rsidRPr="00DE1AFE" w:rsidRDefault="00DE1AFE" w:rsidP="00DE1AFE">
            <w:pPr>
              <w:spacing w:line="240" w:lineRule="auto"/>
              <w:rPr>
                <w:rFonts w:eastAsia="Calibri"/>
                <w:sz w:val="22"/>
                <w:szCs w:val="22"/>
              </w:rPr>
            </w:pPr>
            <w:r w:rsidRPr="00DE1AFE">
              <w:rPr>
                <w:rFonts w:eastAsia="Calibri"/>
                <w:sz w:val="22"/>
                <w:szCs w:val="22"/>
              </w:rPr>
              <w:t>96.87</w:t>
            </w:r>
          </w:p>
        </w:tc>
        <w:tc>
          <w:tcPr>
            <w:tcW w:w="17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37C696F" w14:textId="77777777" w:rsidR="00DE1AFE" w:rsidRPr="00DE1AFE" w:rsidRDefault="00DE1AFE" w:rsidP="00DE1AFE">
            <w:pPr>
              <w:spacing w:line="240" w:lineRule="auto"/>
              <w:rPr>
                <w:rFonts w:eastAsia="Calibri"/>
                <w:sz w:val="22"/>
                <w:szCs w:val="22"/>
              </w:rPr>
            </w:pPr>
            <w:r w:rsidRPr="00DE1AFE">
              <w:rPr>
                <w:rFonts w:eastAsia="Calibri"/>
                <w:sz w:val="22"/>
                <w:szCs w:val="22"/>
              </w:rPr>
              <w:t>30,493,441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6E5BB63" w14:textId="77777777" w:rsidR="00DE1AFE" w:rsidRPr="00DE1AFE" w:rsidRDefault="00DE1AFE" w:rsidP="00DE1AFE">
            <w:pPr>
              <w:spacing w:line="240" w:lineRule="auto"/>
              <w:rPr>
                <w:rFonts w:eastAsia="Calibri"/>
                <w:sz w:val="22"/>
                <w:szCs w:val="22"/>
              </w:rPr>
            </w:pPr>
            <w:r w:rsidRPr="00DE1AFE">
              <w:rPr>
                <w:rFonts w:eastAsia="Calibri"/>
                <w:sz w:val="22"/>
                <w:szCs w:val="22"/>
              </w:rPr>
              <w:t>94.79</w:t>
            </w:r>
          </w:p>
        </w:tc>
      </w:tr>
      <w:tr w:rsidR="00DE1AFE" w:rsidRPr="00DE1AFE" w14:paraId="5E514BAF" w14:textId="77777777" w:rsidTr="00DE1AFE">
        <w:trPr>
          <w:trHeight w:val="439"/>
        </w:trPr>
        <w:tc>
          <w:tcPr>
            <w:tcW w:w="163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CB6DE94" w14:textId="77777777" w:rsidR="00DE1AFE" w:rsidRPr="00DE1AFE" w:rsidRDefault="00DE1AFE" w:rsidP="00DE1AFE">
            <w:pPr>
              <w:spacing w:line="240" w:lineRule="auto"/>
              <w:rPr>
                <w:rFonts w:eastAsia="Calibri"/>
                <w:sz w:val="22"/>
                <w:szCs w:val="22"/>
              </w:rPr>
            </w:pPr>
            <w:r w:rsidRPr="00DE1AFE">
              <w:rPr>
                <w:rFonts w:eastAsia="Calibri"/>
                <w:sz w:val="22"/>
                <w:szCs w:val="22"/>
              </w:rPr>
              <w:t>8 hours 1/pot sample 2 (C2)</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E85D864" w14:textId="77777777" w:rsidR="00DE1AFE" w:rsidRPr="00DE1AFE" w:rsidRDefault="00DE1AFE" w:rsidP="00DE1AFE">
            <w:pPr>
              <w:spacing w:line="240" w:lineRule="auto"/>
              <w:rPr>
                <w:rFonts w:eastAsia="Calibri"/>
                <w:sz w:val="22"/>
                <w:szCs w:val="22"/>
              </w:rPr>
            </w:pPr>
            <w:r w:rsidRPr="00DE1AFE">
              <w:rPr>
                <w:rFonts w:eastAsia="Calibri"/>
                <w:sz w:val="22"/>
                <w:szCs w:val="22"/>
              </w:rPr>
              <w:t>22,317,355</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FCB3B49" w14:textId="77777777" w:rsidR="00DE1AFE" w:rsidRPr="00DE1AFE" w:rsidRDefault="00DE1AFE" w:rsidP="00DE1AFE">
            <w:pPr>
              <w:spacing w:line="240" w:lineRule="auto"/>
              <w:rPr>
                <w:rFonts w:eastAsia="Calibri"/>
                <w:sz w:val="22"/>
                <w:szCs w:val="22"/>
              </w:rPr>
            </w:pPr>
            <w:r w:rsidRPr="00DE1AFE">
              <w:rPr>
                <w:rFonts w:eastAsia="Calibri"/>
                <w:sz w:val="22"/>
                <w:szCs w:val="22"/>
              </w:rPr>
              <w:t>21,649,918</w:t>
            </w:r>
          </w:p>
        </w:tc>
        <w:tc>
          <w:tcPr>
            <w:tcW w:w="10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2AE39E1" w14:textId="77777777" w:rsidR="00DE1AFE" w:rsidRPr="00DE1AFE" w:rsidRDefault="00DE1AFE" w:rsidP="00DE1AFE">
            <w:pPr>
              <w:spacing w:line="240" w:lineRule="auto"/>
              <w:rPr>
                <w:rFonts w:eastAsia="Calibri"/>
                <w:sz w:val="22"/>
                <w:szCs w:val="22"/>
              </w:rPr>
            </w:pPr>
            <w:r w:rsidRPr="00DE1AFE">
              <w:rPr>
                <w:rFonts w:eastAsia="Calibri"/>
                <w:sz w:val="22"/>
                <w:szCs w:val="22"/>
              </w:rPr>
              <w:t>97.01</w:t>
            </w:r>
          </w:p>
        </w:tc>
        <w:tc>
          <w:tcPr>
            <w:tcW w:w="17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0EF6F31" w14:textId="77777777" w:rsidR="00DE1AFE" w:rsidRPr="00DE1AFE" w:rsidRDefault="00DE1AFE" w:rsidP="00DE1AFE">
            <w:pPr>
              <w:spacing w:line="240" w:lineRule="auto"/>
              <w:rPr>
                <w:rFonts w:eastAsia="Calibri"/>
                <w:sz w:val="22"/>
                <w:szCs w:val="22"/>
              </w:rPr>
            </w:pPr>
            <w:r w:rsidRPr="00DE1AFE">
              <w:rPr>
                <w:rFonts w:eastAsia="Calibri"/>
                <w:sz w:val="22"/>
                <w:szCs w:val="22"/>
              </w:rPr>
              <w:t>21,205,387</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C89676C" w14:textId="77777777" w:rsidR="00DE1AFE" w:rsidRPr="00DE1AFE" w:rsidRDefault="00DE1AFE" w:rsidP="00DE1AFE">
            <w:pPr>
              <w:spacing w:line="240" w:lineRule="auto"/>
              <w:rPr>
                <w:rFonts w:eastAsia="Calibri"/>
                <w:sz w:val="22"/>
                <w:szCs w:val="22"/>
              </w:rPr>
            </w:pPr>
            <w:r w:rsidRPr="00DE1AFE">
              <w:rPr>
                <w:rFonts w:eastAsia="Calibri"/>
                <w:sz w:val="22"/>
                <w:szCs w:val="22"/>
              </w:rPr>
              <w:t>95.02</w:t>
            </w:r>
          </w:p>
        </w:tc>
      </w:tr>
      <w:tr w:rsidR="00DE1AFE" w:rsidRPr="00DE1AFE" w14:paraId="2DBDFCEF" w14:textId="77777777" w:rsidTr="00DE1AFE">
        <w:trPr>
          <w:trHeight w:val="439"/>
        </w:trPr>
        <w:tc>
          <w:tcPr>
            <w:tcW w:w="163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FD17447" w14:textId="77777777" w:rsidR="00DE1AFE" w:rsidRPr="00DE1AFE" w:rsidRDefault="00DE1AFE" w:rsidP="00DE1AFE">
            <w:pPr>
              <w:spacing w:line="240" w:lineRule="auto"/>
              <w:rPr>
                <w:rFonts w:eastAsia="Calibri"/>
                <w:sz w:val="22"/>
                <w:szCs w:val="22"/>
              </w:rPr>
            </w:pPr>
            <w:r w:rsidRPr="00DE1AFE">
              <w:rPr>
                <w:rFonts w:eastAsia="Calibri"/>
                <w:sz w:val="22"/>
                <w:szCs w:val="22"/>
              </w:rPr>
              <w:t>8 hours 1/pot sample 3 (C3)</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166C3B9" w14:textId="77777777" w:rsidR="00DE1AFE" w:rsidRPr="00DE1AFE" w:rsidRDefault="00DE1AFE" w:rsidP="00DE1AFE">
            <w:pPr>
              <w:spacing w:line="240" w:lineRule="auto"/>
              <w:rPr>
                <w:rFonts w:eastAsia="Calibri"/>
                <w:sz w:val="22"/>
                <w:szCs w:val="22"/>
              </w:rPr>
            </w:pPr>
            <w:r w:rsidRPr="00DE1AFE">
              <w:rPr>
                <w:rFonts w:eastAsia="Calibri"/>
                <w:sz w:val="22"/>
                <w:szCs w:val="22"/>
              </w:rPr>
              <w:t>27,448,877</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E6F7AD4" w14:textId="77777777" w:rsidR="00DE1AFE" w:rsidRPr="00DE1AFE" w:rsidRDefault="00DE1AFE" w:rsidP="00DE1AFE">
            <w:pPr>
              <w:spacing w:line="240" w:lineRule="auto"/>
              <w:rPr>
                <w:rFonts w:eastAsia="Calibri"/>
                <w:sz w:val="22"/>
                <w:szCs w:val="22"/>
              </w:rPr>
            </w:pPr>
            <w:r w:rsidRPr="00DE1AFE">
              <w:rPr>
                <w:rFonts w:eastAsia="Calibri"/>
                <w:sz w:val="22"/>
                <w:szCs w:val="22"/>
              </w:rPr>
              <w:t>26,601,367</w:t>
            </w:r>
          </w:p>
        </w:tc>
        <w:tc>
          <w:tcPr>
            <w:tcW w:w="10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5C80310" w14:textId="77777777" w:rsidR="00DE1AFE" w:rsidRPr="00DE1AFE" w:rsidRDefault="00DE1AFE" w:rsidP="00DE1AFE">
            <w:pPr>
              <w:spacing w:line="240" w:lineRule="auto"/>
              <w:rPr>
                <w:rFonts w:eastAsia="Calibri"/>
                <w:sz w:val="22"/>
                <w:szCs w:val="22"/>
              </w:rPr>
            </w:pPr>
            <w:r w:rsidRPr="00DE1AFE">
              <w:rPr>
                <w:rFonts w:eastAsia="Calibri"/>
                <w:sz w:val="22"/>
                <w:szCs w:val="22"/>
              </w:rPr>
              <w:t>96.91</w:t>
            </w:r>
          </w:p>
        </w:tc>
        <w:tc>
          <w:tcPr>
            <w:tcW w:w="17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52A53F5" w14:textId="77777777" w:rsidR="00DE1AFE" w:rsidRPr="00DE1AFE" w:rsidRDefault="00DE1AFE" w:rsidP="00DE1AFE">
            <w:pPr>
              <w:spacing w:line="240" w:lineRule="auto"/>
              <w:rPr>
                <w:rFonts w:eastAsia="Calibri"/>
                <w:sz w:val="22"/>
                <w:szCs w:val="22"/>
              </w:rPr>
            </w:pPr>
            <w:r w:rsidRPr="00DE1AFE">
              <w:rPr>
                <w:rFonts w:eastAsia="Calibri"/>
                <w:sz w:val="22"/>
                <w:szCs w:val="22"/>
              </w:rPr>
              <w:t>26,050,245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3E39AFE" w14:textId="77777777" w:rsidR="00DE1AFE" w:rsidRPr="00DE1AFE" w:rsidRDefault="00DE1AFE" w:rsidP="00DE1AFE">
            <w:pPr>
              <w:spacing w:line="240" w:lineRule="auto"/>
              <w:rPr>
                <w:rFonts w:eastAsia="Calibri"/>
                <w:sz w:val="22"/>
                <w:szCs w:val="22"/>
              </w:rPr>
            </w:pPr>
            <w:r w:rsidRPr="00DE1AFE">
              <w:rPr>
                <w:rFonts w:eastAsia="Calibri"/>
                <w:sz w:val="22"/>
                <w:szCs w:val="22"/>
              </w:rPr>
              <w:t>94.90</w:t>
            </w:r>
          </w:p>
        </w:tc>
      </w:tr>
      <w:tr w:rsidR="00DE1AFE" w:rsidRPr="00DE1AFE" w14:paraId="34F29620" w14:textId="77777777" w:rsidTr="00DE1AFE">
        <w:trPr>
          <w:trHeight w:val="439"/>
        </w:trPr>
        <w:tc>
          <w:tcPr>
            <w:tcW w:w="163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C9D1D8F" w14:textId="77777777" w:rsidR="00DE1AFE" w:rsidRPr="00DE1AFE" w:rsidRDefault="00DE1AFE" w:rsidP="00DE1AFE">
            <w:pPr>
              <w:spacing w:line="240" w:lineRule="auto"/>
              <w:rPr>
                <w:rFonts w:eastAsia="Calibri"/>
                <w:sz w:val="22"/>
                <w:szCs w:val="22"/>
              </w:rPr>
            </w:pPr>
            <w:r w:rsidRPr="00DE1AFE">
              <w:rPr>
                <w:rFonts w:eastAsia="Calibri"/>
                <w:sz w:val="22"/>
                <w:szCs w:val="22"/>
              </w:rPr>
              <w:t>8 hours 4/pot sample 1 (D1)</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283F4C1" w14:textId="77777777" w:rsidR="00DE1AFE" w:rsidRPr="00DE1AFE" w:rsidRDefault="00DE1AFE" w:rsidP="00DE1AFE">
            <w:pPr>
              <w:spacing w:line="240" w:lineRule="auto"/>
              <w:rPr>
                <w:rFonts w:eastAsia="Calibri"/>
                <w:sz w:val="22"/>
                <w:szCs w:val="22"/>
              </w:rPr>
            </w:pPr>
            <w:r w:rsidRPr="00DE1AFE">
              <w:rPr>
                <w:rFonts w:eastAsia="Calibri"/>
                <w:sz w:val="22"/>
                <w:szCs w:val="22"/>
              </w:rPr>
              <w:t>26,708,448</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B51690D" w14:textId="77777777" w:rsidR="00DE1AFE" w:rsidRPr="00DE1AFE" w:rsidRDefault="00DE1AFE" w:rsidP="00DE1AFE">
            <w:pPr>
              <w:spacing w:line="240" w:lineRule="auto"/>
              <w:rPr>
                <w:rFonts w:eastAsia="Calibri"/>
                <w:sz w:val="22"/>
                <w:szCs w:val="22"/>
              </w:rPr>
            </w:pPr>
            <w:r w:rsidRPr="00DE1AFE">
              <w:rPr>
                <w:rFonts w:eastAsia="Calibri"/>
                <w:sz w:val="22"/>
                <w:szCs w:val="22"/>
              </w:rPr>
              <w:t>25,947,980</w:t>
            </w:r>
          </w:p>
        </w:tc>
        <w:tc>
          <w:tcPr>
            <w:tcW w:w="10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D3808DC" w14:textId="77777777" w:rsidR="00DE1AFE" w:rsidRPr="00DE1AFE" w:rsidRDefault="00DE1AFE" w:rsidP="00DE1AFE">
            <w:pPr>
              <w:spacing w:line="240" w:lineRule="auto"/>
              <w:rPr>
                <w:rFonts w:eastAsia="Calibri"/>
                <w:sz w:val="22"/>
                <w:szCs w:val="22"/>
              </w:rPr>
            </w:pPr>
            <w:r w:rsidRPr="00DE1AFE">
              <w:rPr>
                <w:rFonts w:eastAsia="Calibri"/>
                <w:sz w:val="22"/>
                <w:szCs w:val="22"/>
              </w:rPr>
              <w:t>97.15</w:t>
            </w:r>
          </w:p>
        </w:tc>
        <w:tc>
          <w:tcPr>
            <w:tcW w:w="17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9B8EAE9" w14:textId="77777777" w:rsidR="00DE1AFE" w:rsidRPr="00DE1AFE" w:rsidRDefault="00DE1AFE" w:rsidP="00DE1AFE">
            <w:pPr>
              <w:spacing w:line="240" w:lineRule="auto"/>
              <w:rPr>
                <w:rFonts w:eastAsia="Calibri"/>
                <w:sz w:val="22"/>
                <w:szCs w:val="22"/>
              </w:rPr>
            </w:pPr>
            <w:r w:rsidRPr="00DE1AFE">
              <w:rPr>
                <w:rFonts w:eastAsia="Calibri"/>
                <w:sz w:val="22"/>
                <w:szCs w:val="22"/>
              </w:rPr>
              <w:t>25,444,515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618EABF" w14:textId="77777777" w:rsidR="00DE1AFE" w:rsidRPr="00DE1AFE" w:rsidRDefault="00DE1AFE" w:rsidP="00DE1AFE">
            <w:pPr>
              <w:spacing w:line="240" w:lineRule="auto"/>
              <w:rPr>
                <w:rFonts w:eastAsia="Calibri"/>
                <w:sz w:val="22"/>
                <w:szCs w:val="22"/>
              </w:rPr>
            </w:pPr>
            <w:r w:rsidRPr="00DE1AFE">
              <w:rPr>
                <w:rFonts w:eastAsia="Calibri"/>
                <w:sz w:val="22"/>
                <w:szCs w:val="22"/>
              </w:rPr>
              <w:t>95.27</w:t>
            </w:r>
          </w:p>
        </w:tc>
      </w:tr>
      <w:tr w:rsidR="00DE1AFE" w:rsidRPr="00DE1AFE" w14:paraId="26002EDE" w14:textId="77777777" w:rsidTr="00DE1AFE">
        <w:trPr>
          <w:trHeight w:val="439"/>
        </w:trPr>
        <w:tc>
          <w:tcPr>
            <w:tcW w:w="163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9762376" w14:textId="77777777" w:rsidR="00DE1AFE" w:rsidRPr="00DE1AFE" w:rsidRDefault="00DE1AFE" w:rsidP="00DE1AFE">
            <w:pPr>
              <w:spacing w:line="240" w:lineRule="auto"/>
              <w:rPr>
                <w:rFonts w:eastAsia="Calibri"/>
                <w:sz w:val="22"/>
                <w:szCs w:val="22"/>
              </w:rPr>
            </w:pPr>
            <w:r w:rsidRPr="00DE1AFE">
              <w:rPr>
                <w:rFonts w:eastAsia="Calibri"/>
                <w:sz w:val="22"/>
                <w:szCs w:val="22"/>
              </w:rPr>
              <w:t>8 hours 4/pot sample 2 (D2)</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43B5DE8" w14:textId="77777777" w:rsidR="00DE1AFE" w:rsidRPr="00DE1AFE" w:rsidRDefault="00DE1AFE" w:rsidP="00DE1AFE">
            <w:pPr>
              <w:spacing w:line="240" w:lineRule="auto"/>
              <w:rPr>
                <w:rFonts w:eastAsia="Calibri"/>
                <w:sz w:val="22"/>
                <w:szCs w:val="22"/>
              </w:rPr>
            </w:pPr>
            <w:r w:rsidRPr="00DE1AFE">
              <w:rPr>
                <w:rFonts w:eastAsia="Calibri"/>
                <w:sz w:val="22"/>
                <w:szCs w:val="22"/>
              </w:rPr>
              <w:t>28,755,499</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48E404F" w14:textId="77777777" w:rsidR="00DE1AFE" w:rsidRPr="00DE1AFE" w:rsidRDefault="00DE1AFE" w:rsidP="00DE1AFE">
            <w:pPr>
              <w:spacing w:line="240" w:lineRule="auto"/>
              <w:rPr>
                <w:rFonts w:eastAsia="Calibri"/>
                <w:sz w:val="22"/>
                <w:szCs w:val="22"/>
              </w:rPr>
            </w:pPr>
            <w:r w:rsidRPr="00DE1AFE">
              <w:rPr>
                <w:rFonts w:eastAsia="Calibri"/>
                <w:sz w:val="22"/>
                <w:szCs w:val="22"/>
              </w:rPr>
              <w:t>27,955,932</w:t>
            </w:r>
          </w:p>
        </w:tc>
        <w:tc>
          <w:tcPr>
            <w:tcW w:w="10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045E4ED" w14:textId="77777777" w:rsidR="00DE1AFE" w:rsidRPr="00DE1AFE" w:rsidRDefault="00DE1AFE" w:rsidP="00DE1AFE">
            <w:pPr>
              <w:spacing w:line="240" w:lineRule="auto"/>
              <w:rPr>
                <w:rFonts w:eastAsia="Calibri"/>
                <w:sz w:val="22"/>
                <w:szCs w:val="22"/>
              </w:rPr>
            </w:pPr>
            <w:r w:rsidRPr="00DE1AFE">
              <w:rPr>
                <w:rFonts w:eastAsia="Calibri"/>
                <w:sz w:val="22"/>
                <w:szCs w:val="22"/>
              </w:rPr>
              <w:t>97.22</w:t>
            </w:r>
          </w:p>
        </w:tc>
        <w:tc>
          <w:tcPr>
            <w:tcW w:w="17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46C23DB" w14:textId="77777777" w:rsidR="00DE1AFE" w:rsidRPr="00DE1AFE" w:rsidRDefault="00DE1AFE" w:rsidP="00DE1AFE">
            <w:pPr>
              <w:spacing w:line="240" w:lineRule="auto"/>
              <w:rPr>
                <w:rFonts w:eastAsia="Calibri"/>
                <w:sz w:val="22"/>
                <w:szCs w:val="22"/>
              </w:rPr>
            </w:pPr>
            <w:r w:rsidRPr="00DE1AFE">
              <w:rPr>
                <w:rFonts w:eastAsia="Calibri"/>
                <w:sz w:val="22"/>
                <w:szCs w:val="22"/>
              </w:rPr>
              <w:t>27,363,603</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3A82E2C" w14:textId="77777777" w:rsidR="00DE1AFE" w:rsidRPr="00DE1AFE" w:rsidRDefault="00DE1AFE" w:rsidP="00DE1AFE">
            <w:pPr>
              <w:spacing w:line="240" w:lineRule="auto"/>
              <w:rPr>
                <w:rFonts w:eastAsia="Calibri"/>
                <w:sz w:val="22"/>
                <w:szCs w:val="22"/>
              </w:rPr>
            </w:pPr>
            <w:r w:rsidRPr="00DE1AFE">
              <w:rPr>
                <w:rFonts w:eastAsia="Calibri"/>
                <w:sz w:val="22"/>
                <w:szCs w:val="22"/>
              </w:rPr>
              <w:t>95.16</w:t>
            </w:r>
          </w:p>
        </w:tc>
      </w:tr>
      <w:tr w:rsidR="00DE1AFE" w:rsidRPr="00DE1AFE" w14:paraId="4F1FE4DB" w14:textId="77777777" w:rsidTr="00DE1AFE">
        <w:trPr>
          <w:trHeight w:val="439"/>
        </w:trPr>
        <w:tc>
          <w:tcPr>
            <w:tcW w:w="163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012CF2A" w14:textId="77777777" w:rsidR="00DE1AFE" w:rsidRPr="00DE1AFE" w:rsidRDefault="00DE1AFE" w:rsidP="00DE1AFE">
            <w:pPr>
              <w:spacing w:line="240" w:lineRule="auto"/>
              <w:rPr>
                <w:rFonts w:eastAsia="Calibri"/>
                <w:sz w:val="22"/>
                <w:szCs w:val="22"/>
              </w:rPr>
            </w:pPr>
            <w:r w:rsidRPr="00DE1AFE">
              <w:rPr>
                <w:rFonts w:eastAsia="Calibri"/>
                <w:sz w:val="22"/>
                <w:szCs w:val="22"/>
              </w:rPr>
              <w:t>8 hours 4/pot sample 3 (D3)</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CA27A44" w14:textId="77777777" w:rsidR="00DE1AFE" w:rsidRPr="00DE1AFE" w:rsidRDefault="00DE1AFE" w:rsidP="00DE1AFE">
            <w:pPr>
              <w:spacing w:line="240" w:lineRule="auto"/>
              <w:rPr>
                <w:rFonts w:eastAsia="Calibri"/>
                <w:sz w:val="22"/>
                <w:szCs w:val="22"/>
              </w:rPr>
            </w:pPr>
            <w:r w:rsidRPr="00DE1AFE">
              <w:rPr>
                <w:rFonts w:eastAsia="Calibri"/>
                <w:sz w:val="22"/>
                <w:szCs w:val="22"/>
              </w:rPr>
              <w:t>29,047,018</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0394DDC" w14:textId="77777777" w:rsidR="00DE1AFE" w:rsidRPr="00DE1AFE" w:rsidRDefault="00DE1AFE" w:rsidP="00DE1AFE">
            <w:pPr>
              <w:spacing w:line="240" w:lineRule="auto"/>
              <w:rPr>
                <w:rFonts w:eastAsia="Calibri"/>
                <w:sz w:val="22"/>
                <w:szCs w:val="22"/>
              </w:rPr>
            </w:pPr>
            <w:r w:rsidRPr="00DE1AFE">
              <w:rPr>
                <w:rFonts w:eastAsia="Calibri"/>
                <w:sz w:val="22"/>
                <w:szCs w:val="22"/>
              </w:rPr>
              <w:t>27,818,246</w:t>
            </w:r>
          </w:p>
        </w:tc>
        <w:tc>
          <w:tcPr>
            <w:tcW w:w="10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16CAB84" w14:textId="77777777" w:rsidR="00DE1AFE" w:rsidRPr="00DE1AFE" w:rsidRDefault="00DE1AFE" w:rsidP="00DE1AFE">
            <w:pPr>
              <w:spacing w:line="240" w:lineRule="auto"/>
              <w:rPr>
                <w:rFonts w:eastAsia="Calibri"/>
                <w:sz w:val="22"/>
                <w:szCs w:val="22"/>
              </w:rPr>
            </w:pPr>
            <w:r w:rsidRPr="00DE1AFE">
              <w:rPr>
                <w:rFonts w:eastAsia="Calibri"/>
                <w:sz w:val="22"/>
                <w:szCs w:val="22"/>
              </w:rPr>
              <w:t>95.77</w:t>
            </w:r>
          </w:p>
        </w:tc>
        <w:tc>
          <w:tcPr>
            <w:tcW w:w="17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0FCC271" w14:textId="77777777" w:rsidR="00DE1AFE" w:rsidRPr="00DE1AFE" w:rsidRDefault="00DE1AFE" w:rsidP="00DE1AFE">
            <w:pPr>
              <w:spacing w:line="240" w:lineRule="auto"/>
              <w:rPr>
                <w:rFonts w:eastAsia="Calibri"/>
                <w:sz w:val="22"/>
                <w:szCs w:val="22"/>
              </w:rPr>
            </w:pPr>
            <w:r w:rsidRPr="00DE1AFE">
              <w:rPr>
                <w:rFonts w:eastAsia="Calibri"/>
                <w:sz w:val="22"/>
                <w:szCs w:val="22"/>
              </w:rPr>
              <w:t>27,192,839</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BBC3A94" w14:textId="77777777" w:rsidR="00DE1AFE" w:rsidRPr="00DE1AFE" w:rsidRDefault="00DE1AFE" w:rsidP="00DE1AFE">
            <w:pPr>
              <w:spacing w:line="240" w:lineRule="auto"/>
              <w:rPr>
                <w:rFonts w:eastAsia="Calibri"/>
                <w:sz w:val="22"/>
                <w:szCs w:val="22"/>
              </w:rPr>
            </w:pPr>
            <w:r w:rsidRPr="00DE1AFE">
              <w:rPr>
                <w:rFonts w:eastAsia="Calibri"/>
                <w:sz w:val="22"/>
                <w:szCs w:val="22"/>
              </w:rPr>
              <w:t>93.62</w:t>
            </w:r>
          </w:p>
        </w:tc>
      </w:tr>
    </w:tbl>
    <w:p w14:paraId="4DF4B6FF" w14:textId="759FB46C" w:rsidR="00DE1AFE" w:rsidRDefault="00DE1AFE" w:rsidP="00DE1AFE">
      <w:pPr>
        <w:pStyle w:val="Caption"/>
      </w:pPr>
      <w:bookmarkStart w:id="87" w:name="_Toc146657540"/>
      <w:bookmarkStart w:id="88" w:name="_Toc154331523"/>
      <w:r>
        <w:t xml:space="preserve">Table </w:t>
      </w:r>
      <w:fldSimple w:instr=" STYLEREF 1 \s ">
        <w:r w:rsidR="004B7F70">
          <w:rPr>
            <w:noProof/>
          </w:rPr>
          <w:t>2</w:t>
        </w:r>
      </w:fldSimple>
      <w:r w:rsidR="00646450">
        <w:t>.</w:t>
      </w:r>
      <w:fldSimple w:instr=" SEQ Table \* ARABIC \s 1 ">
        <w:r w:rsidR="004B7F70">
          <w:rPr>
            <w:noProof/>
          </w:rPr>
          <w:t>9</w:t>
        </w:r>
      </w:fldSimple>
      <w:r>
        <w:t xml:space="preserve"> </w:t>
      </w:r>
      <w:r w:rsidRPr="00245880">
        <w:t>RNA seq mapping of sequence reads to the barley genome</w:t>
      </w:r>
      <w:bookmarkEnd w:id="87"/>
      <w:bookmarkEnd w:id="88"/>
    </w:p>
    <w:p w14:paraId="4D07F3BB" w14:textId="7B3F73F4" w:rsidR="00DE1AFE" w:rsidRDefault="00DE1AFE" w:rsidP="00DE1AFE">
      <w:pPr>
        <w:pStyle w:val="Description"/>
        <w:rPr>
          <w:rFonts w:eastAsiaTheme="minorEastAsia"/>
        </w:rPr>
      </w:pPr>
      <w:r w:rsidRPr="00DE1AFE">
        <w:rPr>
          <w:rFonts w:eastAsiaTheme="minorEastAsia"/>
        </w:rPr>
        <w:t>Table indicating number of reads mapped per sample to the Hordeum_vulgare.MorexV3 reference genome (available on Ensembl plants) and related information</w:t>
      </w:r>
      <w:r w:rsidR="0065679E">
        <w:rPr>
          <w:rFonts w:eastAsiaTheme="minorEastAsia"/>
        </w:rPr>
        <w:t>, information provided by Genewiz</w:t>
      </w:r>
      <w:r>
        <w:rPr>
          <w:rFonts w:eastAsiaTheme="minorEastAsia"/>
        </w:rPr>
        <w:t>.</w:t>
      </w:r>
    </w:p>
    <w:p w14:paraId="73A71FF2" w14:textId="77777777" w:rsidR="00DE1AFE" w:rsidRDefault="00DE1AFE" w:rsidP="00DE1AFE"/>
    <w:p w14:paraId="5772F372" w14:textId="147C8910" w:rsidR="00DE1AFE" w:rsidRDefault="0065679E" w:rsidP="00DE1AFE">
      <w:pPr>
        <w:spacing w:line="480" w:lineRule="auto"/>
        <w:rPr>
          <w:rFonts w:eastAsia="Calibri" w:cs="Times New Roman"/>
        </w:rPr>
      </w:pPr>
      <w:r>
        <w:rPr>
          <w:rFonts w:eastAsia="Calibri" w:cs="Times New Roman"/>
        </w:rPr>
        <w:t>Genewiz subsequently assessed g</w:t>
      </w:r>
      <w:r w:rsidR="00DE1AFE">
        <w:rPr>
          <w:rFonts w:eastAsia="Calibri" w:cs="Times New Roman"/>
        </w:rPr>
        <w:t>ene hit counts that were within exon regions were determined using FeatureCounts (</w:t>
      </w:r>
      <w:r w:rsidR="00DE1AFE" w:rsidRPr="00912A50">
        <w:rPr>
          <w:rFonts w:eastAsia="Calibri" w:cs="Times New Roman"/>
        </w:rPr>
        <w:t>Subread package v.1.5.2</w:t>
      </w:r>
      <w:r w:rsidR="00DE1AFE">
        <w:rPr>
          <w:rFonts w:eastAsia="Calibri" w:cs="Times New Roman"/>
        </w:rPr>
        <w:t>).</w:t>
      </w:r>
      <w:r w:rsidR="00DE1AFE" w:rsidRPr="00912A50">
        <w:rPr>
          <w:rFonts w:eastAsia="Calibri" w:cs="Times New Roman"/>
        </w:rPr>
        <w:t xml:space="preserve"> </w:t>
      </w:r>
      <w:r w:rsidR="00DE1AFE">
        <w:rPr>
          <w:rFonts w:eastAsia="Calibri" w:cs="Times New Roman"/>
        </w:rPr>
        <w:t>Differential gene expression analysis was executed by Genewiz for the comparison of 4 hours 1/pot and 4 hours 4/pot, and 8 hours 1/pot and 8 hours 4/pot using DESeq2. Log</w:t>
      </w:r>
      <w:r w:rsidR="00DE1AFE" w:rsidRPr="00103B0F">
        <w:rPr>
          <w:rFonts w:eastAsia="Calibri" w:cs="Times New Roman"/>
          <w:vertAlign w:val="subscript"/>
        </w:rPr>
        <w:t>2</w:t>
      </w:r>
      <w:r w:rsidR="00DE1AFE">
        <w:rPr>
          <w:rFonts w:eastAsia="Calibri" w:cs="Times New Roman"/>
        </w:rPr>
        <w:t xml:space="preserve"> fold changes and P values were generated by the Wald test from this analysis and </w:t>
      </w:r>
      <w:r w:rsidR="003B4DB3" w:rsidRPr="00E40634">
        <w:rPr>
          <w:rFonts w:eastAsia="Calibri" w:cs="Times New Roman"/>
        </w:rPr>
        <w:t>P</w:t>
      </w:r>
      <w:r w:rsidR="00DE1AFE">
        <w:rPr>
          <w:rFonts w:eastAsia="Calibri" w:cs="Times New Roman"/>
        </w:rPr>
        <w:t xml:space="preserve"> values were corrected using the Benjamini </w:t>
      </w:r>
      <w:r w:rsidR="00DE1AFE">
        <w:rPr>
          <w:rFonts w:eastAsia="Calibri" w:cs="Times New Roman"/>
        </w:rPr>
        <w:lastRenderedPageBreak/>
        <w:t>and Hochberg’s approach (P adjusted (Padj)), P &gt;0.05. A log</w:t>
      </w:r>
      <w:r w:rsidR="00DE1AFE" w:rsidRPr="00103B0F">
        <w:rPr>
          <w:rFonts w:eastAsia="Calibri" w:cs="Times New Roman"/>
          <w:vertAlign w:val="subscript"/>
        </w:rPr>
        <w:t>2</w:t>
      </w:r>
      <w:r w:rsidR="00DE1AFE">
        <w:rPr>
          <w:rFonts w:eastAsia="Calibri" w:cs="Times New Roman"/>
        </w:rPr>
        <w:t xml:space="preserve"> fold change (log</w:t>
      </w:r>
      <w:r w:rsidR="00DE1AFE" w:rsidRPr="00103B0F">
        <w:rPr>
          <w:rFonts w:eastAsia="Calibri" w:cs="Times New Roman"/>
          <w:vertAlign w:val="subscript"/>
        </w:rPr>
        <w:t>2</w:t>
      </w:r>
      <w:r w:rsidR="00DE1AFE">
        <w:rPr>
          <w:rFonts w:eastAsia="Calibri" w:cs="Times New Roman"/>
        </w:rPr>
        <w:t xml:space="preserve"> FC) cut off was administered at </w:t>
      </w:r>
      <w:r w:rsidR="00DE1AFE" w:rsidRPr="00E30FC7">
        <w:rPr>
          <w:rFonts w:eastAsia="Calibri" w:cs="Times New Roman"/>
        </w:rPr>
        <w:t>−1 &lt; FC &gt; 1</w:t>
      </w:r>
      <w:r w:rsidR="00DE1AFE">
        <w:rPr>
          <w:rFonts w:eastAsia="Calibri" w:cs="Times New Roman"/>
        </w:rPr>
        <w:t xml:space="preserve"> for differentially expressed genes (DEGs). </w:t>
      </w:r>
    </w:p>
    <w:p w14:paraId="72DE1D8B" w14:textId="06B41FBA" w:rsidR="00DE1AFE" w:rsidRDefault="00DE1AFE" w:rsidP="00DE1AFE">
      <w:pPr>
        <w:spacing w:line="480" w:lineRule="auto"/>
        <w:rPr>
          <w:rFonts w:eastAsia="Calibri" w:cs="Times New Roman"/>
        </w:rPr>
      </w:pPr>
      <w:r>
        <w:rPr>
          <w:rFonts w:eastAsia="Calibri" w:cs="Times New Roman"/>
          <w:noProof/>
        </w:rPr>
        <w:drawing>
          <wp:anchor distT="0" distB="0" distL="114300" distR="114300" simplePos="0" relativeHeight="251723264" behindDoc="0" locked="0" layoutInCell="1" allowOverlap="1" wp14:anchorId="25B6FE80" wp14:editId="3D2E51CD">
            <wp:simplePos x="0" y="0"/>
            <wp:positionH relativeFrom="margin">
              <wp:align>left</wp:align>
            </wp:positionH>
            <wp:positionV relativeFrom="paragraph">
              <wp:posOffset>1201154</wp:posOffset>
            </wp:positionV>
            <wp:extent cx="4943302" cy="4427913"/>
            <wp:effectExtent l="0" t="0" r="0" b="0"/>
            <wp:wrapSquare wrapText="bothSides"/>
            <wp:docPr id="1720337462" name="Picture 5" descr="A group of graphs showing different tim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37462" name="Picture 5" descr="A group of graphs showing different times&#10;&#10;Description automatically generated with medium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43302" cy="4427913"/>
                    </a:xfrm>
                    <a:prstGeom prst="rect">
                      <a:avLst/>
                    </a:prstGeom>
                  </pic:spPr>
                </pic:pic>
              </a:graphicData>
            </a:graphic>
          </wp:anchor>
        </w:drawing>
      </w:r>
      <w:r>
        <w:rPr>
          <w:rFonts w:eastAsia="Calibri" w:cs="Times New Roman"/>
        </w:rPr>
        <w:t>Expression values for each comparison is presented in both raw and normalised forms (</w:t>
      </w:r>
      <w:r w:rsidR="001857D7">
        <w:rPr>
          <w:rFonts w:eastAsia="Calibri" w:cs="Times New Roman"/>
        </w:rPr>
        <w:t>Fig. 2.7</w:t>
      </w:r>
      <w:r>
        <w:rPr>
          <w:rFonts w:eastAsia="Calibri" w:cs="Times New Roman"/>
        </w:rPr>
        <w:t>). Normalisation was done by Genewiz to adjust for variations in sequencing amount, this allows for determination of DEGs.</w:t>
      </w:r>
    </w:p>
    <w:p w14:paraId="32CE3DAB" w14:textId="5FF84A05" w:rsidR="00DE1AFE" w:rsidRDefault="00DE1AFE" w:rsidP="00DE1AFE">
      <w:pPr>
        <w:pStyle w:val="Caption"/>
      </w:pPr>
      <w:bookmarkStart w:id="89" w:name="_Toc146657541"/>
      <w:bookmarkStart w:id="90" w:name="_Toc154331533"/>
      <w:r>
        <w:t xml:space="preserve">Figure </w:t>
      </w:r>
      <w:fldSimple w:instr=" STYLEREF 1 \s ">
        <w:r w:rsidR="004B7F70">
          <w:rPr>
            <w:noProof/>
          </w:rPr>
          <w:t>2</w:t>
        </w:r>
      </w:fldSimple>
      <w:r w:rsidR="00C97D34">
        <w:t>.</w:t>
      </w:r>
      <w:fldSimple w:instr=" SEQ Figure \* ARABIC \s 1 ">
        <w:r w:rsidR="004B7F70">
          <w:rPr>
            <w:noProof/>
          </w:rPr>
          <w:t>7</w:t>
        </w:r>
      </w:fldSimple>
      <w:r>
        <w:t xml:space="preserve"> </w:t>
      </w:r>
      <w:r w:rsidRPr="00B91F6F">
        <w:t>Raw and normalised expression values</w:t>
      </w:r>
      <w:bookmarkEnd w:id="89"/>
      <w:bookmarkEnd w:id="90"/>
    </w:p>
    <w:p w14:paraId="2FD17504" w14:textId="2BF03674" w:rsidR="00DE1AFE" w:rsidRPr="0065679E" w:rsidRDefault="00DE1AFE" w:rsidP="0065679E">
      <w:pPr>
        <w:pStyle w:val="Description"/>
        <w:rPr>
          <w:rFonts w:eastAsia="Calibri"/>
        </w:rPr>
      </w:pPr>
      <w:r w:rsidRPr="0065679E">
        <w:rPr>
          <w:rFonts w:eastAsia="Calibri"/>
        </w:rPr>
        <w:t xml:space="preserve">Graphs </w:t>
      </w:r>
      <w:r w:rsidR="00801F44" w:rsidRPr="0065679E">
        <w:rPr>
          <w:rFonts w:eastAsia="Calibri"/>
        </w:rPr>
        <w:t>(produced by Genewiz</w:t>
      </w:r>
      <w:r w:rsidR="00DF6BB6">
        <w:rPr>
          <w:rFonts w:eastAsia="Calibri"/>
        </w:rPr>
        <w:t xml:space="preserve"> and modified for this thesis</w:t>
      </w:r>
      <w:r w:rsidR="00801F44" w:rsidRPr="0065679E">
        <w:rPr>
          <w:rFonts w:eastAsia="Calibri"/>
        </w:rPr>
        <w:t xml:space="preserve">) </w:t>
      </w:r>
      <w:r w:rsidRPr="0065679E">
        <w:rPr>
          <w:rFonts w:eastAsia="Calibri"/>
        </w:rPr>
        <w:t>showing barley (cv</w:t>
      </w:r>
      <w:r w:rsidR="00801F44" w:rsidRPr="0065679E">
        <w:rPr>
          <w:rFonts w:eastAsia="Calibri"/>
        </w:rPr>
        <w:t>.</w:t>
      </w:r>
      <w:r w:rsidRPr="0065679E">
        <w:rPr>
          <w:rFonts w:eastAsia="Calibri"/>
        </w:rPr>
        <w:t xml:space="preserve"> Charon) RNAseq data 4 and 8 hours post crowding initiation. </w:t>
      </w:r>
    </w:p>
    <w:p w14:paraId="1182FA5D" w14:textId="77777777" w:rsidR="00DE1AFE" w:rsidRPr="0065679E" w:rsidRDefault="00DE1AFE" w:rsidP="0065679E">
      <w:pPr>
        <w:pStyle w:val="Description"/>
        <w:rPr>
          <w:rFonts w:eastAsia="Calibri"/>
        </w:rPr>
      </w:pPr>
      <w:r w:rsidRPr="0065679E">
        <w:rPr>
          <w:rFonts w:eastAsia="Calibri"/>
        </w:rPr>
        <w:t>A-B) Boxplots depicting raw expression values for the 2 timepoints assessed, 4 hours 1/pot vs 4/pot (A) and 8 hours 1/pot vs 4/pot (B)</w:t>
      </w:r>
    </w:p>
    <w:p w14:paraId="68CB8871" w14:textId="77777777" w:rsidR="00DE1AFE" w:rsidRPr="0065679E" w:rsidRDefault="00DE1AFE" w:rsidP="0065679E">
      <w:pPr>
        <w:pStyle w:val="Description"/>
        <w:rPr>
          <w:rFonts w:eastAsia="Calibri"/>
        </w:rPr>
      </w:pPr>
      <w:r w:rsidRPr="0065679E">
        <w:rPr>
          <w:rFonts w:eastAsia="Calibri"/>
        </w:rPr>
        <w:t>C-D) Boxplots depicting normalised expression values for the 2 timepoints assessed, 4 hours 1/pot vs 4/pot (C) and 8 hours 1/pot vs 4/pot (D). Normalisation was carried out to ensure accurate determination of differentially expressed genes (DEGs).</w:t>
      </w:r>
    </w:p>
    <w:p w14:paraId="2CCC2C6F" w14:textId="77777777" w:rsidR="00DE1AFE" w:rsidRDefault="00DE1AFE" w:rsidP="00DE1AFE">
      <w:pPr>
        <w:pStyle w:val="Description"/>
        <w:rPr>
          <w:rFonts w:eastAsia="Calibri"/>
        </w:rPr>
      </w:pPr>
    </w:p>
    <w:p w14:paraId="34EC4302" w14:textId="61BD3706" w:rsidR="00DE1AFE" w:rsidRPr="00DE1AFE" w:rsidRDefault="00DE1AFE" w:rsidP="00DE1AFE">
      <w:pPr>
        <w:rPr>
          <w:rFonts w:eastAsia="Calibri"/>
        </w:rPr>
      </w:pPr>
      <w:r w:rsidRPr="001A6331">
        <w:rPr>
          <w:rFonts w:eastAsia="Calibri" w:cs="Times New Roman"/>
          <w:i/>
          <w:iCs/>
          <w:noProof/>
        </w:rPr>
        <w:lastRenderedPageBreak/>
        <w:drawing>
          <wp:anchor distT="0" distB="0" distL="114300" distR="114300" simplePos="0" relativeHeight="251730432" behindDoc="0" locked="0" layoutInCell="1" allowOverlap="1" wp14:anchorId="32F4D911" wp14:editId="76382CA0">
            <wp:simplePos x="0" y="0"/>
            <wp:positionH relativeFrom="margin">
              <wp:posOffset>0</wp:posOffset>
            </wp:positionH>
            <wp:positionV relativeFrom="paragraph">
              <wp:posOffset>309245</wp:posOffset>
            </wp:positionV>
            <wp:extent cx="5104015" cy="2806931"/>
            <wp:effectExtent l="0" t="0" r="1905" b="0"/>
            <wp:wrapSquare wrapText="bothSides"/>
            <wp:docPr id="540233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33853" name="Picture 54023385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04015" cy="2806931"/>
                    </a:xfrm>
                    <a:prstGeom prst="rect">
                      <a:avLst/>
                    </a:prstGeom>
                  </pic:spPr>
                </pic:pic>
              </a:graphicData>
            </a:graphic>
          </wp:anchor>
        </w:drawing>
      </w:r>
    </w:p>
    <w:p w14:paraId="1D31FB56" w14:textId="77777777" w:rsidR="00DE1AFE" w:rsidRPr="00DE1AFE" w:rsidRDefault="00DE1AFE" w:rsidP="00DE1AFE"/>
    <w:p w14:paraId="46C4F557" w14:textId="6BA00A97" w:rsidR="00DE1AFE" w:rsidRDefault="00DE1AFE" w:rsidP="00DE1AFE">
      <w:pPr>
        <w:pStyle w:val="Caption"/>
      </w:pPr>
      <w:bookmarkStart w:id="91" w:name="_Toc146657542"/>
      <w:bookmarkStart w:id="92" w:name="_Toc154331534"/>
      <w:r>
        <w:t xml:space="preserve">Figure </w:t>
      </w:r>
      <w:fldSimple w:instr=" STYLEREF 1 \s ">
        <w:r w:rsidR="004B7F70">
          <w:rPr>
            <w:noProof/>
          </w:rPr>
          <w:t>2</w:t>
        </w:r>
      </w:fldSimple>
      <w:r w:rsidR="00C97D34">
        <w:t>.</w:t>
      </w:r>
      <w:fldSimple w:instr=" SEQ Figure \* ARABIC \s 1 ">
        <w:r w:rsidR="004B7F70">
          <w:rPr>
            <w:noProof/>
          </w:rPr>
          <w:t>8</w:t>
        </w:r>
      </w:fldSimple>
      <w:r>
        <w:t xml:space="preserve"> Distance between samples</w:t>
      </w:r>
      <w:bookmarkEnd w:id="91"/>
      <w:bookmarkEnd w:id="92"/>
    </w:p>
    <w:p w14:paraId="6420CDC4" w14:textId="7DFB382F" w:rsidR="00DE1AFE" w:rsidRDefault="00DE1AFE" w:rsidP="00DE1AFE">
      <w:pPr>
        <w:pStyle w:val="Description"/>
        <w:rPr>
          <w:rFonts w:eastAsia="Calibri"/>
        </w:rPr>
      </w:pPr>
      <w:r w:rsidRPr="001A6331">
        <w:rPr>
          <w:rFonts w:eastAsia="Calibri"/>
        </w:rPr>
        <w:t>A-B) Heatmaps</w:t>
      </w:r>
      <w:r w:rsidR="00BB2359">
        <w:rPr>
          <w:rFonts w:eastAsia="Calibri"/>
        </w:rPr>
        <w:t xml:space="preserve"> (produced by Genewiz) </w:t>
      </w:r>
      <w:r w:rsidRPr="001A6331">
        <w:rPr>
          <w:rFonts w:eastAsia="Calibri"/>
        </w:rPr>
        <w:t>showing distance between samples within a comparison using expression values. 4 hour 1/pot vs 4/pot (A) and 8 hours 1/pot vs 4/pot (B). A short distance indicates samples which are closely related. Graphs provided by Genewiz and modified for this thesis.</w:t>
      </w:r>
    </w:p>
    <w:p w14:paraId="32FE6441" w14:textId="77777777" w:rsidR="00DE1AFE" w:rsidRPr="00DE1AFE" w:rsidRDefault="00DE1AFE" w:rsidP="00DE1AFE">
      <w:pPr>
        <w:pStyle w:val="Description"/>
        <w:rPr>
          <w:rFonts w:eastAsia="Calibri"/>
        </w:rPr>
      </w:pPr>
    </w:p>
    <w:p w14:paraId="400C08AA" w14:textId="6B9DB6D2" w:rsidR="00DE1AFE" w:rsidRDefault="004C4079" w:rsidP="00743E4C">
      <w:pPr>
        <w:pStyle w:val="Heading3"/>
      </w:pPr>
      <w:bookmarkStart w:id="93" w:name="_Toc154331467"/>
      <w:r>
        <w:t>Barley gene name assignments</w:t>
      </w:r>
      <w:bookmarkEnd w:id="93"/>
    </w:p>
    <w:p w14:paraId="49B40F44" w14:textId="1BEAB88B" w:rsidR="004C4079" w:rsidRPr="002C55EE" w:rsidRDefault="004C4079" w:rsidP="004C4079">
      <w:pPr>
        <w:spacing w:line="480" w:lineRule="auto"/>
        <w:rPr>
          <w:rFonts w:eastAsia="Calibri" w:cs="Times New Roman"/>
        </w:rPr>
      </w:pPr>
      <w:r>
        <w:rPr>
          <w:rFonts w:eastAsia="Calibri" w:cs="Times New Roman"/>
        </w:rPr>
        <w:t xml:space="preserve">Due to the barley genome having </w:t>
      </w:r>
      <w:r w:rsidR="005C242E">
        <w:rPr>
          <w:rFonts w:eastAsia="Calibri" w:cs="Times New Roman"/>
        </w:rPr>
        <w:t>fewer</w:t>
      </w:r>
      <w:r>
        <w:rPr>
          <w:rFonts w:eastAsia="Calibri" w:cs="Times New Roman"/>
        </w:rPr>
        <w:t xml:space="preserve"> genes </w:t>
      </w:r>
      <w:r w:rsidR="005C242E">
        <w:rPr>
          <w:rFonts w:eastAsia="Calibri" w:cs="Times New Roman"/>
        </w:rPr>
        <w:t xml:space="preserve">with </w:t>
      </w:r>
      <w:r>
        <w:rPr>
          <w:rFonts w:eastAsia="Calibri" w:cs="Times New Roman"/>
        </w:rPr>
        <w:t>functional annotat</w:t>
      </w:r>
      <w:r w:rsidR="005C242E">
        <w:rPr>
          <w:rFonts w:eastAsia="Calibri" w:cs="Times New Roman"/>
        </w:rPr>
        <w:t>ions</w:t>
      </w:r>
      <w:r>
        <w:rPr>
          <w:rFonts w:eastAsia="Calibri" w:cs="Times New Roman"/>
        </w:rPr>
        <w:t xml:space="preserve"> than </w:t>
      </w:r>
      <w:r w:rsidRPr="005C242E">
        <w:rPr>
          <w:rFonts w:eastAsia="Calibri" w:cs="Times New Roman"/>
          <w:i/>
          <w:iCs/>
        </w:rPr>
        <w:t>Arabidopsis thaliana</w:t>
      </w:r>
      <w:r>
        <w:rPr>
          <w:rFonts w:eastAsia="Calibri" w:cs="Times New Roman"/>
        </w:rPr>
        <w:t xml:space="preserve">, </w:t>
      </w:r>
      <w:r w:rsidRPr="002A675E">
        <w:rPr>
          <w:rFonts w:eastAsia="Calibri" w:cs="Times New Roman"/>
        </w:rPr>
        <w:t xml:space="preserve">differentially expressed gene lists for 1/pot and 4/pot plants at 4- and 8-hours post crowding </w:t>
      </w:r>
      <w:r>
        <w:rPr>
          <w:rFonts w:eastAsia="Calibri" w:cs="Times New Roman"/>
        </w:rPr>
        <w:t>were assessed for their Arabidopsis orthologs using Ensembl Plants</w:t>
      </w:r>
      <w:r w:rsidR="005C242E">
        <w:rPr>
          <w:rFonts w:eastAsia="Calibri" w:cs="Times New Roman"/>
        </w:rPr>
        <w:t xml:space="preserve"> </w:t>
      </w:r>
      <w:r w:rsidR="005C242E">
        <w:rPr>
          <w:rFonts w:eastAsia="Calibri" w:cs="Times New Roman"/>
        </w:rPr>
        <w:fldChar w:fldCharType="begin" w:fldLock="1"/>
      </w:r>
      <w:r w:rsidR="005C242E">
        <w:rPr>
          <w:rFonts w:eastAsia="Calibri" w:cs="Times New Roman"/>
        </w:rPr>
        <w:instrText>ADDIN CSL_CITATION {"citationItems":[{"id":"ITEM-1","itemData":{"DOI":"10.1093/nar/gkab1007","ISSN":"0305-1048","abstract":"Ensembl Genomes (https://www.ensemblgenomes.org) provides access to non-vertebrate genomes and analysis complementing vertebrate resources developed by the Ensembl project (https://www.ensembl.org). The two resources collectively present genome annotation through a consistent set of interfaces spanning the tree of life presenting genome sequence, annotation, variation, transcriptomic data and comparative analysis. Here, we present our largest increase in plant, metazoan and fungal genomes since the project's inception creating one of the world's most comprehensive genomic resources and describe our efforts to reduce genome redundancy in our Bacteria portal. We detail our new efforts in gene annotation, our emerging support for pangenome analysis, our efforts to accelerate data dissemination through the Ensembl Rapid Release resource and our new AlphaFold visualization. Finally, we present details of our future plans including updates on our integration with Ensembl, and how we plan to improve our support for the microbial research community. Software and data are made available without restriction via our website, online tools platform and programmatic interfaces (available under an Apache 2.0 license). Data updates are synchronised with Ensembl's release cycle.","author":[{"dropping-particle":"","family":"Yates","given":"Andrew D","non-dropping-particle":"","parse-names":false,"suffix":""},{"dropping-particle":"","family":"Allen","given":"James","non-dropping-particle":"","parse-names":false,"suffix":""},{"dropping-particle":"","family":"Amode","given":"Ridwan M","non-dropping-particle":"","parse-names":false,"suffix":""},{"dropping-particle":"","family":"Azov","given":"Andrey G","non-dropping-particle":"","parse-names":false,"suffix":""},{"dropping-particle":"","family":"Barba","given":"Matthieu","non-dropping-particle":"","parse-names":false,"suffix":""},{"dropping-particle":"","family":"Becerra","given":"Andrés","non-dropping-particle":"","parse-names":false,"suffix":""},{"dropping-particle":"","family":"Bhai","given":"Jyothish","non-dropping-particle":"","parse-names":false,"suffix":""},{"dropping-particle":"","family":"Campbell","given":"Lahcen I","non-dropping-particle":"","parse-names":false,"suffix":""},{"dropping-particle":"","family":"Carbajo Martinez","given":"Manuel","non-dropping-particle":"","parse-names":false,"suffix":""},{"dropping-particle":"","family":"Chakiachvili","given":"Marc","non-dropping-particle":"","parse-names":false,"suffix":""},{"dropping-particle":"","family":"Chougule","given":"Kapeel","non-dropping-particle":"","parse-names":false,"suffix":""},{"dropping-particle":"","family":"Christensen","given":"Mikkel","non-dropping-particle":"","parse-names":false,"suffix":""},{"dropping-particle":"","family":"Contreras-Moreira","given":"Bruno","non-dropping-particle":"","parse-names":false,"suffix":""},{"dropping-particle":"","family":"Cuzick","given":"Alayne","non-dropping-particle":"","parse-names":false,"suffix":""},{"dropping-particle":"","family":"Rin Fioretto","given":"Luca","non-dropping-particle":"Da","parse-names":false,"suffix":""},{"dropping-particle":"","family":"Davis","given":"Paul","non-dropping-particle":"","parse-names":false,"suffix":""},{"dropping-particle":"","family":"Silva","given":"Nishadi H","non-dropping-particle":"De","parse-names":false,"suffix":""},{"dropping-particle":"","family":"Diamantakis","given":"Stavros","non-dropping-particle":"","parse-names":false,"suffix":""},{"dropping-particle":"","family":"Dyer","given":"Sarah","non-dropping-particle":"","parse-names":false,"suffix":""},{"dropping-particle":"","family":"Elser","given":"Justin","non-dropping-particle":"","parse-names":false,"suffix":""},{"dropping-particle":"V","family":"Filippi","given":"Carla","non-dropping-particle":"","parse-names":false,"suffix":""},{"dropping-particle":"","family":"Gall","given":"Astrid","non-dropping-particle":"","parse-names":false,"suffix":""},{"dropping-particle":"","family":"Grigoriadis","given":"Dionysios","non-dropping-particle":"","parse-names":false,"suffix":""},{"dropping-particle":"","family":"Guijarro-Clarke","given":"Cristina","non-dropping-particle":"","parse-names":false,"suffix":""},{"dropping-particle":"","family":"Gupta","given":"Parul","non-dropping-particle":"","parse-names":false,"suffix":""},{"dropping-particle":"","family":"Hammond-Kosack","given":"Kim E","non-dropping-particle":"","parse-names":false,"suffix":""},{"dropping-particle":"","family":"Howe","given":"Kevin L","non-dropping-particle":"","parse-names":false,"suffix":""},{"dropping-particle":"","family":"Jaiswal","given":"Pankaj","non-dropping-particle":"","parse-names":false,"suffix":""},{"dropping-particle":"","family":"Kaikala","given":"Vinay","non-dropping-particle":"","parse-names":false,"suffix":""},{"dropping-particle":"","family":"Kumar","given":"Vivek","non-dropping-particle":"","parse-names":false,"suffix":""},{"dropping-particle":"","family":"Kumari","given":"Sunita","non-dropping-particle":"","parse-names":false,"suffix":""},{"dropping-particle":"","family":"Langridge","given":"Nick","non-dropping-particle":"","parse-names":false,"suffix":""},{"dropping-particle":"","family":"Le","given":"Tuan","non-dropping-particle":"","parse-names":false,"suffix":""},{"dropping-particle":"","family":"Luypaert","given":"Manuel","non-dropping-particle":"","parse-names":false,"suffix":""},{"dropping-particle":"","family":"Maslen","given":"Gareth L","non-dropping-particle":"","parse-names":false,"suffix":""},{"dropping-particle":"","family":"Maurel","given":"Thomas","non-dropping-particle":"","parse-names":false,"suffix":""},{"dropping-particle":"","family":"Moore","given":"Benjamin","non-dropping-particle":"","parse-names":false,"suffix":""},{"dropping-particle":"","family":"Muffato","given":"Matthieu","non-dropping-particle":"","parse-names":false,"suffix":""},{"dropping-particle":"","family":"Mushtaq","given":"Aleena","non-dropping-particle":"","parse-names":false,"suffix":""},{"dropping-particle":"","family":"Naamati","given":"Guy","non-dropping-particle":"","parse-names":false,"suffix":""},{"dropping-particle":"","family":"Naithani","given":"Sushma","non-dropping-particle":"","parse-names":false,"suffix":""},{"dropping-particle":"","family":"Olson","given":"Andrew","non-dropping-particle":"","parse-names":false,"suffix":""},{"dropping-particle":"","family":"Parker","given":"Anne","non-dropping-particle":"","parse-names":false,"suffix":""},{"dropping-particle":"","family":"Paulini","given":"Michael","non-dropping-particle":"","parse-names":false,"suffix":""},{"dropping-particle":"","family":"Pedro","given":"Helder","non-dropping-particle":"","parse-names":false,"suffix":""},{"dropping-particle":"","family":"Perry","given":"Emily","non-dropping-particle":"","parse-names":false,"suffix":""},{"dropping-particle":"","family":"Preece","given":"Justin","non-dropping-particle":"","parse-names":false,"suffix":""},{"dropping-particle":"","family":"Quinton-Tulloch","given":"Mark","non-dropping-particle":"","parse-names":false,"suffix":""},{"dropping-particle":"","family":"Rodgers","given":"Faye","non-dropping-particle":"","parse-names":false,"suffix":""},{"dropping-particle":"","family":"Rosello","given":"Marc","non-dropping-particle":"","parse-names":false,"suffix":""},{"dropping-particle":"","family":"Ruffier","given":"Magali","non-dropping-particle":"","parse-names":false,"suffix":""},{"dropping-particle":"","family":"Seager","given":"James","non-dropping-particle":"","parse-names":false,"suffix":""},{"dropping-particle":"","family":"Sitnik","given":"Vasily","non-dropping-particle":"","parse-names":false,"suffix":""},{"dropping-particle":"","family":"Szpak","given":"Michal","non-dropping-particle":"","parse-names":false,"suffix":""},{"dropping-particle":"","family":"Tate","given":"John","non-dropping-particle":"","parse-names":false,"suffix":""},{"dropping-particle":"","family":"Tello-Ruiz","given":"Marcela K","non-dropping-particle":"","parse-names":false,"suffix":""},{"dropping-particle":"","family":"Trevanion","given":"Stephen J","non-dropping-particle":"","parse-names":false,"suffix":""},{"dropping-particle":"","family":"Urban","given":"Martin","non-dropping-particle":"","parse-names":false,"suffix":""},{"dropping-particle":"","family":"Ware","given":"Doreen","non-dropping-particle":"","parse-names":false,"suffix":""},{"dropping-particle":"","family":"Wei","given":"Sharon","non-dropping-particle":"","parse-names":false,"suffix":""},{"dropping-particle":"","family":"Williams","given":"Gary","non-dropping-particle":"","parse-names":false,"suffix":""},{"dropping-particle":"","family":"Winterbottom","given":"Andrea","non-dropping-particle":"","parse-names":false,"suffix":""},{"dropping-particle":"","family":"Zarowiecki","given":"Magdalena","non-dropping-particle":"","parse-names":false,"suffix":""},{"dropping-particle":"","family":"Finn","given":"Robert D","non-dropping-particle":"","parse-names":false,"suffix":""},{"dropping-particle":"","family":"Flicek","given":"Paul","non-dropping-particle":"","parse-names":false,"suffix":""}],"container-title":"Nucleic Acids Research","id":"ITEM-1","issue":"D1","issued":{"date-parts":[["2022","1","7"]]},"page":"D996-D1003","title":"Ensembl Genomes 2022: an expanding genome resource for non-vertebrates","type":"article-journal","volume":"50"},"uris":["http://www.mendeley.com/documents/?uuid=50c5dc4e-06d3-46f3-a603-0849eb5a7dc8"]}],"mendeley":{"formattedCitation":"(Yates et al., 2022)","plainTextFormattedCitation":"(Yates et al., 2022)","previouslyFormattedCitation":"(Yates et al., 2022)"},"properties":{"noteIndex":0},"schema":"https://github.com/citation-style-language/schema/raw/master/csl-citation.json"}</w:instrText>
      </w:r>
      <w:r w:rsidR="005C242E">
        <w:rPr>
          <w:rFonts w:eastAsia="Calibri" w:cs="Times New Roman"/>
        </w:rPr>
        <w:fldChar w:fldCharType="separate"/>
      </w:r>
      <w:r w:rsidR="005C242E" w:rsidRPr="005C242E">
        <w:rPr>
          <w:rFonts w:eastAsia="Calibri" w:cs="Times New Roman"/>
          <w:noProof/>
        </w:rPr>
        <w:t>(Yates et al., 2022)</w:t>
      </w:r>
      <w:r w:rsidR="005C242E">
        <w:rPr>
          <w:rFonts w:eastAsia="Calibri" w:cs="Times New Roman"/>
        </w:rPr>
        <w:fldChar w:fldCharType="end"/>
      </w:r>
      <w:r>
        <w:rPr>
          <w:rFonts w:eastAsia="Calibri" w:cs="Times New Roman"/>
        </w:rPr>
        <w:t xml:space="preserve">. If Arabidopsis orthologs were present these were recorded, if not, the barley protein sequence for that gene was blasted against the Tair10 Arabidopsis genome </w:t>
      </w:r>
      <w:r w:rsidR="003C6E60">
        <w:rPr>
          <w:rFonts w:eastAsia="Calibri" w:cs="Times New Roman"/>
        </w:rPr>
        <w:fldChar w:fldCharType="begin" w:fldLock="1"/>
      </w:r>
      <w:r w:rsidR="00BC5C26">
        <w:rPr>
          <w:rFonts w:eastAsia="Calibri" w:cs="Times New Roman"/>
        </w:rPr>
        <w:instrText>ADDIN CSL_CITATION {"citationItems":[{"id":"ITEM-1","itemData":{"DOI":"10.1002/dvg.22877","ISSN":"1526-954X","abstract":"The Arabidopsis Information Resource (TAIR) is a continuously updated, online database of genetic and molecular biology data for the model plant Arabidopsis thaliana that provides a global research community with centralized access to data for over 30,000 Arabidopsis genes. TAIR's biocurators systematically extract, organize, and interconnect experimental data from the literature along with computational predictions, community submissions, and high throughput datasets to present a high quality and comprehensive picture of Arabidopsis gene function. TAIR provides tools for data visualization and analysis, and enables ordering of seed and DNA stocks, protein chips, and other experimental resources. TAIR actively engages with its users who contribute expertise and data that augments the work of the curatorial staff. TAIR's focus in an extensive and evolving ecosystem of online resources for plant biology is on the critically important role of extracting experimentally based research findings from the literature and making that information computationally accessible. In response to the loss of government grant funding, the TAIR team founded a nonprofit entity, Phoenix Bioinformatics, with the aim of developing sustainable funding models for biological databases, using TAIR as a test case. Phoenix has successfully transitioned TAIR to subscription</w:instrText>
      </w:r>
      <w:r w:rsidR="00BC5C26">
        <w:rPr>
          <w:rFonts w:ascii="Cambria Math" w:eastAsia="Calibri" w:hAnsi="Cambria Math" w:cs="Cambria Math"/>
        </w:rPr>
        <w:instrText>‐</w:instrText>
      </w:r>
      <w:r w:rsidR="00BC5C26">
        <w:rPr>
          <w:rFonts w:eastAsia="Calibri" w:cs="Times New Roman"/>
        </w:rPr>
        <w:instrText>based funding while still keeping its data relatively open and accessible. genesis 53:474–485, 2015. © 2015 Wiley Periodicals, Inc.","author":[{"dropping-particle":"","family":"Berardini","given":"Tanya Z.","non-dropping-particle":"","parse-names":false,"suffix":""},{"dropping-particle":"","family":"Reiser","given":"Leonore","non-dropping-particle":"","parse-names":false,"suffix":""},{"dropping-particle":"","family":"Li","given":"Donghui","non-dropping-particle":"","parse-names":false,"suffix":""},{"dropping-particle":"","family":"Mezheritsky","given":"Yarik","non-dropping-particle":"","parse-names":false,"suffix":""},{"dropping-particle":"","family":"Muller","given":"Robert","non-dropping-particle":"","parse-names":false,"suffix":""},{"dropping-particle":"","family":"Strait","given":"Emily","non-dropping-particle":"","parse-names":false,"suffix":""},{"dropping-particle":"","family":"Huala","given":"Eva","non-dropping-particle":"","parse-names":false,"suffix":""}],"container-title":"Genesis","id":"ITEM-1","issue":"8","issued":{"date-parts":[["2015","8","4"]]},"page":"474-485","title":"The Arabidopsis information resource: Making and mining the “gold standard” annotated reference plant genome","type":"article-journal","volume":"53"},"uris":["http://www.mendeley.com/documents/?uuid=47a3f0ef-3acf-4d12-8c42-b30608d5033e"]}],"mendeley":{"formattedCitation":"(Berardini et al., 2015)","plainTextFormattedCitation":"(Berardini et al., 2015)","previouslyFormattedCitation":"(Berardini et al., 2015)"},"properties":{"noteIndex":0},"schema":"https://github.com/citation-style-language/schema/raw/master/csl-citation.json"}</w:instrText>
      </w:r>
      <w:r w:rsidR="003C6E60">
        <w:rPr>
          <w:rFonts w:eastAsia="Calibri" w:cs="Times New Roman"/>
        </w:rPr>
        <w:fldChar w:fldCharType="separate"/>
      </w:r>
      <w:r w:rsidR="003C6E60" w:rsidRPr="003C6E60">
        <w:rPr>
          <w:rFonts w:eastAsia="Calibri" w:cs="Times New Roman"/>
          <w:noProof/>
        </w:rPr>
        <w:t>(Berardini et al., 2015)</w:t>
      </w:r>
      <w:r w:rsidR="003C6E60">
        <w:rPr>
          <w:rFonts w:eastAsia="Calibri" w:cs="Times New Roman"/>
        </w:rPr>
        <w:fldChar w:fldCharType="end"/>
      </w:r>
      <w:r w:rsidR="002E33C4">
        <w:rPr>
          <w:rFonts w:eastAsia="Calibri" w:cs="Times New Roman"/>
        </w:rPr>
        <w:t xml:space="preserve"> </w:t>
      </w:r>
      <w:r>
        <w:rPr>
          <w:rFonts w:eastAsia="Calibri" w:cs="Times New Roman"/>
        </w:rPr>
        <w:t>using Ensembl plants</w:t>
      </w:r>
      <w:r w:rsidR="005C242E">
        <w:rPr>
          <w:rFonts w:eastAsia="Calibri" w:cs="Times New Roman"/>
        </w:rPr>
        <w:t xml:space="preserve"> </w:t>
      </w:r>
      <w:r w:rsidR="005C242E">
        <w:rPr>
          <w:rFonts w:eastAsia="Calibri" w:cs="Times New Roman"/>
        </w:rPr>
        <w:fldChar w:fldCharType="begin" w:fldLock="1"/>
      </w:r>
      <w:r w:rsidR="003C6E60">
        <w:rPr>
          <w:rFonts w:eastAsia="Calibri" w:cs="Times New Roman"/>
        </w:rPr>
        <w:instrText>ADDIN CSL_CITATION {"citationItems":[{"id":"ITEM-1","itemData":{"DOI":"10.1093/nar/gkab1007","ISSN":"0305-1048","abstract":"Ensembl Genomes (https://www.ensemblgenomes.org) provides access to non-vertebrate genomes and analysis complementing vertebrate resources developed by the Ensembl project (https://www.ensembl.org). The two resources collectively present genome annotation through a consistent set of interfaces spanning the tree of life presenting genome sequence, annotation, variation, transcriptomic data and comparative analysis. Here, we present our largest increase in plant, metazoan and fungal genomes since the project's inception creating one of the world's most comprehensive genomic resources and describe our efforts to reduce genome redundancy in our Bacteria portal. We detail our new efforts in gene annotation, our emerging support for pangenome analysis, our efforts to accelerate data dissemination through the Ensembl Rapid Release resource and our new AlphaFold visualization. Finally, we present details of our future plans including updates on our integration with Ensembl, and how we plan to improve our support for the microbial research community. Software and data are made available without restriction via our website, online tools platform and programmatic interfaces (available under an Apache 2.0 license). Data updates are synchronised with Ensembl's release cycle.","author":[{"dropping-particle":"","family":"Yates","given":"Andrew D","non-dropping-particle":"","parse-names":false,"suffix":""},{"dropping-particle":"","family":"Allen","given":"James","non-dropping-particle":"","parse-names":false,"suffix":""},{"dropping-particle":"","family":"Amode","given":"Ridwan M","non-dropping-particle":"","parse-names":false,"suffix":""},{"dropping-particle":"","family":"Azov","given":"Andrey G","non-dropping-particle":"","parse-names":false,"suffix":""},{"dropping-particle":"","family":"Barba","given":"Matthieu","non-dropping-particle":"","parse-names":false,"suffix":""},{"dropping-particle":"","family":"Becerra","given":"Andrés","non-dropping-particle":"","parse-names":false,"suffix":""},{"dropping-particle":"","family":"Bhai","given":"Jyothish","non-dropping-particle":"","parse-names":false,"suffix":""},{"dropping-particle":"","family":"Campbell","given":"Lahcen I","non-dropping-particle":"","parse-names":false,"suffix":""},{"dropping-particle":"","family":"Carbajo Martinez","given":"Manuel","non-dropping-particle":"","parse-names":false,"suffix":""},{"dropping-particle":"","family":"Chakiachvili","given":"Marc","non-dropping-particle":"","parse-names":false,"suffix":""},{"dropping-particle":"","family":"Chougule","given":"Kapeel","non-dropping-particle":"","parse-names":false,"suffix":""},{"dropping-particle":"","family":"Christensen","given":"Mikkel","non-dropping-particle":"","parse-names":false,"suffix":""},{"dropping-particle":"","family":"Contreras-Moreira","given":"Bruno","non-dropping-particle":"","parse-names":false,"suffix":""},{"dropping-particle":"","family":"Cuzick","given":"Alayne","non-dropping-particle":"","parse-names":false,"suffix":""},{"dropping-particle":"","family":"Rin Fioretto","given":"Luca","non-dropping-particle":"Da","parse-names":false,"suffix":""},{"dropping-particle":"","family":"Davis","given":"Paul","non-dropping-particle":"","parse-names":false,"suffix":""},{"dropping-particle":"","family":"Silva","given":"Nishadi H","non-dropping-particle":"De","parse-names":false,"suffix":""},{"dropping-particle":"","family":"Diamantakis","given":"Stavros","non-dropping-particle":"","parse-names":false,"suffix":""},{"dropping-particle":"","family":"Dyer","given":"Sarah","non-dropping-particle":"","parse-names":false,"suffix":""},{"dropping-particle":"","family":"Elser","given":"Justin","non-dropping-particle":"","parse-names":false,"suffix":""},{"dropping-particle":"V","family":"Filippi","given":"Carla","non-dropping-particle":"","parse-names":false,"suffix":""},{"dropping-particle":"","family":"Gall","given":"Astrid","non-dropping-particle":"","parse-names":false,"suffix":""},{"dropping-particle":"","family":"Grigoriadis","given":"Dionysios","non-dropping-particle":"","parse-names":false,"suffix":""},{"dropping-particle":"","family":"Guijarro-Clarke","given":"Cristina","non-dropping-particle":"","parse-names":false,"suffix":""},{"dropping-particle":"","family":"Gupta","given":"Parul","non-dropping-particle":"","parse-names":false,"suffix":""},{"dropping-particle":"","family":"Hammond-Kosack","given":"Kim E","non-dropping-particle":"","parse-names":false,"suffix":""},{"dropping-particle":"","family":"Howe","given":"Kevin L","non-dropping-particle":"","parse-names":false,"suffix":""},{"dropping-particle":"","family":"Jaiswal","given":"Pankaj","non-dropping-particle":"","parse-names":false,"suffix":""},{"dropping-particle":"","family":"Kaikala","given":"Vinay","non-dropping-particle":"","parse-names":false,"suffix":""},{"dropping-particle":"","family":"Kumar","given":"Vivek","non-dropping-particle":"","parse-names":false,"suffix":""},{"dropping-particle":"","family":"Kumari","given":"Sunita","non-dropping-particle":"","parse-names":false,"suffix":""},{"dropping-particle":"","family":"Langridge","given":"Nick","non-dropping-particle":"","parse-names":false,"suffix":""},{"dropping-particle":"","family":"Le","given":"Tuan","non-dropping-particle":"","parse-names":false,"suffix":""},{"dropping-particle":"","family":"Luypaert","given":"Manuel","non-dropping-particle":"","parse-names":false,"suffix":""},{"dropping-particle":"","family":"Maslen","given":"Gareth L","non-dropping-particle":"","parse-names":false,"suffix":""},{"dropping-particle":"","family":"Maurel","given":"Thomas","non-dropping-particle":"","parse-names":false,"suffix":""},{"dropping-particle":"","family":"Moore","given":"Benjamin","non-dropping-particle":"","parse-names":false,"suffix":""},{"dropping-particle":"","family":"Muffato","given":"Matthieu","non-dropping-particle":"","parse-names":false,"suffix":""},{"dropping-particle":"","family":"Mushtaq","given":"Aleena","non-dropping-particle":"","parse-names":false,"suffix":""},{"dropping-particle":"","family":"Naamati","given":"Guy","non-dropping-particle":"","parse-names":false,"suffix":""},{"dropping-particle":"","family":"Naithani","given":"Sushma","non-dropping-particle":"","parse-names":false,"suffix":""},{"dropping-particle":"","family":"Olson","given":"Andrew","non-dropping-particle":"","parse-names":false,"suffix":""},{"dropping-particle":"","family":"Parker","given":"Anne","non-dropping-particle":"","parse-names":false,"suffix":""},{"dropping-particle":"","family":"Paulini","given":"Michael","non-dropping-particle":"","parse-names":false,"suffix":""},{"dropping-particle":"","family":"Pedro","given":"Helder","non-dropping-particle":"","parse-names":false,"suffix":""},{"dropping-particle":"","family":"Perry","given":"Emily","non-dropping-particle":"","parse-names":false,"suffix":""},{"dropping-particle":"","family":"Preece","given":"Justin","non-dropping-particle":"","parse-names":false,"suffix":""},{"dropping-particle":"","family":"Quinton-Tulloch","given":"Mark","non-dropping-particle":"","parse-names":false,"suffix":""},{"dropping-particle":"","family":"Rodgers","given":"Faye","non-dropping-particle":"","parse-names":false,"suffix":""},{"dropping-particle":"","family":"Rosello","given":"Marc","non-dropping-particle":"","parse-names":false,"suffix":""},{"dropping-particle":"","family":"Ruffier","given":"Magali","non-dropping-particle":"","parse-names":false,"suffix":""},{"dropping-particle":"","family":"Seager","given":"James","non-dropping-particle":"","parse-names":false,"suffix":""},{"dropping-particle":"","family":"Sitnik","given":"Vasily","non-dropping-particle":"","parse-names":false,"suffix":""},{"dropping-particle":"","family":"Szpak","given":"Michal","non-dropping-particle":"","parse-names":false,"suffix":""},{"dropping-particle":"","family":"Tate","given":"John","non-dropping-particle":"","parse-names":false,"suffix":""},{"dropping-particle":"","family":"Tello-Ruiz","given":"Marcela K","non-dropping-particle":"","parse-names":false,"suffix":""},{"dropping-particle":"","family":"Trevanion","given":"Stephen J","non-dropping-particle":"","parse-names":false,"suffix":""},{"dropping-particle":"","family":"Urban","given":"Martin","non-dropping-particle":"","parse-names":false,"suffix":""},{"dropping-particle":"","family":"Ware","given":"Doreen","non-dropping-particle":"","parse-names":false,"suffix":""},{"dropping-particle":"","family":"Wei","given":"Sharon","non-dropping-particle":"","parse-names":false,"suffix":""},{"dropping-particle":"","family":"Williams","given":"Gary","non-dropping-particle":"","parse-names":false,"suffix":""},{"dropping-particle":"","family":"Winterbottom","given":"Andrea","non-dropping-particle":"","parse-names":false,"suffix":""},{"dropping-particle":"","family":"Zarowiecki","given":"Magdalena","non-dropping-particle":"","parse-names":false,"suffix":""},{"dropping-particle":"","family":"Finn","given":"Robert D","non-dropping-particle":"","parse-names":false,"suffix":""},{"dropping-particle":"","family":"Flicek","given":"Paul","non-dropping-particle":"","parse-names":false,"suffix":""}],"container-title":"Nucleic Acids Research","id":"ITEM-1","issue":"D1","issued":{"date-parts":[["2022","1","7"]]},"page":"D996-D1003","title":"Ensembl Genomes 2022: an expanding genome resource for non-vertebrates","type":"article-journal","volume":"50"},"uris":["http://www.mendeley.com/documents/?uuid=50c5dc4e-06d3-46f3-a603-0849eb5a7dc8"]}],"mendeley":{"formattedCitation":"(Yates et al., 2022)","plainTextFormattedCitation":"(Yates et al., 2022)","previouslyFormattedCitation":"(Yates et al., 2022)"},"properties":{"noteIndex":0},"schema":"https://github.com/citation-style-language/schema/raw/master/csl-citation.json"}</w:instrText>
      </w:r>
      <w:r w:rsidR="005C242E">
        <w:rPr>
          <w:rFonts w:eastAsia="Calibri" w:cs="Times New Roman"/>
        </w:rPr>
        <w:fldChar w:fldCharType="separate"/>
      </w:r>
      <w:r w:rsidR="005C242E" w:rsidRPr="005C242E">
        <w:rPr>
          <w:rFonts w:eastAsia="Calibri" w:cs="Times New Roman"/>
          <w:noProof/>
        </w:rPr>
        <w:t>(Yates et al., 2022)</w:t>
      </w:r>
      <w:r w:rsidR="005C242E">
        <w:rPr>
          <w:rFonts w:eastAsia="Calibri" w:cs="Times New Roman"/>
        </w:rPr>
        <w:fldChar w:fldCharType="end"/>
      </w:r>
      <w:r>
        <w:rPr>
          <w:rFonts w:eastAsia="Calibri" w:cs="Times New Roman"/>
        </w:rPr>
        <w:t xml:space="preserve"> or Phytozome</w:t>
      </w:r>
      <w:r w:rsidR="006068FB">
        <w:rPr>
          <w:rFonts w:eastAsia="Calibri" w:cs="Times New Roman"/>
        </w:rPr>
        <w:t xml:space="preserve"> </w:t>
      </w:r>
      <w:r w:rsidR="006068FB">
        <w:rPr>
          <w:rFonts w:eastAsia="Calibri" w:cs="Times New Roman"/>
        </w:rPr>
        <w:fldChar w:fldCharType="begin" w:fldLock="1"/>
      </w:r>
      <w:r w:rsidR="00D90A24">
        <w:rPr>
          <w:rFonts w:eastAsia="Calibri" w:cs="Times New Roman"/>
        </w:rPr>
        <w:instrText>ADDIN CSL_CITATION {"citationItems":[{"id":"ITEM-1","itemData":{"DOI":"10.1093/nar/gkr944","ISSN":"1362-4962","author":[{"dropping-particle":"","family":"Goodstein","given":"David M.","non-dropping-particle":"","parse-names":false,"suffix":""},{"dropping-particle":"","family":"Shu","given":"Shengqiang","non-dropping-particle":"","parse-names":false,"suffix":""},{"dropping-particle":"","family":"Howson","given":"Russell","non-dropping-particle":"","parse-names":false,"suffix":""},{"dropping-particle":"","family":"Neupane","given":"Rochak","non-dropping-particle":"","parse-names":false,"suffix":""},{"dropping-particle":"","family":"Hayes","given":"Richard D.","non-dropping-particle":"","parse-names":false,"suffix":""},{"dropping-particle":"","family":"Fazo","given":"Joni","non-dropping-particle":"","parse-names":false,"suffix":""},{"dropping-particle":"","family":"Mitros","given":"Therese","non-dropping-particle":"","parse-names":false,"suffix":""},{"dropping-particle":"","family":"Dirks","given":"William","non-dropping-particle":"","parse-names":false,"suffix":""},{"dropping-particle":"","family":"Hellsten","given":"Uffe","non-dropping-particle":"","parse-names":false,"suffix":""},{"dropping-particle":"","family":"Putnam","given":"Nicholas","non-dropping-particle":"","parse-names":false,"suffix":""},{"dropping-particle":"","family":"Rokhsar","given":"Daniel S.","non-dropping-particle":"","parse-names":false,"suffix":""}],"container-title":"Nucleic Acids Research","id":"ITEM-1","issue":"D1","issued":{"date-parts":[["2012","1"]]},"page":"D1178-D1186","title":"Phytozome: a comparative platform for green plant genomics","type":"article-journal","volume":"40"},"uris":["http://www.mendeley.com/documents/?uuid=ddd92070-b93b-49f6-aff2-4c27a9adb0d3"]}],"mendeley":{"formattedCitation":"(Goodstein et al., 2012)","plainTextFormattedCitation":"(Goodstein et al., 2012)","previouslyFormattedCitation":"(Goodstein et al., 2012)"},"properties":{"noteIndex":0},"schema":"https://github.com/citation-style-language/schema/raw/master/csl-citation.json"}</w:instrText>
      </w:r>
      <w:r w:rsidR="006068FB">
        <w:rPr>
          <w:rFonts w:eastAsia="Calibri" w:cs="Times New Roman"/>
        </w:rPr>
        <w:fldChar w:fldCharType="separate"/>
      </w:r>
      <w:r w:rsidR="006068FB" w:rsidRPr="006068FB">
        <w:rPr>
          <w:rFonts w:eastAsia="Calibri" w:cs="Times New Roman"/>
          <w:noProof/>
        </w:rPr>
        <w:t>(Goodstein et al., 2012)</w:t>
      </w:r>
      <w:r w:rsidR="006068FB">
        <w:rPr>
          <w:rFonts w:eastAsia="Calibri" w:cs="Times New Roman"/>
        </w:rPr>
        <w:fldChar w:fldCharType="end"/>
      </w:r>
      <w:r>
        <w:rPr>
          <w:rFonts w:eastAsia="Calibri" w:cs="Times New Roman"/>
        </w:rPr>
        <w:t>. Once Arabidopsis orthologous genes were identified,</w:t>
      </w:r>
      <w:r w:rsidRPr="0033070B">
        <w:rPr>
          <w:rFonts w:eastAsia="Calibri" w:cs="Times New Roman"/>
          <w:sz w:val="28"/>
          <w:szCs w:val="24"/>
        </w:rPr>
        <w:t xml:space="preserve"> </w:t>
      </w:r>
      <w:r w:rsidR="00DA03EB" w:rsidRPr="00E40634">
        <w:rPr>
          <w:rFonts w:cs="Times New Roman"/>
          <w:bCs/>
        </w:rPr>
        <w:t>TAIR</w:t>
      </w:r>
      <w:r w:rsidR="00DA03EB">
        <w:rPr>
          <w:rFonts w:cs="Times New Roman"/>
          <w:bCs/>
        </w:rPr>
        <w:t xml:space="preserve"> </w:t>
      </w:r>
      <w:r w:rsidR="00DA03EB" w:rsidRPr="00E40634">
        <w:rPr>
          <w:rFonts w:cs="Times New Roman"/>
          <w:bCs/>
        </w:rPr>
        <w:fldChar w:fldCharType="begin" w:fldLock="1"/>
      </w:r>
      <w:r w:rsidR="00BC5C26">
        <w:rPr>
          <w:rFonts w:cs="Times New Roman"/>
          <w:bCs/>
        </w:rPr>
        <w:instrText>ADDIN CSL_CITATION {"citationItems":[{"id":"ITEM-1","itemData":{"DOI":"10.1002/dvg.22877","ISSN":"1526-954X","abstract":"The Arabidopsis Information Resource (TAIR) is a continuously updated, online database of genetic and molecular biology data for the model plant Arabidopsis thaliana that provides a global research community with centralized access to data for over 30,000 Arabidopsis genes. TAIR's biocurators systematically extract, organize, and interconnect experimental data from the literature along with computational predictions, community submissions, and high throughput datasets to present a high quality and comprehensive picture of Arabidopsis gene function. TAIR provides tools for data visualization and analysis, and enables ordering of seed and DNA stocks, protein chips, and other experimental resources. TAIR actively engages with its users who contribute expertise and data that augments the work of the curatorial staff. TAIR's focus in an extensive and evolving ecosystem of online resources for plant biology is on the critically important role of extracting experimentally based research findings from the literature and making that information computationally accessible. In response to the loss of government grant funding, the TAIR team founded a nonprofit entity, Phoenix Bioinformatics, with the aim of developing sustainable funding models for biological databases, using TAIR as a test case. Phoenix has successfully transitioned TAIR to subscription</w:instrText>
      </w:r>
      <w:r w:rsidR="00BC5C26">
        <w:rPr>
          <w:rFonts w:ascii="Cambria Math" w:hAnsi="Cambria Math" w:cs="Cambria Math"/>
          <w:bCs/>
        </w:rPr>
        <w:instrText>‐</w:instrText>
      </w:r>
      <w:r w:rsidR="00BC5C26">
        <w:rPr>
          <w:rFonts w:cs="Times New Roman"/>
          <w:bCs/>
        </w:rPr>
        <w:instrText>based funding while still keeping its data relatively open and accessible. genesis 53:474–485, 2015. © 2015 Wiley Periodicals, Inc.","author":[{"dropping-particle":"","family":"Berardini","given":"Tanya Z.","non-dropping-particle":"","parse-names":false,"suffix":""},{"dropping-particle":"","family":"Reiser","given":"Leonore","non-dropping-particle":"","parse-names":false,"suffix":""},{"dropping-particle":"","family":"Li","given":"Donghui","non-dropping-particle":"","parse-names":false,"suffix":""},{"dropping-particle":"","family":"Mezheritsky","given":"Yarik","non-dropping-particle":"","parse-names":false,"suffix":""},{"dropping-particle":"","family":"Muller","given":"Robert","non-dropping-particle":"","parse-names":false,"suffix":""},{"dropping-particle":"","family":"Strait","given":"Emily","non-dropping-particle":"","parse-names":false,"suffix":""},{"dropping-particle":"","family":"Huala","given":"Eva","non-dropping-particle":"","parse-names":false,"suffix":""}],"container-title":"Genesis","id":"ITEM-1","issue":"8","issued":{"date-parts":[["2015","8","4"]]},"page":"474-485","title":"The Arabidopsis information resource: Making and mining the “gold standard” annotated reference plant genome","type":"article-journal","volume":"53"},"uris":["http://www.mendeley.com/documents/?uuid=47a3f0ef-3acf-4d12-8c42-b30608d5033e"]}],"mendeley":{"formattedCitation":"(Berardini et al., 2015)","plainTextFormattedCitation":"(Berardini et al., 2015)","previouslyFormattedCitation":"(Berardini et al., 2015)"},"properties":{"noteIndex":0},"schema":"https://github.com/citation-style-language/schema/raw/master/csl-citation.json"}</w:instrText>
      </w:r>
      <w:r w:rsidR="00DA03EB" w:rsidRPr="00E40634">
        <w:rPr>
          <w:rFonts w:cs="Times New Roman"/>
          <w:bCs/>
        </w:rPr>
        <w:fldChar w:fldCharType="separate"/>
      </w:r>
      <w:r w:rsidR="00DA03EB" w:rsidRPr="00E40634">
        <w:rPr>
          <w:rFonts w:cs="Times New Roman"/>
          <w:bCs/>
          <w:noProof/>
        </w:rPr>
        <w:t>(Berardini et al., 2015)</w:t>
      </w:r>
      <w:r w:rsidR="00DA03EB" w:rsidRPr="00E40634">
        <w:rPr>
          <w:rFonts w:cs="Times New Roman"/>
          <w:bCs/>
        </w:rPr>
        <w:fldChar w:fldCharType="end"/>
      </w:r>
      <w:r w:rsidRPr="0033070B">
        <w:rPr>
          <w:rFonts w:cs="Times New Roman"/>
          <w:bCs/>
        </w:rPr>
        <w:t xml:space="preserve"> was used to gain the descriptions of them. </w:t>
      </w:r>
      <w:r>
        <w:rPr>
          <w:rFonts w:eastAsia="Calibri" w:cs="Times New Roman"/>
        </w:rPr>
        <w:t xml:space="preserve">Unfortunately, due to the RNAseq taking place towards the end of my PhD, the entirety of the dataset could not be assessed. Instead, only the highest </w:t>
      </w:r>
      <w:r>
        <w:rPr>
          <w:rFonts w:eastAsia="Calibri" w:cs="Times New Roman"/>
        </w:rPr>
        <w:lastRenderedPageBreak/>
        <w:t>and lowest differentially expressed genes according to their log</w:t>
      </w:r>
      <w:r w:rsidRPr="00103B0F">
        <w:rPr>
          <w:rFonts w:eastAsia="Calibri" w:cs="Times New Roman"/>
          <w:vertAlign w:val="subscript"/>
        </w:rPr>
        <w:t>2</w:t>
      </w:r>
      <w:r>
        <w:rPr>
          <w:rFonts w:eastAsia="Calibri" w:cs="Times New Roman"/>
        </w:rPr>
        <w:t>FC were assessed (~100-</w:t>
      </w:r>
      <w:r w:rsidR="004A6474">
        <w:rPr>
          <w:rFonts w:eastAsia="Calibri" w:cs="Times New Roman"/>
        </w:rPr>
        <w:t>150</w:t>
      </w:r>
      <w:r>
        <w:rPr>
          <w:rFonts w:eastAsia="Calibri" w:cs="Times New Roman"/>
        </w:rPr>
        <w:t xml:space="preserve"> genes for each low and high DEGs at 4 hours 1/pot vs 4/pot and 8 hours 1/pot vs 4/pot. Additionally, genes with high padj, were also screened. </w:t>
      </w:r>
    </w:p>
    <w:p w14:paraId="4AA27AED" w14:textId="77777777" w:rsidR="00DE1AFE" w:rsidRDefault="00DE1AFE" w:rsidP="0001501F">
      <w:pPr>
        <w:spacing w:line="480" w:lineRule="auto"/>
        <w:rPr>
          <w:rFonts w:eastAsia="Calibri" w:cs="Times New Roman"/>
        </w:rPr>
      </w:pPr>
    </w:p>
    <w:p w14:paraId="19FE99E1" w14:textId="59D62DE1" w:rsidR="0001501F" w:rsidRDefault="00EB690F" w:rsidP="00743E4C">
      <w:pPr>
        <w:pStyle w:val="Heading2"/>
      </w:pPr>
      <w:bookmarkStart w:id="94" w:name="_Toc154331468"/>
      <w:r>
        <w:t>Statistical analysis</w:t>
      </w:r>
      <w:bookmarkEnd w:id="94"/>
    </w:p>
    <w:p w14:paraId="23BBD5FC" w14:textId="760A5CA5" w:rsidR="00EB690F" w:rsidRPr="00EB690F" w:rsidRDefault="00EB690F" w:rsidP="00EB690F">
      <w:pPr>
        <w:spacing w:line="480" w:lineRule="auto"/>
      </w:pPr>
      <w:r>
        <w:t xml:space="preserve">Where statistical tests have been performed this </w:t>
      </w:r>
      <w:r w:rsidR="00DC0DD1" w:rsidRPr="00E40634">
        <w:t>was</w:t>
      </w:r>
      <w:r>
        <w:t xml:space="preserve"> described in the figure legends. In all cases, data was tested for normality in the first instance</w:t>
      </w:r>
      <w:r w:rsidR="00A674B9">
        <w:t xml:space="preserve"> </w:t>
      </w:r>
      <w:r w:rsidR="00A674B9" w:rsidRPr="00E40634">
        <w:t>using IBM SPSS</w:t>
      </w:r>
      <w:r>
        <w:t>. If data was normally distributed either Independent samples t-test or One way ANOVA with Tukey HSD was applied</w:t>
      </w:r>
      <w:r w:rsidR="00F6586B">
        <w:t xml:space="preserve"> </w:t>
      </w:r>
      <w:r w:rsidR="00F6586B" w:rsidRPr="00E40634">
        <w:t>using IBM SPSS</w:t>
      </w:r>
      <w:r w:rsidRPr="00E40634">
        <w:t xml:space="preserve">. If the data was not normally </w:t>
      </w:r>
      <w:r w:rsidR="00137208" w:rsidRPr="00E40634">
        <w:t>distributed</w:t>
      </w:r>
      <w:r w:rsidRPr="00E40634">
        <w:t xml:space="preserve">, a Mann Whitney U test or a </w:t>
      </w:r>
      <w:r w:rsidR="003C6E60" w:rsidRPr="00E40634">
        <w:t>Kruskal</w:t>
      </w:r>
      <w:r w:rsidRPr="00E40634">
        <w:t>-Wallis test with Bonferroni correction was carried out</w:t>
      </w:r>
      <w:r w:rsidR="007D7B25" w:rsidRPr="00E40634">
        <w:t xml:space="preserve"> using IBM SPSS</w:t>
      </w:r>
      <w:r w:rsidRPr="00E40634">
        <w:t>.</w:t>
      </w:r>
      <w:r w:rsidR="00137208" w:rsidRPr="00E40634">
        <w:t xml:space="preserve"> Asterisks were used to indicate statistically significant difference, n.s. depicted no statistical significant difference. If letters were used, groups with the same letter were not statistically different from each other. </w:t>
      </w:r>
      <w:r w:rsidR="007D7B25" w:rsidRPr="00E40634">
        <w:t>Graphs were plotted using Origin Pro and Microsoft Excel.</w:t>
      </w:r>
    </w:p>
    <w:p w14:paraId="65FF8C07" w14:textId="77777777" w:rsidR="0001501F" w:rsidRPr="0001501F" w:rsidRDefault="0001501F" w:rsidP="0001501F"/>
    <w:p w14:paraId="7B60F335" w14:textId="77777777" w:rsidR="0001501F" w:rsidRPr="0001501F" w:rsidRDefault="0001501F" w:rsidP="0001501F"/>
    <w:p w14:paraId="39B9EAA5" w14:textId="77777777" w:rsidR="00D12A28" w:rsidRPr="00D12A28" w:rsidRDefault="00D12A28" w:rsidP="00D12A28"/>
    <w:p w14:paraId="490A6C94" w14:textId="77777777" w:rsidR="00D12A28" w:rsidRDefault="00D12A28" w:rsidP="00D12A28">
      <w:pPr>
        <w:jc w:val="center"/>
      </w:pPr>
    </w:p>
    <w:p w14:paraId="4939DE53" w14:textId="77777777" w:rsidR="00D12A28" w:rsidRDefault="00D12A28" w:rsidP="00D12A28">
      <w:pPr>
        <w:jc w:val="center"/>
      </w:pPr>
    </w:p>
    <w:p w14:paraId="30F2A0EF" w14:textId="77777777" w:rsidR="00D12A28" w:rsidRPr="00D12A28" w:rsidRDefault="00D12A28" w:rsidP="00D12A28">
      <w:pPr>
        <w:jc w:val="center"/>
      </w:pPr>
    </w:p>
    <w:p w14:paraId="493F0895" w14:textId="24685CC1" w:rsidR="00687AEF" w:rsidRDefault="005A5D3A" w:rsidP="005A5D3A">
      <w:pPr>
        <w:pStyle w:val="Heading1"/>
      </w:pPr>
      <w:bookmarkStart w:id="95" w:name="_Toc154331469"/>
      <w:r w:rsidRPr="005A5D3A">
        <w:lastRenderedPageBreak/>
        <w:t xml:space="preserve">Defining plant growth responses to soil volume and </w:t>
      </w:r>
      <w:r w:rsidR="003437A8">
        <w:t>neighbour density</w:t>
      </w:r>
      <w:bookmarkEnd w:id="95"/>
    </w:p>
    <w:p w14:paraId="5EE21101" w14:textId="77777777" w:rsidR="00BC44DF" w:rsidRPr="00BC44DF" w:rsidRDefault="00BC44DF" w:rsidP="00743E4C">
      <w:pPr>
        <w:pStyle w:val="Heading2"/>
        <w:numPr>
          <w:ilvl w:val="0"/>
          <w:numId w:val="0"/>
        </w:numPr>
        <w:ind w:left="737"/>
      </w:pPr>
    </w:p>
    <w:p w14:paraId="7EA0699A" w14:textId="3E10C83A" w:rsidR="005A5D3A" w:rsidRDefault="005A5D3A" w:rsidP="00743E4C">
      <w:pPr>
        <w:pStyle w:val="Heading2"/>
      </w:pPr>
      <w:bookmarkStart w:id="96" w:name="_Toc154331470"/>
      <w:r>
        <w:t>Introduction</w:t>
      </w:r>
      <w:bookmarkEnd w:id="96"/>
    </w:p>
    <w:p w14:paraId="788266C6" w14:textId="77777777" w:rsidR="005A5D3A" w:rsidRPr="005A5D3A" w:rsidRDefault="005A5D3A" w:rsidP="005A5D3A">
      <w:pPr>
        <w:rPr>
          <w:rFonts w:eastAsia="Calibri"/>
        </w:rPr>
      </w:pPr>
    </w:p>
    <w:p w14:paraId="0B29B509" w14:textId="084C26F5" w:rsidR="005A5D3A" w:rsidRPr="00620347" w:rsidRDefault="005A5D3A" w:rsidP="005A5D3A">
      <w:pPr>
        <w:spacing w:line="480" w:lineRule="auto"/>
        <w:rPr>
          <w:rFonts w:eastAsia="Calibri" w:cs="Times New Roman"/>
        </w:rPr>
      </w:pPr>
      <w:r w:rsidRPr="00620347">
        <w:rPr>
          <w:rFonts w:eastAsia="Calibri" w:cs="Times New Roman"/>
        </w:rPr>
        <w:t xml:space="preserve">As described in chapter 1, many plant species have been assessed for their shoot responses to soil volume availability and neighbour density. When plants are subjected to </w:t>
      </w:r>
      <w:r>
        <w:rPr>
          <w:rFonts w:eastAsia="Calibri" w:cs="Times New Roman"/>
        </w:rPr>
        <w:t>small</w:t>
      </w:r>
      <w:r w:rsidRPr="00620347">
        <w:rPr>
          <w:rFonts w:eastAsia="Calibri" w:cs="Times New Roman"/>
        </w:rPr>
        <w:t xml:space="preserve"> soil volume</w:t>
      </w:r>
      <w:r>
        <w:rPr>
          <w:rFonts w:eastAsia="Calibri" w:cs="Times New Roman"/>
        </w:rPr>
        <w:t>s</w:t>
      </w:r>
      <w:r w:rsidRPr="00620347">
        <w:rPr>
          <w:rFonts w:eastAsia="Calibri" w:cs="Times New Roman"/>
        </w:rPr>
        <w:t xml:space="preserve"> this results in a strong inhibition of shoot growth </w:t>
      </w:r>
      <w:r>
        <w:rPr>
          <w:szCs w:val="24"/>
        </w:rPr>
        <w:fldChar w:fldCharType="begin" w:fldLock="1"/>
      </w:r>
      <w:r w:rsidR="004227A2">
        <w:rPr>
          <w:szCs w:val="24"/>
        </w:rPr>
        <w:instrText>ADDIN CSL_CITATION {"citationItems":[{"id":"ITEM-1","itemData":{"DOI":"10.1104/pp.87.2.409","ISSN":"0032-0889","author":[{"dropping-particle":"","family":"Robbins","given":"N. Suzanne","non-dropping-particle":"","parse-names":false,"suffix":""},{"dropping-particle":"","family":"Pharr","given":"David M.","non-dropping-particle":"","parse-names":false,"suffix":""}],"container-title":"Plant Physiology","id":"ITEM-1","issue":"2","issued":{"date-parts":[["1988","6","1"]]},"page":"409-413","title":"Effect of restricted root growth on carbohydrate metabolism and whole plant growth of Cucumis sativus L.","type":"article-journal","volume":"87"},"uris":["http://www.mendeley.com/documents/?uuid=ea83579b-c888-4d99-a26e-b36aa12127d5"]},{"id":"ITEM-2","itemData":{"DOI":"10.2307/42754082","abstract":"Restriction of root growth by growing bean plants (Phaseolus vulgaris L.) in very small pots led to the development of dwarf plants. The leaves of those plants were smaller and their internodes shorter than those of control plants which were grown in larger pots and had developed a more extensive root system. A large quantity of starch — much more than in control plants — accumulated in the leaves and shoots of the dwarf plants. Increasing the amount of minerals which was supplied to the roots, enhanced leaf growth of the control plants but failed to affect the dwarf ones, in spite of the fact that in both cases the treatment increased the content of N, P and K in all the plant organs. The leaf water content was similar in both treatments, but the leaf water potential was higher in the dwarf plants. Exogenous application of gibberellic acid (GA</w:instrText>
      </w:r>
      <w:r w:rsidR="004227A2">
        <w:rPr>
          <w:rFonts w:ascii="Cambria Math" w:hAnsi="Cambria Math" w:cs="Cambria Math"/>
          <w:szCs w:val="24"/>
        </w:rPr>
        <w:instrText>₃</w:instrText>
      </w:r>
      <w:r w:rsidR="004227A2">
        <w:rPr>
          <w:szCs w:val="24"/>
        </w:rPr>
        <w:instrText>) to the dwarf plants overcame the reduction of stem growth completely, and that of the leaves partially. Application of the cytokinin, benzyladenine (BA) did not affect stem growth, but increased that of the primary leaves. A combined supply of GA</w:instrText>
      </w:r>
      <w:r w:rsidR="004227A2">
        <w:rPr>
          <w:rFonts w:ascii="Cambria Math" w:hAnsi="Cambria Math" w:cs="Cambria Math"/>
          <w:szCs w:val="24"/>
        </w:rPr>
        <w:instrText>₃</w:instrText>
      </w:r>
      <w:r w:rsidR="004227A2">
        <w:rPr>
          <w:szCs w:val="24"/>
        </w:rPr>
        <w:instrText>+BA restored completely the growth of the stem and the primary leaves, and partially that of the trifoliate leaves. It is concluded that a limited root system restricts shoot growth through an hormonal system in which at least gibberellins and cytokinins are involved, and that the dwarfing is not a consequence of mineral or assimilate deficiency, or due to water stress.","author":[{"dropping-particle":"","family":"Carmi","given":"A.","non-dropping-particle":"","parse-names":false,"suffix":""},{"dropping-particle":"","family":"Heuer","given":"B.","non-dropping-particle":"","parse-names":false,"suffix":""}],"container-title":"Annals of Botany","id":"ITEM-2","issued":{"date-parts":[["1981"]]},"page":"519-527","publisher":"Oxford University Press","title":"The role of roots in control of bean shoot growth","type":"article","volume":"48"},"uris":["http://www.mendeley.com/documents/?uuid=2707b4c2-917f-32da-8e11-391fea80c336"]},{"id":"ITEM-3","itemData":{"DOI":"10.1016/0304-4238(95)00793-S","ISBN":"0304-4238","ISSN":"03044238","abstract":"A previous study found that root pruning reduced tomato plant growth and that increasing the solution nitrate concentration failed to compensate for the pruned roots. The objective of the present investigation was to study the combined effects of nitrate concentration and root restriction on dry matter production, nutrient uptake and transpiration by tomato plants. Root restriction reduced the total dry matter production and the total N and K uptake by tomato (Lycopersicon esculentum cv. 'F 121') grown in a greenhouse in an aero-hydroponic system. However, the flux of N uptake by the roots was higher in the plants with restricted roots. Root restriction did not affect the N concentration but did decrease the K concentration in part of the plant organs. Increasing the solution nitrate concentration from 1.0 to 9.0 mmol 1-1 significantly increased the nitrate uptake by plants with either restricted or intact roots. The transpiration rate was reduced by root restriction, but the flux of water uptake per root unit volume, the water consumption per unit dry matter production and the transpiration rate per leaf unit area were increased by root restriction. These results were in good agreement with those obtained with pruned roots. It was concluded that the reduction in dry matter production following root restriction was not caused by either N deficiency or water stress. © 1995.","author":[{"dropping-particle":"","family":"Bar-Tal","given":"A.","non-dropping-particle":"","parse-names":false,"suffix":""},{"dropping-particle":"","family":"Feigin","given":"A.","non-dropping-particle":"","parse-names":false,"suffix":""},{"dropping-particle":"","family":"Sheinfeld","given":"S.","non-dropping-particle":"","parse-names":false,"suffix":""},{"dropping-particle":"","family":"Rosenberg","given":"R.","non-dropping-particle":"","parse-names":false,"suffix":""},{"dropping-particle":"","family":"Sternbaum","given":"B.","non-dropping-particle":"","parse-names":false,"suffix":""},{"dropping-particle":"","family":"Rylski","given":"I.","non-dropping-particle":"","parse-names":false,"suffix":""},{"dropping-particle":"","family":"Pressman","given":"E.","non-dropping-particle":"","parse-names":false,"suffix":""}],"container-title":"Scientia Horticulturae","id":"ITEM-3","issue":"3-4","issued":{"date-parts":[["1995"]]},"page":"195-208","title":"Root restriction and N-NO3 solution concentration effects on nutrient uptake, transpiration and dry matter production of tomato","type":"article-journal","volume":"63"},"uris":["http://www.mendeley.com/documents/?uuid=3f5fc1c8-c4f1-4550-b087-6d1af90ec420"]},{"id":"ITEM-4","itemData":{"ISBN":"0003-1062","ISSN":"00031062","abstract":"Root restriction has been reported to reduce fruit yield, the incidence of blossom end rot (BER) and K concentration in tomato (Lycopersicon esculentum L. 'F121') plant organs. The objectives of the present work were to study the effect of root restriction, and combination of K and Ca solution concentrations, on greenhouse tomato fruit yield, quality and cation uptake. Root restriction reduced total yield but improved fruit quality by increasing the dry matter concentration and reducing the incidence of BER. Increasing the K concentration from 5.0 to 10 mmol cntdot L-1 reduced the marketable yield, due to increased incidence of BER. Root restriction decreased K concentration and K/Ca ratio in tomato plant organs, but had no effect on K uptake rate per unit root fresh weight. Increasing K concentration from 2.5 to 10 mmol cntdot L-1 increased the K concentration in plant organs and K uptake rate, but reduced that of Ca. In contrast, increasing Ca concentration in the solution had no effect on K concentration in plant organs and K uptake rate. The incidence of BER correlated well with K/Ca concentration ratio in the leaves, whereas a poor correlation was obtained with K/Ca concentration ratio in ripe fruit.","author":[{"dropping-particle":"","family":"Bar-Tal","given":"A","non-dropping-particle":"","parse-names":false,"suffix":""},{"dropping-particle":"","family":"Pressman","given":"E","non-dropping-particle":"","parse-names":false,"suffix":""}],"container-title":"Journal of the American Society for Horticultural Science","id":"ITEM-4","issue":"4","issued":{"date-parts":[["1996"]]},"page":"649-655","title":"Root restriction and potassium and calcium solution concentrations affect dry-matter production, cation uptake, and blossom-end rot in greenhouse tomato","type":"article-journal","volume":"121"},"uris":["http://www.mendeley.com/documents/?uuid=369a0137-39a5-463c-a816-f079e93bf512"]},{"id":"ITEM-5","itemData":{"DOI":"10.1071/FP12049","abstract":"The majority of experiments in plant biology use plants grown in some kind of container or pot. We conducted a meta-analysis on 65 studies that analysed the effect of pot size on growth and underlying variables. On average, a doubling of the pot size increased biomass production by 43%. Further analysis of pot size effects on the underlying components of growth suggests that reduced growth in smaller pots is caused mainly by a reduction in photosynthesis per unit leaf area, rather than by changes in leaf morphology or biomass allocation. The appropriate pot size will logically depend on the size of the plants growing in them. Based on various lines of evidence we suggest that an appropriate pot size is one in which the plant biomass does not exceed 1 g L –1 . In current research practice ~65% of the experiments exceed that threshold. We suggest that researchers need to carefully consider the pot size in their experiments, as small pots may change experimental results and defy the purpose of the experiment.","author":[{"dropping-particle":"","family":"Poorter","given":"Hendrik","non-dropping-particle":"","parse-names":false,"suffix":""},{"dropping-particle":"","family":"Bühler","given":"Jonas","non-dropping-particle":"","parse-names":false,"suffix":""},{"dropping-particle":"","family":"Dusschoten","given":"Dagmar","non-dropping-particle":"Van","parse-names":false,"suffix":""},{"dropping-particle":"","family":"Climent","given":"José","non-dropping-particle":"","parse-names":false,"suffix":""},{"dropping-particle":"","family":"Postma","given":"Johannes A","non-dropping-particle":"","parse-names":false,"suffix":""}],"container-title":"Functional Plant Biology","id":"ITEM-5","issued":{"date-parts":[["2012"]]},"page":"839-850","title":"Pot size matters: a meta-analysis of the effects of rooting volume on plant growth","type":"article-journal"},"uris":["http://www.mendeley.com/documents/?uuid=50c0b953-7302-331c-920d-755a5444cc77"]},{"id":"ITEM-6","itemData":{"DOI":"10.21273/HORTSCI.32.7.1186","ISSN":"0018-5345","abstract":"Container size can affect the growth and development of bedding plants. The effects of widely differing container sizes on growth and development of salvia ( Salvia splendens F. Sellow ex Roem. &amp; Schult.) were quantified. Plants were grown in a greenhouse in 7.3-, 55-, 166-, and 510-mL containers. Container volume affected plant growth as early as 18 days after planting. Growth was positively correlated with pot size and differences increased throughout most of the growing period. Growth of the plants in the 7.3-mL cells was reduced because of a low net assimilation rate (4.34 g·m -2 ·d -1 ), compared to the plants in the 55-, 166-, and 510-mL pots (≈5.44 g·m -2 ·d -1 ). Plants in 510-mL containers grew faster than those in 55- and 166-mL containers because of a higher leaf area ratio. Both lateral branching and leaf expansion were suppressed by root restriction and flowering was delayed. The growth rate of plants in 166-mL pots declined after the onset of flowering, and final plant size was comparable for plants in 55- and 166-mL pots. Although water deficit stress or nutrient deficiencies cannot be excluded as contributing factors, these were probably not the main reason for observed differences.","author":[{"dropping-particle":"","family":"Iersel","given":"Marc","non-dropping-particle":"van","parse-names":false,"suffix":""}],"container-title":"HortScience","id":"ITEM-6","issue":"7","issued":{"date-parts":[["1997","12"]]},"page":"1186-1190","title":"Root restriction effects on growth and development of Salvia (Salvia splendens)","type":"article-journal","volume":"32"},"uris":["http://www.mendeley.com/documents/?uuid=70fddc21-3c75-4324-af42-e54bd799caed"]}],"mendeley":{"formattedCitation":"(Carmi and Heuer, 1981; Robbins and Pharr, 1988; Bar-Tal et al., 1995; Bar-Tal and Pressman, 1996; van Iersel, 1997; Poorter et al., 2012)","plainTextFormattedCitation":"(Carmi and Heuer, 1981; Robbins and Pharr, 1988; Bar-Tal et al., 1995; Bar-Tal and Pressman, 1996; van Iersel, 1997; Poorter et al., 2012)","previouslyFormattedCitation":"(Carmi and Heuer, 1981; Robbins and Pharr, 1988; Bar-Tal et al., 1995; Bar-Tal and Pressman, 1996; van Iersel, 1997; Poorter et al., 2012)"},"properties":{"noteIndex":0},"schema":"https://github.com/citation-style-language/schema/raw/master/csl-citation.json"}</w:instrText>
      </w:r>
      <w:r>
        <w:rPr>
          <w:szCs w:val="24"/>
        </w:rPr>
        <w:fldChar w:fldCharType="separate"/>
      </w:r>
      <w:r w:rsidRPr="00A61327">
        <w:rPr>
          <w:noProof/>
          <w:szCs w:val="24"/>
        </w:rPr>
        <w:t>(Carmi and Heuer, 1981; Robbins and Pharr, 1988; Bar-Tal et al., 1995; Bar-Tal and Pressman, 1996; van Iersel, 1997; Poorter et al., 2012)</w:t>
      </w:r>
      <w:r>
        <w:rPr>
          <w:szCs w:val="24"/>
        </w:rPr>
        <w:fldChar w:fldCharType="end"/>
      </w:r>
      <w:r>
        <w:rPr>
          <w:szCs w:val="24"/>
        </w:rPr>
        <w:t xml:space="preserve">, </w:t>
      </w:r>
      <w:r w:rsidRPr="00620347">
        <w:rPr>
          <w:rFonts w:eastAsia="Calibri" w:cs="Times New Roman"/>
        </w:rPr>
        <w:t xml:space="preserve">which cannot be attributed solely to nutrient availability, (as discussed in </w:t>
      </w:r>
      <w:r>
        <w:rPr>
          <w:rFonts w:eastAsia="Calibri" w:cs="Times New Roman"/>
        </w:rPr>
        <w:t xml:space="preserve">Section </w:t>
      </w:r>
      <w:r w:rsidRPr="00620347">
        <w:rPr>
          <w:rFonts w:eastAsia="Calibri" w:cs="Times New Roman"/>
        </w:rPr>
        <w:t>1.</w:t>
      </w:r>
      <w:r>
        <w:rPr>
          <w:rFonts w:eastAsia="Calibri" w:cs="Times New Roman"/>
        </w:rPr>
        <w:t>2.1</w:t>
      </w:r>
      <w:r w:rsidRPr="00620347">
        <w:rPr>
          <w:rFonts w:eastAsia="Calibri" w:cs="Times New Roman"/>
        </w:rPr>
        <w:t xml:space="preserve">) despite difficulties to partition nutrient availability and soil volume in experimental design </w:t>
      </w:r>
      <w:r w:rsidRPr="00620347">
        <w:rPr>
          <w:rFonts w:eastAsia="Calibri" w:cs="Times New Roman"/>
        </w:rPr>
        <w:fldChar w:fldCharType="begin" w:fldLock="1"/>
      </w:r>
      <w:r w:rsidRPr="00620347">
        <w:rPr>
          <w:rFonts w:eastAsia="Calibri" w:cs="Times New Roman"/>
        </w:rPr>
        <w:instrText>ADDIN CSL_CITATION {"citationItems":[{"id":"ITEM-1","itemData":{"DOI":"10.1111/j.1365-2745.2006.01204.x","ISSN":"00220477","author":[{"dropping-particle":"","family":"Hess","given":"LINDE","non-dropping-particle":"","parse-names":false,"suffix":""},{"dropping-particle":"","family":"Kroon","given":"HANS","non-dropping-particle":"De","parse-names":false,"suffix":""}],"container-title":"Journal of Ecology","id":"ITEM-1","issue":"2","issued":{"date-parts":[["2007","3","1"]]},"page":"241-251","publisher":"Blackwell Publishing Ltd","title":"Effects of rooting volume and nutrient availability as an alternative explanation for root self/non-self discrimination","type":"article-journal","volume":"95"},"uris":["http://www.mendeley.com/documents/?uuid=5fc49568-90d0-3a0e-a766-6790f0134f1f"]},{"id":"ITEM-2","itemData":{"DOI":"10.1071/FP12049","abstract":"The majority of experiments in plant biology use plants grown in some kind of container or pot. We conducted a meta-analysis on 65 studies that analysed the effect of pot size on growth and underlying variables. On average, a doubling of the pot size increased biomass production by 43%. Further analysis of pot size effects on the underlying components of growth suggests that reduced growth in smaller pots is caused mainly by a reduction in photosynthesis per unit leaf area, rather than by changes in leaf morphology or biomass allocation. The appropriate pot size will logically depend on the size of the plants growing in them. Based on various lines of evidence we suggest that an appropriate pot size is one in which the plant biomass does not exceed 1 g L –1 . In current research practice ~65% of the experiments exceed that threshold. We suggest that researchers need to carefully consider the pot size in their experiments, as small pots may change experimental results and defy the purpose of the experiment.","author":[{"dropping-particle":"","family":"Poorter","given":"Hendrik","non-dropping-particle":"","parse-names":false,"suffix":""},{"dropping-particle":"","family":"Bühler","given":"Jonas","non-dropping-particle":"","parse-names":false,"suffix":""},{"dropping-particle":"","family":"Dusschoten","given":"Dagmar","non-dropping-particle":"Van","parse-names":false,"suffix":""},{"dropping-particle":"","family":"Climent","given":"José","non-dropping-particle":"","parse-names":false,"suffix":""},{"dropping-particle":"","family":"Postma","given":"Johannes A","non-dropping-particle":"","parse-names":false,"suffix":""}],"container-title":"Functional Plant Biology","id":"ITEM-2","issued":{"date-parts":[["2012"]]},"page":"839-850","title":"Pot size matters: a meta-analysis of the effects of rooting volume on plant growth","type":"article-journal"},"uris":["http://www.mendeley.com/documents/?uuid=50c0b953-7302-331c-920d-755a5444cc77"]}],"mendeley":{"formattedCitation":"(Hess and De Kroon, 2007; Poorter et al., 2012)","plainTextFormattedCitation":"(Hess and De Kroon, 2007; Poorter et al., 2012)","previouslyFormattedCitation":"(Hess and De Kroon, 2007; Poorter et al., 2012)"},"properties":{"noteIndex":0},"schema":"https://github.com/citation-style-language/schema/raw/master/csl-citation.json"}</w:instrText>
      </w:r>
      <w:r w:rsidRPr="00620347">
        <w:rPr>
          <w:rFonts w:eastAsia="Calibri" w:cs="Times New Roman"/>
        </w:rPr>
        <w:fldChar w:fldCharType="separate"/>
      </w:r>
      <w:r w:rsidRPr="00620347">
        <w:rPr>
          <w:rFonts w:eastAsia="Calibri" w:cs="Times New Roman"/>
          <w:noProof/>
        </w:rPr>
        <w:t>(Hess and De Kroon, 2007; Poorter et al., 2012)</w:t>
      </w:r>
      <w:r w:rsidRPr="00620347">
        <w:rPr>
          <w:rFonts w:eastAsia="Calibri" w:cs="Times New Roman"/>
        </w:rPr>
        <w:fldChar w:fldCharType="end"/>
      </w:r>
      <w:r w:rsidRPr="00620347">
        <w:rPr>
          <w:rFonts w:eastAsia="Calibri" w:cs="Times New Roman"/>
        </w:rPr>
        <w:t xml:space="preserve">. </w:t>
      </w:r>
      <w:r>
        <w:rPr>
          <w:rFonts w:eastAsia="Calibri" w:cs="Times New Roman"/>
        </w:rPr>
        <w:t xml:space="preserve">The mechanism that plants use to detect their available soil volume remains unknown. </w:t>
      </w:r>
    </w:p>
    <w:p w14:paraId="5A12D264" w14:textId="59CE4232" w:rsidR="005A5D3A" w:rsidRPr="00BB119D" w:rsidRDefault="005A5D3A" w:rsidP="005A5D3A">
      <w:pPr>
        <w:spacing w:line="480" w:lineRule="auto"/>
        <w:rPr>
          <w:rFonts w:eastAsia="Calibri" w:cs="Times New Roman"/>
        </w:rPr>
      </w:pPr>
      <w:r w:rsidRPr="00BB119D">
        <w:rPr>
          <w:rFonts w:eastAsia="Calibri" w:cs="Times New Roman"/>
        </w:rPr>
        <w:t xml:space="preserve">Plants subjected to high density sowing share similar </w:t>
      </w:r>
      <w:r>
        <w:rPr>
          <w:rFonts w:eastAsia="Calibri" w:cs="Times New Roman"/>
        </w:rPr>
        <w:t>shoot growth inhibition</w:t>
      </w:r>
      <w:r w:rsidRPr="00BB119D">
        <w:rPr>
          <w:rFonts w:eastAsia="Calibri" w:cs="Times New Roman"/>
        </w:rPr>
        <w:t xml:space="preserve"> as plants experiencing small soil volumes. </w:t>
      </w:r>
      <w:r>
        <w:rPr>
          <w:rFonts w:eastAsia="Calibri" w:cs="Times New Roman"/>
        </w:rPr>
        <w:t>For instance,</w:t>
      </w:r>
      <w:r w:rsidRPr="00BB119D">
        <w:rPr>
          <w:rFonts w:eastAsia="Calibri" w:cs="Times New Roman"/>
        </w:rPr>
        <w:t xml:space="preserve"> in field grown barley, increased sowing density results in reduced tiller production </w:t>
      </w:r>
      <w:r w:rsidRPr="00BB119D">
        <w:rPr>
          <w:rFonts w:eastAsia="Calibri" w:cs="Times New Roman"/>
        </w:rPr>
        <w:fldChar w:fldCharType="begin" w:fldLock="1"/>
      </w:r>
      <w:r w:rsidR="002A655D">
        <w:rPr>
          <w:rFonts w:eastAsia="Calibri" w:cs="Times New Roman"/>
        </w:rPr>
        <w:instrText>ADDIN CSL_CITATION {"citationItems":[{"id":"ITEM-1","itemData":{"DOI":"10.3389/fpls.2016.00944","ISSN":"1664-462X","PMID":"27446171","abstract":"Studies on the function of root traits and the genetic variation in these traits are often conducted under controlled conditions using individual potted plants. Little is known about root growth under field conditions and how root traits are affected by agronomic practices in particular sowing density. We hypothesized that with increasing sowing density, root length density (root length per soil volume, cm cm(-3)) increases in the topsoil as well as specific root length (root length per root dry weight, cm g(-1)) due to greater investment in fine roots. Therefore, we studied two spring barley cultivars at ten different sowing densities (24-340 seeds m(-2)) in 2 consecutive years in a clay loam field in Germany and established sowing density dose-response curves for several root and shoot traits. We took soil cores for measuring roots up to a depth of 60 cm in and between plant rows (inter-row distance 21 cm). Root length density increased with increasing sowing density and was greatest in the plant row in the topsoil (0-10 cm). Greater sowing density increased specific root length partly through greater production of fine roots in the topsoil. Rooting depth (D50) of the major root axes (root diameter class 0.4-1.0 mm) was not affected. Root mass fraction decreased, while stem mass fraction increased with sowing density and over time. Leaf mass fraction was constant over sowing density but greater leaf area was realized through increased specific leaf area. Considering fertilization, we assume that light competition caused plants to grow more shoot mass at the cost of investment into roots, which is partly compensated by increased specific root length and shallow rooting. Increased biomass per area with greater densities suggest that density increases the efficiency of the cropping system, however, declines in harvest index at densities over 230 plants m(-2) suggest that this efficiency did not translate into greater yield. We conclude that plant density is a modifier of root architecture and that root traits and their utility in breeding for greater productivity have to be understood in the context of high sowing densities.","author":[{"dropping-particle":"","family":"Hecht","given":"Vera L","non-dropping-particle":"","parse-names":false,"suffix":""},{"dropping-particle":"","family":"Temperton","given":"Vicky M","non-dropping-particle":"","parse-names":false,"suffix":""},{"dropping-particle":"","family":"Nagel","given":"Kerstin A","non-dropping-particle":"","parse-names":false,"suffix":""},{"dropping-particle":"","family":"Rascher","given":"Uwe","non-dropping-particle":"","parse-names":false,"suffix":""},{"dropping-particle":"","family":"Postma","given":"Johannes A","non-dropping-particle":"","parse-names":false,"suffix":""}],"container-title":"Frontiers in plant science","id":"ITEM-1","issued":{"date-parts":[["2016"]]},"page":"944","publisher":"Frontiers Media SA","title":"Sowing density: A neglected factor fundamentally affecting root distribution and biomass allocation of field grown spring barley (Hordeum Vulgare L.).","type":"article-journal","volume":"7"},"uris":["http://www.mendeley.com/documents/?uuid=dc1d2700-06b5-303e-bbc1-0d14b3ce1e0f"]},{"id":"ITEM-2","itemData":{"author":[{"dropping-particle":"","family":"Soleymani","given":"Ali","non-dropping-particle":"","parse-names":false,"suffix":""},{"dropping-particle":"","family":"Shahrajabian","given":"Mohamad Hesam","non-dropping-particle":"","parse-names":false,"suffix":""},{"dropping-particle":"","family":"Naranjani","given":"Lila","non-dropping-particle":"","parse-names":false,"suffix":""}],"container-title":"African Journal of Plant Science","id":"ITEM-2","issue":"3","issued":{"date-parts":[["2011"]]},"page":"284-286","title":"Determination of the suitable planting date and plant density for different cultivars of barley (Hordeum vulgare L.) in Fars","type":"article-journal","volume":"5"},"uris":["http://www.mendeley.com/documents/?uuid=63e88f82-85d4-4468-9089-137564d916be"]}],"mendeley":{"formattedCitation":"(Soleymani et al., 2011; Hecht et al., 2016)","plainTextFormattedCitation":"(Soleymani et al., 2011; Hecht et al., 2016)","previouslyFormattedCitation":"(Soleymani et al., 2011; Hecht et al., 2016)"},"properties":{"noteIndex":0},"schema":"https://github.com/citation-style-language/schema/raw/master/csl-citation.json"}</w:instrText>
      </w:r>
      <w:r w:rsidRPr="00BB119D">
        <w:rPr>
          <w:rFonts w:eastAsia="Calibri" w:cs="Times New Roman"/>
        </w:rPr>
        <w:fldChar w:fldCharType="separate"/>
      </w:r>
      <w:r w:rsidRPr="00BB119D">
        <w:rPr>
          <w:rFonts w:eastAsia="Calibri" w:cs="Times New Roman"/>
          <w:noProof/>
        </w:rPr>
        <w:t>(Soleymani et al., 2011; Hecht et al., 2016)</w:t>
      </w:r>
      <w:r w:rsidRPr="00BB119D">
        <w:rPr>
          <w:rFonts w:eastAsia="Calibri" w:cs="Times New Roman"/>
        </w:rPr>
        <w:fldChar w:fldCharType="end"/>
      </w:r>
      <w:r w:rsidRPr="00BB119D">
        <w:rPr>
          <w:rFonts w:eastAsia="Calibri" w:cs="Times New Roman"/>
        </w:rPr>
        <w:t xml:space="preserve"> and shoot biomass per plant </w:t>
      </w:r>
      <w:r w:rsidRPr="00BB119D">
        <w:rPr>
          <w:rFonts w:eastAsia="Calibri" w:cs="Times New Roman"/>
        </w:rPr>
        <w:fldChar w:fldCharType="begin" w:fldLock="1"/>
      </w:r>
      <w:r w:rsidR="002A655D">
        <w:rPr>
          <w:rFonts w:eastAsia="Calibri" w:cs="Times New Roman"/>
        </w:rPr>
        <w:instrText>ADDIN CSL_CITATION {"citationItems":[{"id":"ITEM-1","itemData":{"author":[{"dropping-particle":"","family":"Harper","given":"John L","non-dropping-particle":"","parse-names":false,"suffix":""}],"id":"ITEM-1","issued":{"date-parts":[["1977"]]},"publisher":"Academic Press","publisher-place":"London","title":"Population biology of plants","type":"book"},"uris":["http://www.mendeley.com/documents/?uuid=d04380fa-3e8f-4975-9d43-dabee310e6bc"]},{"id":"ITEM-2","itemData":{"DOI":"10.3389/fpls.2016.00944","ISSN":"1664-462X","PMID":"27446171","abstract":"Studies on the function of root traits and the genetic variation in these traits are often conducted under controlled conditions using individual potted plants. Little is known about root growth under field conditions and how root traits are affected by agronomic practices in particular sowing density. We hypothesized that with increasing sowing density, root length density (root length per soil volume, cm cm(-3)) increases in the topsoil as well as specific root length (root length per root dry weight, cm g(-1)) due to greater investment in fine roots. Therefore, we studied two spring barley cultivars at ten different sowing densities (24-340 seeds m(-2)) in 2 consecutive years in a clay loam field in Germany and established sowing density dose-response curves for several root and shoot traits. We took soil cores for measuring roots up to a depth of 60 cm in and between plant rows (inter-row distance 21 cm). Root length density increased with increasing sowing density and was greatest in the plant row in the topsoil (0-10 cm). Greater sowing density increased specific root length partly through greater production of fine roots in the topsoil. Rooting depth (D50) of the major root axes (root diameter class 0.4-1.0 mm) was not affected. Root mass fraction decreased, while stem mass fraction increased with sowing density and over time. Leaf mass fraction was constant over sowing density but greater leaf area was realized through increased specific leaf area. Considering fertilization, we assume that light competition caused plants to grow more shoot mass at the cost of investment into roots, which is partly compensated by increased specific root length and shallow rooting. Increased biomass per area with greater densities suggest that density increases the efficiency of the cropping system, however, declines in harvest index at densities over 230 plants m(-2) suggest that this efficiency did not translate into greater yield. We conclude that plant density is a modifier of root architecture and that root traits and their utility in breeding for greater productivity have to be understood in the context of high sowing densities.","author":[{"dropping-particle":"","family":"Hecht","given":"Vera L","non-dropping-particle":"","parse-names":false,"suffix":""},{"dropping-particle":"","family":"Temperton","given":"Vicky M","non-dropping-particle":"","parse-names":false,"suffix":""},{"dropping-particle":"","family":"Nagel","given":"Kerstin A","non-dropping-particle":"","parse-names":false,"suffix":""},{"dropping-particle":"","family":"Rascher","given":"Uwe","non-dropping-particle":"","parse-names":false,"suffix":""},{"dropping-particle":"","family":"Postma","given":"Johannes A","non-dropping-particle":"","parse-names":false,"suffix":""}],"container-title":"Frontiers in plant science","id":"ITEM-2","issued":{"date-parts":[["2016"]]},"page":"944","publisher":"Frontiers Media SA","title":"Sowing density: A neglected factor fundamentally affecting root distribution and biomass allocation of field grown spring barley (Hordeum Vulgare L.).","type":"article-journal","volume":"7"},"uris":["http://www.mendeley.com/documents/?uuid=dc1d2700-06b5-303e-bbc1-0d14b3ce1e0f"]}],"mendeley":{"formattedCitation":"(Harper, 1977; Hecht et al., 2016)","plainTextFormattedCitation":"(Harper, 1977; Hecht et al., 2016)","previouslyFormattedCitation":"(Harper, 1977; Hecht et al., 2016)"},"properties":{"noteIndex":0},"schema":"https://github.com/citation-style-language/schema/raw/master/csl-citation.json"}</w:instrText>
      </w:r>
      <w:r w:rsidRPr="00BB119D">
        <w:rPr>
          <w:rFonts w:eastAsia="Calibri" w:cs="Times New Roman"/>
        </w:rPr>
        <w:fldChar w:fldCharType="separate"/>
      </w:r>
      <w:r w:rsidRPr="00BB119D">
        <w:rPr>
          <w:rFonts w:eastAsia="Calibri" w:cs="Times New Roman"/>
          <w:noProof/>
        </w:rPr>
        <w:t>(Harper, 1977; Hecht et al., 2016)</w:t>
      </w:r>
      <w:r w:rsidRPr="00BB119D">
        <w:rPr>
          <w:rFonts w:eastAsia="Calibri" w:cs="Times New Roman"/>
        </w:rPr>
        <w:fldChar w:fldCharType="end"/>
      </w:r>
      <w:r w:rsidRPr="00BB119D">
        <w:rPr>
          <w:rFonts w:eastAsia="Calibri" w:cs="Times New Roman"/>
        </w:rPr>
        <w:t>. Plants use their shoot and root systems to detect the presence of neighbouring plants using a range of mechanisms such as root exudates, volatiles and light (Wang et al., 2021; Huber et al., 2021; Ninkovic et al., 2021). However, unpicking the roles and indeed importance of mechanisms in the shoot and the root remains unclear</w:t>
      </w:r>
      <w:r w:rsidR="00E96CCA">
        <w:rPr>
          <w:rFonts w:eastAsia="Calibri" w:cs="Times New Roman"/>
        </w:rPr>
        <w:t xml:space="preserve"> </w:t>
      </w:r>
      <w:r w:rsidR="00E96CCA">
        <w:rPr>
          <w:rFonts w:eastAsia="Calibri" w:cs="Times New Roman"/>
        </w:rPr>
        <w:fldChar w:fldCharType="begin" w:fldLock="1"/>
      </w:r>
      <w:r w:rsidR="00AA4FF0">
        <w:rPr>
          <w:rFonts w:eastAsia="Calibri" w:cs="Times New Roman"/>
        </w:rPr>
        <w:instrText>ADDIN CSL_CITATION {"citationItems":[{"id":"ITEM-1","itemData":{"DOI":"10.1111/pce.13892","ISSN":"0140-7791","author":[{"dropping-particle":"","family":"Wang","given":"Nan</w:instrText>
      </w:r>
      <w:r w:rsidR="00AA4FF0">
        <w:rPr>
          <w:rFonts w:ascii="Cambria Math" w:eastAsia="Calibri" w:hAnsi="Cambria Math" w:cs="Cambria Math"/>
        </w:rPr>
        <w:instrText>‐</w:instrText>
      </w:r>
      <w:r w:rsidR="00AA4FF0">
        <w:rPr>
          <w:rFonts w:eastAsia="Calibri" w:cs="Times New Roman"/>
        </w:rPr>
        <w:instrText>Qi","non-dropping-particle":"","parse-names":false,"suffix":""},{"dropping-particle":"","family":"Kong","given":"Chui</w:instrText>
      </w:r>
      <w:r w:rsidR="00AA4FF0">
        <w:rPr>
          <w:rFonts w:ascii="Cambria Math" w:eastAsia="Calibri" w:hAnsi="Cambria Math" w:cs="Cambria Math"/>
        </w:rPr>
        <w:instrText>‐</w:instrText>
      </w:r>
      <w:r w:rsidR="00AA4FF0">
        <w:rPr>
          <w:rFonts w:eastAsia="Calibri" w:cs="Times New Roman"/>
        </w:rPr>
        <w:instrText>Hua","non-dropping-particle":"","parse-names":false,"suffix":""},{"dropping-particle":"","family":"Wang","given":"Peng","non-dropping-particle":"","parse-names":false,"suffix":""},{"dropping-particle":"","family":"Meiners","given":"Scott J.","non-dropping-particle":"","parse-names":false,"suffix":""}],"container-title":"Plant, Cell &amp; Environment","id":"ITEM-1","issue":"4","issued":{"date-parts":[["2021","4","7"]]},"page":"1044-1058","title":"Root exudate signals in plant–plant interactions","type":"article-journal","volume":"44"},"uris":["http://www.mendeley.com/documents/?uuid=ded10ba8-49ef-4767-9b7d-9b5253ad6db1"]}],"mendeley":{"formattedCitation":"(Wang et al., 2021)","plainTextFormattedCitation":"(Wang et al., 2021)","previouslyFormattedCitation":"(Wang et al., 2021)"},"properties":{"noteIndex":0},"schema":"https://github.com/citation-style-language/schema/raw/master/csl-citation.json"}</w:instrText>
      </w:r>
      <w:r w:rsidR="00E96CCA">
        <w:rPr>
          <w:rFonts w:eastAsia="Calibri" w:cs="Times New Roman"/>
        </w:rPr>
        <w:fldChar w:fldCharType="separate"/>
      </w:r>
      <w:r w:rsidR="00E96CCA" w:rsidRPr="00E96CCA">
        <w:rPr>
          <w:rFonts w:eastAsia="Calibri" w:cs="Times New Roman"/>
          <w:noProof/>
        </w:rPr>
        <w:t>(Wang et al., 2021)</w:t>
      </w:r>
      <w:r w:rsidR="00E96CCA">
        <w:rPr>
          <w:rFonts w:eastAsia="Calibri" w:cs="Times New Roman"/>
        </w:rPr>
        <w:fldChar w:fldCharType="end"/>
      </w:r>
      <w:r w:rsidRPr="00BB119D">
        <w:rPr>
          <w:rFonts w:eastAsia="Calibri" w:cs="Times New Roman"/>
        </w:rPr>
        <w:t xml:space="preserve">. </w:t>
      </w:r>
    </w:p>
    <w:p w14:paraId="1F1E220B" w14:textId="69EAFFA0" w:rsidR="005A5D3A" w:rsidRPr="00BB119D" w:rsidRDefault="005A5D3A" w:rsidP="005A5D3A">
      <w:pPr>
        <w:spacing w:line="480" w:lineRule="auto"/>
        <w:rPr>
          <w:rFonts w:eastAsia="Calibri" w:cs="Times New Roman"/>
        </w:rPr>
      </w:pPr>
      <w:r w:rsidRPr="00BB119D">
        <w:rPr>
          <w:rFonts w:eastAsia="Calibri" w:cs="Times New Roman"/>
        </w:rPr>
        <w:lastRenderedPageBreak/>
        <w:t xml:space="preserve">Plants </w:t>
      </w:r>
      <w:r w:rsidR="002E33C4">
        <w:rPr>
          <w:rFonts w:eastAsia="Calibri" w:cs="Times New Roman"/>
        </w:rPr>
        <w:t xml:space="preserve">grown </w:t>
      </w:r>
      <w:r w:rsidRPr="00BB119D">
        <w:rPr>
          <w:rFonts w:eastAsia="Calibri" w:cs="Times New Roman"/>
        </w:rPr>
        <w:t xml:space="preserve">at high density </w:t>
      </w:r>
      <w:r>
        <w:rPr>
          <w:rFonts w:eastAsia="Calibri" w:cs="Times New Roman"/>
        </w:rPr>
        <w:t>effectively experience</w:t>
      </w:r>
      <w:r w:rsidRPr="00BB119D">
        <w:rPr>
          <w:rFonts w:eastAsia="Calibri" w:cs="Times New Roman"/>
        </w:rPr>
        <w:t xml:space="preserve"> less </w:t>
      </w:r>
      <w:r>
        <w:rPr>
          <w:rFonts w:eastAsia="Calibri" w:cs="Times New Roman"/>
        </w:rPr>
        <w:t xml:space="preserve">‘free’ </w:t>
      </w:r>
      <w:r w:rsidRPr="00BB119D">
        <w:rPr>
          <w:rFonts w:eastAsia="Calibri" w:cs="Times New Roman"/>
        </w:rPr>
        <w:t xml:space="preserve">soil volume for their roots to explore than if they were sown further apart. Therefore, the similarities in shoot-based changes in response to soil volume and neighbour density highlights the potential to better understand these responses together. However, this also requires </w:t>
      </w:r>
      <w:r>
        <w:rPr>
          <w:rFonts w:eastAsia="Calibri" w:cs="Times New Roman"/>
        </w:rPr>
        <w:t>being able</w:t>
      </w:r>
      <w:r w:rsidRPr="00BB119D">
        <w:rPr>
          <w:rFonts w:eastAsia="Calibri" w:cs="Times New Roman"/>
        </w:rPr>
        <w:t xml:space="preserve"> to delineate the effects caused by </w:t>
      </w:r>
      <w:r>
        <w:rPr>
          <w:rFonts w:eastAsia="Calibri" w:cs="Times New Roman"/>
        </w:rPr>
        <w:t xml:space="preserve">neighbour detection in the </w:t>
      </w:r>
      <w:r w:rsidRPr="00BB119D">
        <w:rPr>
          <w:rFonts w:eastAsia="Calibri" w:cs="Times New Roman"/>
        </w:rPr>
        <w:t>root and shoot</w:t>
      </w:r>
      <w:r>
        <w:rPr>
          <w:rFonts w:eastAsia="Calibri" w:cs="Times New Roman"/>
        </w:rPr>
        <w:t xml:space="preserve"> system respectively</w:t>
      </w:r>
      <w:r w:rsidRPr="00BB119D">
        <w:rPr>
          <w:rFonts w:eastAsia="Calibri" w:cs="Times New Roman"/>
        </w:rPr>
        <w:t xml:space="preserve">. </w:t>
      </w:r>
    </w:p>
    <w:p w14:paraId="620CC00F" w14:textId="47A0EB7A" w:rsidR="005A5D3A" w:rsidRDefault="005A5D3A" w:rsidP="005A5D3A">
      <w:pPr>
        <w:spacing w:line="480" w:lineRule="auto"/>
        <w:rPr>
          <w:rFonts w:eastAsia="Calibri" w:cs="Times New Roman"/>
        </w:rPr>
      </w:pPr>
      <w:r w:rsidRPr="00BB119D">
        <w:rPr>
          <w:rFonts w:eastAsia="Calibri" w:cs="Times New Roman"/>
        </w:rPr>
        <w:t>In addition to shoot</w:t>
      </w:r>
      <w:r>
        <w:rPr>
          <w:rFonts w:eastAsia="Calibri" w:cs="Times New Roman"/>
        </w:rPr>
        <w:t xml:space="preserve"> growth</w:t>
      </w:r>
      <w:r w:rsidRPr="00BB119D">
        <w:rPr>
          <w:rFonts w:eastAsia="Calibri" w:cs="Times New Roman"/>
        </w:rPr>
        <w:t>, root</w:t>
      </w:r>
      <w:r>
        <w:rPr>
          <w:rFonts w:eastAsia="Calibri" w:cs="Times New Roman"/>
        </w:rPr>
        <w:t xml:space="preserve"> growth</w:t>
      </w:r>
      <w:r w:rsidRPr="00BB119D">
        <w:rPr>
          <w:rFonts w:eastAsia="Calibri" w:cs="Times New Roman"/>
        </w:rPr>
        <w:t xml:space="preserve"> </w:t>
      </w:r>
      <w:r>
        <w:rPr>
          <w:rFonts w:eastAsia="Calibri" w:cs="Times New Roman"/>
        </w:rPr>
        <w:t xml:space="preserve">and changes in root system architecture </w:t>
      </w:r>
      <w:r w:rsidRPr="00BB119D">
        <w:rPr>
          <w:rFonts w:eastAsia="Calibri" w:cs="Times New Roman"/>
        </w:rPr>
        <w:t xml:space="preserve">have been assessed in </w:t>
      </w:r>
      <w:r>
        <w:rPr>
          <w:rFonts w:eastAsia="Calibri" w:cs="Times New Roman"/>
        </w:rPr>
        <w:t>crowded</w:t>
      </w:r>
      <w:r w:rsidRPr="00BB119D">
        <w:rPr>
          <w:rFonts w:eastAsia="Calibri" w:cs="Times New Roman"/>
        </w:rPr>
        <w:t xml:space="preserve"> settings. The three- dimensional architecture of the root system is a key factor in determining the space and subsequently the water and nutrients that the plant is able to forage </w:t>
      </w:r>
      <w:r w:rsidRPr="00BB119D">
        <w:rPr>
          <w:rFonts w:eastAsia="Calibri" w:cs="Times New Roman"/>
        </w:rPr>
        <w:fldChar w:fldCharType="begin" w:fldLock="1"/>
      </w:r>
      <w:r w:rsidR="002D6F75">
        <w:rPr>
          <w:rFonts w:eastAsia="Calibri" w:cs="Times New Roman"/>
        </w:rPr>
        <w:instrText>ADDIN CSL_CITATION {"citationItems":[{"id":"ITEM-1","itemData":{"DOI":"10.1016/j.tplants.2018.08.004","ISSN":"13601385","author":[{"dropping-particle":"","family":"Voss-Fels","given":"Kai P.","non-dropping-particle":"","parse-names":false,"suffix":""},{"dropping-particle":"","family":"Snowdon","given":"Rod J.","non-dropping-particle":"","parse-names":false,"suffix":""},{"dropping-particle":"","family":"Hickey","given":"Lee T.","non-dropping-particle":"","parse-names":false,"suffix":""}],"container-title":"Trends in Plant Science","id":"ITEM-1","issue":"11","issued":{"date-parts":[["2018","11"]]},"page":"957-960","title":"Designer roots for future crops","type":"article-journal","volume":"23"},"uris":["http://www.mendeley.com/documents/?uuid=275c7d7f-a359-498c-bf02-b56600be487d"]}],"mendeley":{"formattedCitation":"(Voss-Fels et al., 2018)","plainTextFormattedCitation":"(Voss-Fels et al., 2018)","previouslyFormattedCitation":"(Voss-Fels et al., 2018)"},"properties":{"noteIndex":0},"schema":"https://github.com/citation-style-language/schema/raw/master/csl-citation.json"}</w:instrText>
      </w:r>
      <w:r w:rsidRPr="00BB119D">
        <w:rPr>
          <w:rFonts w:eastAsia="Calibri" w:cs="Times New Roman"/>
        </w:rPr>
        <w:fldChar w:fldCharType="separate"/>
      </w:r>
      <w:r w:rsidRPr="00BB119D">
        <w:rPr>
          <w:rFonts w:eastAsia="Calibri" w:cs="Times New Roman"/>
          <w:noProof/>
        </w:rPr>
        <w:t>(Voss-Fels et al., 2018)</w:t>
      </w:r>
      <w:r w:rsidRPr="00BB119D">
        <w:rPr>
          <w:rFonts w:eastAsia="Calibri" w:cs="Times New Roman"/>
        </w:rPr>
        <w:fldChar w:fldCharType="end"/>
      </w:r>
      <w:r w:rsidRPr="00BB119D">
        <w:rPr>
          <w:rFonts w:eastAsia="Calibri" w:cs="Times New Roman"/>
        </w:rPr>
        <w:t xml:space="preserve">. As </w:t>
      </w:r>
      <w:r>
        <w:rPr>
          <w:rFonts w:eastAsia="Calibri" w:cs="Times New Roman"/>
        </w:rPr>
        <w:t xml:space="preserve">discussed in the introduction, understanding plant responses to neighbours has often been confounded by a failure to control soil volume and this issue has been particularly apparent in the root system responses </w:t>
      </w:r>
      <w:r>
        <w:rPr>
          <w:rFonts w:eastAsia="Calibri" w:cs="Times New Roman"/>
        </w:rPr>
        <w:fldChar w:fldCharType="begin" w:fldLock="1"/>
      </w:r>
      <w:r w:rsidR="00672EFF">
        <w:rPr>
          <w:rFonts w:eastAsia="Calibri" w:cs="Times New Roman"/>
        </w:rPr>
        <w:instrText>ADDIN CSL_CITATION {"citationItems":[{"id":"ITEM-1","itemData":{"DOI":"10.1046/j.0022-0477.2001.00609.x","ISSN":"0022-0477","author":[{"dropping-particle":"","family":"Gersani","given":"Mordechai","non-dropping-particle":"","parse-names":false,"suffix":""},{"dropping-particle":"","family":"Brown","given":"Joel s.","non-dropping-particle":"","parse-names":false,"suffix":""},{"dropping-particle":"","family":"O'Brien","given":"Erin E.","non-dropping-particle":"","parse-names":false,"suffix":""},{"dropping-particle":"","family":"Maina","given":"Godfrey M.","non-dropping-particle":"","parse-names":false,"suffix":""},{"dropping-particle":"","family":"Abramsky","given":"Zvika","non-dropping-particle":"","parse-names":false,"suffix":""}],"container-title":"Journal of Ecology","id":"ITEM-1","issue":"4","issued":{"date-parts":[["2001","8","1"]]},"page":"660-669","publisher":"John Wiley &amp; Sons, Ltd (10.1111)","title":"Tragedy of the commons as a result of root competition","type":"article-journal","volume":"89"},"uris":["http://www.mendeley.com/documents/?uuid=e4fdc5fb-f1f5-3a4c-8e11-8124bfbfa292"]},{"id":"ITEM-2","itemData":{"DOI":"10.2307/3599566","abstract":"1 Competition usually involves the allocation of limiting resources to non-reproductive functions. Natural selection is expected to favour mechanisms that increase competition with non-self neighbours and limit wasteful competition with self. 2 We used Pisum sativum plants that had two roots and 'double plants' with two shoots and two roots that could be either longitudinally separated into two genetically identical but physiologically distinct individuals or left intact. 3 Root development was significantly greater in split-root plants whose neighbours belonged to different plants. Furthermore, root development was relatively greater in the presence of roots of a different plant, regardless of its identity. This discrimination had a vectorial component whereby plants developed more and longer lateral roots towards neighbouring roots of different plants than towards other roots of the same plant. 4 The results thus demonstrate a mechanism of avoiding self-competition that is based on physiological co-ordination among different organs of the same plant rather than on allochemical recognition that depends on genetic differences. 5 The ability to discriminate between self and non-self could be expected to increase resource use efficiency and ecological performance in plants. It could also be expected that tight physiological co-ordination will be selected for between organs of the same plant that have greater probability of being engaged in direct competitive interactions with each other.","author":[{"dropping-particle":"","family":"Falik","given":"Omer","non-dropping-particle":"","parse-names":false,"suffix":""},{"dropping-particle":"","family":"Reides","given":"Perla","non-dropping-particle":"","parse-names":false,"suffix":""},{"dropping-particle":"","family":"Gersani","given":"Mordechai","non-dropping-particle":"","parse-names":false,"suffix":""},{"dropping-particle":"","family":"Novoplansky","given":"Ariel","non-dropping-particle":"","parse-names":false,"suffix":""}],"container-title":"Journal of Ecology","id":"ITEM-2","issued":{"date-parts":[["2003"]]},"page":"525-531","publisher":"British Ecological Society","title":"Self/Non-Self discrimination in roots","type":"article","volume":"91"},"uris":["http://www.mendeley.com/documents/?uuid=2426e450-67f2-333c-b688-6bfc280b4823"]}],"mendeley":{"formattedCitation":"(Gersani et al., 2001; Falik et al., 2003)","plainTextFormattedCitation":"(Gersani et al., 2001; Falik et al., 2003)","previouslyFormattedCitation":"(Gersani et al., 2001; Falik et al., 2003)"},"properties":{"noteIndex":0},"schema":"https://github.com/citation-style-language/schema/raw/master/csl-citation.json"}</w:instrText>
      </w:r>
      <w:r>
        <w:rPr>
          <w:rFonts w:eastAsia="Calibri" w:cs="Times New Roman"/>
        </w:rPr>
        <w:fldChar w:fldCharType="separate"/>
      </w:r>
      <w:r w:rsidRPr="00C16E8B">
        <w:rPr>
          <w:rFonts w:eastAsia="Calibri" w:cs="Times New Roman"/>
          <w:noProof/>
        </w:rPr>
        <w:t>(Gersani et al., 2001; Falik et al., 2003)</w:t>
      </w:r>
      <w:r>
        <w:rPr>
          <w:rFonts w:eastAsia="Calibri" w:cs="Times New Roman"/>
        </w:rPr>
        <w:fldChar w:fldCharType="end"/>
      </w:r>
      <w:r>
        <w:rPr>
          <w:rFonts w:eastAsia="Calibri" w:cs="Times New Roman"/>
        </w:rPr>
        <w:t xml:space="preserve">. In addition, how the root system responds to the presence of neighbours has been suggested to differ depending on how closely related the neighbour is and this can influence the number, biomass and length of roots </w:t>
      </w:r>
      <w:r>
        <w:rPr>
          <w:rFonts w:eastAsia="Calibri" w:cs="Times New Roman"/>
        </w:rPr>
        <w:fldChar w:fldCharType="begin" w:fldLock="1"/>
      </w:r>
      <w:r w:rsidR="00DB0928">
        <w:rPr>
          <w:rFonts w:eastAsia="Calibri" w:cs="Times New Roman"/>
        </w:rPr>
        <w:instrText>ADDIN CSL_CITATION {"citationItems":[{"id":"ITEM-1","itemData":{"DOI":"10.1073/pnas.0306604101","ISSN":"00278424","abstract":"Recent evidence suggests that self/non-self discrimination exists among roots; its mechanisms, however, are still unclear. We compared the growth of Buchloe dactyloides cuttings that were grown in the presence of neighbors that belonged to the same physiological individual, were separated from each other for variable periods, or originated from adjacent or remote tillers on the same clone. The results demonstrate that B. dactyloides plants are able to differentiate between self and non-self neighbors and develop fewer and shorter roots in the presence of other roots of the same individual. Furthermore, once cuttings that originate from the very same node are separated, they become progressively alienated from each other and eventually relate to each other as genetically alien plants. The results suggest that the observed self/non-self discrimination is mediated by physiological coordination among roots that developed on the same plant rather than allogenetic recognition. The observed physiological coordination is based on an as yet unknown mechanism and has important ecological implications, because it allows the avoidance of competition with self and the allocation of greater resources to alternative functions.","author":[{"dropping-particle":"","family":"Gruntman","given":"Michal","non-dropping-particle":"","parse-names":false,"suffix":""},{"dropping-particle":"","family":"Novoplansky","given":"Ariel","non-dropping-particle":"","parse-names":false,"suffix":""}],"container-title":"Proceedings of the National Academy of Sciences of the United States of America","id":"ITEM-1","issue":"11","issued":{"date-parts":[["2004","3","16"]]},"page":"3863-3867","title":"Physiologically mediated self/non-self discrimination in roots","type":"article-journal","volume":"101"},"uris":["http://www.mendeley.com/documents/?uuid=10ddb2d2-97a2-382f-9394-86dcade9122e"]},{"id":"ITEM-2","itemData":{"DOI":"10.1126/science.1150726","ISSN":"0036-8075","author":[{"dropping-particle":"","family":"Kroon","given":"Hans","non-dropping-particle":"de","parse-names":false,"suffix":""}],"container-title":"Science","id":"ITEM-2","issue":"5856","issued":{"date-parts":[["2007","12","7"]]},"page":"1562-1563","title":"How do roots interact?","type":"article-journal","volume":"318"},"uris":["http://www.mendeley.com/documents/?uuid=a75e048b-79f7-408a-8c40-8326c8b5371b"]},{"id":"ITEM-3","itemData":{"DOI":"10.1098/rsbl.2007.0232","ISSN":"1744-9561","abstract":"Kin recognition is important in animal social systems. However, though plants often compete with kin, there has been as yet no direct evidence that plants recognize kin in competitive interactions. Here we show in the annual plant Cakile edentula, allocation to roots increased when groups of strangers shared a common pot, but not when groups of siblings shared a pot. Our results demonstrate that plants can discriminate kin in competitive interactions and indicate that the root interactions may provide the cue for kin recognition. Because greater root allocation is argued to increase below-ground competitive ability, the results are consistent with kin selection. © 2007 The Royal Society.","author":[{"dropping-particle":"","family":"Dudley","given":"Susan A","non-dropping-particle":"","parse-names":false,"suffix":""},{"dropping-particle":"","family":"File","given":"Amanda L","non-dropping-particle":"","parse-names":false,"suffix":""}],"container-title":"Biology Letters","id":"ITEM-3","issue":"4","issued":{"date-parts":[["2007","8","22"]]},"page":"435-438","publisher":"Royal Society","title":"Kin recognition in an annual plant","type":"article-journal","volume":"3"},"uris":["http://www.mendeley.com/documents/?uuid=2a29e6f6-7039-3eb1-9d33-603721c85311"]}],"mendeley":{"formattedCitation":"(Gruntman and Novoplansky, 2004; Dudley and File, 2007; de Kroon, 2007)","plainTextFormattedCitation":"(Gruntman and Novoplansky, 2004; Dudley and File, 2007; de Kroon, 2007)","previouslyFormattedCitation":"(Gruntman and Novoplansky, 2004; Dudley and File, 2007; de Kroon, 2007)"},"properties":{"noteIndex":0},"schema":"https://github.com/citation-style-language/schema/raw/master/csl-citation.json"}</w:instrText>
      </w:r>
      <w:r>
        <w:rPr>
          <w:rFonts w:eastAsia="Calibri" w:cs="Times New Roman"/>
        </w:rPr>
        <w:fldChar w:fldCharType="separate"/>
      </w:r>
      <w:r w:rsidRPr="00AC12FD">
        <w:rPr>
          <w:rFonts w:eastAsia="Calibri" w:cs="Times New Roman"/>
          <w:noProof/>
        </w:rPr>
        <w:t>(Gruntman and Novoplansky, 2004; Dudley and File, 2007; de Kroon, 2007)</w:t>
      </w:r>
      <w:r>
        <w:rPr>
          <w:rFonts w:eastAsia="Calibri" w:cs="Times New Roman"/>
        </w:rPr>
        <w:fldChar w:fldCharType="end"/>
      </w:r>
      <w:r>
        <w:rPr>
          <w:rFonts w:eastAsia="Calibri" w:cs="Times New Roman"/>
        </w:rPr>
        <w:t xml:space="preserve">. In field-grown wheat and barley, root numbers have been shown to decrease when neighbour density increases </w:t>
      </w:r>
      <w:r>
        <w:rPr>
          <w:rFonts w:eastAsia="Calibri" w:cs="Times New Roman"/>
        </w:rPr>
        <w:fldChar w:fldCharType="begin" w:fldLock="1"/>
      </w:r>
      <w:r w:rsidR="002A655D">
        <w:rPr>
          <w:rFonts w:eastAsia="Calibri" w:cs="Times New Roman"/>
        </w:rPr>
        <w:instrText>ADDIN CSL_CITATION {"citationItems":[{"id":"ITEM-1","itemData":{"DOI":"10.1007/s11104-020-04585-2","ISSN":"0032-079X","author":[{"dropping-particle":"","family":"Fradgley","given":"N.","non-dropping-particle":"","parse-names":false,"suffix":""},{"dropping-particle":"","family":"Evans","given":"G.","non-dropping-particle":"","parse-names":false,"suffix":""},{"dropping-particle":"","family":"Biernaskie","given":"J.M.","non-dropping-particle":"","parse-names":false,"suffix":""},{"dropping-particle":"","family":"Cockram","given":"J.","non-dropping-particle":"","parse-names":false,"suffix":""},{"dropping-particle":"","family":"Marr","given":"E.C.","non-dropping-particle":"","parse-names":false,"suffix":""},{"dropping-particle":"","family":"Oliver","given":"A. G.","non-dropping-particle":"","parse-names":false,"suffix":""},{"dropping-particle":"","family":"Ober","given":"E.","non-dropping-particle":"","parse-names":false,"suffix":""},{"dropping-particle":"","family":"Jones","given":"H.","non-dropping-particle":"","parse-names":false,"suffix":""}],"container-title":"Plant and Soil","id":"ITEM-1","issue":"1-2","issued":{"date-parts":[["2020","7","20"]]},"page":"587-600","title":"Effects of breeding history and crop management on the root architecture of wheat","type":"article-journal","volume":"452"},"uris":["http://www.mendeley.com/documents/?uuid=65742e1e-249f-4da8-98d8-5a248885ae0c"]},{"id":"ITEM-2","itemData":{"DOI":"10.3389/fpls.2016.00944","ISSN":"1664-462X","PMID":"27446171","abstract":"Studies on the function of root traits and the genetic variation in these traits are often conducted under controlled conditions using individual potted plants. Little is known about root growth under field conditions and how root traits are affected by agronomic practices in particular sowing density. We hypothesized that with increasing sowing density, root length density (root length per soil volume, cm cm(-3)) increases in the topsoil as well as specific root length (root length per root dry weight, cm g(-1)) due to greater investment in fine roots. Therefore, we studied two spring barley cultivars at ten different sowing densities (24-340 seeds m(-2)) in 2 consecutive years in a clay loam field in Germany and established sowing density dose-response curves for several root and shoot traits. We took soil cores for measuring roots up to a depth of 60 cm in and between plant rows (inter-row distance 21 cm). Root length density increased with increasing sowing density and was greatest in the plant row in the topsoil (0-10 cm). Greater sowing density increased specific root length partly through greater production of fine roots in the topsoil. Rooting depth (D50) of the major root axes (root diameter class 0.4-1.0 mm) was not affected. Root mass fraction decreased, while stem mass fraction increased with sowing density and over time. Leaf mass fraction was constant over sowing density but greater leaf area was realized through increased specific leaf area. Considering fertilization, we assume that light competition caused plants to grow more shoot mass at the cost of investment into roots, which is partly compensated by increased specific root length and shallow rooting. Increased biomass per area with greater densities suggest that density increases the efficiency of the cropping system, however, declines in harvest index at densities over 230 plants m(-2) suggest that this efficiency did not translate into greater yield. We conclude that plant density is a modifier of root architecture and that root traits and their utility in breeding for greater productivity have to be understood in the context of high sowing densities.","author":[{"dropping-particle":"","family":"Hecht","given":"Vera L","non-dropping-particle":"","parse-names":false,"suffix":""},{"dropping-particle":"","family":"Temperton","given":"Vicky M","non-dropping-particle":"","parse-names":false,"suffix":""},{"dropping-particle":"","family":"Nagel","given":"Kerstin A","non-dropping-particle":"","parse-names":false,"suffix":""},{"dropping-particle":"","family":"Rascher","given":"Uwe","non-dropping-particle":"","parse-names":false,"suffix":""},{"dropping-particle":"","family":"Postma","given":"Johannes A","non-dropping-particle":"","parse-names":false,"suffix":""}],"container-title":"Frontiers in plant science","id":"ITEM-2","issued":{"date-parts":[["2016"]]},"page":"944","publisher":"Frontiers Media SA","title":"Sowing density: A neglected factor fundamentally affecting root distribution and biomass allocation of field grown spring barley (Hordeum Vulgare L.).","type":"article-journal","volume":"7"},"uris":["http://www.mendeley.com/documents/?uuid=dc1d2700-06b5-303e-bbc1-0d14b3ce1e0f"]}],"mendeley":{"formattedCitation":"(Hecht et al., 2016; Fradgley et al., 2020)","plainTextFormattedCitation":"(Hecht et al., 2016; Fradgley et al., 2020)","previouslyFormattedCitation":"(Hecht et al., 2016; Fradgley et al., 2020)"},"properties":{"noteIndex":0},"schema":"https://github.com/citation-style-language/schema/raw/master/csl-citation.json"}</w:instrText>
      </w:r>
      <w:r>
        <w:rPr>
          <w:rFonts w:eastAsia="Calibri" w:cs="Times New Roman"/>
        </w:rPr>
        <w:fldChar w:fldCharType="separate"/>
      </w:r>
      <w:r w:rsidRPr="006B3D74">
        <w:rPr>
          <w:rFonts w:eastAsia="Calibri" w:cs="Times New Roman"/>
          <w:noProof/>
        </w:rPr>
        <w:t>(Hecht et al., 2016; Fradgley et al., 2020)</w:t>
      </w:r>
      <w:r>
        <w:rPr>
          <w:rFonts w:eastAsia="Calibri" w:cs="Times New Roman"/>
        </w:rPr>
        <w:fldChar w:fldCharType="end"/>
      </w:r>
      <w:r>
        <w:rPr>
          <w:rFonts w:eastAsia="Calibri" w:cs="Times New Roman"/>
        </w:rPr>
        <w:t xml:space="preserve">. Despite many studies investigating root system architecture responses to neighbour density, investigations into root system architecture responses in plants experiencing differing soil volumes have been absent from the literature. This lack of root system visualisation could be hindering our understanding of the mechanisms in which plants use to detect and explore their available soil volume. </w:t>
      </w:r>
    </w:p>
    <w:p w14:paraId="1E30E4E8" w14:textId="77777777" w:rsidR="005A5D3A" w:rsidRDefault="005A5D3A" w:rsidP="005A5D3A">
      <w:pPr>
        <w:spacing w:line="480" w:lineRule="auto"/>
        <w:rPr>
          <w:rFonts w:eastAsia="Calibri" w:cs="Times New Roman"/>
        </w:rPr>
      </w:pPr>
      <w:r>
        <w:rPr>
          <w:rFonts w:eastAsia="Calibri" w:cs="Times New Roman"/>
        </w:rPr>
        <w:lastRenderedPageBreak/>
        <w:t>In this chapter, I aim to understand the phenotypic relationship between soil volume and neighbour density responses in the shoot and the root systems. I also aim to identify if these shoot and root system responses to soil volume and neighbour density are the same between and within species. In addition, I aim to identify if root- or shoot-based mechanisms are most important for detection of neighbouring plants.</w:t>
      </w:r>
    </w:p>
    <w:p w14:paraId="5193D335" w14:textId="1D1F698D" w:rsidR="005A5D3A" w:rsidRDefault="00246CFD" w:rsidP="00743E4C">
      <w:pPr>
        <w:pStyle w:val="Heading2"/>
      </w:pPr>
      <w:bookmarkStart w:id="97" w:name="_Toc154331471"/>
      <w:r w:rsidRPr="00246CFD">
        <w:t>Interspecific variation in shoot response to soil volume and neighbour density</w:t>
      </w:r>
      <w:bookmarkEnd w:id="97"/>
    </w:p>
    <w:p w14:paraId="2505B48F" w14:textId="77777777" w:rsidR="00246CFD" w:rsidRDefault="00246CFD" w:rsidP="005A5D3A"/>
    <w:p w14:paraId="641A770A" w14:textId="4308D930" w:rsidR="00246CFD" w:rsidRDefault="00246CFD" w:rsidP="00743E4C">
      <w:pPr>
        <w:pStyle w:val="Heading3"/>
      </w:pPr>
      <w:bookmarkStart w:id="98" w:name="_Toc154331472"/>
      <w:r w:rsidRPr="00BE6926">
        <w:t xml:space="preserve">Wheat shoot responses to </w:t>
      </w:r>
      <w:r>
        <w:t xml:space="preserve">available </w:t>
      </w:r>
      <w:r w:rsidRPr="00BE6926">
        <w:t xml:space="preserve">soil volume and </w:t>
      </w:r>
      <w:r>
        <w:t xml:space="preserve">the density of </w:t>
      </w:r>
      <w:r w:rsidRPr="00BE6926">
        <w:t>neighbour</w:t>
      </w:r>
      <w:r>
        <w:t>s are</w:t>
      </w:r>
      <w:r w:rsidRPr="00BE6926">
        <w:t xml:space="preserve"> </w:t>
      </w:r>
      <w:r>
        <w:t xml:space="preserve">largely </w:t>
      </w:r>
      <w:r w:rsidRPr="00BE6926">
        <w:t>interchangeable</w:t>
      </w:r>
      <w:bookmarkEnd w:id="98"/>
    </w:p>
    <w:p w14:paraId="30FBABA8" w14:textId="77777777" w:rsidR="00246CFD" w:rsidRPr="00246CFD" w:rsidRDefault="00246CFD" w:rsidP="00246CFD"/>
    <w:p w14:paraId="4B7353B8" w14:textId="582C5913" w:rsidR="005A5D3A" w:rsidRDefault="005A5D3A" w:rsidP="005A5D3A">
      <w:pPr>
        <w:spacing w:before="160" w:line="480" w:lineRule="auto"/>
        <w:outlineLvl w:val="1"/>
        <w:rPr>
          <w:rFonts w:cs="Times New Roman"/>
          <w:bCs/>
        </w:rPr>
      </w:pPr>
      <w:r>
        <w:rPr>
          <w:rFonts w:cs="Times New Roman"/>
          <w:bCs/>
        </w:rPr>
        <w:t xml:space="preserve">I hypothesised that plants grown in crowded treatments would respond similarly to plants grown in limited soil volumes, </w:t>
      </w:r>
      <w:r w:rsidRPr="009D752F">
        <w:rPr>
          <w:rFonts w:cs="Times New Roman"/>
          <w:bCs/>
          <w:color w:val="000000" w:themeColor="text1"/>
        </w:rPr>
        <w:t xml:space="preserve">this is because by increasing the number of plants per pot would mean each plant would have access to a smaller soil volume per plant as the whole pot will need to be shared.  </w:t>
      </w:r>
      <w:r>
        <w:rPr>
          <w:rFonts w:cs="Times New Roman"/>
          <w:bCs/>
        </w:rPr>
        <w:t>To test this hypothesis, wheat (cv. Mulika) plants were grown in 100ml and 500ml pots either singly (1/pot) or crowded, whereby there were 4 plants in the pot (4/pot) (Fig</w:t>
      </w:r>
      <w:r w:rsidR="0061417A">
        <w:rPr>
          <w:rFonts w:cs="Times New Roman"/>
          <w:bCs/>
        </w:rPr>
        <w:t>.</w:t>
      </w:r>
      <w:r>
        <w:rPr>
          <w:rFonts w:cs="Times New Roman"/>
          <w:bCs/>
        </w:rPr>
        <w:t xml:space="preserve"> 3.1A)</w:t>
      </w:r>
      <w:r w:rsidR="002E33C4">
        <w:rPr>
          <w:rFonts w:cs="Times New Roman"/>
          <w:bCs/>
        </w:rPr>
        <w:t xml:space="preserve"> </w:t>
      </w:r>
      <w:r w:rsidR="0096482D">
        <w:rPr>
          <w:rFonts w:cs="Times New Roman"/>
          <w:bCs/>
        </w:rPr>
        <w:fldChar w:fldCharType="begin" w:fldLock="1"/>
      </w:r>
      <w:r w:rsidR="00BF404A">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sidR="00BF404A">
        <w:rPr>
          <w:rFonts w:ascii="Cambria Math" w:hAnsi="Cambria Math" w:cs="Cambria Math"/>
          <w:bCs/>
        </w:rPr>
        <w:instrText>‐</w:instrText>
      </w:r>
      <w:r w:rsidR="00BF404A">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sidR="0096482D">
        <w:rPr>
          <w:rFonts w:cs="Times New Roman"/>
          <w:bCs/>
        </w:rPr>
        <w:fldChar w:fldCharType="separate"/>
      </w:r>
      <w:r w:rsidR="0096482D" w:rsidRPr="0096482D">
        <w:rPr>
          <w:rFonts w:cs="Times New Roman"/>
          <w:bCs/>
          <w:noProof/>
        </w:rPr>
        <w:t>(Wheeldon et al., 2021)</w:t>
      </w:r>
      <w:r w:rsidR="0096482D">
        <w:rPr>
          <w:rFonts w:cs="Times New Roman"/>
          <w:bCs/>
        </w:rPr>
        <w:fldChar w:fldCharType="end"/>
      </w:r>
      <w:r>
        <w:rPr>
          <w:rFonts w:cs="Times New Roman"/>
          <w:bCs/>
        </w:rPr>
        <w:t>. I wanted to ensure that this experiment was only testing shoot growth responses to root-mediated crowding or soil volume, and hence, to control for any possible influence of shoot-mediated crowding, crowded plants were grown at the same distance apart regardless of soil volume. A square plastic template of equal size to the top of a 100ml pot was used as a guide for sowing distance in the 500ml pots. The distance between the shoots was maintained throughout life with the use of stakes (Fig</w:t>
      </w:r>
      <w:r w:rsidR="004A1692">
        <w:rPr>
          <w:rFonts w:cs="Times New Roman"/>
          <w:bCs/>
        </w:rPr>
        <w:t>.</w:t>
      </w:r>
      <w:r>
        <w:rPr>
          <w:rFonts w:cs="Times New Roman"/>
          <w:bCs/>
        </w:rPr>
        <w:t xml:space="preserve"> 3.1A). There would be an inherent increase in shoot mediated </w:t>
      </w:r>
      <w:r>
        <w:rPr>
          <w:rFonts w:cs="Times New Roman"/>
          <w:bCs/>
        </w:rPr>
        <w:lastRenderedPageBreak/>
        <w:t xml:space="preserve">neighbour-detection in crowded treatments as the experiment progressed, however between 100ml and 500ml treatments this should be approximately the same. </w:t>
      </w:r>
    </w:p>
    <w:p w14:paraId="225F99D4" w14:textId="3D41239E" w:rsidR="005A5D3A" w:rsidRDefault="005A5D3A" w:rsidP="005A5D3A">
      <w:pPr>
        <w:spacing w:before="160" w:line="480" w:lineRule="auto"/>
        <w:outlineLvl w:val="1"/>
        <w:rPr>
          <w:rFonts w:cs="Times New Roman"/>
          <w:bCs/>
        </w:rPr>
      </w:pPr>
      <w:r>
        <w:rPr>
          <w:rFonts w:cs="Times New Roman"/>
          <w:bCs/>
        </w:rPr>
        <w:t>Using this set-up, I measured the shoot growth of plants by both their maximum (peak) tiller number, and their shoot biomass. I assessed dry shoot biomass at 12 weeks post germination and observed that 1/pot plants grown in 500ml pots</w:t>
      </w:r>
      <w:r w:rsidR="00FC7E63">
        <w:rPr>
          <w:rFonts w:cs="Times New Roman"/>
          <w:bCs/>
        </w:rPr>
        <w:t xml:space="preserve"> were</w:t>
      </w:r>
      <w:r w:rsidR="006E27E0">
        <w:rPr>
          <w:rFonts w:cs="Times New Roman"/>
          <w:bCs/>
        </w:rPr>
        <w:t xml:space="preserve"> </w:t>
      </w:r>
      <w:r w:rsidR="006E27E0" w:rsidRPr="008D1112">
        <w:rPr>
          <w:rFonts w:cs="Times New Roman"/>
          <w:bCs/>
        </w:rPr>
        <w:t>statistically</w:t>
      </w:r>
      <w:r w:rsidR="001211AA" w:rsidRPr="008D1112">
        <w:rPr>
          <w:rFonts w:cs="Times New Roman"/>
          <w:bCs/>
        </w:rPr>
        <w:t xml:space="preserve"> </w:t>
      </w:r>
      <w:r w:rsidR="006E27E0" w:rsidRPr="008D1112">
        <w:rPr>
          <w:rFonts w:cs="Times New Roman"/>
          <w:bCs/>
        </w:rPr>
        <w:t>different</w:t>
      </w:r>
      <w:r w:rsidR="006E27E0">
        <w:rPr>
          <w:rFonts w:cs="Times New Roman"/>
          <w:bCs/>
        </w:rPr>
        <w:t>,</w:t>
      </w:r>
      <w:r>
        <w:rPr>
          <w:rFonts w:cs="Times New Roman"/>
          <w:bCs/>
        </w:rPr>
        <w:t xml:space="preserve"> produc</w:t>
      </w:r>
      <w:r w:rsidR="006E27E0">
        <w:rPr>
          <w:rFonts w:cs="Times New Roman"/>
          <w:bCs/>
        </w:rPr>
        <w:t>ing</w:t>
      </w:r>
      <w:r>
        <w:rPr>
          <w:rFonts w:cs="Times New Roman"/>
          <w:bCs/>
        </w:rPr>
        <w:t xml:space="preserve"> 4.0-fold more shoot biomass than 1/pot 100ml plants (Fig</w:t>
      </w:r>
      <w:r w:rsidR="005C1440">
        <w:rPr>
          <w:rFonts w:cs="Times New Roman"/>
          <w:bCs/>
        </w:rPr>
        <w:t>.</w:t>
      </w:r>
      <w:r>
        <w:rPr>
          <w:rFonts w:cs="Times New Roman"/>
          <w:bCs/>
        </w:rPr>
        <w:t xml:space="preserve"> 3.1B-C). Similarly, 4/pot plants grown in 500ml pots produced 3.2-fold more shoot biomass </w:t>
      </w:r>
      <w:r w:rsidR="00BF404A">
        <w:rPr>
          <w:rFonts w:cs="Times New Roman"/>
          <w:bCs/>
        </w:rPr>
        <w:t xml:space="preserve">per plant </w:t>
      </w:r>
      <w:r>
        <w:rPr>
          <w:rFonts w:cs="Times New Roman"/>
          <w:bCs/>
        </w:rPr>
        <w:t>than 4/pot 100ml plants. Thus, increasing soil volume strongly promotes increased shoot growth in both solitary and crowded plants. Critically, the 1/pot 100ml plants and the 4/pot 500ml plants, have a similar soil volume/plant</w:t>
      </w:r>
      <w:r w:rsidR="0099014B">
        <w:rPr>
          <w:rFonts w:cs="Times New Roman"/>
          <w:bCs/>
        </w:rPr>
        <w:t xml:space="preserve"> </w:t>
      </w:r>
      <w:r w:rsidR="0099014B" w:rsidRPr="001B0E8F">
        <w:rPr>
          <w:rFonts w:cs="Times New Roman"/>
          <w:bCs/>
        </w:rPr>
        <w:t>and</w:t>
      </w:r>
      <w:r w:rsidRPr="001B0E8F">
        <w:rPr>
          <w:rFonts w:cs="Times New Roman"/>
          <w:bCs/>
        </w:rPr>
        <w:t xml:space="preserve"> </w:t>
      </w:r>
      <w:r w:rsidR="0099014B" w:rsidRPr="001B0E8F">
        <w:rPr>
          <w:rFonts w:cs="Times New Roman"/>
          <w:bCs/>
        </w:rPr>
        <w:t>were not statistically different as these</w:t>
      </w:r>
      <w:r w:rsidR="0099014B">
        <w:rPr>
          <w:rFonts w:cs="Times New Roman"/>
          <w:bCs/>
        </w:rPr>
        <w:t xml:space="preserve"> </w:t>
      </w:r>
      <w:r>
        <w:rPr>
          <w:rFonts w:cs="Times New Roman"/>
          <w:bCs/>
        </w:rPr>
        <w:t xml:space="preserve">had very similar biomasses. Thus, increasing both soil volume </w:t>
      </w:r>
      <w:r w:rsidRPr="006D064D">
        <w:rPr>
          <w:rFonts w:cs="Times New Roman"/>
          <w:b/>
        </w:rPr>
        <w:t>and</w:t>
      </w:r>
      <w:r>
        <w:rPr>
          <w:rFonts w:cs="Times New Roman"/>
          <w:bCs/>
        </w:rPr>
        <w:t xml:space="preserve"> neighbour density results in little overall effect on growth; increased soil volume negates increased density, and </w:t>
      </w:r>
      <w:r w:rsidRPr="006D064D">
        <w:rPr>
          <w:rFonts w:cs="Times New Roman"/>
          <w:bCs/>
          <w:i/>
          <w:iCs/>
        </w:rPr>
        <w:t>vice versa</w:t>
      </w:r>
      <w:r>
        <w:rPr>
          <w:rFonts w:cs="Times New Roman"/>
          <w:bCs/>
        </w:rPr>
        <w:t>. These results suggest that soil volume and neighbour density are fundamentally interchangeable parameters</w:t>
      </w:r>
      <w:r w:rsidR="00BF404A">
        <w:rPr>
          <w:rFonts w:cs="Times New Roman"/>
          <w:bCs/>
        </w:rPr>
        <w:t xml:space="preserve"> </w:t>
      </w:r>
      <w:r w:rsidR="00BF404A">
        <w:rPr>
          <w:rFonts w:cs="Times New Roman"/>
          <w:bCs/>
        </w:rPr>
        <w:fldChar w:fldCharType="begin" w:fldLock="1"/>
      </w:r>
      <w:r w:rsidR="00DA03EB">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sidR="00DA03EB">
        <w:rPr>
          <w:rFonts w:ascii="Cambria Math" w:hAnsi="Cambria Math" w:cs="Cambria Math"/>
          <w:bCs/>
        </w:rPr>
        <w:instrText>‐</w:instrText>
      </w:r>
      <w:r w:rsidR="00DA03EB">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sidR="00BF404A">
        <w:rPr>
          <w:rFonts w:cs="Times New Roman"/>
          <w:bCs/>
        </w:rPr>
        <w:fldChar w:fldCharType="separate"/>
      </w:r>
      <w:r w:rsidR="00BF404A" w:rsidRPr="00BF404A">
        <w:rPr>
          <w:rFonts w:cs="Times New Roman"/>
          <w:bCs/>
          <w:noProof/>
        </w:rPr>
        <w:t>(Wheeldon et al., 2021)</w:t>
      </w:r>
      <w:r w:rsidR="00BF404A">
        <w:rPr>
          <w:rFonts w:cs="Times New Roman"/>
          <w:bCs/>
        </w:rPr>
        <w:fldChar w:fldCharType="end"/>
      </w:r>
      <w:r>
        <w:rPr>
          <w:rFonts w:cs="Times New Roman"/>
          <w:bCs/>
        </w:rPr>
        <w:t>.</w:t>
      </w:r>
    </w:p>
    <w:p w14:paraId="2B410677" w14:textId="6EB4CB4D" w:rsidR="003F537F" w:rsidRDefault="00CC2B04" w:rsidP="005A5D3A">
      <w:pPr>
        <w:spacing w:before="160" w:line="480" w:lineRule="auto"/>
        <w:outlineLvl w:val="1"/>
        <w:rPr>
          <w:rFonts w:cs="Times New Roman"/>
          <w:bCs/>
        </w:rPr>
      </w:pPr>
      <w:r>
        <w:rPr>
          <w:rFonts w:cs="Times New Roman"/>
          <w:noProof/>
        </w:rPr>
        <w:lastRenderedPageBreak/>
        <w:drawing>
          <wp:anchor distT="0" distB="0" distL="114300" distR="114300" simplePos="0" relativeHeight="251828736" behindDoc="0" locked="0" layoutInCell="1" allowOverlap="1" wp14:anchorId="5FC6C4E7" wp14:editId="0C9E8662">
            <wp:simplePos x="0" y="0"/>
            <wp:positionH relativeFrom="margin">
              <wp:align>right</wp:align>
            </wp:positionH>
            <wp:positionV relativeFrom="paragraph">
              <wp:posOffset>238125</wp:posOffset>
            </wp:positionV>
            <wp:extent cx="5182870" cy="3543935"/>
            <wp:effectExtent l="0" t="0" r="0" b="0"/>
            <wp:wrapSquare wrapText="bothSides"/>
            <wp:docPr id="2071528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528401" name="Picture 207152840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82870" cy="3543935"/>
                    </a:xfrm>
                    <a:prstGeom prst="rect">
                      <a:avLst/>
                    </a:prstGeom>
                  </pic:spPr>
                </pic:pic>
              </a:graphicData>
            </a:graphic>
          </wp:anchor>
        </w:drawing>
      </w:r>
    </w:p>
    <w:p w14:paraId="2576F7F8" w14:textId="136A6720" w:rsidR="00246CFD" w:rsidRDefault="00246CFD" w:rsidP="00246CFD">
      <w:pPr>
        <w:pStyle w:val="Caption"/>
        <w:rPr>
          <w:rFonts w:cs="Times New Roman"/>
          <w:b w:val="0"/>
        </w:rPr>
      </w:pPr>
      <w:bookmarkStart w:id="99" w:name="_Toc146657543"/>
      <w:bookmarkStart w:id="100" w:name="_Toc154331535"/>
      <w:r>
        <w:t xml:space="preserve">Figure </w:t>
      </w:r>
      <w:fldSimple w:instr=" STYLEREF 1 \s ">
        <w:r w:rsidR="004B7F70">
          <w:rPr>
            <w:noProof/>
          </w:rPr>
          <w:t>3</w:t>
        </w:r>
      </w:fldSimple>
      <w:r w:rsidR="00C97D34">
        <w:t>.</w:t>
      </w:r>
      <w:fldSimple w:instr=" SEQ Figure \* ARABIC \s 1 ">
        <w:r w:rsidR="004B7F70">
          <w:rPr>
            <w:noProof/>
          </w:rPr>
          <w:t>1</w:t>
        </w:r>
      </w:fldSimple>
      <w:r>
        <w:t xml:space="preserve"> </w:t>
      </w:r>
      <w:r w:rsidRPr="00EE5E08">
        <w:t>Shoot biomass is strongly influenced by soil volume and neighbour density</w:t>
      </w:r>
      <w:bookmarkEnd w:id="99"/>
      <w:bookmarkEnd w:id="100"/>
    </w:p>
    <w:p w14:paraId="2D1A40E3" w14:textId="648B0836" w:rsidR="005A5D3A" w:rsidRPr="00496087" w:rsidRDefault="005A5D3A" w:rsidP="00246CFD">
      <w:pPr>
        <w:pStyle w:val="Description"/>
      </w:pPr>
      <w:r w:rsidRPr="00496087">
        <w:t>Graphs showing spring wheat (</w:t>
      </w:r>
      <w:r w:rsidR="00467283">
        <w:t xml:space="preserve">cv. </w:t>
      </w:r>
      <w:r w:rsidRPr="00496087">
        <w:t>Mulika) grown in 100ml (light pink) and 500ml (dark pink) pots in either 1 plant per pot (1/pot) or 4 plants per pot (4/pot).</w:t>
      </w:r>
    </w:p>
    <w:p w14:paraId="633819BB" w14:textId="77777777" w:rsidR="005A5D3A" w:rsidRPr="00496087" w:rsidRDefault="005A5D3A" w:rsidP="00246CFD">
      <w:pPr>
        <w:pStyle w:val="Description"/>
      </w:pPr>
      <w:r w:rsidRPr="00496087">
        <w:t xml:space="preserve">A) Cartoon representing experimental set up. Each circle represents 1 plant. </w:t>
      </w:r>
    </w:p>
    <w:p w14:paraId="7A400FE5" w14:textId="04934142" w:rsidR="005A5D3A" w:rsidRPr="00496087" w:rsidRDefault="005A5D3A" w:rsidP="00246CFD">
      <w:pPr>
        <w:pStyle w:val="Description"/>
      </w:pPr>
      <w:r w:rsidRPr="00496087">
        <w:t xml:space="preserve">B) Box plot showing the mean final dry shoot biomass </w:t>
      </w:r>
      <w:r w:rsidR="007D626C">
        <w:t xml:space="preserve">(g) </w:t>
      </w:r>
      <w:r w:rsidRPr="00496087">
        <w:t>per plant and per pot at 12 weeks post germination Statistical analysis was carried out separately for per plant and per pot. Boxes with the same letter are not significantly different (One-way ANOVA with Tukey HSD, p &lt;0.05) n=</w:t>
      </w:r>
      <w:r w:rsidR="00111A1D">
        <w:t>11</w:t>
      </w:r>
      <w:r w:rsidRPr="00496087">
        <w:t>-1</w:t>
      </w:r>
      <w:r w:rsidR="00111A1D">
        <w:t>2</w:t>
      </w:r>
      <w:r w:rsidRPr="00496087">
        <w:t xml:space="preserve">. The box indicates the interquartile range, the midline represents the median, the whiskers are the minimum and maximum values, the circle is the mean and the diamonds are outliers. </w:t>
      </w:r>
    </w:p>
    <w:p w14:paraId="06AEB2CA" w14:textId="77777777" w:rsidR="005A5D3A" w:rsidRPr="00496087" w:rsidRDefault="005A5D3A" w:rsidP="00246CFD">
      <w:pPr>
        <w:pStyle w:val="Description"/>
      </w:pPr>
      <w:r w:rsidRPr="00496087">
        <w:t>C) Table showing shoot biomass fold changes between 100ml and 500ml soil volumes, and between 1/pot and 4/pot treatments</w:t>
      </w:r>
      <w:r>
        <w:t>. Fold changes in bold and with a + represent increased fold change, - represents decreased fold change.</w:t>
      </w:r>
    </w:p>
    <w:p w14:paraId="770DA6C0" w14:textId="0AB255F7" w:rsidR="005A5D3A" w:rsidRPr="00496087" w:rsidRDefault="005A5D3A" w:rsidP="00246CFD">
      <w:pPr>
        <w:pStyle w:val="Description"/>
      </w:pPr>
      <w:r w:rsidRPr="00496087">
        <w:t>Figure modified from Wheeldon et al</w:t>
      </w:r>
      <w:r w:rsidR="00CD60A3">
        <w:t>,</w:t>
      </w:r>
      <w:r w:rsidRPr="00496087">
        <w:t xml:space="preserve"> 2021</w:t>
      </w:r>
    </w:p>
    <w:p w14:paraId="5477CE43" w14:textId="77777777" w:rsidR="005A5D3A" w:rsidRDefault="005A5D3A" w:rsidP="005A5D3A"/>
    <w:p w14:paraId="38E89BC3" w14:textId="6995F434" w:rsidR="00246CFD" w:rsidRDefault="00246CFD" w:rsidP="00246CFD">
      <w:pPr>
        <w:spacing w:before="160" w:line="480" w:lineRule="auto"/>
        <w:outlineLvl w:val="1"/>
        <w:rPr>
          <w:rFonts w:cs="Times New Roman"/>
          <w:bCs/>
        </w:rPr>
      </w:pPr>
      <w:r w:rsidRPr="0090270B">
        <w:rPr>
          <w:rFonts w:cs="Times New Roman"/>
          <w:bCs/>
        </w:rPr>
        <w:t xml:space="preserve">The results </w:t>
      </w:r>
      <w:r w:rsidR="00627E47" w:rsidRPr="0090270B">
        <w:rPr>
          <w:rFonts w:cs="Times New Roman"/>
          <w:bCs/>
        </w:rPr>
        <w:t>of Fig</w:t>
      </w:r>
      <w:r w:rsidR="000D3330" w:rsidRPr="0090270B">
        <w:rPr>
          <w:rFonts w:cs="Times New Roman"/>
          <w:bCs/>
        </w:rPr>
        <w:t>.</w:t>
      </w:r>
      <w:r w:rsidR="00627E47" w:rsidRPr="0090270B">
        <w:rPr>
          <w:rFonts w:cs="Times New Roman"/>
          <w:bCs/>
        </w:rPr>
        <w:t xml:space="preserve"> 3.1</w:t>
      </w:r>
      <w:r w:rsidR="000D3330">
        <w:rPr>
          <w:rFonts w:cs="Times New Roman"/>
          <w:bCs/>
        </w:rPr>
        <w:t xml:space="preserve"> </w:t>
      </w:r>
      <w:r>
        <w:rPr>
          <w:rFonts w:cs="Times New Roman"/>
          <w:bCs/>
        </w:rPr>
        <w:t>are supported by the analysis of peak tiller number. Plants grown 1/pot in 500ml pots produced ~2.6-fold more tillers per plant compared to plants grown 1/pot in 100ml pots, while similarly, plants grown 4/pot in 500ml pots produced ~2.9-fold more tillers per plant than those in grown 4/pot in 100ml pots (Fig</w:t>
      </w:r>
      <w:r w:rsidR="005F7AAE">
        <w:rPr>
          <w:rFonts w:cs="Times New Roman"/>
          <w:bCs/>
        </w:rPr>
        <w:t>.</w:t>
      </w:r>
      <w:r>
        <w:rPr>
          <w:rFonts w:cs="Times New Roman"/>
          <w:bCs/>
        </w:rPr>
        <w:t xml:space="preserve"> 3.2A). Thus, the five-fold greater soil volume available to the 4/pot plants when grown in 500ml </w:t>
      </w:r>
      <w:r w:rsidR="000A3465">
        <w:rPr>
          <w:rFonts w:cs="Times New Roman"/>
          <w:bCs/>
        </w:rPr>
        <w:t xml:space="preserve">pots </w:t>
      </w:r>
      <w:r>
        <w:rPr>
          <w:rFonts w:cs="Times New Roman"/>
          <w:bCs/>
        </w:rPr>
        <w:t xml:space="preserve">alleviated much of the </w:t>
      </w:r>
      <w:r>
        <w:rPr>
          <w:rFonts w:cs="Times New Roman"/>
          <w:bCs/>
        </w:rPr>
        <w:lastRenderedPageBreak/>
        <w:t xml:space="preserve">effect of crowding, </w:t>
      </w:r>
      <w:r w:rsidR="000D3330" w:rsidRPr="0005549F">
        <w:rPr>
          <w:rFonts w:cs="Times New Roman"/>
          <w:bCs/>
        </w:rPr>
        <w:t>suggesting</w:t>
      </w:r>
      <w:r>
        <w:rPr>
          <w:rFonts w:cs="Times New Roman"/>
          <w:bCs/>
        </w:rPr>
        <w:t xml:space="preserve"> that soil volume and crowding are interchangeable.</w:t>
      </w:r>
    </w:p>
    <w:p w14:paraId="4EAC6157" w14:textId="77777777" w:rsidR="00246CFD" w:rsidRDefault="00246CFD" w:rsidP="00246CFD">
      <w:pPr>
        <w:rPr>
          <w:rFonts w:cs="Times New Roman"/>
          <w:bCs/>
        </w:rPr>
      </w:pPr>
      <w:r>
        <w:rPr>
          <w:rFonts w:cs="Times New Roman"/>
          <w:noProof/>
        </w:rPr>
        <w:drawing>
          <wp:anchor distT="0" distB="0" distL="114300" distR="114300" simplePos="0" relativeHeight="251481600" behindDoc="0" locked="0" layoutInCell="1" allowOverlap="1" wp14:anchorId="54F32D64" wp14:editId="6B9D362C">
            <wp:simplePos x="0" y="0"/>
            <wp:positionH relativeFrom="margin">
              <wp:align>left</wp:align>
            </wp:positionH>
            <wp:positionV relativeFrom="paragraph">
              <wp:posOffset>7620</wp:posOffset>
            </wp:positionV>
            <wp:extent cx="4686300" cy="2836545"/>
            <wp:effectExtent l="0" t="0" r="0" b="1905"/>
            <wp:wrapTopAndBottom/>
            <wp:docPr id="18810148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14879" name="Picture 188101487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86300" cy="2836545"/>
                    </a:xfrm>
                    <a:prstGeom prst="rect">
                      <a:avLst/>
                    </a:prstGeom>
                  </pic:spPr>
                </pic:pic>
              </a:graphicData>
            </a:graphic>
            <wp14:sizeRelH relativeFrom="margin">
              <wp14:pctWidth>0</wp14:pctWidth>
            </wp14:sizeRelH>
            <wp14:sizeRelV relativeFrom="margin">
              <wp14:pctHeight>0</wp14:pctHeight>
            </wp14:sizeRelV>
          </wp:anchor>
        </w:drawing>
      </w:r>
    </w:p>
    <w:p w14:paraId="7387271F" w14:textId="5C11B5BE" w:rsidR="00246CFD" w:rsidRDefault="00246CFD" w:rsidP="00246CFD">
      <w:pPr>
        <w:pStyle w:val="Caption"/>
        <w:rPr>
          <w:rFonts w:cs="Times New Roman"/>
          <w:b w:val="0"/>
        </w:rPr>
      </w:pPr>
      <w:bookmarkStart w:id="101" w:name="_Toc146657544"/>
      <w:bookmarkStart w:id="102" w:name="_Toc154331536"/>
      <w:r>
        <w:t xml:space="preserve">Figure </w:t>
      </w:r>
      <w:fldSimple w:instr=" STYLEREF 1 \s ">
        <w:r w:rsidR="004B7F70">
          <w:rPr>
            <w:noProof/>
          </w:rPr>
          <w:t>3</w:t>
        </w:r>
      </w:fldSimple>
      <w:r w:rsidR="00C97D34">
        <w:t>.</w:t>
      </w:r>
      <w:fldSimple w:instr=" SEQ Figure \* ARABIC \s 1 ">
        <w:r w:rsidR="004B7F70">
          <w:rPr>
            <w:noProof/>
          </w:rPr>
          <w:t>2</w:t>
        </w:r>
      </w:fldSimple>
      <w:r>
        <w:t xml:space="preserve"> </w:t>
      </w:r>
      <w:r w:rsidRPr="008F79A2">
        <w:t>Tillering is influenced by soil volume and neighbour density in wheat</w:t>
      </w:r>
      <w:bookmarkEnd w:id="101"/>
      <w:bookmarkEnd w:id="102"/>
    </w:p>
    <w:p w14:paraId="56766FE8" w14:textId="156ACE7F" w:rsidR="00246CFD" w:rsidRPr="00345C69" w:rsidRDefault="00246CFD" w:rsidP="00246CFD">
      <w:pPr>
        <w:pStyle w:val="Description"/>
      </w:pPr>
      <w:r w:rsidRPr="00345C69">
        <w:t>Graphs showing spring wheat (</w:t>
      </w:r>
      <w:r w:rsidR="00472AB8">
        <w:t xml:space="preserve">cv. </w:t>
      </w:r>
      <w:r w:rsidRPr="00345C69">
        <w:t>Mulika) grown in 100ml (light pink) and 500ml (dark pink) pots in either 1 plant per pot (1/pot) or 4 plants per pot (4/pot) as described in Figure 3.1A.</w:t>
      </w:r>
    </w:p>
    <w:p w14:paraId="18AFFD56" w14:textId="0502FB00" w:rsidR="00246CFD" w:rsidRPr="00345C69" w:rsidRDefault="00246CFD" w:rsidP="00246CFD">
      <w:pPr>
        <w:pStyle w:val="Description"/>
      </w:pPr>
      <w:r w:rsidRPr="00345C69">
        <w:t>A) Line graphs showing mean tiller number per plant and per pot from week 2 to 8 post germination. Error bars represent standard error of the mean</w:t>
      </w:r>
      <w:r>
        <w:t xml:space="preserve"> (S.E.M)</w:t>
      </w:r>
      <w:r w:rsidRPr="00345C69">
        <w:t>. n=11</w:t>
      </w:r>
      <w:r w:rsidR="00B964BD">
        <w:t>-12</w:t>
      </w:r>
      <w:r w:rsidRPr="00345C69">
        <w:t>.</w:t>
      </w:r>
    </w:p>
    <w:p w14:paraId="32968EDB" w14:textId="2AECC8AB" w:rsidR="00246CFD" w:rsidRPr="001C1984" w:rsidRDefault="00246CFD" w:rsidP="00246CFD">
      <w:pPr>
        <w:pStyle w:val="Description"/>
      </w:pPr>
      <w:r w:rsidRPr="00345C69">
        <w:t>Figure modified from Wheeldon et al</w:t>
      </w:r>
      <w:r w:rsidR="00EA4B6C">
        <w:t>,</w:t>
      </w:r>
      <w:r w:rsidRPr="00345C69">
        <w:t xml:space="preserve"> 2021</w:t>
      </w:r>
    </w:p>
    <w:p w14:paraId="26D5558B" w14:textId="77777777" w:rsidR="00246CFD" w:rsidRDefault="00246CFD" w:rsidP="005A5D3A"/>
    <w:p w14:paraId="7A8CAFFB" w14:textId="5DB4D930" w:rsidR="00246CFD" w:rsidRDefault="00246CFD" w:rsidP="00246CFD">
      <w:pPr>
        <w:spacing w:before="160" w:line="480" w:lineRule="auto"/>
        <w:outlineLvl w:val="1"/>
        <w:rPr>
          <w:rFonts w:cs="Times New Roman"/>
          <w:bCs/>
        </w:rPr>
      </w:pPr>
      <w:r>
        <w:rPr>
          <w:rFonts w:cs="Times New Roman"/>
          <w:bCs/>
        </w:rPr>
        <w:t xml:space="preserve">However, a more detailed </w:t>
      </w:r>
      <w:r w:rsidR="00DE6880" w:rsidRPr="00B81BED">
        <w:rPr>
          <w:rFonts w:cs="Times New Roman"/>
          <w:bCs/>
        </w:rPr>
        <w:t>analysis of</w:t>
      </w:r>
      <w:r>
        <w:rPr>
          <w:rFonts w:cs="Times New Roman"/>
          <w:bCs/>
        </w:rPr>
        <w:t xml:space="preserve"> the growth of the plants suggests that the two parameters are not completely interchangeable. For instance, I measured tiller number over time to gain a more detailed view of the growth of wheat plants in these treatments. As expected, 1/pot plants produced a greater number of tillers per plant compared to 4/pot plants, in both soil volumes (Fig</w:t>
      </w:r>
      <w:r w:rsidR="00BC0E84">
        <w:rPr>
          <w:rFonts w:cs="Times New Roman"/>
          <w:bCs/>
        </w:rPr>
        <w:t>.</w:t>
      </w:r>
      <w:r>
        <w:rPr>
          <w:rFonts w:cs="Times New Roman"/>
          <w:bCs/>
        </w:rPr>
        <w:t xml:space="preserve"> 3.2A). However, the 4/pot plants, in both soil volumes, produced tillers faster, and reached their final tiller numbers earlier than the 1/pot plants. Notably, even though the 4/pot 500ml and 1/pot 100ml plants have a similar average soil volume per plant, the 4/pot 500ml plants responded more quickly </w:t>
      </w:r>
      <w:r>
        <w:rPr>
          <w:rFonts w:cs="Times New Roman"/>
          <w:bCs/>
        </w:rPr>
        <w:lastRenderedPageBreak/>
        <w:t>to the stimulus, even though the final growth outcomes were the same (Fig</w:t>
      </w:r>
      <w:r w:rsidR="008C3C60">
        <w:rPr>
          <w:rFonts w:cs="Times New Roman"/>
          <w:bCs/>
        </w:rPr>
        <w:t>.</w:t>
      </w:r>
      <w:r>
        <w:rPr>
          <w:rFonts w:cs="Times New Roman"/>
          <w:bCs/>
        </w:rPr>
        <w:t xml:space="preserve"> 3.2B). This suggests that crowding causes a more immediate growth response than soil volume limitation, even though the end-points are similar.</w:t>
      </w:r>
    </w:p>
    <w:p w14:paraId="02482CCB" w14:textId="0F263260" w:rsidR="00246CFD" w:rsidRDefault="00246CFD" w:rsidP="00246CFD">
      <w:pPr>
        <w:numPr>
          <w:ilvl w:val="1"/>
          <w:numId w:val="0"/>
        </w:numPr>
        <w:spacing w:before="160" w:line="480" w:lineRule="auto"/>
        <w:outlineLvl w:val="1"/>
        <w:rPr>
          <w:rFonts w:cs="Times New Roman"/>
          <w:bCs/>
        </w:rPr>
      </w:pPr>
      <w:r>
        <w:rPr>
          <w:rFonts w:cs="Times New Roman"/>
          <w:bCs/>
        </w:rPr>
        <w:t>When the total growth per pot is considered, it is clear that the crowded plants also ‘over-produce’ biomass compared to solitary plants in the same soil volume. For instance, the 4/pot plants grown in 100ml pots produce 1.7-fold greater shoot biomass than 1/pot plants in the same soil volume. This is also reflected in 500ml pots where 4/pot plants produce 1.4-fold greater shoot biomass per pot than 1/pot plants in the same soil volume (Fig</w:t>
      </w:r>
      <w:r w:rsidR="00A93F27">
        <w:rPr>
          <w:rFonts w:cs="Times New Roman"/>
          <w:bCs/>
        </w:rPr>
        <w:t>.</w:t>
      </w:r>
      <w:r>
        <w:rPr>
          <w:rFonts w:cs="Times New Roman"/>
          <w:bCs/>
        </w:rPr>
        <w:t xml:space="preserve"> 3.1B-C). This again suggests that the two parameters are not completely interchangeable, and that the effect of crowding on final biomass is somewhat weaker than the effect of soil volume. However, an alternative explanation is that in the crowded plants there is an additional stimulus promoting the additional shoot growth, for instance the effect of mutual shading between the shoot systems.</w:t>
      </w:r>
      <w:r w:rsidRPr="002D6AD7">
        <w:rPr>
          <w:rFonts w:cs="Times New Roman"/>
          <w:bCs/>
        </w:rPr>
        <w:t xml:space="preserve"> </w:t>
      </w:r>
      <w:r w:rsidRPr="007F0804">
        <w:rPr>
          <w:rFonts w:cs="Times New Roman"/>
          <w:bCs/>
          <w:color w:val="000000" w:themeColor="text1"/>
        </w:rPr>
        <w:t xml:space="preserve">This supports what is seen in the literature where branching is slightly affected by shoot based shading </w:t>
      </w:r>
      <w:r w:rsidRPr="007F0804">
        <w:rPr>
          <w:rFonts w:cs="Times New Roman"/>
          <w:bCs/>
          <w:color w:val="000000" w:themeColor="text1"/>
        </w:rPr>
        <w:fldChar w:fldCharType="begin" w:fldLock="1"/>
      </w:r>
      <w:r w:rsidRPr="007F0804">
        <w:rPr>
          <w:rFonts w:cs="Times New Roman"/>
          <w:bCs/>
          <w:color w:val="000000" w:themeColor="text1"/>
        </w:rPr>
        <w:instrText>ADDIN CSL_CITATION {"citationItems":[{"id":"ITEM-1","itemData":{"DOI":"10.1111/j.1365-3040.2009.02050.x","ISSN":"01407791","author":[{"dropping-particle":"","family":"Kebrom","given":"Tesfamichael H.","non-dropping-particle":"","parse-names":false,"suffix":""},{"dropping-particle":"","family":"Brutnell","given":"Thomas P.","non-dropping-particle":"","parse-names":false,"suffix":""},{"dropping-particle":"","family":"Finlayson","given":"Scott A.","non-dropping-particle":"","parse-names":false,"suffix":""}],"container-title":"Plant, Cell &amp; Environment","id":"ITEM-1","issued":{"date-parts":[["2009","12"]]},"title":"Suppression of sorghum axillary bud outgrowth by shade, phyB and defoliation signalling pathways","type":"article-journal"},"uris":["http://www.mendeley.com/documents/?uuid=6640770d-b14d-4839-b727-4802d7a26764"]}],"mendeley":{"formattedCitation":"(Kebrom et al., 2009)","plainTextFormattedCitation":"(Kebrom et al., 2009)","previouslyFormattedCitation":"(Kebrom et al., 2009)"},"properties":{"noteIndex":0},"schema":"https://github.com/citation-style-language/schema/raw/master/csl-citation.json"}</w:instrText>
      </w:r>
      <w:r w:rsidRPr="007F0804">
        <w:rPr>
          <w:rFonts w:cs="Times New Roman"/>
          <w:bCs/>
          <w:color w:val="000000" w:themeColor="text1"/>
        </w:rPr>
        <w:fldChar w:fldCharType="separate"/>
      </w:r>
      <w:r w:rsidRPr="007F0804">
        <w:rPr>
          <w:rFonts w:cs="Times New Roman"/>
          <w:bCs/>
          <w:noProof/>
          <w:color w:val="000000" w:themeColor="text1"/>
        </w:rPr>
        <w:t>(Kebrom et al., 2009)</w:t>
      </w:r>
      <w:r w:rsidRPr="007F0804">
        <w:rPr>
          <w:rFonts w:cs="Times New Roman"/>
          <w:bCs/>
          <w:color w:val="000000" w:themeColor="text1"/>
        </w:rPr>
        <w:fldChar w:fldCharType="end"/>
      </w:r>
      <w:r w:rsidRPr="007F0804">
        <w:rPr>
          <w:rFonts w:cs="Times New Roman"/>
          <w:bCs/>
          <w:color w:val="000000" w:themeColor="text1"/>
        </w:rPr>
        <w:t xml:space="preserve">.  </w:t>
      </w:r>
    </w:p>
    <w:p w14:paraId="25EB1DEC" w14:textId="3FA3BA98" w:rsidR="00246CFD" w:rsidRDefault="00246CFD" w:rsidP="00246CFD">
      <w:pPr>
        <w:spacing w:before="160" w:line="480" w:lineRule="auto"/>
        <w:outlineLvl w:val="1"/>
        <w:rPr>
          <w:rFonts w:cs="Times New Roman"/>
          <w:bCs/>
        </w:rPr>
      </w:pPr>
      <w:r>
        <w:rPr>
          <w:rFonts w:cs="Times New Roman"/>
          <w:bCs/>
        </w:rPr>
        <w:t xml:space="preserve">As bread wheat is primarily grown for its grain, I also wanted to assess if yield-related traits are influenced by soil volume and neighbour density. As a proxy for grain production, I counted the number of spikelets (reproductive structures which contain the grain) produced by each ear. As with shoot biomass, the number of spikelets produced per plant </w:t>
      </w:r>
      <w:r w:rsidR="006F7403" w:rsidRPr="00E40B70">
        <w:rPr>
          <w:rFonts w:cs="Times New Roman"/>
          <w:bCs/>
        </w:rPr>
        <w:t>wa</w:t>
      </w:r>
      <w:r w:rsidRPr="00E40B70">
        <w:rPr>
          <w:rFonts w:cs="Times New Roman"/>
          <w:bCs/>
        </w:rPr>
        <w:t>s</w:t>
      </w:r>
      <w:r>
        <w:rPr>
          <w:rFonts w:cs="Times New Roman"/>
          <w:bCs/>
        </w:rPr>
        <w:t xml:space="preserve"> strongly influenced by soil volume and neighbour density and follows similar trends as previously discussed (Fig</w:t>
      </w:r>
      <w:r w:rsidR="002B5D89">
        <w:rPr>
          <w:rFonts w:cs="Times New Roman"/>
          <w:bCs/>
        </w:rPr>
        <w:t>.</w:t>
      </w:r>
      <w:r>
        <w:rPr>
          <w:rFonts w:cs="Times New Roman"/>
          <w:bCs/>
        </w:rPr>
        <w:t xml:space="preserve"> 3.3A). </w:t>
      </w:r>
    </w:p>
    <w:p w14:paraId="47E7A6BA" w14:textId="77777777" w:rsidR="00246CFD" w:rsidRDefault="00246CFD" w:rsidP="00246CFD">
      <w:pPr>
        <w:spacing w:before="160" w:line="480" w:lineRule="auto"/>
        <w:outlineLvl w:val="1"/>
        <w:rPr>
          <w:rFonts w:cs="Times New Roman"/>
          <w:bCs/>
        </w:rPr>
      </w:pPr>
      <w:r>
        <w:rPr>
          <w:rFonts w:cs="Times New Roman"/>
          <w:bCs/>
          <w:noProof/>
        </w:rPr>
        <w:lastRenderedPageBreak/>
        <w:drawing>
          <wp:anchor distT="0" distB="0" distL="114300" distR="114300" simplePos="0" relativeHeight="251488768" behindDoc="0" locked="0" layoutInCell="1" allowOverlap="1" wp14:anchorId="6F2812F6" wp14:editId="7ED9607D">
            <wp:simplePos x="0" y="0"/>
            <wp:positionH relativeFrom="margin">
              <wp:align>left</wp:align>
            </wp:positionH>
            <wp:positionV relativeFrom="paragraph">
              <wp:posOffset>35199</wp:posOffset>
            </wp:positionV>
            <wp:extent cx="3891915" cy="2321560"/>
            <wp:effectExtent l="0" t="0" r="0" b="2540"/>
            <wp:wrapSquare wrapText="bothSides"/>
            <wp:docPr id="725048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048916" name="Picture 72504891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91915" cy="2321560"/>
                    </a:xfrm>
                    <a:prstGeom prst="rect">
                      <a:avLst/>
                    </a:prstGeom>
                  </pic:spPr>
                </pic:pic>
              </a:graphicData>
            </a:graphic>
          </wp:anchor>
        </w:drawing>
      </w:r>
    </w:p>
    <w:p w14:paraId="1CF3FCB2" w14:textId="77777777" w:rsidR="00246CFD" w:rsidRDefault="00246CFD" w:rsidP="00246CFD">
      <w:pPr>
        <w:spacing w:before="160" w:line="480" w:lineRule="auto"/>
        <w:outlineLvl w:val="1"/>
        <w:rPr>
          <w:rFonts w:cs="Times New Roman"/>
          <w:bCs/>
        </w:rPr>
      </w:pPr>
    </w:p>
    <w:p w14:paraId="57320B4F" w14:textId="77777777" w:rsidR="00246CFD" w:rsidRDefault="00246CFD" w:rsidP="00246CFD">
      <w:pPr>
        <w:spacing w:before="160" w:line="480" w:lineRule="auto"/>
        <w:outlineLvl w:val="1"/>
        <w:rPr>
          <w:rFonts w:cs="Times New Roman"/>
          <w:bCs/>
        </w:rPr>
      </w:pPr>
    </w:p>
    <w:p w14:paraId="35E8BCF4" w14:textId="77777777" w:rsidR="00246CFD" w:rsidRDefault="00246CFD" w:rsidP="00246CFD">
      <w:pPr>
        <w:spacing w:before="160" w:line="480" w:lineRule="auto"/>
        <w:outlineLvl w:val="1"/>
        <w:rPr>
          <w:rFonts w:cs="Times New Roman"/>
          <w:bCs/>
        </w:rPr>
      </w:pPr>
    </w:p>
    <w:p w14:paraId="3CA59BA8" w14:textId="77777777" w:rsidR="00246CFD" w:rsidRDefault="00246CFD" w:rsidP="00246CFD">
      <w:pPr>
        <w:spacing w:before="160" w:line="480" w:lineRule="auto"/>
        <w:outlineLvl w:val="1"/>
        <w:rPr>
          <w:rFonts w:cs="Times New Roman"/>
          <w:bCs/>
        </w:rPr>
      </w:pPr>
    </w:p>
    <w:p w14:paraId="38514CA8" w14:textId="77777777" w:rsidR="00246CFD" w:rsidRDefault="00246CFD" w:rsidP="00246CFD">
      <w:pPr>
        <w:spacing w:before="160" w:line="480" w:lineRule="auto"/>
        <w:outlineLvl w:val="1"/>
        <w:rPr>
          <w:rFonts w:cs="Times New Roman"/>
          <w:bCs/>
        </w:rPr>
      </w:pPr>
    </w:p>
    <w:p w14:paraId="61AC90FB" w14:textId="65C54039" w:rsidR="00246CFD" w:rsidRDefault="00246CFD" w:rsidP="00246CFD">
      <w:pPr>
        <w:pStyle w:val="Caption"/>
        <w:rPr>
          <w:rFonts w:cs="Times New Roman"/>
          <w:b w:val="0"/>
        </w:rPr>
      </w:pPr>
      <w:bookmarkStart w:id="103" w:name="_Toc146657545"/>
      <w:bookmarkStart w:id="104" w:name="_Toc154331537"/>
      <w:r>
        <w:t xml:space="preserve">Figure </w:t>
      </w:r>
      <w:fldSimple w:instr=" STYLEREF 1 \s ">
        <w:r w:rsidR="004B7F70">
          <w:rPr>
            <w:noProof/>
          </w:rPr>
          <w:t>3</w:t>
        </w:r>
      </w:fldSimple>
      <w:r w:rsidR="00C97D34">
        <w:t>.</w:t>
      </w:r>
      <w:fldSimple w:instr=" SEQ Figure \* ARABIC \s 1 ">
        <w:r w:rsidR="004B7F70">
          <w:rPr>
            <w:noProof/>
          </w:rPr>
          <w:t>3</w:t>
        </w:r>
      </w:fldSimple>
      <w:r>
        <w:t xml:space="preserve"> </w:t>
      </w:r>
      <w:r w:rsidRPr="00433BE5">
        <w:t xml:space="preserve">Reproductive traits in </w:t>
      </w:r>
      <w:r>
        <w:t>wheat</w:t>
      </w:r>
      <w:r w:rsidRPr="00433BE5">
        <w:t xml:space="preserve"> are influenced by soil volume and neighbour density</w:t>
      </w:r>
      <w:bookmarkEnd w:id="103"/>
      <w:bookmarkEnd w:id="104"/>
    </w:p>
    <w:p w14:paraId="0AA2BB6A" w14:textId="4D380755" w:rsidR="00246CFD" w:rsidRPr="002F3C55" w:rsidRDefault="00246CFD" w:rsidP="00246CFD">
      <w:pPr>
        <w:pStyle w:val="Description"/>
      </w:pPr>
      <w:r w:rsidRPr="002F3C55">
        <w:t>Graphs showing spring wheat (</w:t>
      </w:r>
      <w:r w:rsidR="00080341">
        <w:t xml:space="preserve">cv. </w:t>
      </w:r>
      <w:r w:rsidRPr="002F3C55">
        <w:t>Mulika) grown in 100ml (light pink) and 500ml (dark pink) pots in either 1 plant per pot (1/pot) or 4 plants per pot (4/pot) as described in Figure</w:t>
      </w:r>
      <w:r>
        <w:t xml:space="preserve"> 3.1</w:t>
      </w:r>
      <w:r w:rsidR="00C97222">
        <w:t>A</w:t>
      </w:r>
      <w:r>
        <w:t>.</w:t>
      </w:r>
    </w:p>
    <w:p w14:paraId="1FFC9805" w14:textId="7E37F99B" w:rsidR="00246CFD" w:rsidRDefault="00246CFD" w:rsidP="00246CFD">
      <w:pPr>
        <w:pStyle w:val="Description"/>
      </w:pPr>
      <w:r w:rsidRPr="002F3C55">
        <w:t xml:space="preserve">A) Box plot showing the mean final </w:t>
      </w:r>
      <w:r>
        <w:t>spikelet number</w:t>
      </w:r>
      <w:r w:rsidRPr="002F3C55">
        <w:t xml:space="preserve"> per plant and per pot at 12 weeks post germination Statistical analysis was carried out separately for per plant and per pot. Boxes with the same letter are not significantly different (</w:t>
      </w:r>
      <w:r>
        <w:t>Kruskal-Wallis test with Bonferroni correction</w:t>
      </w:r>
      <w:r w:rsidRPr="002F3C55">
        <w:t>, p &lt;0.05) n=9-1</w:t>
      </w:r>
      <w:r w:rsidR="009E4597">
        <w:t>2</w:t>
      </w:r>
      <w:r w:rsidRPr="002F3C55">
        <w:t>. The box indicates the interquartile range, the midline represents the median, the whiskers are the minimum and maximum values, the circle is the mean and the diamonds are outliers.</w:t>
      </w:r>
    </w:p>
    <w:p w14:paraId="5094F16D" w14:textId="77777777" w:rsidR="00246CFD" w:rsidRDefault="00246CFD" w:rsidP="00246CFD">
      <w:pPr>
        <w:numPr>
          <w:ilvl w:val="2"/>
          <w:numId w:val="0"/>
        </w:numPr>
        <w:spacing w:before="160" w:line="480" w:lineRule="auto"/>
        <w:outlineLvl w:val="2"/>
        <w:rPr>
          <w:rFonts w:cs="Times New Roman"/>
          <w:bCs/>
        </w:rPr>
      </w:pPr>
    </w:p>
    <w:p w14:paraId="1DF41AC9" w14:textId="30308617" w:rsidR="00246CFD" w:rsidRDefault="00246CFD" w:rsidP="00246CFD">
      <w:pPr>
        <w:numPr>
          <w:ilvl w:val="2"/>
          <w:numId w:val="0"/>
        </w:numPr>
        <w:spacing w:before="160" w:line="480" w:lineRule="auto"/>
        <w:outlineLvl w:val="2"/>
        <w:rPr>
          <w:rFonts w:cs="Times New Roman"/>
          <w:bCs/>
        </w:rPr>
      </w:pPr>
      <w:r>
        <w:rPr>
          <w:rFonts w:cs="Times New Roman"/>
          <w:bCs/>
        </w:rPr>
        <w:t>Taken together, the data here show that shoot growth responses to soil volume and neighbour density are largely interchangeable in wheat, and that the average soil volume per plant (soil volume/ plant number in the pot) is a strong indicator for final shoot growth.</w:t>
      </w:r>
    </w:p>
    <w:p w14:paraId="6A75B687" w14:textId="77777777" w:rsidR="00246CFD" w:rsidRPr="00246CFD" w:rsidRDefault="00246CFD" w:rsidP="00246CFD"/>
    <w:p w14:paraId="3860A85F" w14:textId="7974EF2B" w:rsidR="00246CFD" w:rsidRDefault="00246CFD" w:rsidP="00743E4C">
      <w:pPr>
        <w:pStyle w:val="Heading3"/>
      </w:pPr>
      <w:bookmarkStart w:id="105" w:name="_Toc154331473"/>
      <w:r w:rsidRPr="00246CFD">
        <w:t>Barley shoot growth responses to soil volume and neighbour density are largely interchangeable</w:t>
      </w:r>
      <w:bookmarkEnd w:id="105"/>
    </w:p>
    <w:p w14:paraId="57113B4A" w14:textId="77777777" w:rsidR="00246CFD" w:rsidRDefault="00246CFD" w:rsidP="00246CFD"/>
    <w:p w14:paraId="2916FDB6" w14:textId="244237C4" w:rsidR="00246CFD" w:rsidRDefault="00246CFD" w:rsidP="00087A4E">
      <w:pPr>
        <w:keepNext/>
        <w:numPr>
          <w:ilvl w:val="2"/>
          <w:numId w:val="0"/>
        </w:numPr>
        <w:spacing w:before="160" w:line="480" w:lineRule="auto"/>
        <w:outlineLvl w:val="2"/>
        <w:rPr>
          <w:rFonts w:cs="Times New Roman"/>
          <w:bCs/>
        </w:rPr>
      </w:pPr>
      <w:r>
        <w:rPr>
          <w:rFonts w:cs="Times New Roman"/>
          <w:bCs/>
        </w:rPr>
        <w:t xml:space="preserve">I next wanted to test if the shoot growth responses seen in wheat are also seen in other species. </w:t>
      </w:r>
      <w:r w:rsidRPr="00296886">
        <w:rPr>
          <w:rFonts w:cs="Times New Roman"/>
          <w:bCs/>
        </w:rPr>
        <w:t>I hypothesised that there may be differences in soil volume and neighbour density responses in different species</w:t>
      </w:r>
      <w:r>
        <w:rPr>
          <w:rFonts w:cs="Times New Roman"/>
          <w:bCs/>
        </w:rPr>
        <w:t xml:space="preserve"> such as an </w:t>
      </w:r>
      <w:r>
        <w:rPr>
          <w:rFonts w:cs="Times New Roman"/>
          <w:bCs/>
        </w:rPr>
        <w:lastRenderedPageBreak/>
        <w:t>increased or decreased sensitivity to the presence of neighbouring plants or available soil volume</w:t>
      </w:r>
      <w:r w:rsidRPr="00296886">
        <w:rPr>
          <w:rFonts w:cs="Times New Roman"/>
          <w:bCs/>
        </w:rPr>
        <w:t>.</w:t>
      </w:r>
      <w:r>
        <w:rPr>
          <w:rFonts w:cs="Times New Roman"/>
          <w:bCs/>
        </w:rPr>
        <w:t xml:space="preserve"> Hence, using the same experimental design as with wheat, barley (cv. Charon) was grown in 100ml and 500ml pots, either singly (1/pot) or crowded (4/pot) (Fig</w:t>
      </w:r>
      <w:r w:rsidR="00A37206">
        <w:rPr>
          <w:rFonts w:cs="Times New Roman"/>
          <w:bCs/>
        </w:rPr>
        <w:t>.</w:t>
      </w:r>
      <w:r>
        <w:rPr>
          <w:rFonts w:cs="Times New Roman"/>
          <w:bCs/>
        </w:rPr>
        <w:t xml:space="preserve"> 3.4A). </w:t>
      </w:r>
    </w:p>
    <w:p w14:paraId="721004E8" w14:textId="196D1BE6" w:rsidR="00246CFD" w:rsidRPr="00707B9B" w:rsidRDefault="00246CFD" w:rsidP="00246CFD">
      <w:pPr>
        <w:numPr>
          <w:ilvl w:val="2"/>
          <w:numId w:val="0"/>
        </w:numPr>
        <w:spacing w:before="160" w:line="480" w:lineRule="auto"/>
        <w:outlineLvl w:val="2"/>
        <w:rPr>
          <w:rFonts w:cs="Times New Roman"/>
          <w:bCs/>
          <w:color w:val="000000" w:themeColor="text1"/>
        </w:rPr>
      </w:pPr>
      <w:r w:rsidRPr="00707B9B">
        <w:rPr>
          <w:rFonts w:cs="Times New Roman"/>
          <w:bCs/>
          <w:color w:val="000000" w:themeColor="text1"/>
        </w:rPr>
        <w:t>As with wheat in section 3.</w:t>
      </w:r>
      <w:r w:rsidR="00321CF4">
        <w:rPr>
          <w:rFonts w:cs="Times New Roman"/>
          <w:bCs/>
          <w:color w:val="000000" w:themeColor="text1"/>
        </w:rPr>
        <w:t>2.</w:t>
      </w:r>
      <w:r w:rsidRPr="00707B9B">
        <w:rPr>
          <w:rFonts w:cs="Times New Roman"/>
          <w:bCs/>
          <w:color w:val="000000" w:themeColor="text1"/>
        </w:rPr>
        <w:t xml:space="preserve">1, I measured shoot growth by their dry shoot biomass and peak tiller number. At 12 weeks post germination the dry shoot biomass showed that plants grown singly in 500ml pots </w:t>
      </w:r>
      <w:r w:rsidR="00AE3BB5" w:rsidRPr="0045792F">
        <w:rPr>
          <w:rFonts w:cs="Times New Roman"/>
          <w:bCs/>
          <w:color w:val="000000" w:themeColor="text1"/>
        </w:rPr>
        <w:t>were statistically different</w:t>
      </w:r>
      <w:r w:rsidR="00405281">
        <w:rPr>
          <w:rFonts w:cs="Times New Roman"/>
          <w:bCs/>
          <w:color w:val="000000" w:themeColor="text1"/>
        </w:rPr>
        <w:t xml:space="preserve"> to the singly grown 100ml plants</w:t>
      </w:r>
      <w:r w:rsidR="00AE3BB5" w:rsidRPr="0045792F">
        <w:rPr>
          <w:rFonts w:cs="Times New Roman"/>
          <w:bCs/>
          <w:color w:val="000000" w:themeColor="text1"/>
        </w:rPr>
        <w:t xml:space="preserve">, </w:t>
      </w:r>
      <w:r w:rsidR="007952D3" w:rsidRPr="0045792F">
        <w:rPr>
          <w:rFonts w:cs="Times New Roman"/>
          <w:bCs/>
          <w:color w:val="000000" w:themeColor="text1"/>
        </w:rPr>
        <w:t xml:space="preserve">as they </w:t>
      </w:r>
      <w:r w:rsidRPr="0045792F">
        <w:rPr>
          <w:rFonts w:cs="Times New Roman"/>
          <w:bCs/>
          <w:color w:val="000000" w:themeColor="text1"/>
        </w:rPr>
        <w:t>produc</w:t>
      </w:r>
      <w:r w:rsidR="007952D3" w:rsidRPr="0045792F">
        <w:rPr>
          <w:rFonts w:cs="Times New Roman"/>
          <w:bCs/>
          <w:color w:val="000000" w:themeColor="text1"/>
        </w:rPr>
        <w:t>ed</w:t>
      </w:r>
      <w:r w:rsidRPr="00707B9B">
        <w:rPr>
          <w:rFonts w:cs="Times New Roman"/>
          <w:bCs/>
          <w:color w:val="000000" w:themeColor="text1"/>
        </w:rPr>
        <w:t xml:space="preserve"> 4.1-fold greater shoot biomass than plants grown singly in 100ml pots (Fig</w:t>
      </w:r>
      <w:r w:rsidR="00DE2BAA">
        <w:rPr>
          <w:rFonts w:cs="Times New Roman"/>
          <w:bCs/>
          <w:color w:val="000000" w:themeColor="text1"/>
        </w:rPr>
        <w:t>.</w:t>
      </w:r>
      <w:r w:rsidRPr="00707B9B">
        <w:rPr>
          <w:rFonts w:cs="Times New Roman"/>
          <w:bCs/>
          <w:color w:val="000000" w:themeColor="text1"/>
        </w:rPr>
        <w:t xml:space="preserve"> 3.4 B-C). A similar trend can be seen in 4/pot grown plants as these produced 4.6-fold greater shoot biomass in 500ml pots than 100ml pots. Intriguingly, although wheat plants showed a similar trend, barley plants were able to increase their </w:t>
      </w:r>
      <w:r w:rsidR="00F92CBD">
        <w:rPr>
          <w:rFonts w:cs="Times New Roman"/>
          <w:bCs/>
          <w:color w:val="000000" w:themeColor="text1"/>
        </w:rPr>
        <w:t xml:space="preserve">shoot </w:t>
      </w:r>
      <w:r w:rsidRPr="00707B9B">
        <w:rPr>
          <w:rFonts w:cs="Times New Roman"/>
          <w:bCs/>
          <w:color w:val="000000" w:themeColor="text1"/>
        </w:rPr>
        <w:t xml:space="preserve">growth by a greater extent when crowded than wheat. Nevertheless, again this suggests that by increasing the soil volume available to plants this allows the increase of shoot biomass in 1/pot and 4/pot plants. </w:t>
      </w:r>
    </w:p>
    <w:p w14:paraId="6B9937A8" w14:textId="0468701F" w:rsidR="00246CFD" w:rsidRDefault="00246CFD" w:rsidP="009F03ED">
      <w:pPr>
        <w:numPr>
          <w:ilvl w:val="2"/>
          <w:numId w:val="0"/>
        </w:numPr>
        <w:spacing w:before="160" w:line="480" w:lineRule="auto"/>
        <w:outlineLvl w:val="2"/>
        <w:rPr>
          <w:rFonts w:cs="Times New Roman"/>
          <w:bCs/>
          <w:color w:val="000000" w:themeColor="text1"/>
        </w:rPr>
      </w:pPr>
      <w:r w:rsidRPr="00C7739F">
        <w:rPr>
          <w:rFonts w:cs="Times New Roman"/>
          <w:bCs/>
          <w:color w:val="000000" w:themeColor="text1"/>
        </w:rPr>
        <w:t xml:space="preserve">A key observation is that plants grown in 1/pot 100ml pots </w:t>
      </w:r>
      <w:r w:rsidR="008B1881" w:rsidRPr="009247E8">
        <w:rPr>
          <w:rFonts w:cs="Times New Roman"/>
          <w:bCs/>
          <w:color w:val="000000" w:themeColor="text1"/>
        </w:rPr>
        <w:t xml:space="preserve">were not statistically different as they </w:t>
      </w:r>
      <w:r w:rsidRPr="009247E8">
        <w:rPr>
          <w:rFonts w:cs="Times New Roman"/>
          <w:bCs/>
          <w:color w:val="000000" w:themeColor="text1"/>
        </w:rPr>
        <w:t>had a similar shoot bio</w:t>
      </w:r>
      <w:r w:rsidRPr="00C7739F">
        <w:rPr>
          <w:rFonts w:cs="Times New Roman"/>
          <w:bCs/>
          <w:color w:val="000000" w:themeColor="text1"/>
        </w:rPr>
        <w:t>mass per plant to those grown in 4/pot 500ml (~3g) (Fig</w:t>
      </w:r>
      <w:r w:rsidR="00F345E2">
        <w:rPr>
          <w:rFonts w:cs="Times New Roman"/>
          <w:bCs/>
          <w:color w:val="000000" w:themeColor="text1"/>
        </w:rPr>
        <w:t>.</w:t>
      </w:r>
      <w:r w:rsidRPr="00C7739F">
        <w:rPr>
          <w:rFonts w:cs="Times New Roman"/>
          <w:bCs/>
          <w:color w:val="000000" w:themeColor="text1"/>
        </w:rPr>
        <w:t xml:space="preserve"> 3.4 B-C). As both treatments share a similar soil volume per plant, the increase in both neighbour density and soil volume resulted in a small overall effect on shoot growth. As shown in wheat, this therefore suggested that increasing soil volume negates the increased density of plants and </w:t>
      </w:r>
      <w:r w:rsidR="00803483" w:rsidRPr="009247E8">
        <w:rPr>
          <w:rFonts w:cs="Times New Roman"/>
          <w:bCs/>
          <w:i/>
          <w:iCs/>
          <w:color w:val="000000" w:themeColor="text1"/>
        </w:rPr>
        <w:t>vice</w:t>
      </w:r>
      <w:r w:rsidRPr="00C7739F">
        <w:rPr>
          <w:rFonts w:cs="Times New Roman"/>
          <w:bCs/>
          <w:i/>
          <w:iCs/>
          <w:color w:val="000000" w:themeColor="text1"/>
        </w:rPr>
        <w:t xml:space="preserve"> versa</w:t>
      </w:r>
      <w:r w:rsidRPr="00C7739F">
        <w:rPr>
          <w:rFonts w:cs="Times New Roman"/>
          <w:bCs/>
          <w:color w:val="000000" w:themeColor="text1"/>
        </w:rPr>
        <w:t>. Taken together, in barley like in wheat, soil volume and neighbour density are fundamentally interchangeable factors.</w:t>
      </w:r>
    </w:p>
    <w:p w14:paraId="435A1AE7" w14:textId="76E375CC" w:rsidR="00246CFD" w:rsidRPr="009F03ED" w:rsidRDefault="009F03ED" w:rsidP="009F03ED">
      <w:pPr>
        <w:numPr>
          <w:ilvl w:val="2"/>
          <w:numId w:val="0"/>
        </w:numPr>
        <w:spacing w:before="160" w:line="480" w:lineRule="auto"/>
        <w:outlineLvl w:val="2"/>
        <w:rPr>
          <w:rFonts w:cs="Times New Roman"/>
          <w:bCs/>
          <w:color w:val="000000" w:themeColor="text1"/>
        </w:rPr>
      </w:pPr>
      <w:r>
        <w:rPr>
          <w:rFonts w:cs="Times New Roman"/>
          <w:bCs/>
          <w:noProof/>
          <w:color w:val="00B050"/>
        </w:rPr>
        <w:lastRenderedPageBreak/>
        <w:drawing>
          <wp:anchor distT="0" distB="0" distL="114300" distR="114300" simplePos="0" relativeHeight="251495936" behindDoc="0" locked="0" layoutInCell="1" allowOverlap="1" wp14:anchorId="1423323B" wp14:editId="5F2D62A8">
            <wp:simplePos x="0" y="0"/>
            <wp:positionH relativeFrom="margin">
              <wp:align>center</wp:align>
            </wp:positionH>
            <wp:positionV relativeFrom="paragraph">
              <wp:posOffset>146</wp:posOffset>
            </wp:positionV>
            <wp:extent cx="5192395" cy="4097655"/>
            <wp:effectExtent l="0" t="0" r="8255" b="0"/>
            <wp:wrapTopAndBottom/>
            <wp:docPr id="15192798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279879" name="Picture 151927987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92395" cy="4097655"/>
                    </a:xfrm>
                    <a:prstGeom prst="rect">
                      <a:avLst/>
                    </a:prstGeom>
                  </pic:spPr>
                </pic:pic>
              </a:graphicData>
            </a:graphic>
          </wp:anchor>
        </w:drawing>
      </w:r>
    </w:p>
    <w:p w14:paraId="2262B6A2" w14:textId="3CF4CF0F" w:rsidR="00246CFD" w:rsidRDefault="00246CFD" w:rsidP="00246CFD">
      <w:pPr>
        <w:pStyle w:val="Caption"/>
        <w:rPr>
          <w:rFonts w:cs="Times New Roman"/>
          <w:b w:val="0"/>
        </w:rPr>
      </w:pPr>
      <w:bookmarkStart w:id="106" w:name="_Toc146657546"/>
      <w:bookmarkStart w:id="107" w:name="_Toc154331538"/>
      <w:r>
        <w:t xml:space="preserve">Figure </w:t>
      </w:r>
      <w:fldSimple w:instr=" STYLEREF 1 \s ">
        <w:r w:rsidR="004B7F70">
          <w:rPr>
            <w:noProof/>
          </w:rPr>
          <w:t>3</w:t>
        </w:r>
      </w:fldSimple>
      <w:r w:rsidR="00C97D34">
        <w:t>.</w:t>
      </w:r>
      <w:fldSimple w:instr=" SEQ Figure \* ARABIC \s 1 ">
        <w:r w:rsidR="004B7F70">
          <w:rPr>
            <w:noProof/>
          </w:rPr>
          <w:t>4</w:t>
        </w:r>
      </w:fldSimple>
      <w:r>
        <w:t xml:space="preserve"> </w:t>
      </w:r>
      <w:r w:rsidRPr="00E52B46">
        <w:t>Shoot biomass of barley plants is influenced by soil volume and neighbour density</w:t>
      </w:r>
      <w:bookmarkEnd w:id="106"/>
      <w:bookmarkEnd w:id="107"/>
    </w:p>
    <w:p w14:paraId="4352E583" w14:textId="77777777" w:rsidR="00246CFD" w:rsidRPr="0035063B" w:rsidRDefault="00246CFD" w:rsidP="00246CFD">
      <w:pPr>
        <w:pStyle w:val="Description"/>
      </w:pPr>
      <w:r w:rsidRPr="0035063B">
        <w:t>Graphs showing spring barley (</w:t>
      </w:r>
      <w:r>
        <w:t xml:space="preserve">Cv. </w:t>
      </w:r>
      <w:r w:rsidRPr="0035063B">
        <w:t>Charon) grown in 100ml (light pink) and 500ml (burgundy) pots in either 1 plant per pot (1/pot) or 4 plants per pot (4/pot)</w:t>
      </w:r>
      <w:r>
        <w:t>.</w:t>
      </w:r>
    </w:p>
    <w:p w14:paraId="5E3BA3BC" w14:textId="77777777" w:rsidR="00246CFD" w:rsidRDefault="00246CFD" w:rsidP="00246CFD">
      <w:pPr>
        <w:pStyle w:val="Description"/>
      </w:pPr>
      <w:r w:rsidRPr="0035063B">
        <w:t xml:space="preserve">A) </w:t>
      </w:r>
      <w:r w:rsidRPr="002F3330">
        <w:t>Cartoon representing experimental set up. Each circle represents 1 plant.</w:t>
      </w:r>
    </w:p>
    <w:p w14:paraId="310558A3" w14:textId="6337D673" w:rsidR="00246CFD" w:rsidRPr="0035063B" w:rsidRDefault="00246CFD" w:rsidP="00246CFD">
      <w:pPr>
        <w:pStyle w:val="Description"/>
      </w:pPr>
      <w:r>
        <w:t xml:space="preserve">B) </w:t>
      </w:r>
      <w:r w:rsidRPr="0035063B">
        <w:t xml:space="preserve">Box plots showing the mean final dry shoot biomass </w:t>
      </w:r>
      <w:r w:rsidR="007D626C">
        <w:t xml:space="preserve">(g) </w:t>
      </w:r>
      <w:r w:rsidRPr="0035063B">
        <w:t>per plant and per pot at 12 weeks post germination. Statistical analysis was carried out separately for per plant and per pot. Boxes with the same letter are not significantly different (One-way ANOVA with Tukey HSD, p &lt;0.05) n=9-11. The box indicates the interquartile range, the midline represents the median, the whiskers are the minimum and maximum values, the circle is the mean and the diamonds are outliers.</w:t>
      </w:r>
    </w:p>
    <w:p w14:paraId="352629ED" w14:textId="77777777" w:rsidR="00246CFD" w:rsidRPr="00007EAC" w:rsidRDefault="00246CFD" w:rsidP="00246CFD">
      <w:pPr>
        <w:pStyle w:val="Description"/>
        <w:rPr>
          <w:color w:val="000000" w:themeColor="text1"/>
        </w:rPr>
      </w:pPr>
      <w:r w:rsidRPr="00007EAC">
        <w:rPr>
          <w:color w:val="000000" w:themeColor="text1"/>
        </w:rPr>
        <w:t>C) Table showing shoot biomass fold changes between 100ml and 500ml pots, and between 1/pot and 4/pot treatments.</w:t>
      </w:r>
      <w:r>
        <w:rPr>
          <w:color w:val="000000" w:themeColor="text1"/>
        </w:rPr>
        <w:t xml:space="preserve"> </w:t>
      </w:r>
      <w:r>
        <w:t>Fold changes in bold and with a + represent increased fold change, - represents decreased fold change.</w:t>
      </w:r>
    </w:p>
    <w:p w14:paraId="12AD9AC4" w14:textId="77777777" w:rsidR="00246CFD" w:rsidRPr="00246CFD" w:rsidRDefault="00246CFD" w:rsidP="00246CFD"/>
    <w:p w14:paraId="2B4BE988" w14:textId="49D14500" w:rsidR="00246CFD" w:rsidRDefault="00246CFD" w:rsidP="00246CFD">
      <w:pPr>
        <w:numPr>
          <w:ilvl w:val="2"/>
          <w:numId w:val="0"/>
        </w:numPr>
        <w:spacing w:before="160" w:line="480" w:lineRule="auto"/>
        <w:outlineLvl w:val="2"/>
        <w:rPr>
          <w:rFonts w:cs="Times New Roman"/>
          <w:bCs/>
          <w:color w:val="00B050"/>
        </w:rPr>
      </w:pPr>
      <w:r w:rsidRPr="007C3DEB">
        <w:rPr>
          <w:rFonts w:cs="Times New Roman"/>
          <w:bCs/>
          <w:color w:val="000000" w:themeColor="text1"/>
        </w:rPr>
        <w:t>The results shown by shoot biomass assessments are supported by peak tiller measurements. Plants grown singly in 500ml pots produce ~2.1 fold more tillers than those grown singly in 100ml pots (Fig</w:t>
      </w:r>
      <w:r w:rsidR="007305AC">
        <w:rPr>
          <w:rFonts w:cs="Times New Roman"/>
          <w:bCs/>
          <w:color w:val="000000" w:themeColor="text1"/>
        </w:rPr>
        <w:t>.</w:t>
      </w:r>
      <w:r w:rsidRPr="007C3DEB">
        <w:rPr>
          <w:rFonts w:cs="Times New Roman"/>
          <w:bCs/>
          <w:color w:val="000000" w:themeColor="text1"/>
        </w:rPr>
        <w:t xml:space="preserve"> 3.5A). In addition, those grown in 4/pot 500ml treatments produced ~3.0- fold more tillers than plants </w:t>
      </w:r>
      <w:r w:rsidRPr="007C3DEB">
        <w:rPr>
          <w:rFonts w:cs="Times New Roman"/>
          <w:bCs/>
          <w:color w:val="000000" w:themeColor="text1"/>
        </w:rPr>
        <w:lastRenderedPageBreak/>
        <w:t>grown in 4/pot 100ml treatments per plant (Fig</w:t>
      </w:r>
      <w:r w:rsidR="007305AC">
        <w:rPr>
          <w:rFonts w:cs="Times New Roman"/>
          <w:bCs/>
          <w:color w:val="000000" w:themeColor="text1"/>
        </w:rPr>
        <w:t>.</w:t>
      </w:r>
      <w:r w:rsidRPr="007C3DEB">
        <w:rPr>
          <w:rFonts w:cs="Times New Roman"/>
          <w:bCs/>
          <w:color w:val="000000" w:themeColor="text1"/>
        </w:rPr>
        <w:t xml:space="preserve"> 3.5A). This therefore suggests that increasing soil volume five-fold in 4/pot 500ml plants resulted in an alleviation of most of the effect of crowding. As with wheat this therefore suggests that neighbour density and soil volume are interchangeable. An additional observation is that </w:t>
      </w:r>
      <w:r>
        <w:rPr>
          <w:rFonts w:cs="Times New Roman"/>
          <w:bCs/>
        </w:rPr>
        <w:t>barley plants are inherently larger than wheat plants, as barley produces ~2-fold greater peak tiller number per plant than wheat in all treatments, for example peak tiller number in 1/pot 500ml pots is ~11 in barley compared to ~5 in wheat (Fig</w:t>
      </w:r>
      <w:r w:rsidR="007305AC">
        <w:rPr>
          <w:rFonts w:cs="Times New Roman"/>
          <w:bCs/>
        </w:rPr>
        <w:t>.</w:t>
      </w:r>
      <w:r>
        <w:rPr>
          <w:rFonts w:cs="Times New Roman"/>
          <w:bCs/>
        </w:rPr>
        <w:t xml:space="preserve"> 3.5A).</w:t>
      </w:r>
    </w:p>
    <w:p w14:paraId="1A4ADE00" w14:textId="1F56CF1C" w:rsidR="00246CFD" w:rsidRDefault="00246CFD" w:rsidP="00246CFD">
      <w:pPr>
        <w:keepNext/>
        <w:keepLines/>
        <w:numPr>
          <w:ilvl w:val="2"/>
          <w:numId w:val="0"/>
        </w:numPr>
        <w:spacing w:before="160" w:line="480" w:lineRule="auto"/>
        <w:outlineLvl w:val="2"/>
        <w:rPr>
          <w:rFonts w:cs="Times New Roman"/>
          <w:bCs/>
          <w:color w:val="00B050"/>
        </w:rPr>
      </w:pPr>
      <w:r>
        <w:rPr>
          <w:rFonts w:cs="Times New Roman"/>
          <w:bCs/>
          <w:noProof/>
          <w:color w:val="00B050"/>
        </w:rPr>
        <w:drawing>
          <wp:anchor distT="0" distB="0" distL="114300" distR="114300" simplePos="0" relativeHeight="251503104" behindDoc="0" locked="0" layoutInCell="1" allowOverlap="1" wp14:anchorId="7B3491E7" wp14:editId="29253896">
            <wp:simplePos x="0" y="0"/>
            <wp:positionH relativeFrom="margin">
              <wp:posOffset>47321</wp:posOffset>
            </wp:positionH>
            <wp:positionV relativeFrom="paragraph">
              <wp:posOffset>386</wp:posOffset>
            </wp:positionV>
            <wp:extent cx="4491355" cy="2787015"/>
            <wp:effectExtent l="0" t="0" r="4445" b="0"/>
            <wp:wrapSquare wrapText="bothSides"/>
            <wp:docPr id="1222005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0500" name="Picture 12220050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91355" cy="2787015"/>
                    </a:xfrm>
                    <a:prstGeom prst="rect">
                      <a:avLst/>
                    </a:prstGeom>
                  </pic:spPr>
                </pic:pic>
              </a:graphicData>
            </a:graphic>
            <wp14:sizeRelH relativeFrom="margin">
              <wp14:pctWidth>0</wp14:pctWidth>
            </wp14:sizeRelH>
            <wp14:sizeRelV relativeFrom="margin">
              <wp14:pctHeight>0</wp14:pctHeight>
            </wp14:sizeRelV>
          </wp:anchor>
        </w:drawing>
      </w:r>
    </w:p>
    <w:p w14:paraId="45336670" w14:textId="550B2326" w:rsidR="00246CFD" w:rsidRPr="00B927BD" w:rsidRDefault="00246CFD" w:rsidP="00246CFD">
      <w:pPr>
        <w:rPr>
          <w:rFonts w:cs="Times New Roman"/>
        </w:rPr>
      </w:pPr>
    </w:p>
    <w:p w14:paraId="5FEDB89E" w14:textId="7E1EA6D1" w:rsidR="00246CFD" w:rsidRPr="00B927BD" w:rsidRDefault="00246CFD" w:rsidP="00246CFD">
      <w:pPr>
        <w:rPr>
          <w:rFonts w:cs="Times New Roman"/>
        </w:rPr>
      </w:pPr>
    </w:p>
    <w:p w14:paraId="3DD06EC0" w14:textId="77777777" w:rsidR="00246CFD" w:rsidRPr="00B927BD" w:rsidRDefault="00246CFD" w:rsidP="00246CFD">
      <w:pPr>
        <w:rPr>
          <w:rFonts w:cs="Times New Roman"/>
        </w:rPr>
      </w:pPr>
    </w:p>
    <w:p w14:paraId="00357E11" w14:textId="77777777" w:rsidR="00246CFD" w:rsidRPr="00B927BD" w:rsidRDefault="00246CFD" w:rsidP="00246CFD">
      <w:pPr>
        <w:rPr>
          <w:rFonts w:cs="Times New Roman"/>
        </w:rPr>
      </w:pPr>
    </w:p>
    <w:p w14:paraId="1F31FC23" w14:textId="1E146702" w:rsidR="00246CFD" w:rsidRPr="00B927BD" w:rsidRDefault="00246CFD" w:rsidP="00246CFD">
      <w:pPr>
        <w:rPr>
          <w:rFonts w:cs="Times New Roman"/>
        </w:rPr>
      </w:pPr>
    </w:p>
    <w:p w14:paraId="5BA299C4" w14:textId="77777777" w:rsidR="00246CFD" w:rsidRPr="00B927BD" w:rsidRDefault="00246CFD" w:rsidP="00246CFD">
      <w:pPr>
        <w:rPr>
          <w:rFonts w:cs="Times New Roman"/>
        </w:rPr>
      </w:pPr>
    </w:p>
    <w:p w14:paraId="07F1CE45" w14:textId="77777777" w:rsidR="00246CFD" w:rsidRPr="00B927BD" w:rsidRDefault="00246CFD" w:rsidP="00246CFD">
      <w:pPr>
        <w:rPr>
          <w:rFonts w:cs="Times New Roman"/>
        </w:rPr>
      </w:pPr>
    </w:p>
    <w:p w14:paraId="6282ED47" w14:textId="77777777" w:rsidR="00246CFD" w:rsidRPr="00B927BD" w:rsidRDefault="00246CFD" w:rsidP="00246CFD">
      <w:pPr>
        <w:rPr>
          <w:rFonts w:cs="Times New Roman"/>
        </w:rPr>
      </w:pPr>
    </w:p>
    <w:p w14:paraId="4212976D" w14:textId="661A8D55" w:rsidR="00246CFD" w:rsidRDefault="00246CFD" w:rsidP="00246CFD">
      <w:pPr>
        <w:pStyle w:val="Caption"/>
        <w:rPr>
          <w:rFonts w:cs="Times New Roman"/>
          <w:b w:val="0"/>
        </w:rPr>
      </w:pPr>
      <w:bookmarkStart w:id="108" w:name="_Toc146657547"/>
      <w:bookmarkStart w:id="109" w:name="_Toc154331539"/>
      <w:r>
        <w:t xml:space="preserve">Figure </w:t>
      </w:r>
      <w:fldSimple w:instr=" STYLEREF 1 \s ">
        <w:r w:rsidR="004B7F70">
          <w:rPr>
            <w:noProof/>
          </w:rPr>
          <w:t>3</w:t>
        </w:r>
      </w:fldSimple>
      <w:r w:rsidR="00C97D34">
        <w:t>.</w:t>
      </w:r>
      <w:fldSimple w:instr=" SEQ Figure \* ARABIC \s 1 ">
        <w:r w:rsidR="004B7F70">
          <w:rPr>
            <w:noProof/>
          </w:rPr>
          <w:t>5</w:t>
        </w:r>
      </w:fldSimple>
      <w:r>
        <w:t xml:space="preserve"> </w:t>
      </w:r>
      <w:r w:rsidRPr="006B32A1">
        <w:t>Tiller number in barley is influenced by soil volume and neighbour density</w:t>
      </w:r>
      <w:bookmarkEnd w:id="108"/>
      <w:bookmarkEnd w:id="109"/>
    </w:p>
    <w:p w14:paraId="47D4CA6C" w14:textId="77777777" w:rsidR="00246CFD" w:rsidRDefault="00246CFD" w:rsidP="00246CFD">
      <w:pPr>
        <w:pStyle w:val="Description"/>
      </w:pPr>
      <w:r>
        <w:rPr>
          <w:rFonts w:eastAsiaTheme="minorEastAsia"/>
        </w:rPr>
        <w:t>Graphs showing spring barley (Cv. Charon) grown in 100ml (light pink) and 500ml (burgundy) pots in either 1 plant per pot (1/pot) or 4 plants per pot (4/pot) as described in Figure 3.4A</w:t>
      </w:r>
    </w:p>
    <w:p w14:paraId="496678C9" w14:textId="77777777" w:rsidR="00246CFD" w:rsidRDefault="00246CFD" w:rsidP="00246CFD">
      <w:pPr>
        <w:pStyle w:val="Description"/>
      </w:pPr>
      <w:r>
        <w:rPr>
          <w:rFonts w:eastAsiaTheme="minorEastAsia"/>
        </w:rPr>
        <w:t>A) Line graph showing mean tiller number per plant and per pot over time. Error bars represent standard error of the mean. n=9-11.</w:t>
      </w:r>
    </w:p>
    <w:p w14:paraId="3A11494B" w14:textId="57B94B5A" w:rsidR="00246CFD" w:rsidRDefault="00246CFD" w:rsidP="005A5D3A"/>
    <w:p w14:paraId="1F0FB814" w14:textId="0BED63C9" w:rsidR="00246CFD" w:rsidRPr="00005C21" w:rsidRDefault="00246CFD" w:rsidP="00246CFD">
      <w:pPr>
        <w:numPr>
          <w:ilvl w:val="2"/>
          <w:numId w:val="0"/>
        </w:numPr>
        <w:spacing w:before="160" w:line="480" w:lineRule="auto"/>
        <w:outlineLvl w:val="2"/>
        <w:rPr>
          <w:rFonts w:cs="Times New Roman"/>
          <w:bCs/>
          <w:color w:val="000000" w:themeColor="text1"/>
        </w:rPr>
      </w:pPr>
      <w:r w:rsidRPr="00005C21">
        <w:rPr>
          <w:rFonts w:cs="Times New Roman"/>
          <w:bCs/>
          <w:color w:val="000000" w:themeColor="text1"/>
        </w:rPr>
        <w:t xml:space="preserve">However, </w:t>
      </w:r>
      <w:r w:rsidR="006853DE" w:rsidRPr="00084FEB">
        <w:rPr>
          <w:rFonts w:cs="Times New Roman"/>
          <w:bCs/>
          <w:color w:val="000000" w:themeColor="text1"/>
        </w:rPr>
        <w:t>as</w:t>
      </w:r>
      <w:r w:rsidRPr="00084FEB">
        <w:rPr>
          <w:rFonts w:cs="Times New Roman"/>
          <w:bCs/>
          <w:color w:val="000000" w:themeColor="text1"/>
        </w:rPr>
        <w:t xml:space="preserve"> in wheat </w:t>
      </w:r>
      <w:r w:rsidR="006853DE" w:rsidRPr="00084FEB">
        <w:rPr>
          <w:rFonts w:cs="Times New Roman"/>
          <w:bCs/>
          <w:color w:val="000000" w:themeColor="text1"/>
        </w:rPr>
        <w:t>when analysing</w:t>
      </w:r>
      <w:r w:rsidRPr="00084FEB">
        <w:rPr>
          <w:rFonts w:cs="Times New Roman"/>
          <w:bCs/>
          <w:color w:val="000000" w:themeColor="text1"/>
        </w:rPr>
        <w:t xml:space="preserve"> the tiller growth over time</w:t>
      </w:r>
      <w:r w:rsidR="00522CC1" w:rsidRPr="00084FEB">
        <w:rPr>
          <w:rFonts w:cs="Times New Roman"/>
          <w:bCs/>
          <w:color w:val="000000" w:themeColor="text1"/>
        </w:rPr>
        <w:t>, the data</w:t>
      </w:r>
      <w:r w:rsidRPr="00005C21">
        <w:rPr>
          <w:rFonts w:cs="Times New Roman"/>
          <w:bCs/>
          <w:color w:val="000000" w:themeColor="text1"/>
        </w:rPr>
        <w:t xml:space="preserve"> suggests that soil volume and neighbour density are not completely interchangeable. Plants grown singly produced more tillers than those grown in 4/pot, in both soil volumes, which was as expected (Fig 3.5A). However, </w:t>
      </w:r>
      <w:r w:rsidRPr="00005C21">
        <w:rPr>
          <w:rFonts w:cs="Times New Roman"/>
          <w:bCs/>
          <w:color w:val="000000" w:themeColor="text1"/>
        </w:rPr>
        <w:lastRenderedPageBreak/>
        <w:t xml:space="preserve">like in wheat, plants grown with neighbours reached their peak tillers number sooner than those grown singly. Despite those grown in the 4/pot 500ml treatment producing similar final growth outcomes as those grown in the 1/pot 100ml treatment, which ultimately have a similar soil volume per plant, the crowded plants responded sooner (Fig 3.5A). This suggests that as with wheat, neighbour density in barley triggers a more dramatic growth response sooner than a limitation in soil volume, regardless of their shoot growth ultimately reaching a similar end point. </w:t>
      </w:r>
    </w:p>
    <w:p w14:paraId="3915AB1C" w14:textId="74B61E77" w:rsidR="00246CFD" w:rsidRPr="00E93957" w:rsidRDefault="00522CC1" w:rsidP="00246CFD">
      <w:pPr>
        <w:numPr>
          <w:ilvl w:val="2"/>
          <w:numId w:val="0"/>
        </w:numPr>
        <w:spacing w:before="160" w:line="480" w:lineRule="auto"/>
        <w:outlineLvl w:val="2"/>
        <w:rPr>
          <w:rFonts w:cs="Times New Roman"/>
          <w:bCs/>
          <w:color w:val="000000" w:themeColor="text1"/>
        </w:rPr>
      </w:pPr>
      <w:r w:rsidRPr="00084FEB">
        <w:rPr>
          <w:rFonts w:cs="Times New Roman"/>
          <w:bCs/>
          <w:color w:val="000000" w:themeColor="text1"/>
        </w:rPr>
        <w:t>Analysing</w:t>
      </w:r>
      <w:r w:rsidR="00246CFD" w:rsidRPr="00E93957">
        <w:rPr>
          <w:rFonts w:cs="Times New Roman"/>
          <w:bCs/>
          <w:color w:val="000000" w:themeColor="text1"/>
        </w:rPr>
        <w:t xml:space="preserve"> at the total shoot biomass per pot, as with wheat the crowded barley plants appear to </w:t>
      </w:r>
      <w:r w:rsidR="00D70A03">
        <w:rPr>
          <w:rFonts w:cs="Times New Roman"/>
          <w:bCs/>
          <w:color w:val="000000" w:themeColor="text1"/>
        </w:rPr>
        <w:t>‘</w:t>
      </w:r>
      <w:r w:rsidR="00246CFD" w:rsidRPr="00E93957">
        <w:rPr>
          <w:rFonts w:cs="Times New Roman"/>
          <w:bCs/>
          <w:color w:val="000000" w:themeColor="text1"/>
        </w:rPr>
        <w:t>over</w:t>
      </w:r>
      <w:r w:rsidR="00D70A03">
        <w:rPr>
          <w:rFonts w:cs="Times New Roman"/>
          <w:bCs/>
          <w:color w:val="000000" w:themeColor="text1"/>
        </w:rPr>
        <w:t>-</w:t>
      </w:r>
      <w:r w:rsidR="00246CFD" w:rsidRPr="00E93957">
        <w:rPr>
          <w:rFonts w:cs="Times New Roman"/>
          <w:bCs/>
          <w:color w:val="000000" w:themeColor="text1"/>
        </w:rPr>
        <w:t>produce</w:t>
      </w:r>
      <w:r w:rsidR="00D70A03">
        <w:rPr>
          <w:rFonts w:cs="Times New Roman"/>
          <w:bCs/>
          <w:color w:val="000000" w:themeColor="text1"/>
        </w:rPr>
        <w:t>’</w:t>
      </w:r>
      <w:r w:rsidR="00246CFD" w:rsidRPr="00E93957">
        <w:rPr>
          <w:rFonts w:cs="Times New Roman"/>
          <w:bCs/>
          <w:color w:val="000000" w:themeColor="text1"/>
        </w:rPr>
        <w:t xml:space="preserve"> shoot biomass compared to plants grown singly in the same soil volume. In 100ml pots, 4/pot plants produce 1.0- fold more shoot biomass than singly grown plants in the same soil volume. Those grown in 500ml pots behave similarly, as 4/pot plants produce 0.9-</w:t>
      </w:r>
      <w:r w:rsidR="00246CFD">
        <w:rPr>
          <w:rFonts w:cs="Times New Roman"/>
          <w:bCs/>
          <w:color w:val="000000" w:themeColor="text1"/>
        </w:rPr>
        <w:t xml:space="preserve"> </w:t>
      </w:r>
      <w:r w:rsidR="00246CFD" w:rsidRPr="00E93957">
        <w:rPr>
          <w:rFonts w:cs="Times New Roman"/>
          <w:bCs/>
          <w:color w:val="000000" w:themeColor="text1"/>
        </w:rPr>
        <w:t>fold more shoot biomass than 1/pot plants</w:t>
      </w:r>
      <w:r w:rsidR="000B2F07">
        <w:rPr>
          <w:rFonts w:cs="Times New Roman"/>
          <w:bCs/>
          <w:color w:val="000000" w:themeColor="text1"/>
        </w:rPr>
        <w:t xml:space="preserve"> (Fig</w:t>
      </w:r>
      <w:r w:rsidR="00B12732">
        <w:rPr>
          <w:rFonts w:cs="Times New Roman"/>
          <w:bCs/>
          <w:color w:val="000000" w:themeColor="text1"/>
        </w:rPr>
        <w:t>. 3.4B-C)</w:t>
      </w:r>
      <w:r w:rsidR="00246CFD" w:rsidRPr="00E93957">
        <w:rPr>
          <w:rFonts w:cs="Times New Roman"/>
          <w:bCs/>
          <w:color w:val="000000" w:themeColor="text1"/>
        </w:rPr>
        <w:t>. These fold changes are l</w:t>
      </w:r>
      <w:r w:rsidR="00AA3D59">
        <w:rPr>
          <w:rFonts w:cs="Times New Roman"/>
          <w:bCs/>
          <w:color w:val="000000" w:themeColor="text1"/>
        </w:rPr>
        <w:t>ower</w:t>
      </w:r>
      <w:r w:rsidR="00246CFD" w:rsidRPr="00E93957">
        <w:rPr>
          <w:rFonts w:cs="Times New Roman"/>
          <w:bCs/>
          <w:color w:val="000000" w:themeColor="text1"/>
        </w:rPr>
        <w:t xml:space="preserve"> than in wheat but nevertheless suggest that soil volume and neighbour density are not completely interchangeable. Additionally, the crowding effect on shoot biomass appears to be less strong than the influence of soil volume. As discussed for wheat, there could potentially be another stimulus present in the crowded plants which results in this elevated shoot growth, </w:t>
      </w:r>
      <w:r w:rsidR="00B12732">
        <w:rPr>
          <w:rFonts w:cs="Times New Roman"/>
          <w:bCs/>
          <w:color w:val="000000" w:themeColor="text1"/>
        </w:rPr>
        <w:t xml:space="preserve">such as </w:t>
      </w:r>
      <w:r w:rsidR="00246CFD" w:rsidRPr="00E93957">
        <w:rPr>
          <w:rFonts w:cs="Times New Roman"/>
          <w:bCs/>
          <w:color w:val="000000" w:themeColor="text1"/>
        </w:rPr>
        <w:t xml:space="preserve">shading affects between the shoots of crowded plants for example. </w:t>
      </w:r>
    </w:p>
    <w:p w14:paraId="0F5234D4" w14:textId="540C1460" w:rsidR="00246CFD" w:rsidRPr="0077239F" w:rsidRDefault="00246CFD" w:rsidP="00246CFD">
      <w:pPr>
        <w:numPr>
          <w:ilvl w:val="2"/>
          <w:numId w:val="0"/>
        </w:numPr>
        <w:spacing w:before="160" w:line="480" w:lineRule="auto"/>
        <w:outlineLvl w:val="2"/>
        <w:rPr>
          <w:rFonts w:cs="Times New Roman"/>
          <w:bCs/>
          <w:color w:val="000000" w:themeColor="text1"/>
        </w:rPr>
      </w:pPr>
      <w:r w:rsidRPr="0077239F">
        <w:rPr>
          <w:rFonts w:cs="Times New Roman"/>
          <w:bCs/>
          <w:color w:val="000000" w:themeColor="text1"/>
        </w:rPr>
        <w:t xml:space="preserve">Taken together, barley </w:t>
      </w:r>
      <w:r w:rsidR="007047B7" w:rsidRPr="00084FEB">
        <w:rPr>
          <w:rFonts w:cs="Times New Roman"/>
          <w:bCs/>
          <w:color w:val="000000" w:themeColor="text1"/>
        </w:rPr>
        <w:t>responses</w:t>
      </w:r>
      <w:r w:rsidR="007047B7">
        <w:rPr>
          <w:rFonts w:cs="Times New Roman"/>
          <w:bCs/>
          <w:color w:val="000000" w:themeColor="text1"/>
        </w:rPr>
        <w:t xml:space="preserve"> </w:t>
      </w:r>
      <w:r w:rsidRPr="0077239F">
        <w:rPr>
          <w:rFonts w:cs="Times New Roman"/>
          <w:bCs/>
          <w:color w:val="000000" w:themeColor="text1"/>
        </w:rPr>
        <w:t xml:space="preserve">follow the same trends as wheat </w:t>
      </w:r>
      <w:r w:rsidR="0000082F" w:rsidRPr="00084FEB">
        <w:rPr>
          <w:rFonts w:cs="Times New Roman"/>
          <w:bCs/>
          <w:color w:val="000000" w:themeColor="text1"/>
        </w:rPr>
        <w:t>responses</w:t>
      </w:r>
      <w:r w:rsidR="0000082F">
        <w:rPr>
          <w:rFonts w:cs="Times New Roman"/>
          <w:bCs/>
          <w:color w:val="000000" w:themeColor="text1"/>
        </w:rPr>
        <w:t xml:space="preserve"> </w:t>
      </w:r>
      <w:r w:rsidRPr="0077239F">
        <w:rPr>
          <w:rFonts w:cs="Times New Roman"/>
          <w:bCs/>
          <w:color w:val="000000" w:themeColor="text1"/>
        </w:rPr>
        <w:t xml:space="preserve">despite being inherently larger plants, with slight variations in the degree of response to soil volume and crowding. Barley showed an elevated response to soil volume compared to wheat, most </w:t>
      </w:r>
      <w:r w:rsidRPr="00084FEB">
        <w:rPr>
          <w:rFonts w:cs="Times New Roman"/>
          <w:bCs/>
          <w:color w:val="000000" w:themeColor="text1"/>
        </w:rPr>
        <w:t>notabl</w:t>
      </w:r>
      <w:r w:rsidR="0000082F" w:rsidRPr="00084FEB">
        <w:rPr>
          <w:rFonts w:cs="Times New Roman"/>
          <w:bCs/>
          <w:color w:val="000000" w:themeColor="text1"/>
        </w:rPr>
        <w:t>y</w:t>
      </w:r>
      <w:r w:rsidRPr="0077239F">
        <w:rPr>
          <w:rFonts w:cs="Times New Roman"/>
          <w:bCs/>
          <w:color w:val="000000" w:themeColor="text1"/>
        </w:rPr>
        <w:t xml:space="preserve"> in crowded plants (1/pot: 4.1- fold in barley, 4.0-fold in wheat, and in 4/pot: 4.6-fold in barley and 3.2-fold in </w:t>
      </w:r>
      <w:r w:rsidRPr="0077239F">
        <w:rPr>
          <w:rFonts w:cs="Times New Roman"/>
          <w:bCs/>
          <w:color w:val="000000" w:themeColor="text1"/>
        </w:rPr>
        <w:lastRenderedPageBreak/>
        <w:t>wheat</w:t>
      </w:r>
      <w:r w:rsidR="00EA4A6C">
        <w:rPr>
          <w:rFonts w:cs="Times New Roman"/>
          <w:bCs/>
          <w:color w:val="000000" w:themeColor="text1"/>
        </w:rPr>
        <w:t xml:space="preserve"> per pla</w:t>
      </w:r>
      <w:r w:rsidR="00E226DB">
        <w:rPr>
          <w:rFonts w:cs="Times New Roman"/>
          <w:bCs/>
          <w:color w:val="000000" w:themeColor="text1"/>
        </w:rPr>
        <w:t>nt</w:t>
      </w:r>
      <w:r w:rsidRPr="0077239F">
        <w:rPr>
          <w:rFonts w:cs="Times New Roman"/>
          <w:bCs/>
          <w:color w:val="000000" w:themeColor="text1"/>
        </w:rPr>
        <w:t xml:space="preserve">), however a slightly lower fold change per pot when comparing crowded and uncrowded plants in the same soil volume (100ml: 1.0-fold in barley and 1.7-fold in wheat, and in 500ml: 0.9-fold in barley and 1.4-fold in wheat). The lower fold changes in barley when crowded could indicate </w:t>
      </w:r>
      <w:r>
        <w:rPr>
          <w:rFonts w:cs="Times New Roman"/>
          <w:bCs/>
          <w:color w:val="000000" w:themeColor="text1"/>
        </w:rPr>
        <w:t xml:space="preserve">differences in </w:t>
      </w:r>
      <w:r w:rsidRPr="0077239F">
        <w:rPr>
          <w:rFonts w:cs="Times New Roman"/>
          <w:bCs/>
          <w:color w:val="000000" w:themeColor="text1"/>
        </w:rPr>
        <w:t>historic breeding strategies in wheat to breed plants with high tolerance to neighbour density</w:t>
      </w:r>
      <w:r>
        <w:rPr>
          <w:rFonts w:cs="Times New Roman"/>
          <w:bCs/>
          <w:color w:val="000000" w:themeColor="text1"/>
        </w:rPr>
        <w:t>.</w:t>
      </w:r>
      <w:r w:rsidRPr="0077239F">
        <w:rPr>
          <w:rFonts w:cs="Times New Roman"/>
          <w:bCs/>
          <w:color w:val="000000" w:themeColor="text1"/>
        </w:rPr>
        <w:t xml:space="preserve"> Nevertheless, like wheat, barley responds to soil volume and neighbour density in a manner than is largely interchangeable and soil volume per plant strongly indicates the final shoot growth of the plant.</w:t>
      </w:r>
    </w:p>
    <w:p w14:paraId="06B789B9" w14:textId="77777777" w:rsidR="00246CFD" w:rsidRDefault="00246CFD" w:rsidP="005A5D3A"/>
    <w:p w14:paraId="36D0870D" w14:textId="6A21CD87" w:rsidR="00BA47BE" w:rsidRDefault="00BA47BE" w:rsidP="00743E4C">
      <w:pPr>
        <w:pStyle w:val="Heading3"/>
      </w:pPr>
      <w:bookmarkStart w:id="110" w:name="_Toc154331474"/>
      <w:r w:rsidRPr="00BA47BE">
        <w:t>Arabidopsis shoot growth responses to soil volume and neighbour density are largely interchangeable</w:t>
      </w:r>
      <w:bookmarkEnd w:id="110"/>
    </w:p>
    <w:p w14:paraId="1F32990E" w14:textId="77777777" w:rsidR="00BA47BE" w:rsidRDefault="00BA47BE" w:rsidP="00BA47BE"/>
    <w:p w14:paraId="76C768E8" w14:textId="5893E94F" w:rsidR="00BA47BE" w:rsidRPr="00D229B2" w:rsidRDefault="00BA47BE" w:rsidP="00BA47BE">
      <w:pPr>
        <w:spacing w:line="480" w:lineRule="auto"/>
        <w:rPr>
          <w:rFonts w:cs="Times New Roman"/>
          <w:b/>
          <w:sz w:val="28"/>
          <w:szCs w:val="24"/>
        </w:rPr>
      </w:pPr>
      <w:r w:rsidRPr="00D229B2">
        <w:rPr>
          <w:rFonts w:cs="Times New Roman"/>
          <w:bCs/>
        </w:rPr>
        <w:t xml:space="preserve">I have previously explored soil volume responses in the weed and model plant </w:t>
      </w:r>
      <w:r w:rsidRPr="00D229B2">
        <w:rPr>
          <w:rFonts w:cs="Times New Roman"/>
          <w:bCs/>
          <w:i/>
          <w:iCs/>
        </w:rPr>
        <w:t>Arabidopsis thaliana</w:t>
      </w:r>
      <w:r w:rsidRPr="00D229B2">
        <w:rPr>
          <w:rFonts w:cs="Times New Roman"/>
          <w:bCs/>
        </w:rPr>
        <w:t xml:space="preserve"> during my MSc by Research and found that it clearly responds to soil volume</w:t>
      </w:r>
      <w:r w:rsidR="000B05FB">
        <w:rPr>
          <w:rFonts w:cs="Times New Roman"/>
          <w:bCs/>
        </w:rPr>
        <w:t xml:space="preserve"> </w:t>
      </w:r>
      <w:r w:rsidR="000B05FB">
        <w:rPr>
          <w:rFonts w:cs="Times New Roman"/>
          <w:bCs/>
        </w:rPr>
        <w:fldChar w:fldCharType="begin" w:fldLock="1"/>
      </w:r>
      <w:r w:rsidR="00887B29">
        <w:rPr>
          <w:rFonts w:cs="Times New Roman"/>
          <w:bCs/>
        </w:rPr>
        <w:instrText>ADDIN CSL_CITATION {"citationItems":[{"id":"ITEM-1","itemData":{"DOI":"10.1093/plphys/kiab194","ISSN":"15322548","PMID":"33914872","abstract":"The production of seed in flowering plants is complicated by the need to first invest in reproductive shoots, inflorescences, flowers, and fruit. Furthermore, in many species, it will be months between plants generating flowers and setting seed. How can plants therefore produce an optimal seed-set relative to environmental resources when the \"reproductive architecture\" that supports seed-set needs to be elaborated so far in advance? Here, we address this question by investigating the spatio-temporal control of reproductive architecture in Arabidopsis (Arabidopsis thaliana) and Brassica napus. We show that resource and resource-related signals such as substrate volume play a key role in determining the scale of reproductive effort, and that this is reflected in the earliest events in reproductive development, which broadly predict the subsequent reproductive effort. We show that a series of negative feedbacks both within and between developmental stages prevent plants from over-committing to early stages of development. These feedbacks create a highly plastic, homeostatic system in which additional organs can be produced in the case of reproductive failure elsewhere in the system. We propose that these feedbacks represent an \"integrated dominance\" mechanism that allows resource use to be correctly sequenced between developmental stages to optimize seed set.","author":[{"dropping-particle":"","family":"Walker","given":"Catriona H.","non-dropping-particle":"","parse-names":false,"suffix":""},{"dropping-particle":"","family":"Wheeldon","given":"Cara D.","non-dropping-particle":"","parse-names":false,"suffix":""},{"dropping-particle":"","family":"Bennett","given":"Tom","non-dropping-particle":"","parse-names":false,"suffix":""}],"container-title":"Plant Physiology","id":"ITEM-1","issue":"4","issued":{"date-parts":[["2021"]]},"page":"1985-2002","title":"Integrated dominance mechanisms regulate reproductive architecture in Arabidopsis thaliana and Brassica napus","type":"article-journal","volume":"186"},"uris":["http://www.mendeley.com/documents/?uuid=58a89943-a5a4-40b6-8673-addb5d2115e1"]}],"mendeley":{"formattedCitation":"(Walker et al., 2021)","plainTextFormattedCitation":"(Walker et al., 2021)","previouslyFormattedCitation":"(Walker et al., 2021)"},"properties":{"noteIndex":0},"schema":"https://github.com/citation-style-language/schema/raw/master/csl-citation.json"}</w:instrText>
      </w:r>
      <w:r w:rsidR="000B05FB">
        <w:rPr>
          <w:rFonts w:cs="Times New Roman"/>
          <w:bCs/>
        </w:rPr>
        <w:fldChar w:fldCharType="separate"/>
      </w:r>
      <w:r w:rsidR="000B05FB" w:rsidRPr="000B05FB">
        <w:rPr>
          <w:rFonts w:cs="Times New Roman"/>
          <w:bCs/>
          <w:noProof/>
        </w:rPr>
        <w:t>(Walker et al., 2021)</w:t>
      </w:r>
      <w:r w:rsidR="000B05FB">
        <w:rPr>
          <w:rFonts w:cs="Times New Roman"/>
          <w:bCs/>
        </w:rPr>
        <w:fldChar w:fldCharType="end"/>
      </w:r>
      <w:r w:rsidRPr="00D229B2">
        <w:rPr>
          <w:rFonts w:cs="Times New Roman"/>
          <w:bCs/>
        </w:rPr>
        <w:t>. In addition, a small preliminary experiment during my undergraduate degree also highlighted it responds to crowding too</w:t>
      </w:r>
      <w:r w:rsidR="00F65026">
        <w:rPr>
          <w:rFonts w:cs="Times New Roman"/>
          <w:bCs/>
        </w:rPr>
        <w:t xml:space="preserve"> </w:t>
      </w:r>
      <w:r w:rsidR="00F65026">
        <w:rPr>
          <w:rFonts w:cs="Times New Roman"/>
          <w:bCs/>
        </w:rPr>
        <w:fldChar w:fldCharType="begin" w:fldLock="1"/>
      </w:r>
      <w:r w:rsidR="00182C8A">
        <w:rPr>
          <w:rFonts w:cs="Times New Roman"/>
          <w:bCs/>
        </w:rPr>
        <w:instrText>ADDIN CSL_CITATION {"citationItems":[{"id":"ITEM-1","itemData":{"author":[{"dropping-particle":"","family":"Wheeldon","given":"Cara D.","non-dropping-particle":"","parse-names":false,"suffix":""}],"id":"ITEM-1","issued":{"date-parts":[["2018"]]},"number-of-pages":"1-33","publisher":"University of Leeds","title":"Root restriction and its effects on plant growth","type":"thesis"},"uris":["http://www.mendeley.com/documents/?uuid=763ebbc6-1f72-4918-9f9d-d227f67e7925"]}],"mendeley":{"formattedCitation":"(Wheeldon, 2018)","plainTextFormattedCitation":"(Wheeldon, 2018)","previouslyFormattedCitation":"(Wheeldon, 2018)"},"properties":{"noteIndex":0},"schema":"https://github.com/citation-style-language/schema/raw/master/csl-citation.json"}</w:instrText>
      </w:r>
      <w:r w:rsidR="00F65026">
        <w:rPr>
          <w:rFonts w:cs="Times New Roman"/>
          <w:bCs/>
        </w:rPr>
        <w:fldChar w:fldCharType="separate"/>
      </w:r>
      <w:r w:rsidR="00F65026" w:rsidRPr="00F65026">
        <w:rPr>
          <w:rFonts w:cs="Times New Roman"/>
          <w:bCs/>
          <w:noProof/>
        </w:rPr>
        <w:t>(Wheeldon, 2018)</w:t>
      </w:r>
      <w:r w:rsidR="00F65026">
        <w:rPr>
          <w:rFonts w:cs="Times New Roman"/>
          <w:bCs/>
        </w:rPr>
        <w:fldChar w:fldCharType="end"/>
      </w:r>
      <w:r w:rsidRPr="00D229B2">
        <w:rPr>
          <w:rFonts w:cs="Times New Roman"/>
          <w:bCs/>
        </w:rPr>
        <w:t xml:space="preserve">. As barley and wheat are cultivated cereal crops, I wanted to investigate if the effect of soil volume and neighbour density is seen to a similar extent in </w:t>
      </w:r>
      <w:r w:rsidRPr="00D229B2">
        <w:rPr>
          <w:rFonts w:cs="Times New Roman"/>
          <w:bCs/>
          <w:i/>
          <w:iCs/>
        </w:rPr>
        <w:t>Arabidopsis thaliana</w:t>
      </w:r>
      <w:r w:rsidRPr="00D229B2">
        <w:rPr>
          <w:rFonts w:cs="Times New Roman"/>
          <w:bCs/>
        </w:rPr>
        <w:t xml:space="preserve"> (Wild type, Col-0), referred to hereafter as Arabidopsis. Therefore, this was investigated using the same experimental design and growth conditions as wheat and barley.</w:t>
      </w:r>
    </w:p>
    <w:p w14:paraId="5B107165" w14:textId="77777777" w:rsidR="00BA47BE" w:rsidRDefault="00BA47BE" w:rsidP="00BA47BE">
      <w:pPr>
        <w:spacing w:line="480" w:lineRule="auto"/>
        <w:rPr>
          <w:rFonts w:cs="Times New Roman"/>
          <w:b/>
          <w:sz w:val="28"/>
          <w:szCs w:val="24"/>
        </w:rPr>
      </w:pPr>
      <w:r>
        <w:rPr>
          <w:rFonts w:cs="Times New Roman"/>
          <w:bCs/>
        </w:rPr>
        <w:t xml:space="preserve">The growth habit of Arabidopsis means that early growth responses to soil volume cannot be as easily assessed as in cereals and that clear differences in shoot traits between soil volumes can only been seen later in life. While cereal tiller number can be tracked through the life-cycle as a proxy for shoot </w:t>
      </w:r>
      <w:r>
        <w:rPr>
          <w:rFonts w:cs="Times New Roman"/>
          <w:bCs/>
        </w:rPr>
        <w:lastRenderedPageBreak/>
        <w:t xml:space="preserve">size, Arabidopsis only produces measurable branches after the floral transition (~4 weeks post germination). </w:t>
      </w:r>
    </w:p>
    <w:p w14:paraId="20DB2182" w14:textId="54A0FDAF" w:rsidR="00BA47BE" w:rsidRPr="00B408A4" w:rsidRDefault="00BA47BE" w:rsidP="00BA47BE">
      <w:pPr>
        <w:spacing w:line="480" w:lineRule="auto"/>
        <w:rPr>
          <w:rFonts w:cs="Times New Roman"/>
          <w:bCs/>
          <w:color w:val="00B050"/>
        </w:rPr>
      </w:pPr>
      <w:r>
        <w:rPr>
          <w:rFonts w:cs="Times New Roman"/>
          <w:bCs/>
        </w:rPr>
        <w:t>Using the same experimental design as wheat and barley, Arabidopsis Col-0 plants were grown in 100 and 500ml pots in 1/pot and 4/pot treatments (Fig</w:t>
      </w:r>
      <w:r w:rsidR="00791434">
        <w:rPr>
          <w:rFonts w:cs="Times New Roman"/>
          <w:bCs/>
        </w:rPr>
        <w:t>.</w:t>
      </w:r>
      <w:r>
        <w:rPr>
          <w:rFonts w:cs="Times New Roman"/>
          <w:bCs/>
        </w:rPr>
        <w:t xml:space="preserve"> 3.6A). At 7 weeks post germination total branch number and total silique number were </w:t>
      </w:r>
      <w:r w:rsidRPr="003366B6">
        <w:rPr>
          <w:rFonts w:cs="Times New Roman"/>
          <w:bCs/>
          <w:color w:val="000000" w:themeColor="text1"/>
        </w:rPr>
        <w:t>counted and shoots were harvested for shoot biomass assessments.</w:t>
      </w:r>
    </w:p>
    <w:p w14:paraId="11A14EB2" w14:textId="667AF45E" w:rsidR="00BA47BE" w:rsidRDefault="00BA47BE" w:rsidP="00BA47BE">
      <w:pPr>
        <w:spacing w:line="480" w:lineRule="auto"/>
        <w:rPr>
          <w:rFonts w:cs="Times New Roman"/>
          <w:bCs/>
          <w:color w:val="00B050"/>
        </w:rPr>
      </w:pPr>
      <w:r w:rsidRPr="00AF4478">
        <w:rPr>
          <w:rFonts w:cs="Times New Roman"/>
          <w:bCs/>
          <w:color w:val="000000" w:themeColor="text1"/>
        </w:rPr>
        <w:t xml:space="preserve">In wheat and barley shoot growth could be assessed using shoot biomass and peak tiller number, in the case of Arabidopsis this was by shoot biomass and peak branch number. Dry shoot biomass measurements showed that plants grown singly in 500ml pots </w:t>
      </w:r>
      <w:r w:rsidR="007D3F3E" w:rsidRPr="00172969">
        <w:rPr>
          <w:rFonts w:cs="Times New Roman"/>
          <w:bCs/>
          <w:color w:val="000000" w:themeColor="text1"/>
        </w:rPr>
        <w:t>were</w:t>
      </w:r>
      <w:r w:rsidR="00823BB3" w:rsidRPr="00172969">
        <w:rPr>
          <w:rFonts w:cs="Times New Roman"/>
          <w:bCs/>
          <w:color w:val="000000" w:themeColor="text1"/>
        </w:rPr>
        <w:t xml:space="preserve"> statistical</w:t>
      </w:r>
      <w:r w:rsidR="007D3F3E" w:rsidRPr="00172969">
        <w:rPr>
          <w:rFonts w:cs="Times New Roman"/>
          <w:bCs/>
          <w:color w:val="000000" w:themeColor="text1"/>
        </w:rPr>
        <w:t>ly</w:t>
      </w:r>
      <w:r w:rsidR="00823BB3" w:rsidRPr="00172969">
        <w:rPr>
          <w:rFonts w:cs="Times New Roman"/>
          <w:bCs/>
          <w:color w:val="000000" w:themeColor="text1"/>
        </w:rPr>
        <w:t xml:space="preserve"> differen</w:t>
      </w:r>
      <w:r w:rsidR="007D3F3E" w:rsidRPr="00172969">
        <w:rPr>
          <w:rFonts w:cs="Times New Roman"/>
          <w:bCs/>
          <w:color w:val="000000" w:themeColor="text1"/>
        </w:rPr>
        <w:t>t</w:t>
      </w:r>
      <w:r w:rsidR="00823BB3" w:rsidRPr="00172969">
        <w:rPr>
          <w:rFonts w:cs="Times New Roman"/>
          <w:bCs/>
          <w:color w:val="000000" w:themeColor="text1"/>
        </w:rPr>
        <w:t xml:space="preserve"> as </w:t>
      </w:r>
      <w:r w:rsidR="007D3F3E" w:rsidRPr="00172969">
        <w:rPr>
          <w:rFonts w:cs="Times New Roman"/>
          <w:bCs/>
          <w:color w:val="000000" w:themeColor="text1"/>
        </w:rPr>
        <w:t xml:space="preserve">they </w:t>
      </w:r>
      <w:r w:rsidRPr="00172969">
        <w:rPr>
          <w:rFonts w:cs="Times New Roman"/>
          <w:bCs/>
          <w:color w:val="000000" w:themeColor="text1"/>
        </w:rPr>
        <w:t>were</w:t>
      </w:r>
      <w:r w:rsidRPr="00AF4478">
        <w:rPr>
          <w:rFonts w:cs="Times New Roman"/>
          <w:bCs/>
          <w:color w:val="000000" w:themeColor="text1"/>
        </w:rPr>
        <w:t xml:space="preserve"> 4.0-fold larger than those grown singly in 100ml pots (Fig</w:t>
      </w:r>
      <w:r w:rsidR="00E57CF3">
        <w:rPr>
          <w:rFonts w:cs="Times New Roman"/>
          <w:bCs/>
          <w:color w:val="000000" w:themeColor="text1"/>
        </w:rPr>
        <w:t>.</w:t>
      </w:r>
      <w:r w:rsidRPr="00AF4478">
        <w:rPr>
          <w:rFonts w:cs="Times New Roman"/>
          <w:bCs/>
          <w:color w:val="000000" w:themeColor="text1"/>
        </w:rPr>
        <w:t xml:space="preserve"> 3.6B-C). Correspondingly, crowded plants in 500ml pots produced 3.1- fold greater shoot biomass than those crowded in 100ml pots (Fig</w:t>
      </w:r>
      <w:r w:rsidR="00E57CF3">
        <w:rPr>
          <w:rFonts w:cs="Times New Roman"/>
          <w:bCs/>
          <w:color w:val="000000" w:themeColor="text1"/>
        </w:rPr>
        <w:t>.</w:t>
      </w:r>
      <w:r w:rsidRPr="00AF4478">
        <w:rPr>
          <w:rFonts w:cs="Times New Roman"/>
          <w:bCs/>
          <w:color w:val="000000" w:themeColor="text1"/>
        </w:rPr>
        <w:t xml:space="preserve"> 3.</w:t>
      </w:r>
      <w:r w:rsidR="00E57CF3">
        <w:rPr>
          <w:rFonts w:cs="Times New Roman"/>
          <w:bCs/>
          <w:color w:val="000000" w:themeColor="text1"/>
        </w:rPr>
        <w:t>6</w:t>
      </w:r>
      <w:r w:rsidRPr="00AF4478">
        <w:rPr>
          <w:rFonts w:cs="Times New Roman"/>
          <w:bCs/>
          <w:color w:val="000000" w:themeColor="text1"/>
        </w:rPr>
        <w:t>B-C). These fold changes are almost identical to that of wheat</w:t>
      </w:r>
      <w:r w:rsidR="003D4685">
        <w:rPr>
          <w:rFonts w:cs="Times New Roman"/>
          <w:bCs/>
          <w:color w:val="000000" w:themeColor="text1"/>
        </w:rPr>
        <w:t xml:space="preserve"> (Fig. 3.1B-C)</w:t>
      </w:r>
      <w:r w:rsidRPr="00AF4478">
        <w:rPr>
          <w:rFonts w:cs="Times New Roman"/>
          <w:bCs/>
          <w:color w:val="000000" w:themeColor="text1"/>
        </w:rPr>
        <w:t xml:space="preserve">. Hence, an increase in soil volume also strongly promotes shoot based growth in Arabidopsis plants grown singly and crowded. Most importantly when looking at the shoot biomass of 1/pot 100ml and 4/pot 500ml grown plants, </w:t>
      </w:r>
      <w:r w:rsidR="007771FA" w:rsidRPr="00172969">
        <w:rPr>
          <w:rFonts w:cs="Times New Roman"/>
          <w:bCs/>
          <w:color w:val="000000" w:themeColor="text1"/>
        </w:rPr>
        <w:t>there was no statistical difference</w:t>
      </w:r>
      <w:r w:rsidR="00080CED">
        <w:rPr>
          <w:rFonts w:cs="Times New Roman"/>
          <w:bCs/>
          <w:color w:val="000000" w:themeColor="text1"/>
        </w:rPr>
        <w:t>, w</w:t>
      </w:r>
      <w:r w:rsidR="007771FA" w:rsidRPr="00172969">
        <w:rPr>
          <w:rFonts w:cs="Times New Roman"/>
          <w:bCs/>
          <w:color w:val="000000" w:themeColor="text1"/>
        </w:rPr>
        <w:t>here</w:t>
      </w:r>
      <w:r w:rsidRPr="00AF4478">
        <w:rPr>
          <w:rFonts w:cs="Times New Roman"/>
          <w:bCs/>
          <w:color w:val="000000" w:themeColor="text1"/>
        </w:rPr>
        <w:t xml:space="preserve"> each </w:t>
      </w:r>
      <w:r w:rsidR="003A435D">
        <w:rPr>
          <w:rFonts w:cs="Times New Roman"/>
          <w:bCs/>
          <w:color w:val="000000" w:themeColor="text1"/>
        </w:rPr>
        <w:t xml:space="preserve">plant </w:t>
      </w:r>
      <w:r w:rsidRPr="00AF4478">
        <w:rPr>
          <w:rFonts w:cs="Times New Roman"/>
          <w:bCs/>
          <w:color w:val="000000" w:themeColor="text1"/>
        </w:rPr>
        <w:t>ha</w:t>
      </w:r>
      <w:r w:rsidR="003A435D">
        <w:rPr>
          <w:rFonts w:cs="Times New Roman"/>
          <w:bCs/>
          <w:color w:val="000000" w:themeColor="text1"/>
        </w:rPr>
        <w:t>s</w:t>
      </w:r>
      <w:r w:rsidRPr="00AF4478">
        <w:rPr>
          <w:rFonts w:cs="Times New Roman"/>
          <w:bCs/>
          <w:color w:val="000000" w:themeColor="text1"/>
        </w:rPr>
        <w:t xml:space="preserve"> a similar soil volume available per plant, this showed limited effects on shoot growth. Therefore, as seen in wheat and barley, soil volume and neighbour density </w:t>
      </w:r>
      <w:r w:rsidRPr="0037595C">
        <w:rPr>
          <w:rFonts w:cs="Times New Roman"/>
          <w:bCs/>
          <w:color w:val="000000" w:themeColor="text1"/>
        </w:rPr>
        <w:t>a</w:t>
      </w:r>
      <w:r w:rsidR="009D253F" w:rsidRPr="0037595C">
        <w:rPr>
          <w:rFonts w:cs="Times New Roman"/>
          <w:bCs/>
          <w:color w:val="000000" w:themeColor="text1"/>
        </w:rPr>
        <w:t>ppear to be</w:t>
      </w:r>
      <w:r w:rsidRPr="0037595C">
        <w:rPr>
          <w:rFonts w:cs="Times New Roman"/>
          <w:bCs/>
          <w:color w:val="000000" w:themeColor="text1"/>
        </w:rPr>
        <w:t xml:space="preserve"> interchangeable</w:t>
      </w:r>
      <w:r w:rsidRPr="00AF4478">
        <w:rPr>
          <w:rFonts w:cs="Times New Roman"/>
          <w:bCs/>
          <w:color w:val="000000" w:themeColor="text1"/>
        </w:rPr>
        <w:t xml:space="preserve">. </w:t>
      </w:r>
    </w:p>
    <w:p w14:paraId="4025C351" w14:textId="772422D6" w:rsidR="00BA47BE" w:rsidRDefault="00F06E2B" w:rsidP="00BA47BE">
      <w:pPr>
        <w:spacing w:line="240" w:lineRule="auto"/>
        <w:rPr>
          <w:rFonts w:cs="Times New Roman"/>
          <w:b/>
        </w:rPr>
      </w:pPr>
      <w:r>
        <w:rPr>
          <w:rFonts w:cs="Times New Roman"/>
          <w:b/>
          <w:noProof/>
        </w:rPr>
        <w:lastRenderedPageBreak/>
        <w:drawing>
          <wp:anchor distT="0" distB="0" distL="114300" distR="114300" simplePos="0" relativeHeight="251510272" behindDoc="0" locked="0" layoutInCell="1" allowOverlap="1" wp14:anchorId="278A1277" wp14:editId="1F32C614">
            <wp:simplePos x="0" y="0"/>
            <wp:positionH relativeFrom="margin">
              <wp:align>left</wp:align>
            </wp:positionH>
            <wp:positionV relativeFrom="paragraph">
              <wp:posOffset>489</wp:posOffset>
            </wp:positionV>
            <wp:extent cx="5204460" cy="3752850"/>
            <wp:effectExtent l="0" t="0" r="0" b="0"/>
            <wp:wrapSquare wrapText="bothSides"/>
            <wp:docPr id="1242551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51667" name="Picture 1242551667"/>
                    <pic:cNvPicPr/>
                  </pic:nvPicPr>
                  <pic:blipFill rotWithShape="1">
                    <a:blip r:embed="rId28" cstate="print">
                      <a:extLst>
                        <a:ext uri="{28A0092B-C50C-407E-A947-70E740481C1C}">
                          <a14:useLocalDpi xmlns:a14="http://schemas.microsoft.com/office/drawing/2010/main" val="0"/>
                        </a:ext>
                      </a:extLst>
                    </a:blip>
                    <a:srcRect r="1414"/>
                    <a:stretch/>
                  </pic:blipFill>
                  <pic:spPr bwMode="auto">
                    <a:xfrm>
                      <a:off x="0" y="0"/>
                      <a:ext cx="5204460" cy="3752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2D712A" w14:textId="4F9E616B" w:rsidR="00BA47BE" w:rsidRDefault="00BA47BE" w:rsidP="00BA47BE">
      <w:pPr>
        <w:pStyle w:val="Caption"/>
        <w:rPr>
          <w:rFonts w:cs="Times New Roman"/>
          <w:b w:val="0"/>
        </w:rPr>
      </w:pPr>
      <w:bookmarkStart w:id="111" w:name="_Toc146657548"/>
      <w:bookmarkStart w:id="112" w:name="_Toc154331540"/>
      <w:r>
        <w:t xml:space="preserve">Figure </w:t>
      </w:r>
      <w:fldSimple w:instr=" STYLEREF 1 \s ">
        <w:r w:rsidR="004B7F70">
          <w:rPr>
            <w:noProof/>
          </w:rPr>
          <w:t>3</w:t>
        </w:r>
      </w:fldSimple>
      <w:r w:rsidR="00C97D34">
        <w:t>.</w:t>
      </w:r>
      <w:fldSimple w:instr=" SEQ Figure \* ARABIC \s 1 ">
        <w:r w:rsidR="004B7F70">
          <w:rPr>
            <w:noProof/>
          </w:rPr>
          <w:t>6</w:t>
        </w:r>
      </w:fldSimple>
      <w:r>
        <w:t xml:space="preserve"> </w:t>
      </w:r>
      <w:r w:rsidRPr="00BC40C5">
        <w:t>Shoot biomass of Arabidopsis plants is larger in uncrowded scenarios and when a larger soil volume is available</w:t>
      </w:r>
      <w:bookmarkEnd w:id="111"/>
      <w:bookmarkEnd w:id="112"/>
    </w:p>
    <w:p w14:paraId="120A04D0" w14:textId="77777777" w:rsidR="00BA47BE" w:rsidRPr="00CC11CC" w:rsidRDefault="00BA47BE" w:rsidP="00BA47BE">
      <w:pPr>
        <w:pStyle w:val="Description"/>
      </w:pPr>
      <w:r w:rsidRPr="00CC11CC">
        <w:t xml:space="preserve">Graphs showing </w:t>
      </w:r>
      <w:r w:rsidRPr="005448C4">
        <w:rPr>
          <w:i/>
          <w:iCs/>
        </w:rPr>
        <w:t>A. thaliana</w:t>
      </w:r>
      <w:r w:rsidRPr="00CC11CC">
        <w:t xml:space="preserve"> (Col-0) grown in 100ml (light blue) and 500ml (dark blue) pots in either 1 plant per pot (1/pot) or 4 plants per pot (4/pot)</w:t>
      </w:r>
    </w:p>
    <w:p w14:paraId="25674A0C" w14:textId="77777777" w:rsidR="00BA47BE" w:rsidRPr="00CC11CC" w:rsidRDefault="00BA47BE" w:rsidP="00BA47BE">
      <w:pPr>
        <w:pStyle w:val="Description"/>
      </w:pPr>
      <w:r w:rsidRPr="00CC11CC">
        <w:t>A) Cartoon representing experimental set up. Each circle represents 1 plant.</w:t>
      </w:r>
    </w:p>
    <w:p w14:paraId="069087D4" w14:textId="77777777" w:rsidR="00BA47BE" w:rsidRPr="001C4FA1" w:rsidRDefault="00BA47BE" w:rsidP="00BA47BE">
      <w:pPr>
        <w:pStyle w:val="Description"/>
      </w:pPr>
      <w:r w:rsidRPr="001C4FA1">
        <w:t xml:space="preserve">B) Box plots showing mean </w:t>
      </w:r>
      <w:r>
        <w:t>shoot biomass (g)</w:t>
      </w:r>
      <w:r w:rsidRPr="001C4FA1">
        <w:t xml:space="preserve"> per plant and per pot</w:t>
      </w:r>
      <w:r>
        <w:t xml:space="preserve"> at 7 weeks post germination</w:t>
      </w:r>
      <w:r w:rsidRPr="001C4FA1">
        <w:t xml:space="preserve">. Boxes with the same letter are not significantly different (One-way ANOVA with Tukey HSD, p &lt;0.05) n=7-12. Statistical analyses were carried out independently for per plant and per pot. The box indicates the interquartile range, the midline represents the median, the whiskers are the minimum and maximum values, the circle is the mean and the diamonds are outliers. </w:t>
      </w:r>
    </w:p>
    <w:p w14:paraId="71B77ED8" w14:textId="77777777" w:rsidR="00BA47BE" w:rsidRDefault="00BA47BE" w:rsidP="00BA47BE">
      <w:pPr>
        <w:pStyle w:val="Description"/>
      </w:pPr>
      <w:r>
        <w:rPr>
          <w:sz w:val="24"/>
        </w:rPr>
        <w:t xml:space="preserve">C) </w:t>
      </w:r>
      <w:r>
        <w:t>Table showing shoot biomass fold changes in 100ml and 500ml pots and 1/pot and 4/pot treatments. + represents a positive fold change, - represents a negative fold change.</w:t>
      </w:r>
    </w:p>
    <w:p w14:paraId="247C2BD6" w14:textId="77777777" w:rsidR="00BA47BE" w:rsidRDefault="00BA47BE" w:rsidP="00BA47BE"/>
    <w:p w14:paraId="61212DA9" w14:textId="5F47D085" w:rsidR="00BA47BE" w:rsidRPr="00631263" w:rsidRDefault="00BA47BE" w:rsidP="00BA47BE">
      <w:pPr>
        <w:spacing w:line="480" w:lineRule="auto"/>
        <w:rPr>
          <w:rFonts w:cs="Times New Roman"/>
          <w:bCs/>
          <w:color w:val="000000" w:themeColor="text1"/>
        </w:rPr>
      </w:pPr>
      <w:r w:rsidRPr="00631263">
        <w:rPr>
          <w:rFonts w:cs="Times New Roman"/>
          <w:bCs/>
          <w:color w:val="000000" w:themeColor="text1"/>
        </w:rPr>
        <w:t>When grown singly in 500ml pots Arabidopsis plants produced ~2.9-fold (~2.6-fold in wheat) more branches per plant than those grown singly in 100ml pots (Fig</w:t>
      </w:r>
      <w:r w:rsidR="00433B21">
        <w:rPr>
          <w:rFonts w:cs="Times New Roman"/>
          <w:bCs/>
          <w:color w:val="000000" w:themeColor="text1"/>
        </w:rPr>
        <w:t>.</w:t>
      </w:r>
      <w:r w:rsidRPr="00631263">
        <w:rPr>
          <w:rFonts w:cs="Times New Roman"/>
          <w:bCs/>
          <w:color w:val="000000" w:themeColor="text1"/>
        </w:rPr>
        <w:t xml:space="preserve"> 3.7A). Whereas in the case of those grown in 4/pot treatments, the 500ml grown Arabidopsis plants are ~3.9-fold larger (~2.9-fold in wheat) than those in 100ml pots (Fig</w:t>
      </w:r>
      <w:r w:rsidR="008F60AE">
        <w:rPr>
          <w:rFonts w:cs="Times New Roman"/>
          <w:bCs/>
          <w:color w:val="000000" w:themeColor="text1"/>
        </w:rPr>
        <w:t>.</w:t>
      </w:r>
      <w:r w:rsidRPr="00631263">
        <w:rPr>
          <w:rFonts w:cs="Times New Roman"/>
          <w:bCs/>
          <w:color w:val="000000" w:themeColor="text1"/>
        </w:rPr>
        <w:t xml:space="preserve"> 3.7A). </w:t>
      </w:r>
      <w:r w:rsidR="008C33CA" w:rsidRPr="0037595C">
        <w:rPr>
          <w:rFonts w:cs="Times New Roman"/>
          <w:bCs/>
          <w:color w:val="000000" w:themeColor="text1"/>
        </w:rPr>
        <w:t>This branch number data supports the biomass data.</w:t>
      </w:r>
      <w:r w:rsidR="008C33CA">
        <w:rPr>
          <w:rFonts w:cs="Times New Roman"/>
          <w:bCs/>
          <w:color w:val="000000" w:themeColor="text1"/>
        </w:rPr>
        <w:t xml:space="preserve"> </w:t>
      </w:r>
      <w:r w:rsidRPr="00631263">
        <w:rPr>
          <w:rFonts w:cs="Times New Roman"/>
          <w:bCs/>
          <w:color w:val="000000" w:themeColor="text1"/>
        </w:rPr>
        <w:t xml:space="preserve">This is a stronger response than in wheat but nevertheless, this suggests </w:t>
      </w:r>
      <w:r w:rsidRPr="00631263">
        <w:rPr>
          <w:rFonts w:cs="Times New Roman"/>
          <w:bCs/>
          <w:color w:val="000000" w:themeColor="text1"/>
        </w:rPr>
        <w:lastRenderedPageBreak/>
        <w:t xml:space="preserve">that the availability of five-fold more soil volume strongly alleviates the effect of root-based crowding in Arabidopsis, indicating that soil volume and neighbour density are interchangeable. </w:t>
      </w:r>
    </w:p>
    <w:p w14:paraId="7D620BF6" w14:textId="2B329E01" w:rsidR="00BA47BE" w:rsidRDefault="00BA47BE" w:rsidP="00BA47BE">
      <w:pPr>
        <w:pStyle w:val="Caption"/>
        <w:rPr>
          <w:rFonts w:cs="Times New Roman"/>
          <w:bCs w:val="0"/>
          <w:sz w:val="24"/>
        </w:rPr>
      </w:pPr>
      <w:bookmarkStart w:id="113" w:name="_Toc146657549"/>
      <w:bookmarkStart w:id="114" w:name="_Toc154331541"/>
      <w:r>
        <w:t xml:space="preserve">Figure </w:t>
      </w:r>
      <w:fldSimple w:instr=" STYLEREF 1 \s ">
        <w:r w:rsidR="004B7F70">
          <w:rPr>
            <w:noProof/>
          </w:rPr>
          <w:t>3</w:t>
        </w:r>
      </w:fldSimple>
      <w:r w:rsidR="00C97D34">
        <w:t>.</w:t>
      </w:r>
      <w:fldSimple w:instr=" SEQ Figure \* ARABIC \s 1 ">
        <w:r w:rsidR="004B7F70">
          <w:rPr>
            <w:noProof/>
          </w:rPr>
          <w:t>7</w:t>
        </w:r>
      </w:fldSimple>
      <w:r>
        <w:t xml:space="preserve"> </w:t>
      </w:r>
      <w:r w:rsidRPr="005D41DF">
        <w:t>Shoot branch number in Arabidopsis plants is elevated when plants are grown singly and in larger soil volumes</w:t>
      </w:r>
      <w:r>
        <w:rPr>
          <w:rFonts w:cs="Times New Roman"/>
          <w:bCs w:val="0"/>
          <w:noProof/>
          <w:sz w:val="24"/>
        </w:rPr>
        <w:drawing>
          <wp:anchor distT="0" distB="0" distL="114300" distR="114300" simplePos="0" relativeHeight="251517440" behindDoc="0" locked="0" layoutInCell="1" allowOverlap="1" wp14:anchorId="57F8057E" wp14:editId="668B08B1">
            <wp:simplePos x="0" y="0"/>
            <wp:positionH relativeFrom="margin">
              <wp:align>left</wp:align>
            </wp:positionH>
            <wp:positionV relativeFrom="paragraph">
              <wp:posOffset>5892</wp:posOffset>
            </wp:positionV>
            <wp:extent cx="4856480" cy="2462530"/>
            <wp:effectExtent l="0" t="0" r="1270" b="0"/>
            <wp:wrapSquare wrapText="bothSides"/>
            <wp:docPr id="20975438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543897" name="Picture 209754389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72199" cy="2470667"/>
                    </a:xfrm>
                    <a:prstGeom prst="rect">
                      <a:avLst/>
                    </a:prstGeom>
                  </pic:spPr>
                </pic:pic>
              </a:graphicData>
            </a:graphic>
            <wp14:sizeRelH relativeFrom="margin">
              <wp14:pctWidth>0</wp14:pctWidth>
            </wp14:sizeRelH>
            <wp14:sizeRelV relativeFrom="margin">
              <wp14:pctHeight>0</wp14:pctHeight>
            </wp14:sizeRelV>
          </wp:anchor>
        </w:drawing>
      </w:r>
      <w:bookmarkEnd w:id="113"/>
      <w:bookmarkEnd w:id="114"/>
    </w:p>
    <w:p w14:paraId="6AF30605" w14:textId="77777777" w:rsidR="00BA47BE" w:rsidRDefault="00BA47BE" w:rsidP="00BA47BE">
      <w:pPr>
        <w:pStyle w:val="Description"/>
      </w:pPr>
      <w:r w:rsidRPr="001C4FA1">
        <w:t xml:space="preserve">Graphs showing </w:t>
      </w:r>
      <w:r w:rsidRPr="001C4FA1">
        <w:rPr>
          <w:i/>
          <w:iCs/>
        </w:rPr>
        <w:t xml:space="preserve">A. thaliana </w:t>
      </w:r>
      <w:r w:rsidRPr="001C4FA1">
        <w:t>(Col-0) grown in 100ml (light blue) and 500ml (dark blue) pots in either 1 plant per pot (1/pot) or 4 plants per pot (4/pot)</w:t>
      </w:r>
      <w:r>
        <w:t xml:space="preserve"> as shown in Fig 3.6A.</w:t>
      </w:r>
    </w:p>
    <w:p w14:paraId="083AEF39" w14:textId="77777777" w:rsidR="00BA47BE" w:rsidRDefault="00BA47BE" w:rsidP="00BA47BE">
      <w:pPr>
        <w:pStyle w:val="Description"/>
      </w:pPr>
      <w:r>
        <w:t>A</w:t>
      </w:r>
      <w:r w:rsidRPr="001C4FA1">
        <w:t xml:space="preserve">) Box plots showing mean final </w:t>
      </w:r>
      <w:r>
        <w:t xml:space="preserve">total shoot </w:t>
      </w:r>
      <w:r w:rsidRPr="001C4FA1">
        <w:t xml:space="preserve">branch number per plant and per pot. Boxes with the same letter are not significantly different (One-way ANOVA with Tukey HSD, p &lt;0.05) n=7-12. Statistical analyses were carried out independently for per plant and per pot. The box indicates the interquartile range, the midline represents the median, the whiskers are the minimum and maximum values, the circle is the mean and the diamonds are outliers. </w:t>
      </w:r>
    </w:p>
    <w:p w14:paraId="6CD117C8" w14:textId="77777777" w:rsidR="00BA47BE" w:rsidRDefault="00BA47BE" w:rsidP="00BA47BE"/>
    <w:p w14:paraId="7BEBF771" w14:textId="22F21719" w:rsidR="00BA47BE" w:rsidRPr="009A4977" w:rsidRDefault="00BA47BE" w:rsidP="00BA47BE">
      <w:pPr>
        <w:spacing w:line="480" w:lineRule="auto"/>
        <w:rPr>
          <w:rFonts w:cs="Times New Roman"/>
          <w:bCs/>
          <w:color w:val="000000" w:themeColor="text1"/>
        </w:rPr>
      </w:pPr>
      <w:r w:rsidRPr="009A4977">
        <w:rPr>
          <w:rFonts w:cs="Times New Roman"/>
          <w:bCs/>
          <w:color w:val="000000" w:themeColor="text1"/>
        </w:rPr>
        <w:t xml:space="preserve">When </w:t>
      </w:r>
      <w:r w:rsidR="00937813" w:rsidRPr="00EE67FF">
        <w:rPr>
          <w:rFonts w:cs="Times New Roman"/>
          <w:bCs/>
          <w:color w:val="000000" w:themeColor="text1"/>
        </w:rPr>
        <w:t>assessing</w:t>
      </w:r>
      <w:r w:rsidRPr="009A4977">
        <w:rPr>
          <w:rFonts w:cs="Times New Roman"/>
          <w:bCs/>
          <w:color w:val="000000" w:themeColor="text1"/>
        </w:rPr>
        <w:t xml:space="preserve"> total shoot growth per pot, crowded Arabidopsis plants also ‘over-produce’ shoot biomass compared to those grown singly but this is only seen in 500ml pots. When crowded plants are grown in 100ml pots, there is a </w:t>
      </w:r>
      <w:r w:rsidR="002D0FEA" w:rsidRPr="00EE67FF">
        <w:rPr>
          <w:rFonts w:cs="Times New Roman"/>
          <w:bCs/>
          <w:color w:val="000000" w:themeColor="text1"/>
        </w:rPr>
        <w:t>statistically significant</w:t>
      </w:r>
      <w:r w:rsidR="002D0FEA">
        <w:rPr>
          <w:rFonts w:cs="Times New Roman"/>
          <w:bCs/>
          <w:color w:val="000000" w:themeColor="text1"/>
        </w:rPr>
        <w:t xml:space="preserve"> </w:t>
      </w:r>
      <w:r w:rsidRPr="009A4977">
        <w:rPr>
          <w:rFonts w:cs="Times New Roman"/>
          <w:bCs/>
          <w:color w:val="000000" w:themeColor="text1"/>
        </w:rPr>
        <w:t xml:space="preserve">reduction in shoot biomass </w:t>
      </w:r>
      <w:r w:rsidR="008E7035">
        <w:rPr>
          <w:rFonts w:cs="Times New Roman"/>
          <w:bCs/>
          <w:color w:val="000000" w:themeColor="text1"/>
        </w:rPr>
        <w:t xml:space="preserve">per plant </w:t>
      </w:r>
      <w:r w:rsidRPr="009A4977">
        <w:rPr>
          <w:rFonts w:cs="Times New Roman"/>
          <w:bCs/>
          <w:color w:val="000000" w:themeColor="text1"/>
        </w:rPr>
        <w:t>compared to those grown singly in the same soil volume. Whereas, when crowded in 500ml pots there is a ~1.3-fold increase in shoot biomass. In the case of the 500ml grown Arabidopsis plants, this suggests that neighbour density and soil volume a</w:t>
      </w:r>
      <w:r w:rsidR="00CA0D34">
        <w:rPr>
          <w:rFonts w:cs="Times New Roman"/>
          <w:bCs/>
          <w:color w:val="000000" w:themeColor="text1"/>
        </w:rPr>
        <w:t>re</w:t>
      </w:r>
      <w:r w:rsidRPr="009A4977">
        <w:rPr>
          <w:rFonts w:cs="Times New Roman"/>
          <w:bCs/>
          <w:color w:val="000000" w:themeColor="text1"/>
        </w:rPr>
        <w:t xml:space="preserve"> not completely interchangeable, with crowding effects being less of an influence on shoot biomass than soil volume. </w:t>
      </w:r>
    </w:p>
    <w:p w14:paraId="2680A9CE" w14:textId="107C273E" w:rsidR="00BA47BE" w:rsidRPr="009E5385" w:rsidRDefault="00BA47BE" w:rsidP="00BA47BE">
      <w:pPr>
        <w:spacing w:line="480" w:lineRule="auto"/>
        <w:rPr>
          <w:rFonts w:cs="Times New Roman"/>
          <w:bCs/>
          <w:color w:val="000000" w:themeColor="text1"/>
        </w:rPr>
      </w:pPr>
      <w:r w:rsidRPr="009E5385">
        <w:rPr>
          <w:rFonts w:cs="Times New Roman"/>
          <w:bCs/>
          <w:color w:val="000000" w:themeColor="text1"/>
        </w:rPr>
        <w:lastRenderedPageBreak/>
        <w:t>Due to the requirement to wait until late in the Arabidopsis lifecycle to see the effects of crowding and neighbour density on plant growth, I also assessed silique number as plants had ceased their production of siliques at this timepoint</w:t>
      </w:r>
      <w:r w:rsidR="00FF7D84">
        <w:rPr>
          <w:rFonts w:cs="Times New Roman"/>
          <w:bCs/>
          <w:color w:val="000000" w:themeColor="text1"/>
        </w:rPr>
        <w:t xml:space="preserve"> (F</w:t>
      </w:r>
      <w:r w:rsidR="00523639">
        <w:rPr>
          <w:rFonts w:cs="Times New Roman"/>
          <w:bCs/>
          <w:color w:val="000000" w:themeColor="text1"/>
        </w:rPr>
        <w:t xml:space="preserve">ig. </w:t>
      </w:r>
      <w:r w:rsidR="007918FA">
        <w:rPr>
          <w:rFonts w:cs="Times New Roman"/>
          <w:bCs/>
          <w:color w:val="000000" w:themeColor="text1"/>
        </w:rPr>
        <w:t>3</w:t>
      </w:r>
      <w:r w:rsidR="00523639">
        <w:rPr>
          <w:rFonts w:cs="Times New Roman"/>
          <w:bCs/>
          <w:color w:val="000000" w:themeColor="text1"/>
        </w:rPr>
        <w:t>.8A)</w:t>
      </w:r>
      <w:r w:rsidRPr="009E5385">
        <w:rPr>
          <w:rFonts w:cs="Times New Roman"/>
          <w:bCs/>
          <w:color w:val="000000" w:themeColor="text1"/>
        </w:rPr>
        <w:t xml:space="preserve">. Siliques contain the seed and hence would allow a proxy for seed production. Silique number </w:t>
      </w:r>
      <w:r w:rsidR="000541CA" w:rsidRPr="003E3525">
        <w:rPr>
          <w:rFonts w:cs="Times New Roman"/>
          <w:bCs/>
          <w:color w:val="000000" w:themeColor="text1"/>
        </w:rPr>
        <w:t>response</w:t>
      </w:r>
      <w:r w:rsidR="000541CA">
        <w:rPr>
          <w:rFonts w:cs="Times New Roman"/>
          <w:bCs/>
          <w:color w:val="000000" w:themeColor="text1"/>
        </w:rPr>
        <w:t xml:space="preserve"> </w:t>
      </w:r>
      <w:r w:rsidRPr="009E5385">
        <w:rPr>
          <w:rFonts w:cs="Times New Roman"/>
          <w:bCs/>
          <w:color w:val="000000" w:themeColor="text1"/>
        </w:rPr>
        <w:t xml:space="preserve">followed a similar trend as shoot biomass </w:t>
      </w:r>
      <w:r w:rsidR="000E1A57" w:rsidRPr="009E5385">
        <w:rPr>
          <w:rFonts w:cs="Times New Roman"/>
          <w:bCs/>
          <w:color w:val="000000" w:themeColor="text1"/>
        </w:rPr>
        <w:t>(Fig</w:t>
      </w:r>
      <w:r w:rsidR="000E1A57">
        <w:rPr>
          <w:rFonts w:cs="Times New Roman"/>
          <w:bCs/>
          <w:color w:val="000000" w:themeColor="text1"/>
        </w:rPr>
        <w:t>.</w:t>
      </w:r>
      <w:r w:rsidR="000E1A57" w:rsidRPr="009E5385">
        <w:rPr>
          <w:rFonts w:cs="Times New Roman"/>
          <w:bCs/>
          <w:color w:val="000000" w:themeColor="text1"/>
        </w:rPr>
        <w:t xml:space="preserve"> 3.8A)</w:t>
      </w:r>
      <w:r w:rsidR="000E1A57">
        <w:rPr>
          <w:rFonts w:cs="Times New Roman"/>
          <w:bCs/>
          <w:color w:val="000000" w:themeColor="text1"/>
        </w:rPr>
        <w:t xml:space="preserve"> </w:t>
      </w:r>
      <w:r w:rsidRPr="009E5385">
        <w:rPr>
          <w:rFonts w:cs="Times New Roman"/>
          <w:bCs/>
          <w:color w:val="000000" w:themeColor="text1"/>
        </w:rPr>
        <w:t>and the equivalent reproductive architecture trend seen in wheat spikelet number</w:t>
      </w:r>
      <w:r w:rsidR="000E1A57">
        <w:rPr>
          <w:rFonts w:cs="Times New Roman"/>
          <w:bCs/>
          <w:color w:val="000000" w:themeColor="text1"/>
        </w:rPr>
        <w:t xml:space="preserve"> </w:t>
      </w:r>
      <w:r w:rsidR="00FE187A">
        <w:rPr>
          <w:rFonts w:cs="Times New Roman"/>
          <w:bCs/>
          <w:color w:val="000000" w:themeColor="text1"/>
        </w:rPr>
        <w:t>(Fig. 3.3A)</w:t>
      </w:r>
      <w:r w:rsidRPr="009E5385">
        <w:rPr>
          <w:rFonts w:cs="Times New Roman"/>
          <w:bCs/>
          <w:color w:val="000000" w:themeColor="text1"/>
        </w:rPr>
        <w:t>.</w:t>
      </w:r>
    </w:p>
    <w:p w14:paraId="1B836472" w14:textId="2F8A5ADA" w:rsidR="00BA47BE" w:rsidRDefault="00BA47BE" w:rsidP="00BA47BE">
      <w:r>
        <w:rPr>
          <w:rFonts w:cs="Times New Roman"/>
          <w:bCs/>
          <w:noProof/>
        </w:rPr>
        <w:drawing>
          <wp:anchor distT="0" distB="0" distL="114300" distR="114300" simplePos="0" relativeHeight="251524608" behindDoc="0" locked="0" layoutInCell="1" allowOverlap="1" wp14:anchorId="69CC35E8" wp14:editId="26E97DC7">
            <wp:simplePos x="0" y="0"/>
            <wp:positionH relativeFrom="margin">
              <wp:posOffset>0</wp:posOffset>
            </wp:positionH>
            <wp:positionV relativeFrom="paragraph">
              <wp:posOffset>302260</wp:posOffset>
            </wp:positionV>
            <wp:extent cx="4791075" cy="2400935"/>
            <wp:effectExtent l="0" t="0" r="9525" b="0"/>
            <wp:wrapSquare wrapText="bothSides"/>
            <wp:docPr id="9053992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399234" name="Picture 90539923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791075" cy="2400935"/>
                    </a:xfrm>
                    <a:prstGeom prst="rect">
                      <a:avLst/>
                    </a:prstGeom>
                  </pic:spPr>
                </pic:pic>
              </a:graphicData>
            </a:graphic>
            <wp14:sizeRelH relativeFrom="margin">
              <wp14:pctWidth>0</wp14:pctWidth>
            </wp14:sizeRelH>
            <wp14:sizeRelV relativeFrom="margin">
              <wp14:pctHeight>0</wp14:pctHeight>
            </wp14:sizeRelV>
          </wp:anchor>
        </w:drawing>
      </w:r>
    </w:p>
    <w:p w14:paraId="0E200313" w14:textId="77777777" w:rsidR="00BA47BE" w:rsidRPr="00BA47BE" w:rsidRDefault="00BA47BE" w:rsidP="00BA47BE"/>
    <w:p w14:paraId="3566CBF6" w14:textId="77777777" w:rsidR="00BA47BE" w:rsidRPr="00BA47BE" w:rsidRDefault="00BA47BE" w:rsidP="00BA47BE"/>
    <w:p w14:paraId="24279DD3" w14:textId="77777777" w:rsidR="00BA47BE" w:rsidRPr="00BA47BE" w:rsidRDefault="00BA47BE" w:rsidP="00BA47BE"/>
    <w:p w14:paraId="55B67780" w14:textId="77777777" w:rsidR="00BA47BE" w:rsidRPr="00BA47BE" w:rsidRDefault="00BA47BE" w:rsidP="00BA47BE"/>
    <w:p w14:paraId="048395D4" w14:textId="77777777" w:rsidR="00BA47BE" w:rsidRPr="00BA47BE" w:rsidRDefault="00BA47BE" w:rsidP="00BA47BE"/>
    <w:p w14:paraId="717370E8" w14:textId="77777777" w:rsidR="00BA47BE" w:rsidRPr="00BA47BE" w:rsidRDefault="00BA47BE" w:rsidP="00BA47BE"/>
    <w:p w14:paraId="6CA8B009" w14:textId="77777777" w:rsidR="00BA47BE" w:rsidRPr="00BA47BE" w:rsidRDefault="00BA47BE" w:rsidP="00BA47BE"/>
    <w:p w14:paraId="3B8E7176" w14:textId="77777777" w:rsidR="00BA47BE" w:rsidRPr="00BA47BE" w:rsidRDefault="00BA47BE" w:rsidP="00BA47BE"/>
    <w:p w14:paraId="39962836" w14:textId="3E062F8C" w:rsidR="00BA47BE" w:rsidRPr="00BA47BE" w:rsidRDefault="00BA47BE" w:rsidP="00BA47BE">
      <w:pPr>
        <w:pStyle w:val="Caption"/>
      </w:pPr>
      <w:bookmarkStart w:id="115" w:name="_Toc146657550"/>
      <w:bookmarkStart w:id="116" w:name="_Toc154331542"/>
      <w:r>
        <w:t xml:space="preserve">Figure </w:t>
      </w:r>
      <w:fldSimple w:instr=" STYLEREF 1 \s ">
        <w:r w:rsidR="004B7F70">
          <w:rPr>
            <w:noProof/>
          </w:rPr>
          <w:t>3</w:t>
        </w:r>
      </w:fldSimple>
      <w:r w:rsidR="00C97D34">
        <w:t>.</w:t>
      </w:r>
      <w:fldSimple w:instr=" SEQ Figure \* ARABIC \s 1 ">
        <w:r w:rsidR="004B7F70">
          <w:rPr>
            <w:noProof/>
          </w:rPr>
          <w:t>8</w:t>
        </w:r>
      </w:fldSimple>
      <w:r>
        <w:t xml:space="preserve"> </w:t>
      </w:r>
      <w:r w:rsidRPr="005B74D6">
        <w:t xml:space="preserve">Silique number </w:t>
      </w:r>
      <w:r w:rsidRPr="003E3525">
        <w:t>i</w:t>
      </w:r>
      <w:r w:rsidR="005070A3" w:rsidRPr="003E3525">
        <w:t>s</w:t>
      </w:r>
      <w:r w:rsidRPr="005B74D6">
        <w:t xml:space="preserve"> affected by soil volume and neighbour density</w:t>
      </w:r>
      <w:bookmarkEnd w:id="115"/>
      <w:bookmarkEnd w:id="116"/>
    </w:p>
    <w:p w14:paraId="1A7EAE5A" w14:textId="77777777" w:rsidR="00BA47BE" w:rsidRPr="00A26421" w:rsidRDefault="00BA47BE" w:rsidP="00BA47BE">
      <w:pPr>
        <w:pStyle w:val="Description"/>
      </w:pPr>
      <w:r w:rsidRPr="00A26421">
        <w:t xml:space="preserve">Graphs showing </w:t>
      </w:r>
      <w:r w:rsidRPr="002E6C11">
        <w:rPr>
          <w:i/>
          <w:iCs/>
        </w:rPr>
        <w:t>A. thaliana</w:t>
      </w:r>
      <w:r w:rsidRPr="00A26421">
        <w:t xml:space="preserve"> (Col-0) grown in 100ml (light blue) and 500ml (dark blue) pots in either 1 plant per pot (1/pot) or 4 plants per pot (4/pot).</w:t>
      </w:r>
    </w:p>
    <w:p w14:paraId="08F37E74" w14:textId="5D200371" w:rsidR="00BA47BE" w:rsidRPr="00A26421" w:rsidRDefault="00BA47BE" w:rsidP="00BA47BE">
      <w:pPr>
        <w:pStyle w:val="Description"/>
      </w:pPr>
      <w:r w:rsidRPr="00A26421">
        <w:t xml:space="preserve">A) Box plots showing mean </w:t>
      </w:r>
      <w:r w:rsidR="00291A46">
        <w:t>silique number</w:t>
      </w:r>
      <w:r w:rsidRPr="00A26421">
        <w:t xml:space="preserve"> per plant and per pot at 7 weeks post germination. Boxes with the same letter are not significantly different (One-way ANOVA with Tukey HSD, p &lt;0.05) n=7-12. Statistical analyses were carried out independently for per plant and per pot. The box indicates the interquartile range, the midline represents the median, the whiskers are the minimum and maximum values, the circle depicts the mean.</w:t>
      </w:r>
    </w:p>
    <w:p w14:paraId="5E531F54" w14:textId="77777777" w:rsidR="00BA47BE" w:rsidRDefault="00BA47BE" w:rsidP="00BA47BE"/>
    <w:p w14:paraId="011A3DC6" w14:textId="67882EF2" w:rsidR="00BA47BE" w:rsidRPr="002E6C11" w:rsidRDefault="00BA47BE" w:rsidP="00BA47BE">
      <w:pPr>
        <w:spacing w:line="480" w:lineRule="auto"/>
        <w:rPr>
          <w:rFonts w:cs="Times New Roman"/>
          <w:bCs/>
          <w:color w:val="000000" w:themeColor="text1"/>
        </w:rPr>
      </w:pPr>
      <w:r w:rsidRPr="002E6C11">
        <w:rPr>
          <w:rFonts w:cs="Times New Roman"/>
          <w:bCs/>
          <w:color w:val="000000" w:themeColor="text1"/>
        </w:rPr>
        <w:t xml:space="preserve">Looking across all shoot traits assessed, Arabidopsis follows similar trends to wheat and barley. </w:t>
      </w:r>
      <w:r w:rsidR="00B43F7C" w:rsidRPr="002E6C11">
        <w:rPr>
          <w:rFonts w:cs="Times New Roman"/>
          <w:bCs/>
          <w:color w:val="000000" w:themeColor="text1"/>
        </w:rPr>
        <w:t>This suggests that soil volume per plant also indicates shoot growth</w:t>
      </w:r>
      <w:r w:rsidR="00B43F7C">
        <w:rPr>
          <w:rFonts w:cs="Times New Roman"/>
          <w:bCs/>
          <w:color w:val="000000" w:themeColor="text1"/>
        </w:rPr>
        <w:t xml:space="preserve"> in Arabidopsis</w:t>
      </w:r>
      <w:r w:rsidR="00B43F7C" w:rsidRPr="002E6C11">
        <w:rPr>
          <w:rFonts w:cs="Times New Roman"/>
          <w:bCs/>
          <w:color w:val="000000" w:themeColor="text1"/>
        </w:rPr>
        <w:t xml:space="preserve">. </w:t>
      </w:r>
    </w:p>
    <w:p w14:paraId="619DD3DC" w14:textId="77777777" w:rsidR="00BA47BE" w:rsidRDefault="00BA47BE" w:rsidP="00BA47BE"/>
    <w:p w14:paraId="36696B53" w14:textId="5879838C" w:rsidR="00BA47BE" w:rsidRDefault="00BA47BE" w:rsidP="00743E4C">
      <w:pPr>
        <w:pStyle w:val="Heading3"/>
      </w:pPr>
      <w:bookmarkStart w:id="117" w:name="_Toc154331475"/>
      <w:r w:rsidRPr="00BA47BE">
        <w:lastRenderedPageBreak/>
        <w:t>Pea shoot growth responses to soil volume and neighbour density are largely interchangeable</w:t>
      </w:r>
      <w:bookmarkEnd w:id="117"/>
    </w:p>
    <w:p w14:paraId="65DA85C4" w14:textId="77777777" w:rsidR="00BA47BE" w:rsidRDefault="00BA47BE" w:rsidP="00BA47BE"/>
    <w:p w14:paraId="4B4DC97B" w14:textId="2AD549DD" w:rsidR="00BA47BE" w:rsidRDefault="00BA47BE" w:rsidP="00BA47BE">
      <w:pPr>
        <w:numPr>
          <w:ilvl w:val="1"/>
          <w:numId w:val="0"/>
        </w:numPr>
        <w:spacing w:before="160" w:line="480" w:lineRule="auto"/>
        <w:outlineLvl w:val="1"/>
        <w:rPr>
          <w:rFonts w:cs="Times New Roman"/>
          <w:bCs/>
        </w:rPr>
      </w:pPr>
      <w:r w:rsidRPr="00B1161D">
        <w:rPr>
          <w:rFonts w:cs="Times New Roman"/>
          <w:bCs/>
          <w:color w:val="000000" w:themeColor="text1"/>
        </w:rPr>
        <w:t>I next wanted to explore if legumes behave in a similar manner to wheat, barley and Arabidopsis</w:t>
      </w:r>
      <w:r w:rsidR="00921EF4">
        <w:rPr>
          <w:rFonts w:cs="Times New Roman"/>
          <w:bCs/>
          <w:color w:val="000000" w:themeColor="text1"/>
        </w:rPr>
        <w:t xml:space="preserve"> to soil volume and neighbour density</w:t>
      </w:r>
      <w:r w:rsidRPr="00B1161D">
        <w:rPr>
          <w:rFonts w:cs="Times New Roman"/>
          <w:bCs/>
          <w:color w:val="000000" w:themeColor="text1"/>
        </w:rPr>
        <w:t xml:space="preserve">. Wild-type </w:t>
      </w:r>
      <w:r w:rsidRPr="00B1161D">
        <w:rPr>
          <w:rFonts w:cs="Times New Roman"/>
          <w:bCs/>
          <w:i/>
          <w:iCs/>
          <w:color w:val="000000" w:themeColor="text1"/>
        </w:rPr>
        <w:t>Pisum sativum</w:t>
      </w:r>
      <w:r w:rsidRPr="00B1161D">
        <w:rPr>
          <w:rFonts w:cs="Times New Roman"/>
          <w:bCs/>
          <w:color w:val="000000" w:themeColor="text1"/>
        </w:rPr>
        <w:t xml:space="preserve"> (v. Torsdag background) (pea from herein) </w:t>
      </w:r>
      <w:r>
        <w:rPr>
          <w:rFonts w:cs="Times New Roman"/>
          <w:bCs/>
        </w:rPr>
        <w:t>plants were grown using the same experimental design as the previous experiments (Fig</w:t>
      </w:r>
      <w:r w:rsidR="00D30B07">
        <w:rPr>
          <w:rFonts w:cs="Times New Roman"/>
          <w:bCs/>
        </w:rPr>
        <w:t>.</w:t>
      </w:r>
      <w:r>
        <w:rPr>
          <w:rFonts w:cs="Times New Roman"/>
          <w:bCs/>
        </w:rPr>
        <w:t xml:space="preserve"> 3.9A), however the soil volumes used were 500ml and 2000ml </w:t>
      </w:r>
      <w:r>
        <w:rPr>
          <w:rFonts w:cs="Times New Roman"/>
          <w:bCs/>
        </w:rPr>
        <w:fldChar w:fldCharType="begin" w:fldLock="1"/>
      </w:r>
      <w:r>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Pr>
          <w:rFonts w:cs="Times New Roman"/>
          <w:bCs/>
        </w:rPr>
        <w:fldChar w:fldCharType="separate"/>
      </w:r>
      <w:r w:rsidRPr="00806BD6">
        <w:rPr>
          <w:rFonts w:cs="Times New Roman"/>
          <w:bCs/>
          <w:noProof/>
        </w:rPr>
        <w:t>(Wheeldon et al., 2022)</w:t>
      </w:r>
      <w:r>
        <w:rPr>
          <w:rFonts w:cs="Times New Roman"/>
          <w:bCs/>
        </w:rPr>
        <w:fldChar w:fldCharType="end"/>
      </w:r>
      <w:r>
        <w:rPr>
          <w:rFonts w:cs="Times New Roman"/>
          <w:bCs/>
        </w:rPr>
        <w:t xml:space="preserve"> </w:t>
      </w:r>
      <w:r w:rsidRPr="00B1161D">
        <w:rPr>
          <w:rFonts w:cs="Times New Roman"/>
          <w:bCs/>
          <w:color w:val="000000" w:themeColor="text1"/>
        </w:rPr>
        <w:t xml:space="preserve">as in a preliminary experiment pea plants grown singly in 100ml pots were very small and only produced a single shoot with no branches. </w:t>
      </w:r>
      <w:r>
        <w:rPr>
          <w:rFonts w:cs="Times New Roman"/>
          <w:bCs/>
        </w:rPr>
        <w:t>Plants were grown for 7 weeks and then shoot branches were counted and shoots were harvested for dry shoot biomass.</w:t>
      </w:r>
    </w:p>
    <w:p w14:paraId="023751CC" w14:textId="3B66010E" w:rsidR="00BA47BE" w:rsidRPr="00B1161D" w:rsidRDefault="00BA47BE" w:rsidP="00BA47BE">
      <w:pPr>
        <w:numPr>
          <w:ilvl w:val="1"/>
          <w:numId w:val="0"/>
        </w:numPr>
        <w:spacing w:before="160" w:line="480" w:lineRule="auto"/>
        <w:outlineLvl w:val="1"/>
        <w:rPr>
          <w:rFonts w:cs="Times New Roman"/>
          <w:bCs/>
          <w:color w:val="000000" w:themeColor="text1"/>
        </w:rPr>
      </w:pPr>
      <w:r w:rsidRPr="00B1161D">
        <w:rPr>
          <w:rFonts w:cs="Times New Roman"/>
          <w:bCs/>
          <w:color w:val="000000" w:themeColor="text1"/>
        </w:rPr>
        <w:t xml:space="preserve">Pea plants grown singly in 2000ml pots </w:t>
      </w:r>
      <w:r w:rsidR="0061425F" w:rsidRPr="002D4E68">
        <w:rPr>
          <w:rFonts w:cs="Times New Roman"/>
          <w:bCs/>
          <w:color w:val="000000" w:themeColor="text1"/>
        </w:rPr>
        <w:t xml:space="preserve">were statistically different </w:t>
      </w:r>
      <w:r w:rsidR="007E2AA7" w:rsidRPr="002D4E68">
        <w:rPr>
          <w:rFonts w:cs="Times New Roman"/>
          <w:bCs/>
          <w:color w:val="000000" w:themeColor="text1"/>
        </w:rPr>
        <w:t>to singly grown 500ml plants</w:t>
      </w:r>
      <w:r w:rsidR="007E2AA7">
        <w:rPr>
          <w:rFonts w:cs="Times New Roman"/>
          <w:bCs/>
          <w:color w:val="000000" w:themeColor="text1"/>
        </w:rPr>
        <w:t xml:space="preserve">, </w:t>
      </w:r>
      <w:r w:rsidR="0061425F">
        <w:rPr>
          <w:rFonts w:cs="Times New Roman"/>
          <w:bCs/>
          <w:color w:val="000000" w:themeColor="text1"/>
        </w:rPr>
        <w:t xml:space="preserve">as these </w:t>
      </w:r>
      <w:r w:rsidRPr="00B1161D">
        <w:rPr>
          <w:rFonts w:cs="Times New Roman"/>
          <w:bCs/>
          <w:color w:val="000000" w:themeColor="text1"/>
        </w:rPr>
        <w:t>produced ~2.2-fold more shoot biomass than those in grown singly 500ml pots. In the case of crowded plants grown in 2000ml, these plants produced ~2.1-fold more shoot biomass than in 500ml pots</w:t>
      </w:r>
      <w:r w:rsidR="00FB53A9">
        <w:rPr>
          <w:rFonts w:cs="Times New Roman"/>
          <w:bCs/>
          <w:color w:val="000000" w:themeColor="text1"/>
        </w:rPr>
        <w:t xml:space="preserve"> per plant</w:t>
      </w:r>
      <w:r w:rsidRPr="00B1161D">
        <w:rPr>
          <w:rFonts w:cs="Times New Roman"/>
          <w:bCs/>
          <w:color w:val="000000" w:themeColor="text1"/>
        </w:rPr>
        <w:t xml:space="preserve"> (Fig</w:t>
      </w:r>
      <w:r w:rsidR="00076E96">
        <w:rPr>
          <w:rFonts w:cs="Times New Roman"/>
          <w:bCs/>
          <w:color w:val="000000" w:themeColor="text1"/>
        </w:rPr>
        <w:t>.</w:t>
      </w:r>
      <w:r w:rsidRPr="00B1161D">
        <w:rPr>
          <w:rFonts w:cs="Times New Roman"/>
          <w:bCs/>
          <w:color w:val="000000" w:themeColor="text1"/>
        </w:rPr>
        <w:t xml:space="preserve"> 3.9B-C) </w:t>
      </w:r>
      <w:r w:rsidRPr="00B1161D">
        <w:rPr>
          <w:rFonts w:cs="Times New Roman"/>
          <w:bCs/>
          <w:color w:val="000000" w:themeColor="text1"/>
        </w:rPr>
        <w:fldChar w:fldCharType="begin" w:fldLock="1"/>
      </w:r>
      <w:r w:rsidRPr="00B1161D">
        <w:rPr>
          <w:rFonts w:cs="Times New Roman"/>
          <w:bCs/>
          <w:color w:val="000000" w:themeColor="text1"/>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sidRPr="00B1161D">
        <w:rPr>
          <w:rFonts w:cs="Times New Roman"/>
          <w:bCs/>
          <w:color w:val="000000" w:themeColor="text1"/>
        </w:rPr>
        <w:fldChar w:fldCharType="separate"/>
      </w:r>
      <w:r w:rsidRPr="00B1161D">
        <w:rPr>
          <w:rFonts w:cs="Times New Roman"/>
          <w:bCs/>
          <w:noProof/>
          <w:color w:val="000000" w:themeColor="text1"/>
        </w:rPr>
        <w:t>(Wheeldon et al., 2022)</w:t>
      </w:r>
      <w:r w:rsidRPr="00B1161D">
        <w:rPr>
          <w:rFonts w:cs="Times New Roman"/>
          <w:bCs/>
          <w:color w:val="000000" w:themeColor="text1"/>
        </w:rPr>
        <w:fldChar w:fldCharType="end"/>
      </w:r>
      <w:r w:rsidRPr="00B1161D">
        <w:rPr>
          <w:rFonts w:cs="Times New Roman"/>
          <w:bCs/>
          <w:color w:val="000000" w:themeColor="text1"/>
        </w:rPr>
        <w:t>. These fold changes are half that of wheat, but nevertheless show that an increase in available soil volume results in increased shoot growth in both crowded and uncrowded plants. Most notably, 1/pot 500ml and 4/pot 2000ml plants produced a similar shoot biomass per plant (~5g). Consequently, as with the other species assessed in 3.</w:t>
      </w:r>
      <w:r w:rsidR="00531B80">
        <w:rPr>
          <w:rFonts w:cs="Times New Roman"/>
          <w:bCs/>
          <w:color w:val="000000" w:themeColor="text1"/>
        </w:rPr>
        <w:t>2</w:t>
      </w:r>
      <w:r w:rsidRPr="00B1161D">
        <w:rPr>
          <w:rFonts w:cs="Times New Roman"/>
          <w:bCs/>
          <w:color w:val="000000" w:themeColor="text1"/>
        </w:rPr>
        <w:t xml:space="preserve">, neighbour density and soil volume act interchangeably.  </w:t>
      </w:r>
    </w:p>
    <w:p w14:paraId="1F49B7FB" w14:textId="77777777" w:rsidR="00BA47BE" w:rsidRDefault="00BA47BE" w:rsidP="00BA47BE">
      <w:pPr>
        <w:numPr>
          <w:ilvl w:val="1"/>
          <w:numId w:val="0"/>
        </w:numPr>
        <w:spacing w:before="160" w:line="480" w:lineRule="auto"/>
        <w:outlineLvl w:val="1"/>
        <w:rPr>
          <w:rFonts w:cs="Times New Roman"/>
          <w:bCs/>
          <w:color w:val="00B050"/>
        </w:rPr>
      </w:pPr>
    </w:p>
    <w:p w14:paraId="6A23ECDA" w14:textId="3807F61F" w:rsidR="00BA47BE" w:rsidRPr="00063E9D" w:rsidRDefault="00230312" w:rsidP="00BA47BE">
      <w:pPr>
        <w:pStyle w:val="Caption"/>
        <w:rPr>
          <w:rFonts w:cs="Times New Roman"/>
          <w:bCs w:val="0"/>
          <w:color w:val="00B050"/>
          <w:sz w:val="24"/>
        </w:rPr>
      </w:pPr>
      <w:bookmarkStart w:id="118" w:name="_Toc146657551"/>
      <w:bookmarkStart w:id="119" w:name="_Toc154331543"/>
      <w:r>
        <w:rPr>
          <w:rFonts w:cs="Times New Roman"/>
          <w:bCs w:val="0"/>
          <w:noProof/>
          <w:color w:val="00B050"/>
          <w:sz w:val="24"/>
        </w:rPr>
        <w:lastRenderedPageBreak/>
        <w:drawing>
          <wp:anchor distT="0" distB="0" distL="114300" distR="114300" simplePos="0" relativeHeight="251531776" behindDoc="0" locked="0" layoutInCell="1" allowOverlap="1" wp14:anchorId="04DC8CFF" wp14:editId="54370E54">
            <wp:simplePos x="0" y="0"/>
            <wp:positionH relativeFrom="margin">
              <wp:align>right</wp:align>
            </wp:positionH>
            <wp:positionV relativeFrom="paragraph">
              <wp:posOffset>0</wp:posOffset>
            </wp:positionV>
            <wp:extent cx="5175885" cy="3188970"/>
            <wp:effectExtent l="0" t="0" r="5715" b="0"/>
            <wp:wrapSquare wrapText="bothSides"/>
            <wp:docPr id="5179644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964431" name="Picture 51796443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75885" cy="3188970"/>
                    </a:xfrm>
                    <a:prstGeom prst="rect">
                      <a:avLst/>
                    </a:prstGeom>
                  </pic:spPr>
                </pic:pic>
              </a:graphicData>
            </a:graphic>
            <wp14:sizeRelH relativeFrom="margin">
              <wp14:pctWidth>0</wp14:pctWidth>
            </wp14:sizeRelH>
            <wp14:sizeRelV relativeFrom="margin">
              <wp14:pctHeight>0</wp14:pctHeight>
            </wp14:sizeRelV>
          </wp:anchor>
        </w:drawing>
      </w:r>
      <w:r w:rsidR="00BA47BE">
        <w:t xml:space="preserve">Figure </w:t>
      </w:r>
      <w:fldSimple w:instr=" STYLEREF 1 \s ">
        <w:r w:rsidR="004B7F70">
          <w:rPr>
            <w:noProof/>
          </w:rPr>
          <w:t>3</w:t>
        </w:r>
      </w:fldSimple>
      <w:r w:rsidR="00C97D34">
        <w:t>.</w:t>
      </w:r>
      <w:fldSimple w:instr=" SEQ Figure \* ARABIC \s 1 ">
        <w:r w:rsidR="004B7F70">
          <w:rPr>
            <w:noProof/>
          </w:rPr>
          <w:t>9</w:t>
        </w:r>
      </w:fldSimple>
      <w:r w:rsidR="00BA47BE">
        <w:t xml:space="preserve"> </w:t>
      </w:r>
      <w:r w:rsidR="00BA47BE" w:rsidRPr="00981747">
        <w:t>Shoot biomass in pea is influenced by root based crowding and soil volume</w:t>
      </w:r>
      <w:bookmarkEnd w:id="118"/>
      <w:bookmarkEnd w:id="119"/>
    </w:p>
    <w:p w14:paraId="30ADEF6D" w14:textId="77777777" w:rsidR="00BA47BE" w:rsidRDefault="00BA47BE" w:rsidP="0013233D">
      <w:pPr>
        <w:pStyle w:val="Description"/>
      </w:pPr>
      <w:r w:rsidRPr="005104FF">
        <w:t xml:space="preserve">Graphs showing wildtype </w:t>
      </w:r>
      <w:r w:rsidRPr="00900074">
        <w:rPr>
          <w:i/>
          <w:iCs/>
        </w:rPr>
        <w:t>P. sativum</w:t>
      </w:r>
      <w:r w:rsidRPr="005104FF">
        <w:t xml:space="preserve"> (pea, cv Torsdag) grown in 500ml (light green) and 2000ml (dark green) pots in either 1 plant per pot (1/pot) or 4 plants per pot (4/pot) treatments.</w:t>
      </w:r>
    </w:p>
    <w:p w14:paraId="1BC7043D" w14:textId="77777777" w:rsidR="00BA47BE" w:rsidRDefault="00BA47BE" w:rsidP="0013233D">
      <w:pPr>
        <w:pStyle w:val="Description"/>
      </w:pPr>
      <w:r>
        <w:t>A)</w:t>
      </w:r>
      <w:r w:rsidRPr="00833CEE">
        <w:t xml:space="preserve"> Cartoon representing experimental set up. Each circle represents 1 plant, 4/pot plants were grown at the same distance apart in both soil volumes.</w:t>
      </w:r>
    </w:p>
    <w:p w14:paraId="3CFA5142" w14:textId="77777777" w:rsidR="00BA47BE" w:rsidRPr="005104FF" w:rsidRDefault="00BA47BE" w:rsidP="0013233D">
      <w:pPr>
        <w:pStyle w:val="Description"/>
      </w:pPr>
      <w:r>
        <w:t xml:space="preserve">B) </w:t>
      </w:r>
      <w:r w:rsidRPr="00076844">
        <w:t>Table showing biomass fold change as a result of being subjected to different soil volume and crowding regimes. Numbers with a + indicate an increase in fold change, whereas those with – show a decrease in fold change.</w:t>
      </w:r>
    </w:p>
    <w:p w14:paraId="6A0C142F" w14:textId="77777777" w:rsidR="00BA47BE" w:rsidRDefault="00BA47BE" w:rsidP="0013233D">
      <w:pPr>
        <w:pStyle w:val="Description"/>
      </w:pPr>
      <w:r>
        <w:t xml:space="preserve">C) </w:t>
      </w:r>
      <w:r w:rsidRPr="005104FF">
        <w:t>Box plots showing mean final shoot biomass (g) per plant and per pot. Boxes with the same letter are not significantly different (One-way ANOVA with Tukey HSD, p &lt;0.05) n=7-12. Statistical analyses were carried out independently for per plant and per pot. The box indicates the interquartile range, the midline represents the median, the whiskers are the minimum and maximum values, the circle is the mean</w:t>
      </w:r>
      <w:r>
        <w:t>.</w:t>
      </w:r>
      <w:r w:rsidRPr="005104FF">
        <w:t xml:space="preserve"> </w:t>
      </w:r>
    </w:p>
    <w:p w14:paraId="6C6F4CA7" w14:textId="77777777" w:rsidR="00BA47BE" w:rsidRDefault="00BA47BE" w:rsidP="0013233D">
      <w:pPr>
        <w:pStyle w:val="Description"/>
      </w:pPr>
      <w:r>
        <w:t>Figure modified from Wheeldon et al, 2022</w:t>
      </w:r>
    </w:p>
    <w:p w14:paraId="520C7D5D" w14:textId="77777777" w:rsidR="0013233D" w:rsidRDefault="0013233D" w:rsidP="0013233D"/>
    <w:p w14:paraId="2C36FA71" w14:textId="64D2949D" w:rsidR="0013233D" w:rsidRPr="0029137A" w:rsidRDefault="0013233D" w:rsidP="0013233D">
      <w:pPr>
        <w:numPr>
          <w:ilvl w:val="1"/>
          <w:numId w:val="0"/>
        </w:numPr>
        <w:spacing w:before="160" w:line="480" w:lineRule="auto"/>
        <w:outlineLvl w:val="1"/>
        <w:rPr>
          <w:rFonts w:cs="Times New Roman"/>
          <w:bCs/>
          <w:color w:val="000000" w:themeColor="text1"/>
        </w:rPr>
      </w:pPr>
      <w:r w:rsidRPr="0029137A">
        <w:rPr>
          <w:rFonts w:cs="Times New Roman"/>
          <w:bCs/>
          <w:color w:val="000000" w:themeColor="text1"/>
        </w:rPr>
        <w:t>Pea plants grown singly in 2000ml pots produced ~2.6- fold more branches than those grown singly in 500ml pots. When crowded, pea plants grown in 2000ml pots produced ~2.2- fold more branches than those grown 4/pot in 500ml pots (Fig</w:t>
      </w:r>
      <w:r w:rsidR="00ED5C52">
        <w:rPr>
          <w:rFonts w:cs="Times New Roman"/>
          <w:bCs/>
          <w:color w:val="000000" w:themeColor="text1"/>
        </w:rPr>
        <w:t>.</w:t>
      </w:r>
      <w:r w:rsidRPr="0029137A">
        <w:rPr>
          <w:rFonts w:cs="Times New Roman"/>
          <w:bCs/>
          <w:color w:val="000000" w:themeColor="text1"/>
        </w:rPr>
        <w:t xml:space="preserve"> 3.10A) </w:t>
      </w:r>
      <w:r w:rsidRPr="0029137A">
        <w:rPr>
          <w:rFonts w:cs="Times New Roman"/>
          <w:bCs/>
          <w:color w:val="000000" w:themeColor="text1"/>
        </w:rPr>
        <w:fldChar w:fldCharType="begin" w:fldLock="1"/>
      </w:r>
      <w:r w:rsidRPr="0029137A">
        <w:rPr>
          <w:rFonts w:cs="Times New Roman"/>
          <w:bCs/>
          <w:color w:val="000000" w:themeColor="text1"/>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sidRPr="0029137A">
        <w:rPr>
          <w:rFonts w:cs="Times New Roman"/>
          <w:bCs/>
          <w:color w:val="000000" w:themeColor="text1"/>
        </w:rPr>
        <w:fldChar w:fldCharType="separate"/>
      </w:r>
      <w:r w:rsidRPr="0029137A">
        <w:rPr>
          <w:rFonts w:cs="Times New Roman"/>
          <w:bCs/>
          <w:noProof/>
          <w:color w:val="000000" w:themeColor="text1"/>
        </w:rPr>
        <w:t>(Wheeldon et al., 2022)</w:t>
      </w:r>
      <w:r w:rsidRPr="0029137A">
        <w:rPr>
          <w:rFonts w:cs="Times New Roman"/>
          <w:bCs/>
          <w:color w:val="000000" w:themeColor="text1"/>
        </w:rPr>
        <w:fldChar w:fldCharType="end"/>
      </w:r>
      <w:r w:rsidRPr="0029137A">
        <w:rPr>
          <w:rFonts w:cs="Times New Roman"/>
          <w:bCs/>
          <w:color w:val="000000" w:themeColor="text1"/>
        </w:rPr>
        <w:t xml:space="preserve">. </w:t>
      </w:r>
      <w:r w:rsidR="006F2CA5" w:rsidRPr="00845769">
        <w:rPr>
          <w:rFonts w:cs="Times New Roman"/>
          <w:bCs/>
          <w:color w:val="000000" w:themeColor="text1"/>
        </w:rPr>
        <w:t>This assessment of final branch number supports that of shoot biomass.</w:t>
      </w:r>
      <w:r w:rsidR="006F2CA5" w:rsidRPr="0029137A">
        <w:rPr>
          <w:rFonts w:cs="Times New Roman"/>
          <w:bCs/>
          <w:color w:val="000000" w:themeColor="text1"/>
        </w:rPr>
        <w:t xml:space="preserve"> </w:t>
      </w:r>
      <w:r w:rsidRPr="0029137A">
        <w:rPr>
          <w:rFonts w:cs="Times New Roman"/>
          <w:bCs/>
          <w:color w:val="000000" w:themeColor="text1"/>
        </w:rPr>
        <w:t xml:space="preserve">Again, this shows that increasing the soil volume available to the plants by five-fold alleviated </w:t>
      </w:r>
      <w:r w:rsidRPr="0029137A">
        <w:rPr>
          <w:rFonts w:cs="Times New Roman"/>
          <w:bCs/>
          <w:color w:val="000000" w:themeColor="text1"/>
        </w:rPr>
        <w:lastRenderedPageBreak/>
        <w:t xml:space="preserve">crowding effects, suggesting soil volume and neighbour density </w:t>
      </w:r>
      <w:r w:rsidR="0036241A" w:rsidRPr="0029137A">
        <w:rPr>
          <w:rFonts w:cs="Times New Roman"/>
          <w:bCs/>
          <w:color w:val="000000" w:themeColor="text1"/>
        </w:rPr>
        <w:t>a</w:t>
      </w:r>
      <w:r w:rsidR="0036241A">
        <w:rPr>
          <w:rFonts w:cs="Times New Roman"/>
          <w:bCs/>
          <w:color w:val="000000" w:themeColor="text1"/>
        </w:rPr>
        <w:t>re</w:t>
      </w:r>
      <w:r w:rsidR="0036241A" w:rsidRPr="0029137A">
        <w:rPr>
          <w:rFonts w:cs="Times New Roman"/>
          <w:bCs/>
          <w:color w:val="000000" w:themeColor="text1"/>
        </w:rPr>
        <w:t xml:space="preserve"> </w:t>
      </w:r>
      <w:r w:rsidRPr="0029137A">
        <w:rPr>
          <w:rFonts w:cs="Times New Roman"/>
          <w:bCs/>
          <w:color w:val="000000" w:themeColor="text1"/>
        </w:rPr>
        <w:t xml:space="preserve">interchangeable. </w:t>
      </w:r>
    </w:p>
    <w:p w14:paraId="5432811D" w14:textId="77777777" w:rsidR="0013233D" w:rsidRDefault="0013233D" w:rsidP="0013233D">
      <w:pPr>
        <w:numPr>
          <w:ilvl w:val="1"/>
          <w:numId w:val="0"/>
        </w:numPr>
        <w:spacing w:before="160" w:line="480" w:lineRule="auto"/>
        <w:outlineLvl w:val="1"/>
        <w:rPr>
          <w:rFonts w:cs="Times New Roman"/>
          <w:bCs/>
          <w:color w:val="00B050"/>
        </w:rPr>
      </w:pPr>
      <w:r>
        <w:rPr>
          <w:rFonts w:cs="Times New Roman"/>
          <w:bCs/>
          <w:noProof/>
          <w:color w:val="00B050"/>
        </w:rPr>
        <w:drawing>
          <wp:anchor distT="0" distB="0" distL="114300" distR="114300" simplePos="0" relativeHeight="251538944" behindDoc="0" locked="0" layoutInCell="1" allowOverlap="1" wp14:anchorId="766E0E13" wp14:editId="771EE450">
            <wp:simplePos x="0" y="0"/>
            <wp:positionH relativeFrom="margin">
              <wp:align>left</wp:align>
            </wp:positionH>
            <wp:positionV relativeFrom="paragraph">
              <wp:posOffset>33020</wp:posOffset>
            </wp:positionV>
            <wp:extent cx="4506595" cy="2159000"/>
            <wp:effectExtent l="0" t="0" r="8255" b="0"/>
            <wp:wrapSquare wrapText="bothSides"/>
            <wp:docPr id="1305680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8032" name="Picture 13056803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506595" cy="2159000"/>
                    </a:xfrm>
                    <a:prstGeom prst="rect">
                      <a:avLst/>
                    </a:prstGeom>
                  </pic:spPr>
                </pic:pic>
              </a:graphicData>
            </a:graphic>
            <wp14:sizeRelH relativeFrom="margin">
              <wp14:pctWidth>0</wp14:pctWidth>
            </wp14:sizeRelH>
            <wp14:sizeRelV relativeFrom="margin">
              <wp14:pctHeight>0</wp14:pctHeight>
            </wp14:sizeRelV>
          </wp:anchor>
        </w:drawing>
      </w:r>
    </w:p>
    <w:p w14:paraId="30901AFD" w14:textId="77777777" w:rsidR="0013233D" w:rsidRDefault="0013233D" w:rsidP="0013233D">
      <w:pPr>
        <w:numPr>
          <w:ilvl w:val="1"/>
          <w:numId w:val="0"/>
        </w:numPr>
        <w:spacing w:before="160" w:line="480" w:lineRule="auto"/>
        <w:outlineLvl w:val="1"/>
        <w:rPr>
          <w:rFonts w:cs="Times New Roman"/>
          <w:bCs/>
          <w:color w:val="00B050"/>
        </w:rPr>
      </w:pPr>
    </w:p>
    <w:p w14:paraId="23683381" w14:textId="77777777" w:rsidR="0013233D" w:rsidRDefault="0013233D" w:rsidP="0013233D">
      <w:pPr>
        <w:numPr>
          <w:ilvl w:val="1"/>
          <w:numId w:val="0"/>
        </w:numPr>
        <w:spacing w:before="160" w:line="480" w:lineRule="auto"/>
        <w:outlineLvl w:val="1"/>
        <w:rPr>
          <w:rFonts w:cs="Times New Roman"/>
          <w:bCs/>
          <w:color w:val="00B050"/>
        </w:rPr>
      </w:pPr>
    </w:p>
    <w:p w14:paraId="6F8C9C4D" w14:textId="77777777" w:rsidR="0013233D" w:rsidRDefault="0013233D" w:rsidP="0013233D">
      <w:pPr>
        <w:numPr>
          <w:ilvl w:val="1"/>
          <w:numId w:val="0"/>
        </w:numPr>
        <w:spacing w:before="160" w:line="480" w:lineRule="auto"/>
        <w:outlineLvl w:val="1"/>
        <w:rPr>
          <w:rFonts w:cs="Times New Roman"/>
          <w:bCs/>
          <w:color w:val="00B050"/>
        </w:rPr>
      </w:pPr>
    </w:p>
    <w:p w14:paraId="005517E8" w14:textId="77777777" w:rsidR="0013233D" w:rsidRDefault="0013233D" w:rsidP="0013233D">
      <w:pPr>
        <w:numPr>
          <w:ilvl w:val="1"/>
          <w:numId w:val="0"/>
        </w:numPr>
        <w:spacing w:before="160" w:line="480" w:lineRule="auto"/>
        <w:outlineLvl w:val="1"/>
        <w:rPr>
          <w:rFonts w:cs="Times New Roman"/>
          <w:bCs/>
          <w:color w:val="00B050"/>
        </w:rPr>
      </w:pPr>
    </w:p>
    <w:p w14:paraId="5B82E257" w14:textId="246D8105" w:rsidR="0013233D" w:rsidRPr="00321D42" w:rsidRDefault="0013233D" w:rsidP="0013233D">
      <w:pPr>
        <w:pStyle w:val="Caption"/>
        <w:rPr>
          <w:rFonts w:cs="Times New Roman"/>
          <w:bCs w:val="0"/>
          <w:color w:val="00B050"/>
          <w:sz w:val="24"/>
        </w:rPr>
      </w:pPr>
      <w:bookmarkStart w:id="120" w:name="_Toc146657552"/>
      <w:bookmarkStart w:id="121" w:name="_Toc154331544"/>
      <w:r>
        <w:t xml:space="preserve">Figure </w:t>
      </w:r>
      <w:fldSimple w:instr=" STYLEREF 1 \s ">
        <w:r w:rsidR="004B7F70">
          <w:rPr>
            <w:noProof/>
          </w:rPr>
          <w:t>3</w:t>
        </w:r>
      </w:fldSimple>
      <w:r w:rsidR="00C97D34">
        <w:t>.</w:t>
      </w:r>
      <w:fldSimple w:instr=" SEQ Figure \* ARABIC \s 1 ">
        <w:r w:rsidR="004B7F70">
          <w:rPr>
            <w:noProof/>
          </w:rPr>
          <w:t>10</w:t>
        </w:r>
      </w:fldSimple>
      <w:r>
        <w:t xml:space="preserve"> </w:t>
      </w:r>
      <w:r w:rsidRPr="00055122">
        <w:t>Shoot branching is influenced by soil volume and root based crowding in pea</w:t>
      </w:r>
      <w:bookmarkEnd w:id="120"/>
      <w:bookmarkEnd w:id="121"/>
    </w:p>
    <w:p w14:paraId="671958D6" w14:textId="77777777" w:rsidR="0013233D" w:rsidRDefault="0013233D" w:rsidP="0013233D">
      <w:pPr>
        <w:pStyle w:val="Description"/>
      </w:pPr>
      <w:r w:rsidRPr="00FC3996">
        <w:t>Graphs showing wild</w:t>
      </w:r>
      <w:r>
        <w:t>-</w:t>
      </w:r>
      <w:r w:rsidRPr="00FC3996">
        <w:t xml:space="preserve">type </w:t>
      </w:r>
      <w:r w:rsidRPr="00467B67">
        <w:rPr>
          <w:i/>
          <w:iCs/>
        </w:rPr>
        <w:t>P. sativum</w:t>
      </w:r>
      <w:r w:rsidRPr="00FC3996">
        <w:t xml:space="preserve"> (pea, cv Torsdag) grown in 500ml (light green) and 2000ml (dark green) pots in either 1 plant per pot (1/pot) or 4 plants per pot (4/pot) treatments</w:t>
      </w:r>
      <w:r>
        <w:t xml:space="preserve"> as described in Fig 3.8A</w:t>
      </w:r>
      <w:r w:rsidRPr="00FC3996">
        <w:t>.</w:t>
      </w:r>
    </w:p>
    <w:p w14:paraId="5271FABC" w14:textId="77777777" w:rsidR="0013233D" w:rsidRPr="00BA4054" w:rsidRDefault="0013233D" w:rsidP="0013233D">
      <w:pPr>
        <w:pStyle w:val="Description"/>
      </w:pPr>
      <w:r>
        <w:t xml:space="preserve">A) </w:t>
      </w:r>
      <w:r w:rsidRPr="00BA4054">
        <w:t>Box plots showing mean shoot branch number per plant and per pot. Boxes which share the same letter are not significantly different (One-way ANOVA with Tukey HSD, p &lt;0.05) n=9-10. Statistical analyses were carried out independently for per plant and per pot. The box indicates the interquartile range, the midline depicts the median, the whiskers are the minimum and maximum values, the circle is the mean and the diamonds are outliers.</w:t>
      </w:r>
    </w:p>
    <w:p w14:paraId="79ACD4D6" w14:textId="77777777" w:rsidR="0013233D" w:rsidRDefault="0013233D" w:rsidP="0013233D">
      <w:pPr>
        <w:pStyle w:val="Description"/>
      </w:pPr>
      <w:r>
        <w:t>Figure modified from Wheeldon et al, 2022</w:t>
      </w:r>
    </w:p>
    <w:p w14:paraId="01D8BD03" w14:textId="77777777" w:rsidR="0013233D" w:rsidRDefault="0013233D" w:rsidP="0013233D"/>
    <w:p w14:paraId="353D260D" w14:textId="6CED3669" w:rsidR="0013233D" w:rsidRPr="002363DE" w:rsidRDefault="0013233D" w:rsidP="0013233D">
      <w:pPr>
        <w:numPr>
          <w:ilvl w:val="1"/>
          <w:numId w:val="0"/>
        </w:numPr>
        <w:spacing w:before="160" w:line="480" w:lineRule="auto"/>
        <w:outlineLvl w:val="1"/>
        <w:rPr>
          <w:rFonts w:cs="Times New Roman"/>
          <w:bCs/>
          <w:color w:val="000000" w:themeColor="text1"/>
        </w:rPr>
      </w:pPr>
      <w:r w:rsidRPr="002363DE">
        <w:rPr>
          <w:rFonts w:cs="Times New Roman"/>
          <w:bCs/>
          <w:color w:val="000000" w:themeColor="text1"/>
        </w:rPr>
        <w:t>When considering the growth of plants per pot, as with the other species assessed, pea plants are seen to ‘over-produce’ shoots in the crowded treatments. 4/pot 500ml grown pea plants produced ~1.7-fold greater shoot biomass than those grown singly in 500ml pots. The same fold change is seen when comparing 4/pot 2000ml grown plants with 1/pot 2000ml grown plants (Fig</w:t>
      </w:r>
      <w:r w:rsidR="00D010CD">
        <w:rPr>
          <w:rFonts w:cs="Times New Roman"/>
          <w:bCs/>
          <w:color w:val="000000" w:themeColor="text1"/>
        </w:rPr>
        <w:t>.</w:t>
      </w:r>
      <w:r w:rsidRPr="002363DE">
        <w:rPr>
          <w:rFonts w:cs="Times New Roman"/>
          <w:bCs/>
          <w:color w:val="000000" w:themeColor="text1"/>
        </w:rPr>
        <w:t xml:space="preserve"> 3.9B-C) </w:t>
      </w:r>
      <w:r w:rsidRPr="002363DE">
        <w:rPr>
          <w:rFonts w:cs="Times New Roman"/>
          <w:bCs/>
          <w:color w:val="000000" w:themeColor="text1"/>
        </w:rPr>
        <w:fldChar w:fldCharType="begin" w:fldLock="1"/>
      </w:r>
      <w:r w:rsidRPr="002363DE">
        <w:rPr>
          <w:rFonts w:cs="Times New Roman"/>
          <w:bCs/>
          <w:color w:val="000000" w:themeColor="text1"/>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sidRPr="002363DE">
        <w:rPr>
          <w:rFonts w:cs="Times New Roman"/>
          <w:bCs/>
          <w:color w:val="000000" w:themeColor="text1"/>
        </w:rPr>
        <w:fldChar w:fldCharType="separate"/>
      </w:r>
      <w:r w:rsidRPr="002363DE">
        <w:rPr>
          <w:rFonts w:cs="Times New Roman"/>
          <w:bCs/>
          <w:noProof/>
          <w:color w:val="000000" w:themeColor="text1"/>
        </w:rPr>
        <w:t>(Wheeldon et al., 2022)</w:t>
      </w:r>
      <w:r w:rsidRPr="002363DE">
        <w:rPr>
          <w:rFonts w:cs="Times New Roman"/>
          <w:bCs/>
          <w:color w:val="000000" w:themeColor="text1"/>
        </w:rPr>
        <w:fldChar w:fldCharType="end"/>
      </w:r>
      <w:r w:rsidRPr="002363DE">
        <w:rPr>
          <w:rFonts w:cs="Times New Roman"/>
          <w:bCs/>
          <w:color w:val="000000" w:themeColor="text1"/>
        </w:rPr>
        <w:t>. Therefore, this suggests that soil volume and neighbour density are not absolutely interchangeable and crowding effects are slightly less strong than that of soil volume.</w:t>
      </w:r>
    </w:p>
    <w:p w14:paraId="05E97ED8" w14:textId="77777777" w:rsidR="0013233D" w:rsidRPr="005104FF" w:rsidRDefault="0013233D" w:rsidP="0013233D">
      <w:pPr>
        <w:keepNext/>
        <w:keepLines/>
        <w:numPr>
          <w:ilvl w:val="1"/>
          <w:numId w:val="0"/>
        </w:numPr>
        <w:spacing w:before="160" w:line="240" w:lineRule="auto"/>
        <w:outlineLvl w:val="1"/>
        <w:rPr>
          <w:rFonts w:cs="Times New Roman"/>
          <w:bCs/>
        </w:rPr>
      </w:pPr>
    </w:p>
    <w:p w14:paraId="69B3C7D5" w14:textId="751226BE" w:rsidR="0013233D" w:rsidRPr="002363DE" w:rsidRDefault="0013233D" w:rsidP="0013233D">
      <w:pPr>
        <w:numPr>
          <w:ilvl w:val="1"/>
          <w:numId w:val="0"/>
        </w:numPr>
        <w:spacing w:before="160" w:line="480" w:lineRule="auto"/>
        <w:outlineLvl w:val="1"/>
        <w:rPr>
          <w:rFonts w:cs="Times New Roman"/>
          <w:bCs/>
          <w:color w:val="000000" w:themeColor="text1"/>
        </w:rPr>
      </w:pPr>
      <w:r w:rsidRPr="002363DE">
        <w:rPr>
          <w:rFonts w:cs="Times New Roman"/>
          <w:bCs/>
          <w:color w:val="000000" w:themeColor="text1"/>
        </w:rPr>
        <w:t xml:space="preserve">To conclude, </w:t>
      </w:r>
      <w:r w:rsidR="00886931" w:rsidRPr="00CA6CB2">
        <w:rPr>
          <w:rFonts w:cs="Times New Roman"/>
          <w:bCs/>
          <w:color w:val="000000" w:themeColor="text1"/>
        </w:rPr>
        <w:t>analysis of</w:t>
      </w:r>
      <w:r w:rsidR="00886931">
        <w:rPr>
          <w:rFonts w:cs="Times New Roman"/>
          <w:bCs/>
          <w:color w:val="000000" w:themeColor="text1"/>
        </w:rPr>
        <w:t xml:space="preserve"> </w:t>
      </w:r>
      <w:r w:rsidRPr="002363DE">
        <w:rPr>
          <w:rFonts w:cs="Times New Roman"/>
          <w:bCs/>
          <w:color w:val="000000" w:themeColor="text1"/>
        </w:rPr>
        <w:t xml:space="preserve">shoot biomass and branching data in pea show that neighbour density and soil volume are interchangeable to a large extent, with soil volume per plant </w:t>
      </w:r>
      <w:r w:rsidRPr="00CA6CB2">
        <w:rPr>
          <w:rFonts w:cs="Times New Roman"/>
          <w:bCs/>
          <w:color w:val="000000" w:themeColor="text1"/>
        </w:rPr>
        <w:t xml:space="preserve">being </w:t>
      </w:r>
      <w:r w:rsidR="00A93D95" w:rsidRPr="00CA6CB2">
        <w:rPr>
          <w:rFonts w:cs="Times New Roman"/>
          <w:bCs/>
          <w:color w:val="000000" w:themeColor="text1"/>
        </w:rPr>
        <w:t>a key factor affecting the extent</w:t>
      </w:r>
      <w:r w:rsidRPr="002363DE">
        <w:rPr>
          <w:rFonts w:cs="Times New Roman"/>
          <w:bCs/>
          <w:color w:val="000000" w:themeColor="text1"/>
        </w:rPr>
        <w:t xml:space="preserve"> of final shoot growth. </w:t>
      </w:r>
    </w:p>
    <w:p w14:paraId="5D11B609" w14:textId="77777777" w:rsidR="0013233D" w:rsidRDefault="0013233D" w:rsidP="0013233D"/>
    <w:p w14:paraId="166B1E85" w14:textId="50AB9414" w:rsidR="0013233D" w:rsidRDefault="0013233D" w:rsidP="00743E4C">
      <w:pPr>
        <w:pStyle w:val="Heading3"/>
      </w:pPr>
      <w:bookmarkStart w:id="122" w:name="_Toc154331476"/>
      <w:r w:rsidRPr="0013233D">
        <w:t>Interspecific responses to soil volume and neighbour density are similar among species</w:t>
      </w:r>
      <w:bookmarkEnd w:id="122"/>
    </w:p>
    <w:p w14:paraId="3A3D3862" w14:textId="77777777" w:rsidR="0013233D" w:rsidRDefault="0013233D" w:rsidP="0013233D"/>
    <w:p w14:paraId="4133E62F" w14:textId="1B7E476E" w:rsidR="0013233D" w:rsidRPr="00717150" w:rsidRDefault="0013233D" w:rsidP="0013233D">
      <w:pPr>
        <w:keepNext/>
        <w:numPr>
          <w:ilvl w:val="1"/>
          <w:numId w:val="0"/>
        </w:numPr>
        <w:spacing w:before="160" w:line="480" w:lineRule="auto"/>
        <w:outlineLvl w:val="1"/>
        <w:rPr>
          <w:rFonts w:cs="Times New Roman"/>
          <w:bCs/>
          <w:color w:val="000000" w:themeColor="text1"/>
        </w:rPr>
      </w:pPr>
      <w:r w:rsidRPr="006071F3">
        <w:rPr>
          <w:rFonts w:cs="Times New Roman"/>
          <w:bCs/>
          <w:color w:val="000000" w:themeColor="text1"/>
        </w:rPr>
        <w:t>Bringing together the data for wheat, barley, Arabidopsis and pea</w:t>
      </w:r>
      <w:r w:rsidR="00446ECB">
        <w:rPr>
          <w:rFonts w:cs="Times New Roman"/>
          <w:bCs/>
          <w:color w:val="000000" w:themeColor="text1"/>
        </w:rPr>
        <w:t>,</w:t>
      </w:r>
      <w:r w:rsidRPr="006071F3">
        <w:rPr>
          <w:rFonts w:cs="Times New Roman"/>
          <w:bCs/>
          <w:color w:val="000000" w:themeColor="text1"/>
        </w:rPr>
        <w:t xml:space="preserve"> all species clearly show the ability to detect and respond to soil volume and neighbour density. These data </w:t>
      </w:r>
      <w:r w:rsidR="00A9668A" w:rsidRPr="00CA6CB2">
        <w:rPr>
          <w:rFonts w:cs="Times New Roman"/>
          <w:bCs/>
          <w:color w:val="000000" w:themeColor="text1"/>
        </w:rPr>
        <w:t>suggest</w:t>
      </w:r>
      <w:r w:rsidRPr="006071F3">
        <w:rPr>
          <w:rFonts w:cs="Times New Roman"/>
          <w:bCs/>
          <w:color w:val="000000" w:themeColor="text1"/>
        </w:rPr>
        <w:t xml:space="preserve"> that increasing the soil volume available to the plants alleviates the effect of crowding and conversely, increasing the density of plants negates the effect of increasing soil volume. As a result of this, plants which have experienced both an increase in available soil volume and neighbour density produce approximately the same shoot biomass as those which have experienced no increase in crowding and soil volume. This highlights that the shoot growth responses to soil volume and neighbour density are largely interchangeable which could suggest that they are driven by the same mechanism. However, the number of tillers produced over time in wheat and barley showed that crowded plants responded much more quickly to the presence of neighbours than to restricted soil volume, however the overall effects of neighbour density on shoot growth were less than that of soil volume. </w:t>
      </w:r>
      <w:r w:rsidR="00CD1976" w:rsidRPr="00CA6CB2">
        <w:rPr>
          <w:rFonts w:cs="Times New Roman"/>
          <w:bCs/>
          <w:color w:val="000000" w:themeColor="text1"/>
        </w:rPr>
        <w:t xml:space="preserve">Experiments </w:t>
      </w:r>
      <w:r w:rsidR="00717150" w:rsidRPr="00CA6CB2">
        <w:rPr>
          <w:rFonts w:cs="Times New Roman"/>
          <w:bCs/>
          <w:color w:val="000000" w:themeColor="text1"/>
        </w:rPr>
        <w:t xml:space="preserve">discussed </w:t>
      </w:r>
      <w:r w:rsidR="00CD1976" w:rsidRPr="00CA6CB2">
        <w:rPr>
          <w:rFonts w:cs="Times New Roman"/>
          <w:bCs/>
          <w:color w:val="000000" w:themeColor="text1"/>
        </w:rPr>
        <w:t>later in this thesis provide further understanding of t</w:t>
      </w:r>
      <w:r w:rsidRPr="006071F3">
        <w:rPr>
          <w:rFonts w:cs="Times New Roman"/>
          <w:bCs/>
          <w:color w:val="000000" w:themeColor="text1"/>
        </w:rPr>
        <w:t xml:space="preserve">hese effects, but nevertheless </w:t>
      </w:r>
      <w:r w:rsidR="00717150">
        <w:rPr>
          <w:rFonts w:cs="Times New Roman"/>
          <w:bCs/>
          <w:color w:val="000000" w:themeColor="text1"/>
        </w:rPr>
        <w:t xml:space="preserve">it is </w:t>
      </w:r>
      <w:r w:rsidRPr="006071F3">
        <w:rPr>
          <w:rFonts w:cs="Times New Roman"/>
          <w:bCs/>
          <w:color w:val="000000" w:themeColor="text1"/>
        </w:rPr>
        <w:t xml:space="preserve">clear that neighbour density and soil volume are largely interchangeable and this is not species </w:t>
      </w:r>
      <w:r w:rsidRPr="006071F3">
        <w:rPr>
          <w:rFonts w:cs="Times New Roman"/>
          <w:bCs/>
          <w:color w:val="000000" w:themeColor="text1"/>
        </w:rPr>
        <w:lastRenderedPageBreak/>
        <w:t xml:space="preserve">specific. This lack of species specificity indicates that the mechanism is </w:t>
      </w:r>
      <w:r w:rsidRPr="001B54EC">
        <w:rPr>
          <w:rFonts w:cs="Times New Roman"/>
          <w:bCs/>
          <w:color w:val="000000" w:themeColor="text1"/>
        </w:rPr>
        <w:t xml:space="preserve">general and one plausible explanation for this could be that plants perceive root density within the pot. </w:t>
      </w:r>
    </w:p>
    <w:p w14:paraId="7F127C33" w14:textId="280AFF97" w:rsidR="0013233D" w:rsidRPr="00E9324A" w:rsidRDefault="0013233D" w:rsidP="0013233D">
      <w:pPr>
        <w:numPr>
          <w:ilvl w:val="1"/>
          <w:numId w:val="0"/>
        </w:numPr>
        <w:spacing w:before="160" w:line="480" w:lineRule="auto"/>
        <w:outlineLvl w:val="1"/>
        <w:rPr>
          <w:rFonts w:cs="Times New Roman"/>
          <w:bCs/>
          <w:color w:val="000000" w:themeColor="text1"/>
        </w:rPr>
      </w:pPr>
      <w:r w:rsidRPr="00E9324A">
        <w:rPr>
          <w:rFonts w:cs="Times New Roman"/>
          <w:bCs/>
          <w:color w:val="000000" w:themeColor="text1"/>
        </w:rPr>
        <w:t>There are nuanced differences between species, such as in barley where the fold change for total shoot biomass per pot is significantly less than that of wheat. This could suggest that barley plants are more sensitive of neighbour density hence have more restrained growth to prevent overproduction of shoot biomass when crowded. This reduction in sensitivity in wheat plants could be representative of the drive for high sowing densities in wheat breeding programmes. Therefore, understanding the origin of the differences in sensitivity could allow us to gain a better understand</w:t>
      </w:r>
      <w:r w:rsidR="000E4013">
        <w:rPr>
          <w:rFonts w:cs="Times New Roman"/>
          <w:bCs/>
          <w:color w:val="000000" w:themeColor="text1"/>
        </w:rPr>
        <w:t>ing of</w:t>
      </w:r>
      <w:r w:rsidRPr="00E9324A">
        <w:rPr>
          <w:rFonts w:cs="Times New Roman"/>
          <w:bCs/>
          <w:color w:val="000000" w:themeColor="text1"/>
        </w:rPr>
        <w:t xml:space="preserve"> the mechanism underpinning these responses.</w:t>
      </w:r>
    </w:p>
    <w:p w14:paraId="40788B3B" w14:textId="77777777" w:rsidR="0013233D" w:rsidRDefault="0013233D" w:rsidP="0013233D"/>
    <w:p w14:paraId="603A3542" w14:textId="77777777" w:rsidR="00944791" w:rsidRDefault="00944791" w:rsidP="0013233D"/>
    <w:p w14:paraId="66F7CB13" w14:textId="77777777" w:rsidR="00944791" w:rsidRDefault="00944791" w:rsidP="0013233D"/>
    <w:p w14:paraId="471CDF1C" w14:textId="77777777" w:rsidR="00944791" w:rsidRDefault="00944791" w:rsidP="0013233D"/>
    <w:p w14:paraId="64D2D12C" w14:textId="77777777" w:rsidR="00944791" w:rsidRDefault="00944791" w:rsidP="0013233D"/>
    <w:p w14:paraId="67C1B272" w14:textId="77777777" w:rsidR="004A4FA8" w:rsidRDefault="004A4FA8" w:rsidP="0013233D"/>
    <w:p w14:paraId="2C4E0005" w14:textId="77777777" w:rsidR="004A4FA8" w:rsidRDefault="004A4FA8" w:rsidP="0013233D"/>
    <w:p w14:paraId="4FD7588F" w14:textId="77777777" w:rsidR="004A4FA8" w:rsidRDefault="004A4FA8" w:rsidP="0013233D"/>
    <w:p w14:paraId="64AD3217" w14:textId="77777777" w:rsidR="004A4FA8" w:rsidRDefault="004A4FA8" w:rsidP="0013233D"/>
    <w:p w14:paraId="17C01934" w14:textId="77777777" w:rsidR="004A4FA8" w:rsidRDefault="004A4FA8" w:rsidP="0013233D"/>
    <w:p w14:paraId="3592F8E9" w14:textId="77777777" w:rsidR="002F191F" w:rsidRDefault="002F191F" w:rsidP="0013233D"/>
    <w:p w14:paraId="2950F247" w14:textId="77777777" w:rsidR="002F191F" w:rsidRDefault="002F191F" w:rsidP="0013233D"/>
    <w:p w14:paraId="3BDD3DBB" w14:textId="77777777" w:rsidR="00944791" w:rsidRDefault="00944791" w:rsidP="0013233D"/>
    <w:p w14:paraId="14A131AB" w14:textId="6F3BD833" w:rsidR="0013233D" w:rsidRDefault="0013233D" w:rsidP="00743E4C">
      <w:pPr>
        <w:pStyle w:val="Heading2"/>
      </w:pPr>
      <w:bookmarkStart w:id="123" w:name="_Toc154331477"/>
      <w:r w:rsidRPr="0013233D">
        <w:lastRenderedPageBreak/>
        <w:t>Barley intraspecific variation in soil volume response</w:t>
      </w:r>
      <w:bookmarkEnd w:id="123"/>
    </w:p>
    <w:p w14:paraId="2A6FF1FB" w14:textId="77777777" w:rsidR="0013233D" w:rsidRDefault="0013233D" w:rsidP="0013233D"/>
    <w:p w14:paraId="3DB9248E" w14:textId="0FBFDAA5" w:rsidR="0013233D" w:rsidRDefault="0013233D" w:rsidP="00743E4C">
      <w:pPr>
        <w:pStyle w:val="Heading3"/>
      </w:pPr>
      <w:bookmarkStart w:id="124" w:name="_Toc154331478"/>
      <w:r w:rsidRPr="004F3E8A">
        <w:t>Soil volume responses are highly variable in barley germplasm</w:t>
      </w:r>
      <w:bookmarkEnd w:id="124"/>
    </w:p>
    <w:p w14:paraId="53BF8445" w14:textId="77777777" w:rsidR="0013233D" w:rsidRDefault="0013233D" w:rsidP="0013233D"/>
    <w:p w14:paraId="090CD316" w14:textId="513FA875" w:rsidR="0013233D" w:rsidRPr="00C54704" w:rsidRDefault="0013233D" w:rsidP="0013233D">
      <w:pPr>
        <w:spacing w:line="480" w:lineRule="auto"/>
        <w:rPr>
          <w:rFonts w:eastAsia="Calibri" w:cs="Times New Roman"/>
        </w:rPr>
      </w:pPr>
      <w:r>
        <w:rPr>
          <w:rFonts w:eastAsia="Calibri" w:cs="Times New Roman"/>
        </w:rPr>
        <w:t>As seen from data presented thus far in this thesis and the wider literature, all species tested respond to soil volume. However,</w:t>
      </w:r>
      <w:r w:rsidRPr="00BF15C6">
        <w:rPr>
          <w:rFonts w:eastAsia="Calibri" w:cs="Times New Roman"/>
        </w:rPr>
        <w:t xml:space="preserve"> </w:t>
      </w:r>
      <w:r w:rsidRPr="00C54704">
        <w:rPr>
          <w:rFonts w:eastAsia="Calibri" w:cs="Times New Roman"/>
        </w:rPr>
        <w:t>to date there has been no</w:t>
      </w:r>
      <w:r>
        <w:rPr>
          <w:rFonts w:eastAsia="Calibri" w:cs="Times New Roman"/>
        </w:rPr>
        <w:t xml:space="preserve"> detailed analysis of soil volume responses between different varieties of the same species. </w:t>
      </w:r>
      <w:r w:rsidRPr="00085022">
        <w:rPr>
          <w:rFonts w:eastAsia="Calibri" w:cs="Times New Roman"/>
          <w:color w:val="000000" w:themeColor="text1"/>
        </w:rPr>
        <w:t>Section 3.</w:t>
      </w:r>
      <w:r w:rsidR="00AE495B">
        <w:rPr>
          <w:rFonts w:eastAsia="Calibri" w:cs="Times New Roman"/>
          <w:color w:val="000000" w:themeColor="text1"/>
        </w:rPr>
        <w:t>2</w:t>
      </w:r>
      <w:r w:rsidRPr="00085022">
        <w:rPr>
          <w:rFonts w:eastAsia="Calibri" w:cs="Times New Roman"/>
          <w:color w:val="000000" w:themeColor="text1"/>
        </w:rPr>
        <w:t xml:space="preserve"> showed that the sensitivity to neighbours appears to be reduced in wheat, likely due to historic breeding programmes for ‘density resistance’. Therefore</w:t>
      </w:r>
      <w:r>
        <w:rPr>
          <w:rFonts w:eastAsia="Calibri" w:cs="Times New Roman"/>
          <w:color w:val="000000" w:themeColor="text1"/>
        </w:rPr>
        <w:t>,</w:t>
      </w:r>
      <w:r w:rsidRPr="00085022">
        <w:rPr>
          <w:rFonts w:eastAsia="Calibri" w:cs="Times New Roman"/>
          <w:color w:val="000000" w:themeColor="text1"/>
        </w:rPr>
        <w:t xml:space="preserve"> an exploration of differences between wild and crop varieties could lead to better understanding of these responses. </w:t>
      </w:r>
      <w:r w:rsidRPr="00947559">
        <w:rPr>
          <w:rFonts w:eastAsia="Calibri" w:cs="Times New Roman"/>
        </w:rPr>
        <w:t xml:space="preserve">For example, in crop species, </w:t>
      </w:r>
      <w:r w:rsidRPr="001B714A">
        <w:rPr>
          <w:rFonts w:eastAsia="Calibri" w:cs="Times New Roman"/>
        </w:rPr>
        <w:t xml:space="preserve">I hypothesise that </w:t>
      </w:r>
      <w:r w:rsidR="00C43EF2" w:rsidRPr="001B714A">
        <w:rPr>
          <w:rFonts w:eastAsia="Calibri" w:cs="Times New Roman"/>
        </w:rPr>
        <w:t xml:space="preserve">there will be variation </w:t>
      </w:r>
      <w:r w:rsidR="00781C11" w:rsidRPr="001B714A">
        <w:rPr>
          <w:rFonts w:eastAsia="Calibri" w:cs="Times New Roman"/>
        </w:rPr>
        <w:t xml:space="preserve">in </w:t>
      </w:r>
      <w:r w:rsidR="00DF6912" w:rsidRPr="001B714A">
        <w:rPr>
          <w:rFonts w:eastAsia="Calibri" w:cs="Times New Roman"/>
        </w:rPr>
        <w:t xml:space="preserve">the </w:t>
      </w:r>
      <w:r w:rsidR="00781C11" w:rsidRPr="001B714A">
        <w:rPr>
          <w:rFonts w:eastAsia="Calibri" w:cs="Times New Roman"/>
        </w:rPr>
        <w:t xml:space="preserve">response to soil volume </w:t>
      </w:r>
      <w:r w:rsidR="00DF6912" w:rsidRPr="001B714A">
        <w:rPr>
          <w:rFonts w:eastAsia="Calibri" w:cs="Times New Roman"/>
        </w:rPr>
        <w:t>in</w:t>
      </w:r>
      <w:r w:rsidR="00C43EF2" w:rsidRPr="001B714A">
        <w:rPr>
          <w:rFonts w:eastAsia="Calibri" w:cs="Times New Roman"/>
        </w:rPr>
        <w:t xml:space="preserve"> </w:t>
      </w:r>
      <w:r w:rsidRPr="001B714A">
        <w:rPr>
          <w:rFonts w:eastAsia="Calibri" w:cs="Times New Roman"/>
        </w:rPr>
        <w:t xml:space="preserve">modern </w:t>
      </w:r>
      <w:r w:rsidR="00C43EF2" w:rsidRPr="001B714A">
        <w:rPr>
          <w:rFonts w:eastAsia="Calibri" w:cs="Times New Roman"/>
        </w:rPr>
        <w:t xml:space="preserve">and landrace varieties due to </w:t>
      </w:r>
      <w:r w:rsidR="007C0AA9" w:rsidRPr="001B714A">
        <w:rPr>
          <w:rFonts w:eastAsia="Calibri" w:cs="Times New Roman"/>
        </w:rPr>
        <w:t>differen</w:t>
      </w:r>
      <w:r w:rsidR="005B2BCD" w:rsidRPr="001B714A">
        <w:rPr>
          <w:rFonts w:eastAsia="Calibri" w:cs="Times New Roman"/>
        </w:rPr>
        <w:t>t trajectories in</w:t>
      </w:r>
      <w:r w:rsidR="007C0AA9" w:rsidRPr="001B714A">
        <w:rPr>
          <w:rFonts w:eastAsia="Calibri" w:cs="Times New Roman"/>
        </w:rPr>
        <w:t xml:space="preserve"> breeding</w:t>
      </w:r>
      <w:r w:rsidRPr="001B714A">
        <w:rPr>
          <w:rFonts w:eastAsia="Calibri" w:cs="Times New Roman"/>
        </w:rPr>
        <w:t>.</w:t>
      </w:r>
      <w:r w:rsidRPr="00947559">
        <w:rPr>
          <w:rFonts w:eastAsia="Calibri" w:cs="Times New Roman"/>
        </w:rPr>
        <w:t xml:space="preserve"> </w:t>
      </w:r>
      <w:r>
        <w:rPr>
          <w:rFonts w:eastAsia="Calibri" w:cs="Times New Roman"/>
        </w:rPr>
        <w:t>Understanding diversity in soil volume responses within a species could allow</w:t>
      </w:r>
      <w:r w:rsidRPr="00C54704">
        <w:rPr>
          <w:rFonts w:eastAsia="Calibri" w:cs="Times New Roman"/>
        </w:rPr>
        <w:t xml:space="preserve"> identification of the genetic basis underlying soil volume respons</w:t>
      </w:r>
      <w:r>
        <w:rPr>
          <w:rFonts w:eastAsia="Calibri" w:cs="Times New Roman"/>
        </w:rPr>
        <w:t>iveness, and allow for the breeding of crops which are less sensitive to the amount of space they have available to them.</w:t>
      </w:r>
    </w:p>
    <w:p w14:paraId="4C0ABAEC" w14:textId="5027C7CB" w:rsidR="0013233D" w:rsidRDefault="0013233D" w:rsidP="0013233D">
      <w:pPr>
        <w:spacing w:line="480" w:lineRule="auto"/>
        <w:rPr>
          <w:rFonts w:eastAsia="Calibri" w:cs="Times New Roman"/>
        </w:rPr>
      </w:pPr>
      <w:r w:rsidRPr="00C54704">
        <w:rPr>
          <w:rFonts w:eastAsia="Calibri" w:cs="Times New Roman"/>
        </w:rPr>
        <w:t>With the</w:t>
      </w:r>
      <w:r>
        <w:rPr>
          <w:rFonts w:eastAsia="Calibri" w:cs="Times New Roman"/>
        </w:rPr>
        <w:t xml:space="preserve"> ultimate</w:t>
      </w:r>
      <w:r w:rsidRPr="00C54704">
        <w:rPr>
          <w:rFonts w:eastAsia="Calibri" w:cs="Times New Roman"/>
        </w:rPr>
        <w:t xml:space="preserve"> aim of uncovering the genetic basis of soil volume responses, I </w:t>
      </w:r>
      <w:r>
        <w:rPr>
          <w:rFonts w:eastAsia="Calibri" w:cs="Times New Roman"/>
        </w:rPr>
        <w:t xml:space="preserve">decided to focus on one species, barley. The decision to focus on barley was largely influenced by its shoot growth habit, as responses to soil volume could be easily tracked over time via counting tillers, and the relative simplicity of its genome compared to wheat. In cereals, ears, which contain the grain, emerge from the tillers and in barley there is a strong link between production of tillers and grain yield </w:t>
      </w:r>
      <w:r>
        <w:rPr>
          <w:rFonts w:eastAsia="Calibri" w:cs="Times New Roman"/>
        </w:rPr>
        <w:fldChar w:fldCharType="begin" w:fldLock="1"/>
      </w:r>
      <w:r w:rsidR="00BA50DD">
        <w:rPr>
          <w:rFonts w:eastAsia="Calibri" w:cs="Times New Roman"/>
        </w:rPr>
        <w:instrText>ADDIN CSL_CITATION {"citationItems":[{"id":"ITEM-1","itemData":{"DOI":"10.2135/cropsci1982.0011183X002200040024x","ISSN":"0011-183X","abstract":"Production of tillers and their subsequent survival are important events in growth and development of barley ( Hordeum vulgare L.) that affect the number of spikes produced per unit land area. Studies were conducted at St. Paul and Crookston, MN to evaluate tiller production, tiller mortality, and yield of 10 barley genotypes with different tillering capacities. In addition, these studies evaluated the influence of row spacing and seeding rate on tillering.","author":[{"dropping-particle":"","family":"Simmons","given":"Steve R.","non-dropping-particle":"","parse-names":false,"suffix":""},{"dropping-particle":"","family":"Rasmusson","given":"Donald C.","non-dropping-particle":"","parse-names":false,"suffix":""},{"dropping-particle":"V.","family":"Wiersma","given":"John","non-dropping-particle":"","parse-names":false,"suffix":""}],"container-title":"Crop Science","id":"ITEM-1","issue":"4","issued":{"date-parts":[["1982","7"]]},"page":"801-805","title":"Tillering in Barley: Genotype, row spacing, and seeding rate effects","type":"article-journal","volume":"22"},"uris":["http://www.mendeley.com/documents/?uuid=70164d6a-bacc-4a1c-8e98-e5c8ccfc0620"]}],"mendeley":{"formattedCitation":"(Simmons et al., 1982)","plainTextFormattedCitation":"(Simmons et al., 1982)","previouslyFormattedCitation":"(Simmons et al., 1982)"},"properties":{"noteIndex":0},"schema":"https://github.com/citation-style-language/schema/raw/master/csl-citation.json"}</w:instrText>
      </w:r>
      <w:r>
        <w:rPr>
          <w:rFonts w:eastAsia="Calibri" w:cs="Times New Roman"/>
        </w:rPr>
        <w:fldChar w:fldCharType="separate"/>
      </w:r>
      <w:r w:rsidRPr="00947098">
        <w:rPr>
          <w:rFonts w:eastAsia="Calibri" w:cs="Times New Roman"/>
          <w:noProof/>
        </w:rPr>
        <w:t>(Simmons et al., 1982)</w:t>
      </w:r>
      <w:r>
        <w:rPr>
          <w:rFonts w:eastAsia="Calibri" w:cs="Times New Roman"/>
        </w:rPr>
        <w:fldChar w:fldCharType="end"/>
      </w:r>
      <w:r>
        <w:rPr>
          <w:rFonts w:eastAsia="Calibri" w:cs="Times New Roman"/>
        </w:rPr>
        <w:t xml:space="preserve">. Tiller </w:t>
      </w:r>
      <w:r>
        <w:rPr>
          <w:rFonts w:eastAsia="Calibri" w:cs="Times New Roman"/>
        </w:rPr>
        <w:lastRenderedPageBreak/>
        <w:t>number therefore would be a key phenotype to assess as a proxy for ultimate yield.</w:t>
      </w:r>
    </w:p>
    <w:p w14:paraId="52B1D7F5" w14:textId="611C384E" w:rsidR="0013233D" w:rsidRDefault="0013233D" w:rsidP="0013233D">
      <w:pPr>
        <w:spacing w:line="480" w:lineRule="auto"/>
        <w:rPr>
          <w:rFonts w:eastAsia="Calibri" w:cs="Times New Roman"/>
        </w:rPr>
      </w:pPr>
      <w:r>
        <w:rPr>
          <w:rFonts w:eastAsia="Calibri" w:cs="Times New Roman"/>
        </w:rPr>
        <w:t xml:space="preserve">I performed this work in collaboration with </w:t>
      </w:r>
      <w:r w:rsidR="001963F6">
        <w:rPr>
          <w:rFonts w:eastAsia="Calibri" w:cs="Times New Roman"/>
        </w:rPr>
        <w:t xml:space="preserve">the </w:t>
      </w:r>
      <w:r>
        <w:rPr>
          <w:rFonts w:eastAsia="Calibri" w:cs="Times New Roman"/>
        </w:rPr>
        <w:t>seed-breeding company KWS.  KWS provided me with 100 spring barley lines to assess.</w:t>
      </w:r>
      <w:r w:rsidRPr="00C54704">
        <w:rPr>
          <w:rFonts w:eastAsia="Calibri" w:cs="Times New Roman"/>
        </w:rPr>
        <w:t xml:space="preserve"> These included </w:t>
      </w:r>
      <w:r>
        <w:rPr>
          <w:rFonts w:eastAsia="Calibri" w:cs="Times New Roman"/>
        </w:rPr>
        <w:t>traditional landrace cultivars</w:t>
      </w:r>
      <w:r w:rsidRPr="00C54704">
        <w:rPr>
          <w:rFonts w:eastAsia="Calibri" w:cs="Times New Roman"/>
        </w:rPr>
        <w:t xml:space="preserve">, </w:t>
      </w:r>
      <w:r>
        <w:rPr>
          <w:rFonts w:eastAsia="Calibri" w:cs="Times New Roman"/>
        </w:rPr>
        <w:t xml:space="preserve">advanced/improved cultivars (of the </w:t>
      </w:r>
      <w:r w:rsidRPr="00C54704">
        <w:rPr>
          <w:rFonts w:eastAsia="Calibri" w:cs="Times New Roman"/>
        </w:rPr>
        <w:t>green revolution</w:t>
      </w:r>
      <w:r>
        <w:rPr>
          <w:rFonts w:eastAsia="Calibri" w:cs="Times New Roman"/>
        </w:rPr>
        <w:t xml:space="preserve"> era)</w:t>
      </w:r>
      <w:r w:rsidRPr="00C54704">
        <w:rPr>
          <w:rFonts w:eastAsia="Calibri" w:cs="Times New Roman"/>
        </w:rPr>
        <w:t>, and modern</w:t>
      </w:r>
      <w:r>
        <w:rPr>
          <w:rFonts w:eastAsia="Calibri" w:cs="Times New Roman"/>
        </w:rPr>
        <w:t xml:space="preserve"> </w:t>
      </w:r>
      <w:r w:rsidRPr="00C54704">
        <w:rPr>
          <w:rFonts w:eastAsia="Calibri" w:cs="Times New Roman"/>
        </w:rPr>
        <w:t xml:space="preserve">elite </w:t>
      </w:r>
      <w:r>
        <w:rPr>
          <w:rFonts w:eastAsia="Calibri" w:cs="Times New Roman"/>
        </w:rPr>
        <w:t>varieties</w:t>
      </w:r>
      <w:r w:rsidRPr="00C54704">
        <w:rPr>
          <w:rFonts w:eastAsia="Calibri" w:cs="Times New Roman"/>
        </w:rPr>
        <w:t xml:space="preserve"> from across the globe</w:t>
      </w:r>
      <w:r w:rsidR="00EE0348">
        <w:rPr>
          <w:rFonts w:eastAsia="Calibri" w:cs="Times New Roman"/>
        </w:rPr>
        <w:t xml:space="preserve"> </w:t>
      </w:r>
      <w:r w:rsidR="00EE0348" w:rsidRPr="001B714A">
        <w:rPr>
          <w:rFonts w:eastAsia="Calibri" w:cs="Times New Roman"/>
        </w:rPr>
        <w:t>(Table</w:t>
      </w:r>
      <w:r w:rsidR="00114011" w:rsidRPr="001B714A">
        <w:rPr>
          <w:rFonts w:eastAsia="Calibri" w:cs="Times New Roman"/>
        </w:rPr>
        <w:t xml:space="preserve"> 2.2)</w:t>
      </w:r>
      <w:r w:rsidRPr="001B714A">
        <w:rPr>
          <w:rFonts w:eastAsia="Calibri" w:cs="Times New Roman"/>
        </w:rPr>
        <w:t>.</w:t>
      </w:r>
      <w:r>
        <w:rPr>
          <w:rFonts w:eastAsia="Calibri" w:cs="Times New Roman"/>
        </w:rPr>
        <w:t xml:space="preserve"> The spread of material both geographically and historically should provide a large pool of variation to screen. </w:t>
      </w:r>
    </w:p>
    <w:p w14:paraId="0BB6C53F" w14:textId="402530CE" w:rsidR="0013233D" w:rsidRPr="00C54704" w:rsidRDefault="0013233D" w:rsidP="0013233D">
      <w:pPr>
        <w:spacing w:line="480" w:lineRule="auto"/>
        <w:rPr>
          <w:rFonts w:eastAsia="Calibri" w:cs="Times New Roman"/>
        </w:rPr>
      </w:pPr>
      <w:r w:rsidRPr="00CD0B26">
        <w:rPr>
          <w:rFonts w:eastAsia="Calibri" w:cs="Times New Roman"/>
        </w:rPr>
        <w:t xml:space="preserve">To </w:t>
      </w:r>
      <w:r>
        <w:rPr>
          <w:rFonts w:eastAsia="Calibri" w:cs="Times New Roman"/>
        </w:rPr>
        <w:t xml:space="preserve">identify the diversity in </w:t>
      </w:r>
      <w:r w:rsidRPr="00CD0B26">
        <w:rPr>
          <w:rFonts w:eastAsia="Calibri" w:cs="Times New Roman"/>
        </w:rPr>
        <w:t>soil volume responses</w:t>
      </w:r>
      <w:r>
        <w:rPr>
          <w:rFonts w:eastAsia="Calibri" w:cs="Times New Roman"/>
        </w:rPr>
        <w:t xml:space="preserve"> between cultivars,</w:t>
      </w:r>
      <w:r w:rsidRPr="00CD0B26">
        <w:rPr>
          <w:rFonts w:eastAsia="Calibri" w:cs="Times New Roman"/>
        </w:rPr>
        <w:t xml:space="preserve"> I carr</w:t>
      </w:r>
      <w:r>
        <w:rPr>
          <w:rFonts w:eastAsia="Calibri" w:cs="Times New Roman"/>
        </w:rPr>
        <w:t>ied</w:t>
      </w:r>
      <w:r w:rsidRPr="00CD0B26">
        <w:rPr>
          <w:rFonts w:eastAsia="Calibri" w:cs="Times New Roman"/>
        </w:rPr>
        <w:t xml:space="preserve"> out an initial phenotyping screen</w:t>
      </w:r>
      <w:r>
        <w:rPr>
          <w:rFonts w:eastAsia="Calibri" w:cs="Times New Roman"/>
        </w:rPr>
        <w:t xml:space="preserve"> to identify lines of interest</w:t>
      </w:r>
      <w:r w:rsidRPr="00CD0B26">
        <w:rPr>
          <w:rFonts w:eastAsia="Calibri" w:cs="Times New Roman"/>
        </w:rPr>
        <w:t xml:space="preserve">. </w:t>
      </w:r>
      <w:r w:rsidRPr="00C54704">
        <w:rPr>
          <w:rFonts w:eastAsia="Calibri" w:cs="Times New Roman"/>
        </w:rPr>
        <w:t>Th</w:t>
      </w:r>
      <w:r>
        <w:rPr>
          <w:rFonts w:eastAsia="Calibri" w:cs="Times New Roman"/>
        </w:rPr>
        <w:t>is</w:t>
      </w:r>
      <w:r w:rsidRPr="00C54704">
        <w:rPr>
          <w:rFonts w:eastAsia="Calibri" w:cs="Times New Roman"/>
        </w:rPr>
        <w:t xml:space="preserve"> screen consisted of growing </w:t>
      </w:r>
      <w:r>
        <w:rPr>
          <w:rFonts w:eastAsia="Calibri" w:cs="Times New Roman"/>
        </w:rPr>
        <w:t>each line</w:t>
      </w:r>
      <w:r w:rsidRPr="00C54704">
        <w:rPr>
          <w:rFonts w:eastAsia="Calibri" w:cs="Times New Roman"/>
        </w:rPr>
        <w:t xml:space="preserve"> in 100ml and 500ml pots, in </w:t>
      </w:r>
      <w:r w:rsidR="00E00E66">
        <w:rPr>
          <w:rFonts w:eastAsia="Calibri" w:cs="Times New Roman"/>
        </w:rPr>
        <w:t>wee</w:t>
      </w:r>
      <w:r w:rsidR="00694C53">
        <w:rPr>
          <w:rFonts w:eastAsia="Calibri" w:cs="Times New Roman"/>
        </w:rPr>
        <w:t xml:space="preserve">kly </w:t>
      </w:r>
      <w:r w:rsidRPr="00C54704">
        <w:rPr>
          <w:rFonts w:eastAsia="Calibri" w:cs="Times New Roman"/>
        </w:rPr>
        <w:t xml:space="preserve">batches of 5 </w:t>
      </w:r>
      <w:r>
        <w:rPr>
          <w:rFonts w:eastAsia="Calibri" w:cs="Times New Roman"/>
        </w:rPr>
        <w:t>lines</w:t>
      </w:r>
      <w:r w:rsidRPr="00C54704">
        <w:rPr>
          <w:rFonts w:eastAsia="Calibri" w:cs="Times New Roman"/>
        </w:rPr>
        <w:t xml:space="preserve">. Tillers were counted weekly from week 2-8 post germination and shoots were harvested at 8 weeks post germination for dry shoot biomass. The 8-week duration marked the time when most genotypes ceased new tiller production and a time before transition to floral development. </w:t>
      </w:r>
      <w:r>
        <w:rPr>
          <w:rFonts w:eastAsia="Calibri" w:cs="Times New Roman"/>
        </w:rPr>
        <w:t>Inherent differences in growth speed were to be expected, but the 8-week duration provided a defined end point to allow for comparisons.</w:t>
      </w:r>
    </w:p>
    <w:p w14:paraId="7DB9C34C" w14:textId="38AEE2B5" w:rsidR="0013233D" w:rsidRDefault="0013233D" w:rsidP="0013233D">
      <w:pPr>
        <w:spacing w:line="480" w:lineRule="auto"/>
        <w:rPr>
          <w:rFonts w:eastAsia="Calibri" w:cs="Times New Roman"/>
        </w:rPr>
      </w:pPr>
      <w:r w:rsidRPr="0001052D">
        <w:rPr>
          <w:rFonts w:eastAsia="Calibri" w:cs="Times New Roman"/>
          <w:color w:val="000000" w:themeColor="text1"/>
        </w:rPr>
        <w:t xml:space="preserve">To first investigate if modern varieties show more plastic responses to soil volume than less intensively bred lines, I looked at peak tiller number and dry shoot biomass. </w:t>
      </w:r>
      <w:r w:rsidRPr="00C54704">
        <w:rPr>
          <w:rFonts w:eastAsia="Calibri" w:cs="Times New Roman"/>
        </w:rPr>
        <w:t>For each genotype and soil volume, the week in which the highest tiller number was produced was identified and recorded</w:t>
      </w:r>
      <w:r>
        <w:rPr>
          <w:rFonts w:eastAsia="Calibri" w:cs="Times New Roman"/>
        </w:rPr>
        <w:t xml:space="preserve">, and the number of tillers at this time point was defined as the </w:t>
      </w:r>
      <w:r w:rsidRPr="00C54704">
        <w:rPr>
          <w:rFonts w:eastAsia="Calibri" w:cs="Times New Roman"/>
        </w:rPr>
        <w:t xml:space="preserve">peak tiller number. </w:t>
      </w:r>
      <w:r w:rsidRPr="000415E5">
        <w:rPr>
          <w:rFonts w:eastAsia="Calibri" w:cs="Times New Roman"/>
        </w:rPr>
        <w:t xml:space="preserve">There were wide variations in </w:t>
      </w:r>
      <w:r>
        <w:rPr>
          <w:rFonts w:eastAsia="Calibri" w:cs="Times New Roman"/>
        </w:rPr>
        <w:t>soil volume responsiveness</w:t>
      </w:r>
      <w:r w:rsidRPr="000415E5">
        <w:rPr>
          <w:rFonts w:eastAsia="Calibri" w:cs="Times New Roman"/>
        </w:rPr>
        <w:t xml:space="preserve"> </w:t>
      </w:r>
      <w:r>
        <w:rPr>
          <w:rFonts w:eastAsia="Calibri" w:cs="Times New Roman"/>
        </w:rPr>
        <w:t>among these</w:t>
      </w:r>
      <w:r w:rsidRPr="000415E5">
        <w:rPr>
          <w:rFonts w:eastAsia="Calibri" w:cs="Times New Roman"/>
        </w:rPr>
        <w:t xml:space="preserve"> lines</w:t>
      </w:r>
      <w:r>
        <w:rPr>
          <w:rFonts w:eastAsia="Calibri" w:cs="Times New Roman"/>
        </w:rPr>
        <w:t>. The lines can be loosely grouped in to four main categories: lines which</w:t>
      </w:r>
      <w:r w:rsidRPr="00C54704">
        <w:rPr>
          <w:rFonts w:eastAsia="Calibri" w:cs="Times New Roman"/>
        </w:rPr>
        <w:t xml:space="preserve"> produced high numbers of tillers in both </w:t>
      </w:r>
      <w:r>
        <w:rPr>
          <w:rFonts w:eastAsia="Calibri" w:cs="Times New Roman"/>
        </w:rPr>
        <w:t>soil volumes (high-tillering)</w:t>
      </w:r>
      <w:r w:rsidRPr="00C54704">
        <w:rPr>
          <w:rFonts w:eastAsia="Calibri" w:cs="Times New Roman"/>
        </w:rPr>
        <w:t xml:space="preserve">, </w:t>
      </w:r>
      <w:r>
        <w:rPr>
          <w:rFonts w:eastAsia="Calibri" w:cs="Times New Roman"/>
        </w:rPr>
        <w:t xml:space="preserve">and </w:t>
      </w:r>
      <w:r w:rsidRPr="00C54704">
        <w:rPr>
          <w:rFonts w:eastAsia="Calibri" w:cs="Times New Roman"/>
        </w:rPr>
        <w:t xml:space="preserve">others </w:t>
      </w:r>
      <w:r>
        <w:rPr>
          <w:rFonts w:eastAsia="Calibri" w:cs="Times New Roman"/>
        </w:rPr>
        <w:t xml:space="preserve">which </w:t>
      </w:r>
      <w:r w:rsidRPr="00C54704">
        <w:rPr>
          <w:rFonts w:eastAsia="Calibri" w:cs="Times New Roman"/>
        </w:rPr>
        <w:lastRenderedPageBreak/>
        <w:t>produced low numbers</w:t>
      </w:r>
      <w:r>
        <w:rPr>
          <w:rFonts w:eastAsia="Calibri" w:cs="Times New Roman"/>
        </w:rPr>
        <w:t xml:space="preserve"> of tillers</w:t>
      </w:r>
      <w:r w:rsidRPr="00C54704">
        <w:rPr>
          <w:rFonts w:eastAsia="Calibri" w:cs="Times New Roman"/>
        </w:rPr>
        <w:t xml:space="preserve"> in both soil volumes</w:t>
      </w:r>
      <w:r>
        <w:rPr>
          <w:rFonts w:eastAsia="Calibri" w:cs="Times New Roman"/>
        </w:rPr>
        <w:t xml:space="preserve"> (low-tillering),</w:t>
      </w:r>
      <w:r w:rsidRPr="00C54704">
        <w:rPr>
          <w:rFonts w:eastAsia="Calibri" w:cs="Times New Roman"/>
        </w:rPr>
        <w:t xml:space="preserve"> </w:t>
      </w:r>
      <w:r>
        <w:rPr>
          <w:rFonts w:eastAsia="Calibri" w:cs="Times New Roman"/>
        </w:rPr>
        <w:t>lines which produced</w:t>
      </w:r>
      <w:r w:rsidRPr="00C54704">
        <w:rPr>
          <w:rFonts w:eastAsia="Calibri" w:cs="Times New Roman"/>
        </w:rPr>
        <w:t xml:space="preserve"> low numbers of tillers in the small soil volume with </w:t>
      </w:r>
      <w:r>
        <w:rPr>
          <w:rFonts w:eastAsia="Calibri" w:cs="Times New Roman"/>
        </w:rPr>
        <w:t xml:space="preserve">comparatively </w:t>
      </w:r>
      <w:r w:rsidRPr="00C54704">
        <w:rPr>
          <w:rFonts w:eastAsia="Calibri" w:cs="Times New Roman"/>
        </w:rPr>
        <w:t>large numbers in the large soil volume</w:t>
      </w:r>
      <w:r>
        <w:rPr>
          <w:rFonts w:eastAsia="Calibri" w:cs="Times New Roman"/>
        </w:rPr>
        <w:t xml:space="preserve"> (high-response),</w:t>
      </w:r>
      <w:r w:rsidRPr="00C54704">
        <w:rPr>
          <w:rFonts w:eastAsia="Calibri" w:cs="Times New Roman"/>
        </w:rPr>
        <w:t xml:space="preserve"> </w:t>
      </w:r>
      <w:r>
        <w:rPr>
          <w:rFonts w:eastAsia="Calibri" w:cs="Times New Roman"/>
        </w:rPr>
        <w:t>and those which produced a large amount of tillers in small soil volumes with only a small increase in large soil volumes (low-response)</w:t>
      </w:r>
      <w:r w:rsidR="009E492B">
        <w:rPr>
          <w:rFonts w:eastAsia="Calibri" w:cs="Times New Roman"/>
        </w:rPr>
        <w:t>.</w:t>
      </w:r>
    </w:p>
    <w:p w14:paraId="5A862A67" w14:textId="5EC5690C" w:rsidR="0013233D" w:rsidRDefault="0013233D" w:rsidP="0013233D">
      <w:pPr>
        <w:spacing w:line="480" w:lineRule="auto"/>
        <w:rPr>
          <w:rFonts w:eastAsia="Calibri" w:cs="Times New Roman"/>
        </w:rPr>
      </w:pPr>
      <w:r w:rsidRPr="00C54704">
        <w:rPr>
          <w:rFonts w:eastAsia="Calibri" w:cs="Times New Roman"/>
        </w:rPr>
        <w:t xml:space="preserve">This </w:t>
      </w:r>
      <w:r>
        <w:rPr>
          <w:rFonts w:eastAsia="Calibri" w:cs="Times New Roman"/>
        </w:rPr>
        <w:t xml:space="preserve">variation </w:t>
      </w:r>
      <w:r w:rsidRPr="00C54704">
        <w:rPr>
          <w:rFonts w:eastAsia="Calibri" w:cs="Times New Roman"/>
        </w:rPr>
        <w:t xml:space="preserve">led to the need for a simplification of the </w:t>
      </w:r>
      <w:r w:rsidR="00166E9D" w:rsidRPr="00BE708A">
        <w:rPr>
          <w:rFonts w:eastAsia="Calibri" w:cs="Times New Roman"/>
        </w:rPr>
        <w:t>analysis</w:t>
      </w:r>
      <w:r w:rsidRPr="00C54704">
        <w:rPr>
          <w:rFonts w:eastAsia="Calibri" w:cs="Times New Roman"/>
        </w:rPr>
        <w:t xml:space="preserve"> to allow for meaningful quantification. To do this, a 500ml:100ml ratio was calculated, where the peak tiller number for the large soil volume was divided by the peak tiller number of the small soil volume (regardless of which week this occurred) </w:t>
      </w:r>
      <w:r>
        <w:rPr>
          <w:rFonts w:eastAsia="Calibri" w:cs="Times New Roman"/>
        </w:rPr>
        <w:t>for each</w:t>
      </w:r>
      <w:r w:rsidRPr="00C54704">
        <w:rPr>
          <w:rFonts w:eastAsia="Calibri" w:cs="Times New Roman"/>
        </w:rPr>
        <w:t xml:space="preserve"> </w:t>
      </w:r>
      <w:r>
        <w:rPr>
          <w:rFonts w:eastAsia="Calibri" w:cs="Times New Roman"/>
        </w:rPr>
        <w:t>line</w:t>
      </w:r>
      <w:r w:rsidRPr="00C54704">
        <w:rPr>
          <w:rFonts w:eastAsia="Calibri" w:cs="Times New Roman"/>
        </w:rPr>
        <w:t xml:space="preserve">. </w:t>
      </w:r>
      <w:r w:rsidRPr="00AF52B8">
        <w:rPr>
          <w:rFonts w:eastAsia="Calibri" w:cs="Times New Roman"/>
        </w:rPr>
        <w:t xml:space="preserve">This shows the fold change in tillering on the larger soil volume relative to the smaller volume, irrespective of whether the </w:t>
      </w:r>
      <w:r>
        <w:rPr>
          <w:rFonts w:eastAsia="Calibri" w:cs="Times New Roman"/>
        </w:rPr>
        <w:t>line</w:t>
      </w:r>
      <w:r w:rsidRPr="00AF52B8">
        <w:rPr>
          <w:rFonts w:eastAsia="Calibri" w:cs="Times New Roman"/>
        </w:rPr>
        <w:t xml:space="preserve"> is high tillering or low tillering.</w:t>
      </w:r>
      <w:r>
        <w:rPr>
          <w:rFonts w:eastAsia="Calibri" w:cs="Times New Roman"/>
        </w:rPr>
        <w:t xml:space="preserve"> </w:t>
      </w:r>
      <w:r w:rsidRPr="00C54704">
        <w:rPr>
          <w:rFonts w:eastAsia="Calibri" w:cs="Times New Roman"/>
        </w:rPr>
        <w:t>A low ratio would</w:t>
      </w:r>
      <w:r>
        <w:rPr>
          <w:rFonts w:eastAsia="Calibri" w:cs="Times New Roman"/>
        </w:rPr>
        <w:t xml:space="preserve"> indicate</w:t>
      </w:r>
      <w:r w:rsidRPr="00C54704">
        <w:rPr>
          <w:rFonts w:eastAsia="Calibri" w:cs="Times New Roman"/>
        </w:rPr>
        <w:t xml:space="preserve"> low </w:t>
      </w:r>
      <w:r>
        <w:rPr>
          <w:rFonts w:eastAsia="Calibri" w:cs="Times New Roman"/>
        </w:rPr>
        <w:t>sensitivity</w:t>
      </w:r>
      <w:r w:rsidRPr="00C54704">
        <w:rPr>
          <w:rFonts w:eastAsia="Calibri" w:cs="Times New Roman"/>
        </w:rPr>
        <w:t xml:space="preserve"> to soil volume</w:t>
      </w:r>
      <w:r w:rsidR="000761EE">
        <w:rPr>
          <w:rFonts w:eastAsia="Calibri" w:cs="Times New Roman"/>
        </w:rPr>
        <w:t>,</w:t>
      </w:r>
      <w:r w:rsidRPr="00C54704">
        <w:rPr>
          <w:rFonts w:eastAsia="Calibri" w:cs="Times New Roman"/>
        </w:rPr>
        <w:t xml:space="preserve"> </w:t>
      </w:r>
      <w:r w:rsidR="000761EE" w:rsidRPr="00C54704">
        <w:rPr>
          <w:rFonts w:eastAsia="Calibri" w:cs="Times New Roman"/>
        </w:rPr>
        <w:t>i.e.</w:t>
      </w:r>
      <w:r w:rsidRPr="00C54704">
        <w:rPr>
          <w:rFonts w:eastAsia="Calibri" w:cs="Times New Roman"/>
        </w:rPr>
        <w:t xml:space="preserve"> these lines produced a similar number of tillers in both </w:t>
      </w:r>
      <w:r>
        <w:rPr>
          <w:rFonts w:eastAsia="Calibri" w:cs="Times New Roman"/>
        </w:rPr>
        <w:t>soil volumes</w:t>
      </w:r>
      <w:r w:rsidRPr="00C54704">
        <w:rPr>
          <w:rFonts w:eastAsia="Calibri" w:cs="Times New Roman"/>
        </w:rPr>
        <w:t xml:space="preserve">, whereas a high ratio would </w:t>
      </w:r>
      <w:r>
        <w:rPr>
          <w:rFonts w:eastAsia="Calibri" w:cs="Times New Roman"/>
        </w:rPr>
        <w:t>indicate</w:t>
      </w:r>
      <w:r w:rsidRPr="00C54704">
        <w:rPr>
          <w:rFonts w:eastAsia="Calibri" w:cs="Times New Roman"/>
        </w:rPr>
        <w:t xml:space="preserve"> a high</w:t>
      </w:r>
      <w:r>
        <w:rPr>
          <w:rFonts w:eastAsia="Calibri" w:cs="Times New Roman"/>
        </w:rPr>
        <w:t xml:space="preserve"> sensitivity</w:t>
      </w:r>
      <w:r w:rsidRPr="00C54704">
        <w:rPr>
          <w:rFonts w:eastAsia="Calibri" w:cs="Times New Roman"/>
        </w:rPr>
        <w:t xml:space="preserve"> to soil volume, </w:t>
      </w:r>
      <w:r w:rsidR="000761EE" w:rsidRPr="00C54704">
        <w:rPr>
          <w:rFonts w:eastAsia="Calibri" w:cs="Times New Roman"/>
        </w:rPr>
        <w:t>i.e.</w:t>
      </w:r>
      <w:r w:rsidRPr="00C54704">
        <w:rPr>
          <w:rFonts w:eastAsia="Calibri" w:cs="Times New Roman"/>
        </w:rPr>
        <w:t xml:space="preserve"> plants in the large </w:t>
      </w:r>
      <w:r>
        <w:rPr>
          <w:rFonts w:eastAsia="Calibri" w:cs="Times New Roman"/>
        </w:rPr>
        <w:t>soil volumes</w:t>
      </w:r>
      <w:r w:rsidRPr="00C54704">
        <w:rPr>
          <w:rFonts w:eastAsia="Calibri" w:cs="Times New Roman"/>
        </w:rPr>
        <w:t xml:space="preserve"> are able to take advantage of the larger amount of space and hence grow much larger</w:t>
      </w:r>
      <w:r>
        <w:rPr>
          <w:rFonts w:eastAsia="Calibri" w:cs="Times New Roman"/>
        </w:rPr>
        <w:t xml:space="preserve"> than those in small soil volumes</w:t>
      </w:r>
      <w:r w:rsidRPr="00C54704">
        <w:rPr>
          <w:rFonts w:eastAsia="Calibri" w:cs="Times New Roman"/>
        </w:rPr>
        <w:t xml:space="preserve">. </w:t>
      </w:r>
      <w:r>
        <w:rPr>
          <w:rFonts w:eastAsia="Calibri" w:cs="Times New Roman"/>
        </w:rPr>
        <w:t xml:space="preserve"> </w:t>
      </w:r>
    </w:p>
    <w:p w14:paraId="68158B8E" w14:textId="04D42778" w:rsidR="0013233D" w:rsidRPr="0001052D" w:rsidRDefault="0013233D" w:rsidP="0013233D">
      <w:pPr>
        <w:spacing w:line="480" w:lineRule="auto"/>
        <w:rPr>
          <w:rFonts w:eastAsia="Calibri" w:cs="Times New Roman"/>
          <w:color w:val="000000" w:themeColor="text1"/>
        </w:rPr>
      </w:pPr>
      <w:r>
        <w:rPr>
          <w:rFonts w:eastAsia="Calibri" w:cs="Times New Roman"/>
        </w:rPr>
        <w:t>Looking across the spread of biomass and tiller ratios in all the lines, the modern / elite lines (pink) are found on the higher sensitivity end of the spectrum whereas the advanced / improved cultivars are generally found nearer the low sensitivity end of the spectrum (Fig</w:t>
      </w:r>
      <w:r w:rsidR="00820706">
        <w:rPr>
          <w:rFonts w:eastAsia="Calibri" w:cs="Times New Roman"/>
        </w:rPr>
        <w:t>.</w:t>
      </w:r>
      <w:r>
        <w:rPr>
          <w:rFonts w:eastAsia="Calibri" w:cs="Times New Roman"/>
        </w:rPr>
        <w:t xml:space="preserve"> 3.11A-B). This could suggest a shift in breeding strategies over time. There has been no direct aim from breeders to produce lines with a focus on soil volume characteristics before, therefore this could indicate that genes involved in soil volume sensitivity could be linked to, or function in, other breeding targets such as plant density</w:t>
      </w:r>
      <w:r w:rsidR="0011027D">
        <w:rPr>
          <w:rFonts w:eastAsia="Calibri" w:cs="Times New Roman"/>
        </w:rPr>
        <w:t xml:space="preserve"> resistance</w:t>
      </w:r>
      <w:r>
        <w:rPr>
          <w:rFonts w:eastAsia="Calibri" w:cs="Times New Roman"/>
        </w:rPr>
        <w:t xml:space="preserve">. </w:t>
      </w:r>
      <w:r w:rsidRPr="0001052D">
        <w:rPr>
          <w:rFonts w:eastAsia="Calibri" w:cs="Times New Roman"/>
          <w:color w:val="000000" w:themeColor="text1"/>
        </w:rPr>
        <w:t xml:space="preserve">This would make sense given the largely </w:t>
      </w:r>
      <w:r w:rsidRPr="0001052D">
        <w:rPr>
          <w:rFonts w:eastAsia="Calibri" w:cs="Times New Roman"/>
          <w:color w:val="000000" w:themeColor="text1"/>
        </w:rPr>
        <w:lastRenderedPageBreak/>
        <w:t xml:space="preserve">interchangeable nature </w:t>
      </w:r>
      <w:r>
        <w:rPr>
          <w:rFonts w:eastAsia="Calibri" w:cs="Times New Roman"/>
          <w:noProof/>
        </w:rPr>
        <w:drawing>
          <wp:anchor distT="0" distB="0" distL="114300" distR="114300" simplePos="0" relativeHeight="251546112" behindDoc="0" locked="0" layoutInCell="1" allowOverlap="1" wp14:anchorId="160764BC" wp14:editId="2B033DEF">
            <wp:simplePos x="0" y="0"/>
            <wp:positionH relativeFrom="margin">
              <wp:align>right</wp:align>
            </wp:positionH>
            <wp:positionV relativeFrom="paragraph">
              <wp:posOffset>893555</wp:posOffset>
            </wp:positionV>
            <wp:extent cx="5184140" cy="4323715"/>
            <wp:effectExtent l="0" t="0" r="0" b="635"/>
            <wp:wrapSquare wrapText="bothSides"/>
            <wp:docPr id="1013525595" name="Picture 7" descr="A graph of different types of landform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525595" name="Picture 7" descr="A graph of different types of landforms&#10;&#10;Description automatically generated with medium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84140" cy="4323715"/>
                    </a:xfrm>
                    <a:prstGeom prst="rect">
                      <a:avLst/>
                    </a:prstGeom>
                  </pic:spPr>
                </pic:pic>
              </a:graphicData>
            </a:graphic>
            <wp14:sizeRelH relativeFrom="margin">
              <wp14:pctWidth>0</wp14:pctWidth>
            </wp14:sizeRelH>
            <wp14:sizeRelV relativeFrom="margin">
              <wp14:pctHeight>0</wp14:pctHeight>
            </wp14:sizeRelV>
          </wp:anchor>
        </w:drawing>
      </w:r>
      <w:r w:rsidRPr="0001052D">
        <w:rPr>
          <w:rFonts w:eastAsia="Calibri" w:cs="Times New Roman"/>
          <w:color w:val="000000" w:themeColor="text1"/>
        </w:rPr>
        <w:t xml:space="preserve">of soil volume and crowding responses shown in </w:t>
      </w:r>
      <w:r w:rsidR="003D24A6">
        <w:rPr>
          <w:rFonts w:eastAsia="Calibri" w:cs="Times New Roman"/>
          <w:color w:val="000000" w:themeColor="text1"/>
        </w:rPr>
        <w:t xml:space="preserve">Section </w:t>
      </w:r>
      <w:r w:rsidRPr="003D24A6">
        <w:rPr>
          <w:rFonts w:eastAsia="Calibri" w:cs="Times New Roman"/>
          <w:color w:val="000000" w:themeColor="text1"/>
        </w:rPr>
        <w:t>3.</w:t>
      </w:r>
      <w:r w:rsidR="003D24A6">
        <w:rPr>
          <w:rFonts w:eastAsia="Calibri" w:cs="Times New Roman"/>
          <w:color w:val="000000" w:themeColor="text1"/>
        </w:rPr>
        <w:t>2</w:t>
      </w:r>
      <w:r w:rsidRPr="003D24A6">
        <w:rPr>
          <w:rFonts w:eastAsia="Calibri" w:cs="Times New Roman"/>
          <w:color w:val="000000" w:themeColor="text1"/>
        </w:rPr>
        <w:t>.</w:t>
      </w:r>
      <w:r w:rsidRPr="0001052D">
        <w:rPr>
          <w:rFonts w:eastAsia="Calibri" w:cs="Times New Roman"/>
          <w:color w:val="000000" w:themeColor="text1"/>
        </w:rPr>
        <w:t xml:space="preserve"> </w:t>
      </w:r>
    </w:p>
    <w:p w14:paraId="1D97B422" w14:textId="322732C1" w:rsidR="0013233D" w:rsidRDefault="0013233D" w:rsidP="0013233D">
      <w:pPr>
        <w:spacing w:line="480" w:lineRule="auto"/>
        <w:rPr>
          <w:rFonts w:eastAsia="Calibri" w:cs="Times New Roman"/>
        </w:rPr>
      </w:pPr>
    </w:p>
    <w:p w14:paraId="5FE64541" w14:textId="45E06137" w:rsidR="0013233D" w:rsidRDefault="0013233D" w:rsidP="0013233D">
      <w:pPr>
        <w:pStyle w:val="Caption"/>
        <w:rPr>
          <w:rFonts w:eastAsia="Calibri" w:cs="Times New Roman"/>
          <w:sz w:val="24"/>
        </w:rPr>
      </w:pPr>
      <w:bookmarkStart w:id="125" w:name="_Toc146657553"/>
      <w:bookmarkStart w:id="126" w:name="_Toc154331545"/>
      <w:r>
        <w:t xml:space="preserve">Figure </w:t>
      </w:r>
      <w:fldSimple w:instr=" STYLEREF 1 \s ">
        <w:r w:rsidR="004B7F70">
          <w:rPr>
            <w:noProof/>
          </w:rPr>
          <w:t>3</w:t>
        </w:r>
      </w:fldSimple>
      <w:r w:rsidR="00C97D34">
        <w:t>.</w:t>
      </w:r>
      <w:fldSimple w:instr=" SEQ Figure \* ARABIC \s 1 ">
        <w:r w:rsidR="004B7F70">
          <w:rPr>
            <w:noProof/>
          </w:rPr>
          <w:t>11</w:t>
        </w:r>
      </w:fldSimple>
      <w:r>
        <w:t xml:space="preserve"> </w:t>
      </w:r>
      <w:r w:rsidRPr="00827FF9">
        <w:t>Modern varieties are more plastic in their response to soil volume availability than traditional and advanced lines</w:t>
      </w:r>
      <w:bookmarkEnd w:id="125"/>
      <w:bookmarkEnd w:id="126"/>
    </w:p>
    <w:p w14:paraId="18B5EB0F" w14:textId="77777777" w:rsidR="0013233D" w:rsidRDefault="0013233D" w:rsidP="0013233D">
      <w:pPr>
        <w:pStyle w:val="Description"/>
      </w:pPr>
      <w:r w:rsidRPr="00127135">
        <w:rPr>
          <w:rFonts w:eastAsia="Calibri" w:cs="Times New Roman"/>
        </w:rPr>
        <w:t>A</w:t>
      </w:r>
      <w:r>
        <w:rPr>
          <w:rFonts w:eastAsia="Calibri" w:cs="Times New Roman"/>
        </w:rPr>
        <w:t>-B</w:t>
      </w:r>
      <w:r w:rsidRPr="00127135">
        <w:rPr>
          <w:rFonts w:eastAsia="Calibri" w:cs="Times New Roman"/>
        </w:rPr>
        <w:t xml:space="preserve">) </w:t>
      </w:r>
      <w:r>
        <w:t>Bar charts showing the 500ml:100ml ratio of peak tiller number (regardless of the week it occurred) (A) and dry shoot biomass at 8 weeks post germination (B) in spring barley lines. Black bars represent traditional cultivar / landrace lines, green bars represent advanced / improved cultivars and purple bars represent modern / elite varieties. n=1-4.</w:t>
      </w:r>
    </w:p>
    <w:p w14:paraId="313445B2" w14:textId="77777777" w:rsidR="0013233D" w:rsidRDefault="0013233D" w:rsidP="0013233D">
      <w:pPr>
        <w:rPr>
          <w:rFonts w:eastAsia="Calibri"/>
        </w:rPr>
      </w:pPr>
    </w:p>
    <w:p w14:paraId="21CF432D" w14:textId="15A98472" w:rsidR="0013233D" w:rsidRDefault="0013233D" w:rsidP="0013233D">
      <w:pPr>
        <w:spacing w:line="480" w:lineRule="auto"/>
        <w:rPr>
          <w:rFonts w:eastAsia="Calibri" w:cs="Times New Roman"/>
        </w:rPr>
      </w:pPr>
      <w:r w:rsidRPr="0001052D">
        <w:rPr>
          <w:rFonts w:eastAsia="Calibri" w:cs="Times New Roman"/>
          <w:color w:val="000000" w:themeColor="text1"/>
        </w:rPr>
        <w:t xml:space="preserve">Looking across the lines in more detail there was a large variation in the peak tiller number and shoot biomass in each soil volume. </w:t>
      </w:r>
      <w:r w:rsidRPr="00C54704">
        <w:rPr>
          <w:rFonts w:eastAsia="Calibri" w:cs="Times New Roman"/>
        </w:rPr>
        <w:t>Peak tiller number in 100ml pots ranged from 1.6 to 6.5 tillers whereas in 500ml pots the variation was much greater, between 3-18 tillers</w:t>
      </w:r>
      <w:r>
        <w:rPr>
          <w:rFonts w:eastAsia="Calibri" w:cs="Times New Roman"/>
        </w:rPr>
        <w:t xml:space="preserve"> (Fig</w:t>
      </w:r>
      <w:r w:rsidR="000A1687">
        <w:rPr>
          <w:rFonts w:eastAsia="Calibri" w:cs="Times New Roman"/>
        </w:rPr>
        <w:t>.</w:t>
      </w:r>
      <w:r>
        <w:rPr>
          <w:rFonts w:eastAsia="Calibri" w:cs="Times New Roman"/>
        </w:rPr>
        <w:t xml:space="preserve"> 3.12A-B). </w:t>
      </w:r>
      <w:r w:rsidRPr="00C54704">
        <w:rPr>
          <w:rFonts w:eastAsia="Calibri" w:cs="Times New Roman"/>
        </w:rPr>
        <w:t xml:space="preserve">A similar pattern was </w:t>
      </w:r>
      <w:r w:rsidRPr="00C54704">
        <w:rPr>
          <w:rFonts w:eastAsia="Calibri" w:cs="Times New Roman"/>
        </w:rPr>
        <w:lastRenderedPageBreak/>
        <w:t xml:space="preserve">seen in shoot biomass, with small soil volumes ranging between 0.47-2.22g </w:t>
      </w:r>
      <w:r w:rsidR="00230312">
        <w:rPr>
          <w:rFonts w:eastAsia="Calibri" w:cs="Times New Roman"/>
          <w:noProof/>
        </w:rPr>
        <w:drawing>
          <wp:anchor distT="0" distB="0" distL="114300" distR="114300" simplePos="0" relativeHeight="251553280" behindDoc="0" locked="0" layoutInCell="1" allowOverlap="1" wp14:anchorId="0134159B" wp14:editId="190AF3C8">
            <wp:simplePos x="0" y="0"/>
            <wp:positionH relativeFrom="margin">
              <wp:align>right</wp:align>
            </wp:positionH>
            <wp:positionV relativeFrom="paragraph">
              <wp:posOffset>779145</wp:posOffset>
            </wp:positionV>
            <wp:extent cx="5184140" cy="5048885"/>
            <wp:effectExtent l="0" t="0" r="0" b="0"/>
            <wp:wrapSquare wrapText="bothSides"/>
            <wp:docPr id="15840988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098896" name="Picture 1584098896"/>
                    <pic:cNvPicPr/>
                  </pic:nvPicPr>
                  <pic:blipFill rotWithShape="1">
                    <a:blip r:embed="rId34" cstate="print">
                      <a:extLst>
                        <a:ext uri="{28A0092B-C50C-407E-A947-70E740481C1C}">
                          <a14:useLocalDpi xmlns:a14="http://schemas.microsoft.com/office/drawing/2010/main" val="0"/>
                        </a:ext>
                      </a:extLst>
                    </a:blip>
                    <a:srcRect l="1196"/>
                    <a:stretch/>
                  </pic:blipFill>
                  <pic:spPr bwMode="auto">
                    <a:xfrm>
                      <a:off x="0" y="0"/>
                      <a:ext cx="5184140" cy="5048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4704">
        <w:rPr>
          <w:rFonts w:eastAsia="Calibri" w:cs="Times New Roman"/>
        </w:rPr>
        <w:t xml:space="preserve">and </w:t>
      </w:r>
      <w:r>
        <w:rPr>
          <w:rFonts w:eastAsia="Calibri" w:cs="Times New Roman"/>
        </w:rPr>
        <w:t>in</w:t>
      </w:r>
      <w:r w:rsidRPr="00C54704">
        <w:rPr>
          <w:rFonts w:eastAsia="Calibri" w:cs="Times New Roman"/>
        </w:rPr>
        <w:t xml:space="preserve"> large soil volumes</w:t>
      </w:r>
      <w:r>
        <w:rPr>
          <w:rFonts w:eastAsia="Calibri" w:cs="Times New Roman"/>
        </w:rPr>
        <w:t xml:space="preserve"> this ranged between</w:t>
      </w:r>
      <w:r w:rsidRPr="00C54704">
        <w:rPr>
          <w:rFonts w:eastAsia="Calibri" w:cs="Times New Roman"/>
        </w:rPr>
        <w:t xml:space="preserve"> 1.81- 9.08g</w:t>
      </w:r>
      <w:r>
        <w:rPr>
          <w:rFonts w:eastAsia="Calibri" w:cs="Times New Roman"/>
        </w:rPr>
        <w:t xml:space="preserve"> (Fig</w:t>
      </w:r>
      <w:r w:rsidR="001401F1">
        <w:rPr>
          <w:rFonts w:eastAsia="Calibri" w:cs="Times New Roman"/>
        </w:rPr>
        <w:t>.</w:t>
      </w:r>
      <w:r>
        <w:rPr>
          <w:rFonts w:eastAsia="Calibri" w:cs="Times New Roman"/>
        </w:rPr>
        <w:t xml:space="preserve"> 3.13A-B).</w:t>
      </w:r>
    </w:p>
    <w:p w14:paraId="2750CB00" w14:textId="598C6983" w:rsidR="0013233D" w:rsidRDefault="0013233D" w:rsidP="0013233D">
      <w:pPr>
        <w:pStyle w:val="Caption"/>
        <w:rPr>
          <w:rFonts w:eastAsia="Calibri" w:cs="Times New Roman"/>
          <w:sz w:val="24"/>
        </w:rPr>
      </w:pPr>
      <w:bookmarkStart w:id="127" w:name="_Toc146657554"/>
      <w:bookmarkStart w:id="128" w:name="_Toc154331546"/>
      <w:r>
        <w:t xml:space="preserve">Figure </w:t>
      </w:r>
      <w:fldSimple w:instr=" STYLEREF 1 \s ">
        <w:r w:rsidR="004B7F70">
          <w:rPr>
            <w:noProof/>
          </w:rPr>
          <w:t>3</w:t>
        </w:r>
      </w:fldSimple>
      <w:r w:rsidR="00C97D34">
        <w:t>.</w:t>
      </w:r>
      <w:fldSimple w:instr=" SEQ Figure \* ARABIC \s 1 ">
        <w:r w:rsidR="004B7F70">
          <w:rPr>
            <w:noProof/>
          </w:rPr>
          <w:t>12</w:t>
        </w:r>
      </w:fldSimple>
      <w:r>
        <w:t xml:space="preserve"> </w:t>
      </w:r>
      <w:r w:rsidRPr="0080041D">
        <w:t>Peak tiller number varies greatly across barley lines</w:t>
      </w:r>
      <w:bookmarkEnd w:id="127"/>
      <w:bookmarkEnd w:id="128"/>
    </w:p>
    <w:p w14:paraId="4AED005F" w14:textId="0D98A000" w:rsidR="0013233D" w:rsidRDefault="0013233D" w:rsidP="0013233D">
      <w:pPr>
        <w:pStyle w:val="Description"/>
        <w:rPr>
          <w:rFonts w:eastAsia="Calibri"/>
        </w:rPr>
      </w:pPr>
      <w:r w:rsidRPr="00BC09CE">
        <w:rPr>
          <w:rFonts w:eastAsia="Calibri"/>
        </w:rPr>
        <w:t>A-B</w:t>
      </w:r>
      <w:r>
        <w:rPr>
          <w:rFonts w:eastAsia="Calibri"/>
        </w:rPr>
        <w:t>)</w:t>
      </w:r>
      <w:r w:rsidRPr="00BC09CE">
        <w:rPr>
          <w:rFonts w:eastAsia="Calibri"/>
        </w:rPr>
        <w:t xml:space="preserve"> </w:t>
      </w:r>
      <w:r w:rsidR="00C22B54">
        <w:rPr>
          <w:rFonts w:eastAsia="Calibri"/>
        </w:rPr>
        <w:t>Mean p</w:t>
      </w:r>
      <w:r w:rsidRPr="00BC09CE">
        <w:rPr>
          <w:rFonts w:eastAsia="Calibri"/>
        </w:rPr>
        <w:t xml:space="preserve">eak tiller number </w:t>
      </w:r>
      <w:r>
        <w:rPr>
          <w:rFonts w:eastAsia="Calibri"/>
        </w:rPr>
        <w:t xml:space="preserve">(the highest number of tillers produced by each line, regardless of the week post germination in which this occurred) </w:t>
      </w:r>
      <w:r w:rsidRPr="00BC09CE">
        <w:rPr>
          <w:rFonts w:eastAsia="Calibri"/>
        </w:rPr>
        <w:t>of 94 spring barley lines grown in 100ml (white) and 500ml (black) soil volumes. Error bars represent s.e.m, n=1-4</w:t>
      </w:r>
      <w:r w:rsidR="00002023">
        <w:rPr>
          <w:rFonts w:eastAsia="Calibri"/>
        </w:rPr>
        <w:t>.</w:t>
      </w:r>
    </w:p>
    <w:p w14:paraId="496B5A48" w14:textId="77777777" w:rsidR="0013233D" w:rsidRDefault="0013233D" w:rsidP="0013233D">
      <w:pPr>
        <w:rPr>
          <w:rFonts w:eastAsia="Calibri"/>
        </w:rPr>
      </w:pPr>
    </w:p>
    <w:p w14:paraId="7FF39D9C" w14:textId="220BC69A" w:rsidR="0013233D" w:rsidRPr="0013233D" w:rsidRDefault="0013233D" w:rsidP="0013233D">
      <w:pPr>
        <w:rPr>
          <w:rFonts w:eastAsia="Calibri"/>
        </w:rPr>
      </w:pPr>
      <w:r>
        <w:rPr>
          <w:rFonts w:eastAsia="Calibri" w:cs="Times New Roman"/>
          <w:noProof/>
        </w:rPr>
        <w:lastRenderedPageBreak/>
        <w:drawing>
          <wp:anchor distT="0" distB="0" distL="114300" distR="114300" simplePos="0" relativeHeight="251560448" behindDoc="0" locked="0" layoutInCell="1" allowOverlap="1" wp14:anchorId="38CEB679" wp14:editId="61D73B4D">
            <wp:simplePos x="0" y="0"/>
            <wp:positionH relativeFrom="margin">
              <wp:align>right</wp:align>
            </wp:positionH>
            <wp:positionV relativeFrom="paragraph">
              <wp:posOffset>294308</wp:posOffset>
            </wp:positionV>
            <wp:extent cx="5184140" cy="4911090"/>
            <wp:effectExtent l="0" t="0" r="0" b="3810"/>
            <wp:wrapSquare wrapText="bothSides"/>
            <wp:docPr id="2145914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1438" name="Picture 214591438"/>
                    <pic:cNvPicPr/>
                  </pic:nvPicPr>
                  <pic:blipFill rotWithShape="1">
                    <a:blip r:embed="rId35" cstate="print">
                      <a:extLst>
                        <a:ext uri="{28A0092B-C50C-407E-A947-70E740481C1C}">
                          <a14:useLocalDpi xmlns:a14="http://schemas.microsoft.com/office/drawing/2010/main" val="0"/>
                        </a:ext>
                      </a:extLst>
                    </a:blip>
                    <a:srcRect l="1180"/>
                    <a:stretch/>
                  </pic:blipFill>
                  <pic:spPr bwMode="auto">
                    <a:xfrm>
                      <a:off x="0" y="0"/>
                      <a:ext cx="5184140" cy="4911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27C666" w14:textId="77777777" w:rsidR="0013233D" w:rsidRPr="0013233D" w:rsidRDefault="0013233D" w:rsidP="0013233D">
      <w:pPr>
        <w:rPr>
          <w:rFonts w:eastAsia="Calibri"/>
        </w:rPr>
      </w:pPr>
    </w:p>
    <w:p w14:paraId="0893E72B" w14:textId="74A170A0" w:rsidR="0013233D" w:rsidRPr="0013233D" w:rsidRDefault="0013233D" w:rsidP="0013233D">
      <w:pPr>
        <w:pStyle w:val="Caption"/>
      </w:pPr>
      <w:bookmarkStart w:id="129" w:name="_Toc146657555"/>
      <w:bookmarkStart w:id="130" w:name="_Toc154331547"/>
      <w:r>
        <w:t xml:space="preserve">Figure </w:t>
      </w:r>
      <w:fldSimple w:instr=" STYLEREF 1 \s ">
        <w:r w:rsidR="004B7F70">
          <w:rPr>
            <w:noProof/>
          </w:rPr>
          <w:t>3</w:t>
        </w:r>
      </w:fldSimple>
      <w:r w:rsidR="00C97D34">
        <w:t>.</w:t>
      </w:r>
      <w:fldSimple w:instr=" SEQ Figure \* ARABIC \s 1 ">
        <w:r w:rsidR="004B7F70">
          <w:rPr>
            <w:noProof/>
          </w:rPr>
          <w:t>13</w:t>
        </w:r>
      </w:fldSimple>
      <w:r>
        <w:t xml:space="preserve"> </w:t>
      </w:r>
      <w:r w:rsidRPr="00D21FE3">
        <w:t>Shoot biomass varies greatly across barley lines</w:t>
      </w:r>
      <w:bookmarkEnd w:id="129"/>
      <w:bookmarkEnd w:id="130"/>
    </w:p>
    <w:p w14:paraId="012C6D9B" w14:textId="77777777" w:rsidR="0013233D" w:rsidRPr="001121C6" w:rsidRDefault="0013233D" w:rsidP="0013233D">
      <w:pPr>
        <w:pStyle w:val="Description"/>
        <w:rPr>
          <w:rFonts w:eastAsia="Calibri"/>
        </w:rPr>
      </w:pPr>
      <w:r w:rsidRPr="001121C6">
        <w:rPr>
          <w:rFonts w:eastAsia="Calibri"/>
        </w:rPr>
        <w:t xml:space="preserve">A-B) </w:t>
      </w:r>
      <w:r>
        <w:rPr>
          <w:rFonts w:eastAsia="Calibri"/>
        </w:rPr>
        <w:t>Mean s</w:t>
      </w:r>
      <w:r w:rsidRPr="001121C6">
        <w:rPr>
          <w:rFonts w:eastAsia="Calibri"/>
        </w:rPr>
        <w:t>hoot biomass</w:t>
      </w:r>
      <w:r>
        <w:rPr>
          <w:rFonts w:eastAsia="Calibri"/>
        </w:rPr>
        <w:t xml:space="preserve"> (g)</w:t>
      </w:r>
      <w:r w:rsidRPr="001121C6">
        <w:rPr>
          <w:rFonts w:eastAsia="Calibri"/>
        </w:rPr>
        <w:t xml:space="preserve"> </w:t>
      </w:r>
      <w:r>
        <w:rPr>
          <w:rFonts w:eastAsia="Calibri"/>
        </w:rPr>
        <w:t xml:space="preserve">at 8 weeks post germination </w:t>
      </w:r>
      <w:r w:rsidRPr="001121C6">
        <w:rPr>
          <w:rFonts w:eastAsia="Calibri"/>
        </w:rPr>
        <w:t>of 89 spring barley lines grown in 100ml (white) and 500ml (black) soil volumes. Error bars represent s.e.m, n=1-4.</w:t>
      </w:r>
    </w:p>
    <w:p w14:paraId="55CCCA49" w14:textId="194FFA03" w:rsidR="0013233D" w:rsidRDefault="0013233D" w:rsidP="0013233D"/>
    <w:p w14:paraId="1BB563AC" w14:textId="554C8571" w:rsidR="0013233D" w:rsidRDefault="0013233D" w:rsidP="0013233D">
      <w:pPr>
        <w:spacing w:line="480" w:lineRule="auto"/>
        <w:rPr>
          <w:rFonts w:eastAsia="Calibri" w:cs="Times New Roman"/>
        </w:rPr>
      </w:pPr>
      <w:r w:rsidRPr="0001052D">
        <w:rPr>
          <w:rFonts w:eastAsia="Calibri" w:cs="Times New Roman"/>
          <w:color w:val="000000" w:themeColor="text1"/>
        </w:rPr>
        <w:t>To identify lines of interest that could be useful for uncovering the genetics underpinning this variation in responsiveness to soil volume</w:t>
      </w:r>
      <w:r w:rsidR="00FA3BE6">
        <w:rPr>
          <w:rFonts w:eastAsia="Calibri" w:cs="Times New Roman"/>
          <w:color w:val="000000" w:themeColor="text1"/>
        </w:rPr>
        <w:t>,</w:t>
      </w:r>
      <w:r w:rsidRPr="0001052D">
        <w:rPr>
          <w:rFonts w:eastAsia="Calibri" w:cs="Times New Roman"/>
          <w:color w:val="000000" w:themeColor="text1"/>
        </w:rPr>
        <w:t xml:space="preserve"> </w:t>
      </w:r>
      <w:r w:rsidR="00FA3BE6">
        <w:rPr>
          <w:rFonts w:eastAsia="Calibri" w:cs="Times New Roman"/>
          <w:color w:val="000000" w:themeColor="text1"/>
        </w:rPr>
        <w:t>p</w:t>
      </w:r>
      <w:r w:rsidRPr="0001052D">
        <w:rPr>
          <w:rFonts w:eastAsia="Calibri" w:cs="Times New Roman"/>
          <w:color w:val="000000" w:themeColor="text1"/>
        </w:rPr>
        <w:t>eak tiller number and shoot biomass 500ml:100ml ratios were assessed and compared</w:t>
      </w:r>
      <w:r w:rsidR="00180B06">
        <w:rPr>
          <w:rFonts w:eastAsia="Calibri" w:cs="Times New Roman"/>
          <w:color w:val="000000" w:themeColor="text1"/>
        </w:rPr>
        <w:t>.</w:t>
      </w:r>
      <w:r w:rsidR="00180B06" w:rsidRPr="0001052D">
        <w:rPr>
          <w:rFonts w:eastAsia="Calibri" w:cs="Times New Roman"/>
          <w:color w:val="000000" w:themeColor="text1"/>
        </w:rPr>
        <w:t xml:space="preserve"> </w:t>
      </w:r>
      <w:r w:rsidR="00180B06">
        <w:rPr>
          <w:rFonts w:eastAsia="Calibri" w:cs="Times New Roman"/>
          <w:color w:val="000000" w:themeColor="text1"/>
        </w:rPr>
        <w:t>This</w:t>
      </w:r>
      <w:r w:rsidRPr="0001052D">
        <w:rPr>
          <w:rFonts w:eastAsia="Calibri" w:cs="Times New Roman"/>
          <w:color w:val="000000" w:themeColor="text1"/>
        </w:rPr>
        <w:t xml:space="preserve"> aim</w:t>
      </w:r>
      <w:r w:rsidR="00180B06">
        <w:rPr>
          <w:rFonts w:eastAsia="Calibri" w:cs="Times New Roman"/>
          <w:color w:val="000000" w:themeColor="text1"/>
        </w:rPr>
        <w:t>ed</w:t>
      </w:r>
      <w:r w:rsidRPr="0001052D">
        <w:rPr>
          <w:rFonts w:eastAsia="Calibri" w:cs="Times New Roman"/>
          <w:color w:val="000000" w:themeColor="text1"/>
        </w:rPr>
        <w:t xml:space="preserve"> </w:t>
      </w:r>
      <w:r w:rsidR="00FE3B62">
        <w:rPr>
          <w:rFonts w:eastAsia="Calibri" w:cs="Times New Roman"/>
          <w:color w:val="000000" w:themeColor="text1"/>
        </w:rPr>
        <w:t>to</w:t>
      </w:r>
      <w:r w:rsidR="00FE3B62" w:rsidRPr="0001052D">
        <w:rPr>
          <w:rFonts w:eastAsia="Calibri" w:cs="Times New Roman"/>
          <w:color w:val="000000" w:themeColor="text1"/>
        </w:rPr>
        <w:t xml:space="preserve"> </w:t>
      </w:r>
      <w:r w:rsidRPr="0001052D">
        <w:rPr>
          <w:rFonts w:eastAsia="Calibri" w:cs="Times New Roman"/>
          <w:color w:val="000000" w:themeColor="text1"/>
        </w:rPr>
        <w:t xml:space="preserve">identify several lines where the peak tiller number and biomass ratios were on the same end of the </w:t>
      </w:r>
      <w:r w:rsidR="00101AED">
        <w:rPr>
          <w:rFonts w:eastAsia="Calibri" w:cs="Times New Roman"/>
          <w:color w:val="000000" w:themeColor="text1"/>
        </w:rPr>
        <w:t>sensitivity</w:t>
      </w:r>
      <w:r w:rsidRPr="0001052D">
        <w:rPr>
          <w:rFonts w:eastAsia="Calibri" w:cs="Times New Roman"/>
          <w:color w:val="000000" w:themeColor="text1"/>
        </w:rPr>
        <w:t xml:space="preserve"> spectrum, either high or low. When looking at the 500ml:100ml ratios for peak tiller number</w:t>
      </w:r>
      <w:r w:rsidR="003A22D4">
        <w:rPr>
          <w:rFonts w:eastAsia="Calibri" w:cs="Times New Roman"/>
          <w:color w:val="000000" w:themeColor="text1"/>
        </w:rPr>
        <w:t xml:space="preserve"> this</w:t>
      </w:r>
      <w:r w:rsidR="003A22D4" w:rsidRPr="0001052D">
        <w:rPr>
          <w:rFonts w:eastAsia="Calibri" w:cs="Times New Roman"/>
          <w:color w:val="000000" w:themeColor="text1"/>
        </w:rPr>
        <w:t xml:space="preserve"> ranged from 1.33-5.25.</w:t>
      </w:r>
      <w:r w:rsidR="003A22D4">
        <w:rPr>
          <w:rFonts w:eastAsia="Calibri" w:cs="Times New Roman"/>
          <w:color w:val="000000" w:themeColor="text1"/>
        </w:rPr>
        <w:t xml:space="preserve"> T</w:t>
      </w:r>
      <w:r w:rsidRPr="0001052D">
        <w:rPr>
          <w:rFonts w:eastAsia="Calibri" w:cs="Times New Roman"/>
          <w:color w:val="000000" w:themeColor="text1"/>
        </w:rPr>
        <w:t xml:space="preserve">he 6 lines with </w:t>
      </w:r>
      <w:r>
        <w:rPr>
          <w:rFonts w:eastAsia="Calibri" w:cs="Times New Roman"/>
        </w:rPr>
        <w:t xml:space="preserve">the </w:t>
      </w:r>
      <w:r w:rsidRPr="00C54704">
        <w:rPr>
          <w:rFonts w:eastAsia="Calibri" w:cs="Times New Roman"/>
        </w:rPr>
        <w:t>highest (</w:t>
      </w:r>
      <w:r>
        <w:rPr>
          <w:rFonts w:eastAsia="Calibri" w:cs="Times New Roman"/>
        </w:rPr>
        <w:t>sky blue</w:t>
      </w:r>
      <w:r w:rsidRPr="00C54704">
        <w:rPr>
          <w:rFonts w:eastAsia="Calibri" w:cs="Times New Roman"/>
        </w:rPr>
        <w:t xml:space="preserve">) and lowest </w:t>
      </w:r>
      <w:r w:rsidRPr="00C54704">
        <w:rPr>
          <w:rFonts w:eastAsia="Calibri" w:cs="Times New Roman"/>
        </w:rPr>
        <w:lastRenderedPageBreak/>
        <w:t>(</w:t>
      </w:r>
      <w:r>
        <w:rPr>
          <w:rFonts w:eastAsia="Calibri" w:cs="Times New Roman"/>
        </w:rPr>
        <w:t>peach</w:t>
      </w:r>
      <w:r w:rsidRPr="00C54704">
        <w:rPr>
          <w:rFonts w:eastAsia="Calibri" w:cs="Times New Roman"/>
        </w:rPr>
        <w:t xml:space="preserve">) 500ml:100ml </w:t>
      </w:r>
      <w:r>
        <w:rPr>
          <w:rFonts w:eastAsia="Calibri" w:cs="Times New Roman"/>
        </w:rPr>
        <w:t xml:space="preserve">tiller </w:t>
      </w:r>
      <w:r w:rsidRPr="00C54704">
        <w:rPr>
          <w:rFonts w:eastAsia="Calibri" w:cs="Times New Roman"/>
        </w:rPr>
        <w:t>ratio were identified</w:t>
      </w:r>
      <w:r>
        <w:rPr>
          <w:rFonts w:eastAsia="Calibri" w:cs="Times New Roman"/>
        </w:rPr>
        <w:t xml:space="preserve"> (Fig</w:t>
      </w:r>
      <w:r w:rsidR="00A308C0">
        <w:rPr>
          <w:rFonts w:eastAsia="Calibri" w:cs="Times New Roman"/>
        </w:rPr>
        <w:t>.</w:t>
      </w:r>
      <w:r>
        <w:rPr>
          <w:rFonts w:eastAsia="Calibri" w:cs="Times New Roman"/>
        </w:rPr>
        <w:t xml:space="preserve"> 3.14A-B)</w:t>
      </w:r>
      <w:r w:rsidRPr="00C54704">
        <w:rPr>
          <w:rFonts w:eastAsia="Calibri" w:cs="Times New Roman"/>
        </w:rPr>
        <w:t xml:space="preserve">. </w:t>
      </w:r>
      <w:r>
        <w:rPr>
          <w:rFonts w:eastAsia="Calibri" w:cs="Times New Roman"/>
        </w:rPr>
        <w:t>The h</w:t>
      </w:r>
      <w:r w:rsidRPr="00C54704">
        <w:rPr>
          <w:rFonts w:eastAsia="Calibri" w:cs="Times New Roman"/>
        </w:rPr>
        <w:t xml:space="preserve">igh </w:t>
      </w:r>
      <w:r>
        <w:rPr>
          <w:rFonts w:eastAsia="Calibri" w:cs="Times New Roman"/>
        </w:rPr>
        <w:t>sensitivity</w:t>
      </w:r>
      <w:r w:rsidRPr="00C54704">
        <w:rPr>
          <w:rFonts w:eastAsia="Calibri" w:cs="Times New Roman"/>
        </w:rPr>
        <w:t xml:space="preserve"> lines (lowest to highest</w:t>
      </w:r>
      <w:r>
        <w:rPr>
          <w:rFonts w:eastAsia="Calibri" w:cs="Times New Roman"/>
        </w:rPr>
        <w:t xml:space="preserve"> respectively</w:t>
      </w:r>
      <w:r w:rsidRPr="00C54704">
        <w:rPr>
          <w:rFonts w:eastAsia="Calibri" w:cs="Times New Roman"/>
        </w:rPr>
        <w:t xml:space="preserve">) </w:t>
      </w:r>
      <w:r>
        <w:rPr>
          <w:rFonts w:eastAsia="Calibri" w:cs="Times New Roman"/>
        </w:rPr>
        <w:t>identified were</w:t>
      </w:r>
      <w:r w:rsidRPr="00C54704">
        <w:rPr>
          <w:rFonts w:eastAsia="Calibri" w:cs="Times New Roman"/>
        </w:rPr>
        <w:t xml:space="preserve">: HOR 13836, HOR 18201, LG Tosca, HOR 16358, HOR 21641, KWS Thalis. </w:t>
      </w:r>
      <w:r>
        <w:rPr>
          <w:rFonts w:eastAsia="Calibri" w:cs="Times New Roman"/>
        </w:rPr>
        <w:t>The l</w:t>
      </w:r>
      <w:r w:rsidRPr="00C54704">
        <w:rPr>
          <w:rFonts w:eastAsia="Calibri" w:cs="Times New Roman"/>
        </w:rPr>
        <w:t xml:space="preserve">ow </w:t>
      </w:r>
      <w:r>
        <w:rPr>
          <w:rFonts w:eastAsia="Calibri" w:cs="Times New Roman"/>
        </w:rPr>
        <w:t>sensitivity</w:t>
      </w:r>
      <w:r w:rsidRPr="00C54704">
        <w:rPr>
          <w:rFonts w:eastAsia="Calibri" w:cs="Times New Roman"/>
        </w:rPr>
        <w:t xml:space="preserve"> lines</w:t>
      </w:r>
      <w:r>
        <w:rPr>
          <w:rFonts w:eastAsia="Calibri" w:cs="Times New Roman"/>
        </w:rPr>
        <w:t xml:space="preserve"> </w:t>
      </w:r>
      <w:r w:rsidRPr="00C54704">
        <w:rPr>
          <w:rFonts w:eastAsia="Calibri" w:cs="Times New Roman"/>
        </w:rPr>
        <w:t>(lowest to highest</w:t>
      </w:r>
      <w:r>
        <w:rPr>
          <w:rFonts w:eastAsia="Calibri" w:cs="Times New Roman"/>
        </w:rPr>
        <w:t xml:space="preserve"> respectively</w:t>
      </w:r>
      <w:r w:rsidRPr="00C54704">
        <w:rPr>
          <w:rFonts w:eastAsia="Calibri" w:cs="Times New Roman"/>
        </w:rPr>
        <w:t>)</w:t>
      </w:r>
      <w:r>
        <w:rPr>
          <w:rFonts w:eastAsia="Calibri" w:cs="Times New Roman"/>
        </w:rPr>
        <w:t xml:space="preserve"> identified were</w:t>
      </w:r>
      <w:r w:rsidRPr="00C54704">
        <w:rPr>
          <w:rFonts w:eastAsia="Calibri" w:cs="Times New Roman"/>
        </w:rPr>
        <w:t xml:space="preserve">: HOR 12070, </w:t>
      </w:r>
      <w:r w:rsidR="0017771D" w:rsidRPr="00C54704">
        <w:rPr>
          <w:rFonts w:eastAsia="Calibri" w:cs="Times New Roman"/>
        </w:rPr>
        <w:t>HOR 10990</w:t>
      </w:r>
      <w:r w:rsidR="0017771D">
        <w:rPr>
          <w:rFonts w:eastAsia="Calibri" w:cs="Times New Roman"/>
        </w:rPr>
        <w:t xml:space="preserve">, </w:t>
      </w:r>
      <w:r w:rsidRPr="00C54704">
        <w:rPr>
          <w:rFonts w:eastAsia="Calibri" w:cs="Times New Roman"/>
        </w:rPr>
        <w:t xml:space="preserve">HOR 15898, HOR 18824, HOR </w:t>
      </w:r>
      <w:r w:rsidR="00230312">
        <w:rPr>
          <w:rFonts w:eastAsia="Calibri" w:cs="Times New Roman"/>
          <w:noProof/>
        </w:rPr>
        <w:drawing>
          <wp:anchor distT="0" distB="0" distL="114300" distR="114300" simplePos="0" relativeHeight="251567616" behindDoc="0" locked="0" layoutInCell="1" allowOverlap="1" wp14:anchorId="2ABCDACE" wp14:editId="4979D46D">
            <wp:simplePos x="0" y="0"/>
            <wp:positionH relativeFrom="margin">
              <wp:align>right</wp:align>
            </wp:positionH>
            <wp:positionV relativeFrom="paragraph">
              <wp:posOffset>2591629</wp:posOffset>
            </wp:positionV>
            <wp:extent cx="5186045" cy="4381500"/>
            <wp:effectExtent l="0" t="0" r="0" b="0"/>
            <wp:wrapSquare wrapText="bothSides"/>
            <wp:docPr id="786110559" name="Picture 5"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110559" name="Picture 5" descr="A graph of different colored bars&#10;&#10;Description automatically generated with medium confidence"/>
                    <pic:cNvPicPr/>
                  </pic:nvPicPr>
                  <pic:blipFill rotWithShape="1">
                    <a:blip r:embed="rId36" cstate="print">
                      <a:extLst>
                        <a:ext uri="{28A0092B-C50C-407E-A947-70E740481C1C}">
                          <a14:useLocalDpi xmlns:a14="http://schemas.microsoft.com/office/drawing/2010/main" val="0"/>
                        </a:ext>
                      </a:extLst>
                    </a:blip>
                    <a:srcRect l="1667" r="2656"/>
                    <a:stretch/>
                  </pic:blipFill>
                  <pic:spPr bwMode="auto">
                    <a:xfrm>
                      <a:off x="0" y="0"/>
                      <a:ext cx="5186045" cy="4381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4704">
        <w:rPr>
          <w:rFonts w:eastAsia="Calibri" w:cs="Times New Roman"/>
        </w:rPr>
        <w:t>2369, HOR 11126</w:t>
      </w:r>
      <w:r>
        <w:rPr>
          <w:rFonts w:eastAsia="Calibri" w:cs="Times New Roman"/>
        </w:rPr>
        <w:t xml:space="preserve"> (Fig</w:t>
      </w:r>
      <w:r w:rsidR="00685633">
        <w:rPr>
          <w:rFonts w:eastAsia="Calibri" w:cs="Times New Roman"/>
        </w:rPr>
        <w:t>.</w:t>
      </w:r>
      <w:r>
        <w:rPr>
          <w:rFonts w:eastAsia="Calibri" w:cs="Times New Roman"/>
        </w:rPr>
        <w:t xml:space="preserve"> 3.14A-B)</w:t>
      </w:r>
      <w:r w:rsidRPr="00C54704">
        <w:rPr>
          <w:rFonts w:eastAsia="Calibri" w:cs="Times New Roman"/>
        </w:rPr>
        <w:t>.</w:t>
      </w:r>
    </w:p>
    <w:p w14:paraId="18BD868B" w14:textId="716778E9" w:rsidR="0013233D" w:rsidRPr="00C54704" w:rsidRDefault="0013233D" w:rsidP="0013233D">
      <w:pPr>
        <w:spacing w:line="480" w:lineRule="auto"/>
        <w:rPr>
          <w:rFonts w:eastAsia="Calibri" w:cs="Times New Roman"/>
        </w:rPr>
      </w:pPr>
    </w:p>
    <w:p w14:paraId="7368A5D2" w14:textId="5B7CBE15" w:rsidR="0013233D" w:rsidRDefault="0013233D" w:rsidP="0013233D">
      <w:pPr>
        <w:pStyle w:val="Caption"/>
        <w:rPr>
          <w:rFonts w:eastAsia="Calibri" w:cs="Times New Roman"/>
          <w:b w:val="0"/>
          <w:bCs w:val="0"/>
        </w:rPr>
      </w:pPr>
      <w:bookmarkStart w:id="131" w:name="_Toc146657556"/>
      <w:bookmarkStart w:id="132" w:name="_Toc154331548"/>
      <w:r>
        <w:t xml:space="preserve">Figure </w:t>
      </w:r>
      <w:fldSimple w:instr=" STYLEREF 1 \s ">
        <w:r w:rsidR="004B7F70">
          <w:rPr>
            <w:noProof/>
          </w:rPr>
          <w:t>3</w:t>
        </w:r>
      </w:fldSimple>
      <w:r w:rsidR="00C97D34">
        <w:t>.</w:t>
      </w:r>
      <w:fldSimple w:instr=" SEQ Figure \* ARABIC \s 1 ">
        <w:r w:rsidR="004B7F70">
          <w:rPr>
            <w:noProof/>
          </w:rPr>
          <w:t>14</w:t>
        </w:r>
      </w:fldSimple>
      <w:r>
        <w:t xml:space="preserve"> </w:t>
      </w:r>
      <w:r w:rsidRPr="00824ACA">
        <w:t>Sensitivity to soil volume is varied across spring barley lines and is reflected in tiller production</w:t>
      </w:r>
      <w:bookmarkEnd w:id="131"/>
      <w:bookmarkEnd w:id="132"/>
    </w:p>
    <w:p w14:paraId="43B8FC89" w14:textId="77777777" w:rsidR="0013233D" w:rsidRDefault="0013233D" w:rsidP="0013233D">
      <w:pPr>
        <w:pStyle w:val="Description"/>
        <w:rPr>
          <w:rFonts w:eastAsia="Calibri"/>
        </w:rPr>
      </w:pPr>
      <w:r w:rsidRPr="001953EA">
        <w:rPr>
          <w:rFonts w:eastAsia="Calibri"/>
        </w:rPr>
        <w:t>A-B) Bar charts showing the 500ml:100ml ratio of peak tiller number (regardless of the week it occurred) in 94 spring barley lines. Peach bars represent low sensitivity lines, sky blue bars represent high sensitivity lines.</w:t>
      </w:r>
    </w:p>
    <w:p w14:paraId="22FD5CCF" w14:textId="77777777" w:rsidR="0013233D" w:rsidRPr="0013233D" w:rsidRDefault="0013233D" w:rsidP="0013233D"/>
    <w:p w14:paraId="5A227405" w14:textId="1D7FA307" w:rsidR="00230312" w:rsidRPr="0001052D" w:rsidRDefault="00230312" w:rsidP="00230312">
      <w:pPr>
        <w:spacing w:line="480" w:lineRule="auto"/>
        <w:rPr>
          <w:rFonts w:eastAsia="Calibri" w:cs="Times New Roman"/>
          <w:color w:val="000000" w:themeColor="text1"/>
        </w:rPr>
      </w:pPr>
      <w:r w:rsidRPr="0001052D">
        <w:rPr>
          <w:rFonts w:eastAsia="Calibri" w:cs="Times New Roman"/>
          <w:color w:val="000000" w:themeColor="text1"/>
        </w:rPr>
        <w:t>The 500ml:100ml shoot biomass ratio also needed to be taken into consideration and this was seen to vary greatly across the lines, from 1.57-</w:t>
      </w:r>
      <w:r w:rsidRPr="0001052D">
        <w:rPr>
          <w:rFonts w:eastAsia="Calibri" w:cs="Times New Roman"/>
          <w:color w:val="000000" w:themeColor="text1"/>
        </w:rPr>
        <w:lastRenderedPageBreak/>
        <w:t>11.5 (Fig</w:t>
      </w:r>
      <w:r w:rsidR="00380941">
        <w:rPr>
          <w:rFonts w:eastAsia="Calibri" w:cs="Times New Roman"/>
          <w:color w:val="000000" w:themeColor="text1"/>
        </w:rPr>
        <w:t>.</w:t>
      </w:r>
      <w:r w:rsidRPr="0001052D">
        <w:rPr>
          <w:rFonts w:eastAsia="Calibri" w:cs="Times New Roman"/>
          <w:color w:val="000000" w:themeColor="text1"/>
        </w:rPr>
        <w:t xml:space="preserve"> 3.15A-B). The lines previously identified via their 500ml:100ml peak tiller ratio were mostly found to cluster in the same end of the sensitivity spectrum as for tiller number. Both the 500ml:100ml peak tiller number and biomass ratios were considered when shortlisting 3 high and 3 low </w:t>
      </w:r>
      <w:r w:rsidR="00614BDD" w:rsidRPr="0001052D">
        <w:rPr>
          <w:rFonts w:eastAsia="Calibri" w:cs="Times New Roman"/>
          <w:color w:val="000000" w:themeColor="text1"/>
        </w:rPr>
        <w:t xml:space="preserve">sensitivity </w:t>
      </w:r>
      <w:r w:rsidRPr="0001052D">
        <w:rPr>
          <w:rFonts w:eastAsia="Calibri" w:cs="Times New Roman"/>
          <w:color w:val="000000" w:themeColor="text1"/>
        </w:rPr>
        <w:t>lines to assess further (Fig</w:t>
      </w:r>
      <w:r w:rsidR="008C465B">
        <w:rPr>
          <w:rFonts w:eastAsia="Calibri" w:cs="Times New Roman"/>
          <w:color w:val="000000" w:themeColor="text1"/>
        </w:rPr>
        <w:t>.</w:t>
      </w:r>
      <w:r w:rsidRPr="0001052D">
        <w:rPr>
          <w:rFonts w:eastAsia="Calibri" w:cs="Times New Roman"/>
          <w:color w:val="000000" w:themeColor="text1"/>
        </w:rPr>
        <w:t xml:space="preserve"> 3.15A-B). </w:t>
      </w:r>
    </w:p>
    <w:p w14:paraId="76C9CD03" w14:textId="67CA5C04" w:rsidR="00230312" w:rsidRDefault="00230312" w:rsidP="00230312">
      <w:pPr>
        <w:spacing w:line="480" w:lineRule="auto"/>
        <w:rPr>
          <w:rFonts w:eastAsia="Calibri" w:cs="Times New Roman"/>
        </w:rPr>
      </w:pPr>
      <w:r w:rsidRPr="00C54704">
        <w:rPr>
          <w:rFonts w:eastAsia="Calibri" w:cs="Times New Roman"/>
        </w:rPr>
        <w:t xml:space="preserve">Regarding the biomass ranking of the low </w:t>
      </w:r>
      <w:r>
        <w:rPr>
          <w:rFonts w:eastAsia="Calibri" w:cs="Times New Roman"/>
        </w:rPr>
        <w:t>sensitivity</w:t>
      </w:r>
      <w:r w:rsidRPr="00C54704">
        <w:rPr>
          <w:rFonts w:eastAsia="Calibri" w:cs="Times New Roman"/>
        </w:rPr>
        <w:t xml:space="preserve"> lines, HOR 15898 and HOR 2369 were found to cluster towards the middle of the</w:t>
      </w:r>
      <w:r>
        <w:rPr>
          <w:rFonts w:eastAsia="Calibri" w:cs="Times New Roman"/>
        </w:rPr>
        <w:t xml:space="preserve"> biomass</w:t>
      </w:r>
      <w:r w:rsidRPr="00C54704">
        <w:rPr>
          <w:rFonts w:eastAsia="Calibri" w:cs="Times New Roman"/>
        </w:rPr>
        <w:t xml:space="preserve"> spectrum, hence were no longer regarded as low </w:t>
      </w:r>
      <w:r>
        <w:rPr>
          <w:rFonts w:eastAsia="Calibri" w:cs="Times New Roman"/>
        </w:rPr>
        <w:t>sensitivity and were not selected for further analysis (Fig</w:t>
      </w:r>
      <w:r w:rsidR="00103A82">
        <w:rPr>
          <w:rFonts w:eastAsia="Calibri" w:cs="Times New Roman"/>
        </w:rPr>
        <w:t>.</w:t>
      </w:r>
      <w:r>
        <w:rPr>
          <w:rFonts w:eastAsia="Calibri" w:cs="Times New Roman"/>
        </w:rPr>
        <w:t xml:space="preserve"> 3.15A)</w:t>
      </w:r>
      <w:r w:rsidRPr="00C54704">
        <w:rPr>
          <w:rFonts w:eastAsia="Calibri" w:cs="Times New Roman"/>
        </w:rPr>
        <w:t xml:space="preserve">. No biomass measurements were able to be taken for HOR 18824 due </w:t>
      </w:r>
      <w:r>
        <w:rPr>
          <w:rFonts w:eastAsia="Calibri" w:cs="Times New Roman"/>
        </w:rPr>
        <w:t xml:space="preserve">to COVID-19, </w:t>
      </w:r>
      <w:r w:rsidRPr="00C54704">
        <w:rPr>
          <w:rFonts w:eastAsia="Calibri" w:cs="Times New Roman"/>
        </w:rPr>
        <w:t>hence this line was</w:t>
      </w:r>
      <w:r>
        <w:rPr>
          <w:rFonts w:eastAsia="Calibri" w:cs="Times New Roman"/>
        </w:rPr>
        <w:t xml:space="preserve"> also</w:t>
      </w:r>
      <w:r w:rsidRPr="00C54704">
        <w:rPr>
          <w:rFonts w:eastAsia="Calibri" w:cs="Times New Roman"/>
        </w:rPr>
        <w:t xml:space="preserve"> removed from the shortlist. </w:t>
      </w:r>
    </w:p>
    <w:p w14:paraId="36CAED31" w14:textId="77777777" w:rsidR="00230312" w:rsidRDefault="00230312" w:rsidP="00230312">
      <w:pPr>
        <w:spacing w:line="480" w:lineRule="auto"/>
        <w:rPr>
          <w:rFonts w:eastAsia="Calibri" w:cs="Times New Roman"/>
        </w:rPr>
      </w:pPr>
      <w:r>
        <w:rPr>
          <w:rFonts w:eastAsia="Calibri" w:cs="Times New Roman"/>
        </w:rPr>
        <w:t>The highly-responsive lines HOR 13836 and HOR 18201 both had a higher (albeit slight) 500ml:100ml shoot biomass ratio than KWS Thalis (Fig 3.15 B). Nevertheless, KWS Thalis was selected over these due to the full genetic history of KWS Thalis being known, and hence providing the potential for better understanding of the genetics underpinning this response.</w:t>
      </w:r>
      <w:r w:rsidRPr="004316F8">
        <w:rPr>
          <w:rFonts w:eastAsia="Calibri" w:cs="Times New Roman"/>
        </w:rPr>
        <w:t xml:space="preserve"> </w:t>
      </w:r>
    </w:p>
    <w:p w14:paraId="59143CAC" w14:textId="77777777" w:rsidR="00230312" w:rsidRDefault="00230312" w:rsidP="00230312">
      <w:pPr>
        <w:spacing w:line="240" w:lineRule="auto"/>
        <w:rPr>
          <w:rFonts w:eastAsia="Calibri" w:cs="Times New Roman"/>
          <w:b/>
          <w:bCs/>
        </w:rPr>
      </w:pPr>
    </w:p>
    <w:p w14:paraId="596F598E" w14:textId="77777777" w:rsidR="00230312" w:rsidRDefault="00230312" w:rsidP="00230312">
      <w:pPr>
        <w:spacing w:line="240" w:lineRule="auto"/>
        <w:rPr>
          <w:rFonts w:eastAsia="Calibri" w:cs="Times New Roman"/>
          <w:b/>
          <w:bCs/>
        </w:rPr>
      </w:pPr>
    </w:p>
    <w:p w14:paraId="5E1A67C8" w14:textId="77777777" w:rsidR="00230312" w:rsidRDefault="00230312" w:rsidP="00230312">
      <w:pPr>
        <w:spacing w:line="240" w:lineRule="auto"/>
        <w:rPr>
          <w:rFonts w:eastAsia="Calibri" w:cs="Times New Roman"/>
          <w:b/>
          <w:bCs/>
        </w:rPr>
      </w:pPr>
    </w:p>
    <w:p w14:paraId="117A21F7" w14:textId="77777777" w:rsidR="00230312" w:rsidRDefault="00230312" w:rsidP="00230312">
      <w:pPr>
        <w:spacing w:line="240" w:lineRule="auto"/>
        <w:rPr>
          <w:rFonts w:eastAsia="Calibri" w:cs="Times New Roman"/>
          <w:b/>
          <w:bCs/>
        </w:rPr>
      </w:pPr>
    </w:p>
    <w:p w14:paraId="5DDA3A95" w14:textId="77777777" w:rsidR="00230312" w:rsidRDefault="00230312" w:rsidP="00230312">
      <w:pPr>
        <w:spacing w:line="240" w:lineRule="auto"/>
        <w:rPr>
          <w:rFonts w:eastAsia="Calibri" w:cs="Times New Roman"/>
          <w:b/>
          <w:bCs/>
        </w:rPr>
      </w:pPr>
    </w:p>
    <w:p w14:paraId="44A289D1" w14:textId="77777777" w:rsidR="00230312" w:rsidRDefault="00230312" w:rsidP="00230312">
      <w:pPr>
        <w:spacing w:line="240" w:lineRule="auto"/>
        <w:rPr>
          <w:rFonts w:eastAsia="Calibri" w:cs="Times New Roman"/>
          <w:b/>
          <w:bCs/>
        </w:rPr>
      </w:pPr>
    </w:p>
    <w:p w14:paraId="1FF8FC4B" w14:textId="77777777" w:rsidR="00230312" w:rsidRDefault="00230312" w:rsidP="00230312">
      <w:pPr>
        <w:spacing w:line="240" w:lineRule="auto"/>
        <w:rPr>
          <w:rFonts w:eastAsia="Calibri" w:cs="Times New Roman"/>
          <w:b/>
          <w:bCs/>
        </w:rPr>
      </w:pPr>
    </w:p>
    <w:p w14:paraId="7565A470" w14:textId="77777777" w:rsidR="00230312" w:rsidRDefault="00230312" w:rsidP="00230312">
      <w:pPr>
        <w:spacing w:line="240" w:lineRule="auto"/>
        <w:rPr>
          <w:rFonts w:eastAsia="Calibri" w:cs="Times New Roman"/>
          <w:b/>
          <w:bCs/>
        </w:rPr>
      </w:pPr>
    </w:p>
    <w:p w14:paraId="741C625D" w14:textId="77777777" w:rsidR="00230312" w:rsidRDefault="00230312" w:rsidP="00230312">
      <w:pPr>
        <w:spacing w:line="240" w:lineRule="auto"/>
        <w:rPr>
          <w:rFonts w:eastAsia="Calibri" w:cs="Times New Roman"/>
          <w:b/>
          <w:bCs/>
        </w:rPr>
      </w:pPr>
    </w:p>
    <w:p w14:paraId="302C9FD4" w14:textId="77777777" w:rsidR="00230312" w:rsidRDefault="00230312" w:rsidP="00230312">
      <w:pPr>
        <w:spacing w:line="240" w:lineRule="auto"/>
        <w:rPr>
          <w:rFonts w:eastAsia="Calibri" w:cs="Times New Roman"/>
          <w:b/>
          <w:bCs/>
        </w:rPr>
      </w:pPr>
    </w:p>
    <w:p w14:paraId="7CF87A9C" w14:textId="77777777" w:rsidR="00230312" w:rsidRDefault="00230312" w:rsidP="00230312">
      <w:pPr>
        <w:spacing w:line="240" w:lineRule="auto"/>
        <w:rPr>
          <w:rFonts w:eastAsia="Calibri" w:cs="Times New Roman"/>
          <w:b/>
          <w:bCs/>
        </w:rPr>
      </w:pPr>
    </w:p>
    <w:p w14:paraId="743F5396" w14:textId="77777777" w:rsidR="00230312" w:rsidRDefault="00230312" w:rsidP="00230312">
      <w:pPr>
        <w:spacing w:line="240" w:lineRule="auto"/>
        <w:rPr>
          <w:rFonts w:eastAsia="Calibri" w:cs="Times New Roman"/>
          <w:b/>
          <w:bCs/>
        </w:rPr>
      </w:pPr>
    </w:p>
    <w:p w14:paraId="2B8279BB" w14:textId="77777777" w:rsidR="00230312" w:rsidRDefault="00230312" w:rsidP="00230312">
      <w:pPr>
        <w:spacing w:line="240" w:lineRule="auto"/>
        <w:rPr>
          <w:rFonts w:eastAsia="Calibri" w:cs="Times New Roman"/>
          <w:b/>
          <w:bCs/>
        </w:rPr>
      </w:pPr>
    </w:p>
    <w:p w14:paraId="3671705A" w14:textId="21DE6BCA" w:rsidR="006E0854" w:rsidRDefault="004C3F84" w:rsidP="004C3F84">
      <w:pPr>
        <w:pStyle w:val="Caption"/>
        <w:rPr>
          <w:rFonts w:eastAsia="Calibri" w:cs="Times New Roman"/>
          <w:b w:val="0"/>
          <w:bCs w:val="0"/>
        </w:rPr>
      </w:pPr>
      <w:bookmarkStart w:id="133" w:name="_Toc146657557"/>
      <w:bookmarkStart w:id="134" w:name="_Toc154331549"/>
      <w:r>
        <w:lastRenderedPageBreak/>
        <w:t xml:space="preserve">Figure </w:t>
      </w:r>
      <w:fldSimple w:instr=" STYLEREF 1 \s ">
        <w:r w:rsidR="004B7F70">
          <w:rPr>
            <w:noProof/>
          </w:rPr>
          <w:t>3</w:t>
        </w:r>
      </w:fldSimple>
      <w:r w:rsidR="00C97D34">
        <w:t>.</w:t>
      </w:r>
      <w:fldSimple w:instr=" SEQ Figure \* ARABIC \s 1 ">
        <w:r w:rsidR="004B7F70">
          <w:rPr>
            <w:noProof/>
          </w:rPr>
          <w:t>15</w:t>
        </w:r>
      </w:fldSimple>
      <w:r>
        <w:t xml:space="preserve"> </w:t>
      </w:r>
      <w:r w:rsidRPr="0015520E">
        <w:t xml:space="preserve">Shoot system size </w:t>
      </w:r>
      <w:r w:rsidR="00FE3B62" w:rsidRPr="0015520E">
        <w:t>varie</w:t>
      </w:r>
      <w:r w:rsidR="00FE3B62">
        <w:t>s</w:t>
      </w:r>
      <w:r w:rsidR="00FE3B62" w:rsidRPr="0015520E">
        <w:t xml:space="preserve"> </w:t>
      </w:r>
      <w:r w:rsidRPr="0015520E">
        <w:t>greatly across spring barley lines in response to soil volume availability</w:t>
      </w:r>
      <w:r w:rsidR="006E0854">
        <w:rPr>
          <w:rFonts w:eastAsia="Calibri" w:cs="Times New Roman"/>
          <w:noProof/>
          <w:sz w:val="24"/>
        </w:rPr>
        <w:drawing>
          <wp:anchor distT="0" distB="0" distL="114300" distR="114300" simplePos="0" relativeHeight="251574784" behindDoc="0" locked="0" layoutInCell="1" allowOverlap="1" wp14:anchorId="303D792A" wp14:editId="61709D43">
            <wp:simplePos x="0" y="0"/>
            <wp:positionH relativeFrom="column">
              <wp:posOffset>-5715</wp:posOffset>
            </wp:positionH>
            <wp:positionV relativeFrom="paragraph">
              <wp:posOffset>205</wp:posOffset>
            </wp:positionV>
            <wp:extent cx="5152390" cy="4354195"/>
            <wp:effectExtent l="0" t="0" r="0" b="8255"/>
            <wp:wrapTopAndBottom/>
            <wp:docPr id="1764759428" name="Picture 6" descr="A graph of data showing low serous and high serou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759428" name="Picture 6" descr="A graph of data showing low serous and high serous&#10;&#10;Description automatically generated with medium confidence"/>
                    <pic:cNvPicPr/>
                  </pic:nvPicPr>
                  <pic:blipFill rotWithShape="1">
                    <a:blip r:embed="rId37" cstate="print">
                      <a:extLst>
                        <a:ext uri="{28A0092B-C50C-407E-A947-70E740481C1C}">
                          <a14:useLocalDpi xmlns:a14="http://schemas.microsoft.com/office/drawing/2010/main" val="0"/>
                        </a:ext>
                      </a:extLst>
                    </a:blip>
                    <a:srcRect l="1764" t="1876"/>
                    <a:stretch/>
                  </pic:blipFill>
                  <pic:spPr bwMode="auto">
                    <a:xfrm>
                      <a:off x="0" y="0"/>
                      <a:ext cx="5152390" cy="4354195"/>
                    </a:xfrm>
                    <a:prstGeom prst="rect">
                      <a:avLst/>
                    </a:prstGeom>
                    <a:ln>
                      <a:noFill/>
                    </a:ln>
                    <a:extLst>
                      <a:ext uri="{53640926-AAD7-44D8-BBD7-CCE9431645EC}">
                        <a14:shadowObscured xmlns:a14="http://schemas.microsoft.com/office/drawing/2010/main"/>
                      </a:ext>
                    </a:extLst>
                  </pic:spPr>
                </pic:pic>
              </a:graphicData>
            </a:graphic>
          </wp:anchor>
        </w:drawing>
      </w:r>
      <w:bookmarkEnd w:id="133"/>
      <w:bookmarkEnd w:id="134"/>
    </w:p>
    <w:p w14:paraId="776E8949" w14:textId="0FE95A73" w:rsidR="00230312" w:rsidRDefault="00230312" w:rsidP="004C3F84">
      <w:pPr>
        <w:pStyle w:val="Description"/>
        <w:rPr>
          <w:rFonts w:eastAsia="Calibri"/>
        </w:rPr>
      </w:pPr>
      <w:r w:rsidRPr="006C152F">
        <w:rPr>
          <w:rFonts w:eastAsia="Calibri"/>
        </w:rPr>
        <w:t>A-B) Bar charts showing the 500ml:100ml ratio of dry shoot biomass at 8 weeks post germination in 85 spring barley lines. Peach bars represent low sensitivity lines, sky blue bars represent high sensitivity lines.</w:t>
      </w:r>
    </w:p>
    <w:p w14:paraId="49AF2ADA" w14:textId="71DF73E8" w:rsidR="00BA47BE" w:rsidRDefault="00BA47BE" w:rsidP="00BA47BE"/>
    <w:p w14:paraId="79568240" w14:textId="77777777" w:rsidR="004C3F84" w:rsidRDefault="004C3F84" w:rsidP="004C3F84">
      <w:pPr>
        <w:spacing w:line="480" w:lineRule="auto"/>
        <w:rPr>
          <w:rFonts w:eastAsia="Calibri" w:cs="Times New Roman"/>
        </w:rPr>
      </w:pPr>
      <w:r w:rsidRPr="00C54704">
        <w:rPr>
          <w:rFonts w:eastAsia="Calibri" w:cs="Times New Roman"/>
        </w:rPr>
        <w:t xml:space="preserve">LG Tosca, HOR 21641 and KWS Thalis were </w:t>
      </w:r>
      <w:r>
        <w:rPr>
          <w:rFonts w:eastAsia="Calibri" w:cs="Times New Roman"/>
        </w:rPr>
        <w:t xml:space="preserve">thus selected </w:t>
      </w:r>
      <w:r w:rsidRPr="00C54704">
        <w:rPr>
          <w:rFonts w:eastAsia="Calibri" w:cs="Times New Roman"/>
        </w:rPr>
        <w:t>as</w:t>
      </w:r>
      <w:r>
        <w:rPr>
          <w:rFonts w:eastAsia="Calibri" w:cs="Times New Roman"/>
        </w:rPr>
        <w:t xml:space="preserve"> representative </w:t>
      </w:r>
      <w:r w:rsidRPr="00C54704">
        <w:rPr>
          <w:rFonts w:eastAsia="Calibri" w:cs="Times New Roman"/>
        </w:rPr>
        <w:t xml:space="preserve">high </w:t>
      </w:r>
      <w:r>
        <w:rPr>
          <w:rFonts w:eastAsia="Calibri" w:cs="Times New Roman"/>
        </w:rPr>
        <w:t>sensitivit</w:t>
      </w:r>
      <w:r w:rsidRPr="00C54704">
        <w:rPr>
          <w:rFonts w:eastAsia="Calibri" w:cs="Times New Roman"/>
        </w:rPr>
        <w:t xml:space="preserve">y lines </w:t>
      </w:r>
      <w:r>
        <w:rPr>
          <w:rFonts w:eastAsia="Calibri" w:cs="Times New Roman"/>
        </w:rPr>
        <w:t xml:space="preserve">for further analysis, </w:t>
      </w:r>
      <w:r w:rsidRPr="00C54704">
        <w:rPr>
          <w:rFonts w:eastAsia="Calibri" w:cs="Times New Roman"/>
        </w:rPr>
        <w:t xml:space="preserve">and HOR 12070, HOR 10990 and HOR 11126 were </w:t>
      </w:r>
      <w:r>
        <w:rPr>
          <w:rFonts w:eastAsia="Calibri" w:cs="Times New Roman"/>
        </w:rPr>
        <w:t>selected</w:t>
      </w:r>
      <w:r w:rsidRPr="00C54704">
        <w:rPr>
          <w:rFonts w:eastAsia="Calibri" w:cs="Times New Roman"/>
        </w:rPr>
        <w:t xml:space="preserve"> as the low </w:t>
      </w:r>
      <w:r>
        <w:rPr>
          <w:rFonts w:eastAsia="Calibri" w:cs="Times New Roman"/>
        </w:rPr>
        <w:t>sensitivity</w:t>
      </w:r>
      <w:r w:rsidRPr="00C54704">
        <w:rPr>
          <w:rFonts w:eastAsia="Calibri" w:cs="Times New Roman"/>
        </w:rPr>
        <w:t xml:space="preserve"> lines.</w:t>
      </w:r>
      <w:r>
        <w:rPr>
          <w:rFonts w:eastAsia="Calibri" w:cs="Times New Roman"/>
        </w:rPr>
        <w:t xml:space="preserve"> These lines mainly originated in Europe with the exception of HOR 11126 and HOR 21641 which were from Japan and Chad respectively (Table 3.1). Interestingly, the high sensitivity lines comprised of 2 modern lines with one traditional / landrace line, whereas the low sensitivity lines comprised of 2 advanced / improved lines and 1 traditional / landrace line (Table 3.1).</w:t>
      </w:r>
    </w:p>
    <w:p w14:paraId="06CFD175" w14:textId="77777777" w:rsidR="004C3F84" w:rsidRDefault="004C3F84" w:rsidP="004C3F84">
      <w:pPr>
        <w:spacing w:line="480" w:lineRule="auto"/>
        <w:rPr>
          <w:rFonts w:eastAsia="Calibri" w:cs="Times New Roman"/>
        </w:rPr>
      </w:pPr>
      <w:r>
        <w:rPr>
          <w:rFonts w:eastAsia="Calibri" w:cs="Times New Roman"/>
          <w:noProof/>
        </w:rPr>
        <w:lastRenderedPageBreak/>
        <w:drawing>
          <wp:anchor distT="0" distB="0" distL="114300" distR="114300" simplePos="0" relativeHeight="251581952" behindDoc="0" locked="0" layoutInCell="1" allowOverlap="1" wp14:anchorId="48A7911D" wp14:editId="5F76E06C">
            <wp:simplePos x="0" y="0"/>
            <wp:positionH relativeFrom="margin">
              <wp:align>left</wp:align>
            </wp:positionH>
            <wp:positionV relativeFrom="paragraph">
              <wp:posOffset>235033</wp:posOffset>
            </wp:positionV>
            <wp:extent cx="3847465" cy="2331720"/>
            <wp:effectExtent l="0" t="0" r="635" b="0"/>
            <wp:wrapSquare wrapText="bothSides"/>
            <wp:docPr id="68270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70417" name="Picture 6827041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47465" cy="2331720"/>
                    </a:xfrm>
                    <a:prstGeom prst="rect">
                      <a:avLst/>
                    </a:prstGeom>
                  </pic:spPr>
                </pic:pic>
              </a:graphicData>
            </a:graphic>
            <wp14:sizeRelH relativeFrom="margin">
              <wp14:pctWidth>0</wp14:pctWidth>
            </wp14:sizeRelH>
            <wp14:sizeRelV relativeFrom="margin">
              <wp14:pctHeight>0</wp14:pctHeight>
            </wp14:sizeRelV>
          </wp:anchor>
        </w:drawing>
      </w:r>
    </w:p>
    <w:p w14:paraId="6DA320E3" w14:textId="77777777" w:rsidR="004C3F84" w:rsidRDefault="004C3F84" w:rsidP="004C3F84">
      <w:pPr>
        <w:spacing w:line="480" w:lineRule="auto"/>
        <w:rPr>
          <w:rFonts w:eastAsia="Calibri" w:cs="Times New Roman"/>
        </w:rPr>
      </w:pPr>
    </w:p>
    <w:p w14:paraId="263184D3" w14:textId="77777777" w:rsidR="004C3F84" w:rsidRDefault="004C3F84" w:rsidP="004C3F84">
      <w:pPr>
        <w:spacing w:line="480" w:lineRule="auto"/>
        <w:rPr>
          <w:rFonts w:eastAsia="Calibri" w:cs="Times New Roman"/>
        </w:rPr>
      </w:pPr>
    </w:p>
    <w:p w14:paraId="54C15CE8" w14:textId="77777777" w:rsidR="004C3F84" w:rsidRDefault="004C3F84" w:rsidP="004C3F84">
      <w:pPr>
        <w:spacing w:line="480" w:lineRule="auto"/>
        <w:rPr>
          <w:rFonts w:eastAsia="Calibri" w:cs="Times New Roman"/>
        </w:rPr>
      </w:pPr>
    </w:p>
    <w:p w14:paraId="19BEF971" w14:textId="77777777" w:rsidR="004C3F84" w:rsidRDefault="004C3F84" w:rsidP="004C3F84">
      <w:pPr>
        <w:spacing w:line="480" w:lineRule="auto"/>
        <w:rPr>
          <w:rFonts w:eastAsia="Calibri" w:cs="Times New Roman"/>
        </w:rPr>
      </w:pPr>
    </w:p>
    <w:p w14:paraId="19160A59" w14:textId="77777777" w:rsidR="004C3F84" w:rsidRDefault="004C3F84" w:rsidP="004C3F84">
      <w:pPr>
        <w:spacing w:line="480" w:lineRule="auto"/>
        <w:rPr>
          <w:rFonts w:eastAsia="Calibri" w:cs="Times New Roman"/>
        </w:rPr>
      </w:pPr>
    </w:p>
    <w:p w14:paraId="1DAB6FF9" w14:textId="77777777" w:rsidR="004C3F84" w:rsidRDefault="004C3F84" w:rsidP="004C3F84">
      <w:pPr>
        <w:spacing w:line="480" w:lineRule="auto"/>
        <w:rPr>
          <w:rFonts w:eastAsia="Calibri" w:cs="Times New Roman"/>
        </w:rPr>
      </w:pPr>
    </w:p>
    <w:p w14:paraId="7D97B88B" w14:textId="2FBC7088" w:rsidR="004C3F84" w:rsidRDefault="004C3F84" w:rsidP="004C3F84">
      <w:pPr>
        <w:pStyle w:val="Caption"/>
        <w:rPr>
          <w:rFonts w:eastAsia="Calibri" w:cs="Times New Roman"/>
          <w:sz w:val="24"/>
        </w:rPr>
      </w:pPr>
      <w:bookmarkStart w:id="135" w:name="_Toc146657558"/>
      <w:bookmarkStart w:id="136" w:name="_Toc154331524"/>
      <w:r>
        <w:t xml:space="preserve">Table </w:t>
      </w:r>
      <w:fldSimple w:instr=" STYLEREF 1 \s ">
        <w:r w:rsidR="004B7F70">
          <w:rPr>
            <w:noProof/>
          </w:rPr>
          <w:t>3</w:t>
        </w:r>
      </w:fldSimple>
      <w:r w:rsidR="00646450">
        <w:t>.</w:t>
      </w:r>
      <w:fldSimple w:instr=" SEQ Table \* ARABIC \s 1 ">
        <w:r w:rsidR="004B7F70">
          <w:rPr>
            <w:noProof/>
          </w:rPr>
          <w:t>1</w:t>
        </w:r>
      </w:fldSimple>
      <w:r>
        <w:t xml:space="preserve"> </w:t>
      </w:r>
      <w:r w:rsidRPr="001F336E">
        <w:t>Information regarding the lines with the highest and lowest sensitivity to soil volume</w:t>
      </w:r>
      <w:bookmarkEnd w:id="135"/>
      <w:bookmarkEnd w:id="136"/>
    </w:p>
    <w:p w14:paraId="60F596D0" w14:textId="32FF28D8" w:rsidR="004C3F84" w:rsidRDefault="004C3F84" w:rsidP="004C3F84">
      <w:pPr>
        <w:pStyle w:val="Description"/>
        <w:rPr>
          <w:rFonts w:eastAsia="Calibri"/>
        </w:rPr>
      </w:pPr>
      <w:r>
        <w:rPr>
          <w:rFonts w:eastAsia="Calibri"/>
        </w:rPr>
        <w:t xml:space="preserve">Table showing the 6 identified spring barley lines which have low and high sensitivity to soil volume and their associated information. </w:t>
      </w:r>
      <w:r w:rsidR="006D6A02">
        <w:rPr>
          <w:rFonts w:eastAsia="Calibri"/>
        </w:rPr>
        <w:t>Information provided by Klaus Oldach, KWS.</w:t>
      </w:r>
    </w:p>
    <w:p w14:paraId="3305D18A" w14:textId="77777777" w:rsidR="004C3F84" w:rsidRDefault="004C3F84" w:rsidP="00BA47BE"/>
    <w:p w14:paraId="3854C88D" w14:textId="3B2D27B5" w:rsidR="004C3F84" w:rsidRDefault="004C3F84" w:rsidP="004C3F84">
      <w:pPr>
        <w:spacing w:line="480" w:lineRule="auto"/>
        <w:rPr>
          <w:rFonts w:eastAsia="Calibri" w:cs="Times New Roman"/>
        </w:rPr>
      </w:pPr>
      <w:r w:rsidRPr="0001052D">
        <w:rPr>
          <w:rFonts w:eastAsia="Calibri" w:cs="Times New Roman"/>
          <w:color w:val="000000" w:themeColor="text1"/>
        </w:rPr>
        <w:t xml:space="preserve">Focussing on the selected lines for further analysis, despite the plants grown in 500ml pots having access to fivefold more soil than </w:t>
      </w:r>
      <w:r>
        <w:rPr>
          <w:rFonts w:eastAsia="Calibri" w:cs="Times New Roman"/>
        </w:rPr>
        <w:t>those in grown in 100ml pots, the low sensitivity lines only produced 2.18-, 2.24-, 2.91- fold more shoot biomass in 500ml pots (</w:t>
      </w:r>
      <w:r w:rsidRPr="00C64FD7">
        <w:rPr>
          <w:rFonts w:eastAsia="Calibri" w:cs="Times New Roman"/>
        </w:rPr>
        <w:t>HOR 12070, HOR 10990 and HOR 11126</w:t>
      </w:r>
      <w:r>
        <w:rPr>
          <w:rFonts w:eastAsia="Calibri" w:cs="Times New Roman"/>
        </w:rPr>
        <w:t xml:space="preserve"> respectively). </w:t>
      </w:r>
      <w:r w:rsidR="00E86276" w:rsidRPr="00B70F9C">
        <w:rPr>
          <w:rFonts w:eastAsia="Calibri" w:cs="Times New Roman"/>
        </w:rPr>
        <w:t>T</w:t>
      </w:r>
      <w:r w:rsidRPr="00B70F9C">
        <w:rPr>
          <w:rFonts w:eastAsia="Calibri" w:cs="Times New Roman"/>
        </w:rPr>
        <w:t>he</w:t>
      </w:r>
      <w:r>
        <w:rPr>
          <w:rFonts w:eastAsia="Calibri" w:cs="Times New Roman"/>
        </w:rPr>
        <w:t xml:space="preserve"> high sensitivity lines were able to produce 5.00-, 5.64-, </w:t>
      </w:r>
      <w:r w:rsidRPr="00333FD3">
        <w:rPr>
          <w:rFonts w:eastAsia="Calibri" w:cs="Times New Roman"/>
        </w:rPr>
        <w:t>6.14</w:t>
      </w:r>
      <w:r>
        <w:rPr>
          <w:rFonts w:eastAsia="Calibri" w:cs="Times New Roman"/>
        </w:rPr>
        <w:t>- fold more shoot biomass in 500ml pots compared to 100ml pots (KWS Thalis, HOR 21641, LG Tosca respectively) (Fig</w:t>
      </w:r>
      <w:r w:rsidR="00530FD1">
        <w:rPr>
          <w:rFonts w:eastAsia="Calibri" w:cs="Times New Roman"/>
        </w:rPr>
        <w:t>.</w:t>
      </w:r>
      <w:r>
        <w:rPr>
          <w:rFonts w:eastAsia="Calibri" w:cs="Times New Roman"/>
        </w:rPr>
        <w:t xml:space="preserve"> 3.13A-B</w:t>
      </w:r>
      <w:r w:rsidR="00AE721D">
        <w:rPr>
          <w:rFonts w:eastAsia="Calibri" w:cs="Times New Roman"/>
        </w:rPr>
        <w:t xml:space="preserve"> and</w:t>
      </w:r>
      <w:r w:rsidR="00C8255D">
        <w:rPr>
          <w:rFonts w:eastAsia="Calibri" w:cs="Times New Roman"/>
        </w:rPr>
        <w:t xml:space="preserve"> Fig. 3.16A-B</w:t>
      </w:r>
      <w:r w:rsidR="00AE721D">
        <w:rPr>
          <w:rFonts w:eastAsia="Calibri" w:cs="Times New Roman"/>
        </w:rPr>
        <w:t xml:space="preserve"> </w:t>
      </w:r>
      <w:r>
        <w:rPr>
          <w:rFonts w:eastAsia="Calibri" w:cs="Times New Roman"/>
        </w:rPr>
        <w:t xml:space="preserve">). </w:t>
      </w:r>
    </w:p>
    <w:p w14:paraId="466F5A65" w14:textId="77777777" w:rsidR="004C3F84" w:rsidRDefault="004C3F84" w:rsidP="004C3F84">
      <w:pPr>
        <w:spacing w:line="480" w:lineRule="auto"/>
        <w:rPr>
          <w:rFonts w:eastAsia="Calibri" w:cs="Times New Roman"/>
        </w:rPr>
      </w:pPr>
    </w:p>
    <w:p w14:paraId="38EBA637" w14:textId="79FD9D89" w:rsidR="004C3F84" w:rsidRDefault="004C3F84" w:rsidP="004C3F84">
      <w:pPr>
        <w:pStyle w:val="Caption"/>
        <w:rPr>
          <w:rFonts w:eastAsia="Calibri" w:cs="Times New Roman"/>
          <w:sz w:val="24"/>
        </w:rPr>
      </w:pPr>
      <w:bookmarkStart w:id="137" w:name="_Toc146657559"/>
      <w:bookmarkStart w:id="138" w:name="_Toc154331550"/>
      <w:r>
        <w:lastRenderedPageBreak/>
        <w:t xml:space="preserve">Figure </w:t>
      </w:r>
      <w:fldSimple w:instr=" STYLEREF 1 \s ">
        <w:r w:rsidR="004B7F70">
          <w:rPr>
            <w:noProof/>
          </w:rPr>
          <w:t>3</w:t>
        </w:r>
      </w:fldSimple>
      <w:r w:rsidR="00C97D34">
        <w:t>.</w:t>
      </w:r>
      <w:fldSimple w:instr=" SEQ Figure \* ARABIC \s 1 ">
        <w:r w:rsidR="004B7F70">
          <w:rPr>
            <w:noProof/>
          </w:rPr>
          <w:t>16</w:t>
        </w:r>
      </w:fldSimple>
      <w:r>
        <w:t xml:space="preserve"> </w:t>
      </w:r>
      <w:r w:rsidRPr="00064BB5">
        <w:t>Allocation of shoot biomass in response to soil volume in 6 spring barley lines</w:t>
      </w:r>
      <w:r>
        <w:rPr>
          <w:rFonts w:eastAsia="Calibri" w:cs="Times New Roman"/>
          <w:noProof/>
          <w:sz w:val="24"/>
        </w:rPr>
        <w:drawing>
          <wp:anchor distT="0" distB="0" distL="114300" distR="114300" simplePos="0" relativeHeight="251587072" behindDoc="0" locked="0" layoutInCell="1" allowOverlap="1" wp14:anchorId="40557C19" wp14:editId="2A86A466">
            <wp:simplePos x="0" y="0"/>
            <wp:positionH relativeFrom="margin">
              <wp:align>right</wp:align>
            </wp:positionH>
            <wp:positionV relativeFrom="paragraph">
              <wp:posOffset>342</wp:posOffset>
            </wp:positionV>
            <wp:extent cx="5401310" cy="2266315"/>
            <wp:effectExtent l="0" t="0" r="8890" b="635"/>
            <wp:wrapSquare wrapText="bothSides"/>
            <wp:docPr id="1248342311" name="Picture 8" descr="A comparison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342311" name="Picture 8" descr="A comparison of different colored bars&#10;&#10;Description automatically generated"/>
                    <pic:cNvPicPr/>
                  </pic:nvPicPr>
                  <pic:blipFill rotWithShape="1">
                    <a:blip r:embed="rId39" cstate="print">
                      <a:extLst>
                        <a:ext uri="{28A0092B-C50C-407E-A947-70E740481C1C}">
                          <a14:useLocalDpi xmlns:a14="http://schemas.microsoft.com/office/drawing/2010/main" val="0"/>
                        </a:ext>
                      </a:extLst>
                    </a:blip>
                    <a:srcRect l="1408"/>
                    <a:stretch/>
                  </pic:blipFill>
                  <pic:spPr bwMode="auto">
                    <a:xfrm>
                      <a:off x="0" y="0"/>
                      <a:ext cx="5401310" cy="2266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37"/>
      <w:bookmarkEnd w:id="138"/>
    </w:p>
    <w:p w14:paraId="15AB13CB" w14:textId="0A03EE53" w:rsidR="004C3F84" w:rsidRPr="00D21047" w:rsidRDefault="004118EE" w:rsidP="004C3F84">
      <w:pPr>
        <w:pStyle w:val="Description"/>
        <w:rPr>
          <w:rFonts w:eastAsia="Calibri"/>
        </w:rPr>
      </w:pPr>
      <w:r w:rsidRPr="004118EE">
        <w:rPr>
          <w:rFonts w:eastAsia="Calibri"/>
        </w:rPr>
        <w:t xml:space="preserve">Low and high sensitivity </w:t>
      </w:r>
      <w:r>
        <w:rPr>
          <w:rFonts w:eastAsia="Calibri"/>
        </w:rPr>
        <w:t>s</w:t>
      </w:r>
      <w:r w:rsidR="004C3F84" w:rsidRPr="00D21047">
        <w:rPr>
          <w:rFonts w:eastAsia="Calibri"/>
        </w:rPr>
        <w:t>pring barley lines grown in 100ml and 500ml pots for 8 weeks.</w:t>
      </w:r>
    </w:p>
    <w:p w14:paraId="5F231DBF" w14:textId="77777777" w:rsidR="004C3F84" w:rsidRDefault="004C3F84" w:rsidP="004C3F84">
      <w:pPr>
        <w:pStyle w:val="Description"/>
        <w:rPr>
          <w:rFonts w:eastAsia="Calibri"/>
        </w:rPr>
      </w:pPr>
      <w:r w:rsidRPr="00D21047">
        <w:rPr>
          <w:rFonts w:eastAsia="Calibri"/>
        </w:rPr>
        <w:t>A) Bar chart showing mean dry shoot biomass (g) at 8 weeks post germination of low sensitivity and high sensitivity barley lines to soil volume.</w:t>
      </w:r>
      <w:r>
        <w:rPr>
          <w:rFonts w:eastAsia="Calibri"/>
        </w:rPr>
        <w:t xml:space="preserve"> Error bars represent s.e.m, </w:t>
      </w:r>
      <w:r w:rsidRPr="00E31E7B">
        <w:rPr>
          <w:rFonts w:eastAsia="Calibri"/>
        </w:rPr>
        <w:t>n=2</w:t>
      </w:r>
      <w:r>
        <w:rPr>
          <w:rFonts w:eastAsia="Calibri"/>
        </w:rPr>
        <w:t>-4.</w:t>
      </w:r>
    </w:p>
    <w:p w14:paraId="613921C5" w14:textId="77777777" w:rsidR="004C3F84" w:rsidRPr="00346D9C" w:rsidRDefault="004C3F84" w:rsidP="004C3F84">
      <w:pPr>
        <w:pStyle w:val="Description"/>
        <w:rPr>
          <w:rFonts w:eastAsia="Calibri"/>
        </w:rPr>
      </w:pPr>
      <w:r>
        <w:rPr>
          <w:rFonts w:eastAsia="Calibri"/>
        </w:rPr>
        <w:t xml:space="preserve">B) Bar chart showing 500ml:100ml dry shoot biomass ratio of </w:t>
      </w:r>
      <w:r w:rsidRPr="00D21047">
        <w:rPr>
          <w:rFonts w:eastAsia="Calibri"/>
        </w:rPr>
        <w:t>low sensitivity and high sensitivity barley lines to soil volume.</w:t>
      </w:r>
      <w:r>
        <w:rPr>
          <w:rFonts w:eastAsia="Calibri"/>
        </w:rPr>
        <w:t xml:space="preserve"> Error bars represent s.e.m, </w:t>
      </w:r>
      <w:r w:rsidRPr="00E31E7B">
        <w:rPr>
          <w:rFonts w:eastAsia="Calibri"/>
        </w:rPr>
        <w:t>n=2-</w:t>
      </w:r>
      <w:r>
        <w:rPr>
          <w:rFonts w:eastAsia="Calibri"/>
        </w:rPr>
        <w:t>4.</w:t>
      </w:r>
    </w:p>
    <w:p w14:paraId="67D1664B" w14:textId="77777777" w:rsidR="004C3F84" w:rsidRDefault="004C3F84" w:rsidP="004C3F84">
      <w:pPr>
        <w:spacing w:line="240" w:lineRule="auto"/>
        <w:rPr>
          <w:rFonts w:eastAsia="Calibri" w:cs="Times New Roman"/>
        </w:rPr>
      </w:pPr>
    </w:p>
    <w:p w14:paraId="674E4261" w14:textId="47240C7F" w:rsidR="004C3F84" w:rsidRPr="0001052D" w:rsidRDefault="004C3F84" w:rsidP="004C3F84">
      <w:pPr>
        <w:spacing w:line="480" w:lineRule="auto"/>
        <w:rPr>
          <w:rFonts w:eastAsia="Calibri" w:cs="Times New Roman"/>
          <w:color w:val="000000" w:themeColor="text1"/>
        </w:rPr>
      </w:pPr>
      <w:r w:rsidRPr="0001052D">
        <w:rPr>
          <w:rFonts w:eastAsia="Calibri" w:cs="Times New Roman"/>
          <w:color w:val="000000" w:themeColor="text1"/>
        </w:rPr>
        <w:t>Tiller number appeared to be more strongly influenced</w:t>
      </w:r>
      <w:r w:rsidR="00031B71">
        <w:rPr>
          <w:rFonts w:eastAsia="Calibri" w:cs="Times New Roman"/>
          <w:color w:val="000000" w:themeColor="text1"/>
        </w:rPr>
        <w:t xml:space="preserve"> </w:t>
      </w:r>
      <w:r w:rsidR="00031B71" w:rsidRPr="00B70F9C">
        <w:rPr>
          <w:rFonts w:eastAsia="Calibri" w:cs="Times New Roman"/>
          <w:color w:val="000000" w:themeColor="text1"/>
        </w:rPr>
        <w:t>by soil volume</w:t>
      </w:r>
      <w:r w:rsidRPr="0001052D">
        <w:rPr>
          <w:rFonts w:eastAsia="Calibri" w:cs="Times New Roman"/>
          <w:color w:val="000000" w:themeColor="text1"/>
        </w:rPr>
        <w:t xml:space="preserve"> in the low sensitivity lines than shoot biomass as these only produced 1.33-, 2.00- 2.20- fold more tillers in 500ml pots compared to 100ml pots (HOR 12070, HOR 10990 and HOR 11126 respectively) (Fig</w:t>
      </w:r>
      <w:r w:rsidR="00634AA4">
        <w:rPr>
          <w:rFonts w:eastAsia="Calibri" w:cs="Times New Roman"/>
          <w:color w:val="000000" w:themeColor="text1"/>
        </w:rPr>
        <w:t>.</w:t>
      </w:r>
      <w:r w:rsidRPr="0001052D">
        <w:rPr>
          <w:rFonts w:eastAsia="Calibri" w:cs="Times New Roman"/>
          <w:color w:val="000000" w:themeColor="text1"/>
        </w:rPr>
        <w:t xml:space="preserve"> 3.17A-B). The high sensitivity lines produced 5.25-, 5.23-, 4.85- fold more tillers in 500ml pots compared to 100ml pots (KWS Thalis, HOR 21641, LG Tosca respectively) (Fig</w:t>
      </w:r>
      <w:r w:rsidR="00634AA4">
        <w:rPr>
          <w:rFonts w:eastAsia="Calibri" w:cs="Times New Roman"/>
          <w:color w:val="000000" w:themeColor="text1"/>
        </w:rPr>
        <w:t>.</w:t>
      </w:r>
      <w:r w:rsidRPr="0001052D">
        <w:rPr>
          <w:rFonts w:eastAsia="Calibri" w:cs="Times New Roman"/>
          <w:color w:val="000000" w:themeColor="text1"/>
        </w:rPr>
        <w:t xml:space="preserve"> 3.17A-B). The high sensitivity lines grown in 500ml pots were able to tiller throughout the experiment whereas the low sensitivity lines ceased tiller production early (Fig</w:t>
      </w:r>
      <w:r w:rsidR="00634AA4">
        <w:rPr>
          <w:rFonts w:eastAsia="Calibri" w:cs="Times New Roman"/>
          <w:color w:val="000000" w:themeColor="text1"/>
        </w:rPr>
        <w:t>.</w:t>
      </w:r>
      <w:r w:rsidRPr="0001052D">
        <w:rPr>
          <w:rFonts w:eastAsia="Calibri" w:cs="Times New Roman"/>
          <w:color w:val="000000" w:themeColor="text1"/>
        </w:rPr>
        <w:t xml:space="preserve"> 3.17C).</w:t>
      </w:r>
    </w:p>
    <w:p w14:paraId="42BC996D" w14:textId="77777777" w:rsidR="004C3F84" w:rsidRDefault="004C3F84" w:rsidP="00BA47BE"/>
    <w:p w14:paraId="05F89AB4" w14:textId="77777777" w:rsidR="004C3F84" w:rsidRDefault="004C3F84" w:rsidP="00BA47BE"/>
    <w:p w14:paraId="7DDCC6FA" w14:textId="77777777" w:rsidR="004C3F84" w:rsidRDefault="004C3F84" w:rsidP="00BA47BE"/>
    <w:p w14:paraId="0616778C" w14:textId="77777777" w:rsidR="004C3F84" w:rsidRDefault="004C3F84" w:rsidP="00BA47BE"/>
    <w:p w14:paraId="1BCB03E0" w14:textId="77777777" w:rsidR="004C3F84" w:rsidRDefault="004C3F84" w:rsidP="00BA47BE"/>
    <w:p w14:paraId="72DA9977" w14:textId="7CD7FB20" w:rsidR="004C3F84" w:rsidRDefault="004C3F84" w:rsidP="004C3F84">
      <w:pPr>
        <w:pStyle w:val="Caption"/>
        <w:rPr>
          <w:rFonts w:eastAsia="Calibri" w:cs="Times New Roman"/>
          <w:b w:val="0"/>
          <w:bCs w:val="0"/>
        </w:rPr>
      </w:pPr>
      <w:bookmarkStart w:id="139" w:name="_Toc146657560"/>
      <w:bookmarkStart w:id="140" w:name="_Toc154331551"/>
      <w:r>
        <w:lastRenderedPageBreak/>
        <w:t xml:space="preserve">Figure </w:t>
      </w:r>
      <w:fldSimple w:instr=" STYLEREF 1 \s ">
        <w:r w:rsidR="004B7F70">
          <w:rPr>
            <w:noProof/>
          </w:rPr>
          <w:t>3</w:t>
        </w:r>
      </w:fldSimple>
      <w:r w:rsidR="00C97D34">
        <w:t>.</w:t>
      </w:r>
      <w:fldSimple w:instr=" SEQ Figure \* ARABIC \s 1 ">
        <w:r w:rsidR="004B7F70">
          <w:rPr>
            <w:noProof/>
          </w:rPr>
          <w:t>17</w:t>
        </w:r>
      </w:fldSimple>
      <w:r>
        <w:t xml:space="preserve"> </w:t>
      </w:r>
      <w:r w:rsidRPr="001C1310">
        <w:t>Tiller number production varies in spring barley lines</w:t>
      </w:r>
      <w:r>
        <w:rPr>
          <w:rFonts w:eastAsia="Calibri" w:cs="Times New Roman"/>
          <w:noProof/>
          <w:sz w:val="24"/>
        </w:rPr>
        <w:drawing>
          <wp:anchor distT="0" distB="0" distL="114300" distR="114300" simplePos="0" relativeHeight="251592192" behindDoc="0" locked="0" layoutInCell="1" allowOverlap="1" wp14:anchorId="08A61C15" wp14:editId="029734F3">
            <wp:simplePos x="0" y="0"/>
            <wp:positionH relativeFrom="margin">
              <wp:align>left</wp:align>
            </wp:positionH>
            <wp:positionV relativeFrom="paragraph">
              <wp:posOffset>738</wp:posOffset>
            </wp:positionV>
            <wp:extent cx="5398135" cy="4531995"/>
            <wp:effectExtent l="0" t="0" r="0" b="1905"/>
            <wp:wrapSquare wrapText="bothSides"/>
            <wp:docPr id="1197282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282582" name="Picture 119728258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98135" cy="4531995"/>
                    </a:xfrm>
                    <a:prstGeom prst="rect">
                      <a:avLst/>
                    </a:prstGeom>
                  </pic:spPr>
                </pic:pic>
              </a:graphicData>
            </a:graphic>
            <wp14:sizeRelH relativeFrom="margin">
              <wp14:pctWidth>0</wp14:pctWidth>
            </wp14:sizeRelH>
            <wp14:sizeRelV relativeFrom="margin">
              <wp14:pctHeight>0</wp14:pctHeight>
            </wp14:sizeRelV>
          </wp:anchor>
        </w:drawing>
      </w:r>
      <w:bookmarkEnd w:id="139"/>
      <w:bookmarkEnd w:id="140"/>
    </w:p>
    <w:p w14:paraId="5A4A1DCB" w14:textId="0AAC64DA" w:rsidR="004C3F84" w:rsidRPr="00346D9C" w:rsidRDefault="004C3F84" w:rsidP="004C3F84">
      <w:pPr>
        <w:pStyle w:val="Description"/>
        <w:rPr>
          <w:rFonts w:eastAsia="Calibri"/>
        </w:rPr>
      </w:pPr>
      <w:r w:rsidRPr="00346D9C">
        <w:rPr>
          <w:rFonts w:eastAsia="Calibri"/>
        </w:rPr>
        <w:t>Low and high sensitivity spring barley lines grown in 100ml and 500ml soil volumes for 8 weeks.</w:t>
      </w:r>
    </w:p>
    <w:p w14:paraId="6865CA50" w14:textId="0B28E530" w:rsidR="004C3F84" w:rsidRPr="00346D9C" w:rsidRDefault="004C3F84" w:rsidP="004C3F84">
      <w:pPr>
        <w:pStyle w:val="Description"/>
        <w:rPr>
          <w:rFonts w:eastAsia="Calibri"/>
        </w:rPr>
      </w:pPr>
      <w:r w:rsidRPr="00346D9C">
        <w:rPr>
          <w:rFonts w:eastAsia="Calibri"/>
        </w:rPr>
        <w:t>A) Bar chart showing peak tiller number on which ever week it occurred between week 2-8 post germination of low sensitivity and high sensitivity barley lines to soil volume. Dashed bars represent plants grown in 100ml pots and solid bars represent plants grown in 500ml pots. Error bars represent s.e.m</w:t>
      </w:r>
      <w:r>
        <w:rPr>
          <w:rFonts w:eastAsia="Calibri"/>
        </w:rPr>
        <w:t>, n=2-4.</w:t>
      </w:r>
    </w:p>
    <w:p w14:paraId="240F498A" w14:textId="77777777" w:rsidR="004C3F84" w:rsidRDefault="004C3F84" w:rsidP="004C3F84">
      <w:pPr>
        <w:pStyle w:val="Description"/>
        <w:rPr>
          <w:rFonts w:eastAsia="Calibri"/>
        </w:rPr>
      </w:pPr>
      <w:r w:rsidRPr="00346D9C">
        <w:rPr>
          <w:rFonts w:eastAsia="Calibri"/>
        </w:rPr>
        <w:t>B) Bar chart showing 500ml:100ml peak tiller ratio of low sensitivity and high sensitivity barley lines to soil volume</w:t>
      </w:r>
      <w:r>
        <w:rPr>
          <w:rFonts w:eastAsia="Calibri"/>
        </w:rPr>
        <w:t>,</w:t>
      </w:r>
      <w:r w:rsidRPr="00346D9C">
        <w:rPr>
          <w:rFonts w:eastAsia="Calibri"/>
        </w:rPr>
        <w:t xml:space="preserve"> </w:t>
      </w:r>
      <w:r>
        <w:rPr>
          <w:rFonts w:eastAsia="Calibri"/>
        </w:rPr>
        <w:t>n=2-4.</w:t>
      </w:r>
    </w:p>
    <w:p w14:paraId="7984EAE0" w14:textId="6F50AD22" w:rsidR="004C3F84" w:rsidRDefault="004C3F84" w:rsidP="004C3F84">
      <w:pPr>
        <w:pStyle w:val="Description"/>
        <w:rPr>
          <w:rFonts w:eastAsia="Calibri"/>
        </w:rPr>
      </w:pPr>
      <w:r w:rsidRPr="00346D9C">
        <w:rPr>
          <w:rFonts w:eastAsia="Calibri"/>
        </w:rPr>
        <w:t xml:space="preserve">C) Line graph showing tiller number between week 2 and 8 post germination of low sensitivity and high sensitivity barley lines to soil volume. Plants grown in 100ml pots are represented as dashed lines and plants grown in 500ml pots are represented as solid lines. Error bars represent s.e.m, </w:t>
      </w:r>
      <w:r>
        <w:rPr>
          <w:rFonts w:eastAsia="Calibri"/>
        </w:rPr>
        <w:t>n=2-4.</w:t>
      </w:r>
    </w:p>
    <w:p w14:paraId="7B3398F8" w14:textId="3B18DFF0" w:rsidR="004C3F84" w:rsidRPr="00346D9C" w:rsidRDefault="004C3F84" w:rsidP="004C3F84">
      <w:pPr>
        <w:pStyle w:val="Description"/>
        <w:rPr>
          <w:rFonts w:eastAsia="Calibri"/>
        </w:rPr>
      </w:pPr>
      <w:r>
        <w:rPr>
          <w:rFonts w:eastAsia="Calibri"/>
        </w:rPr>
        <w:t>D) Scatterplot of shoot biomass 500ml:100ml ratio and peak tiller number 500ml:100ml ratio, n=2-4.</w:t>
      </w:r>
      <w:r w:rsidR="00380E02">
        <w:rPr>
          <w:rFonts w:eastAsia="Calibri"/>
        </w:rPr>
        <w:t xml:space="preserve"> Dots represent high sensitivity lines and </w:t>
      </w:r>
      <w:r w:rsidR="001D29E0">
        <w:rPr>
          <w:rFonts w:eastAsia="Calibri"/>
        </w:rPr>
        <w:t>squares represent low sensitivity lines. R</w:t>
      </w:r>
      <w:r w:rsidR="001D29E0" w:rsidRPr="000E6799">
        <w:rPr>
          <w:rFonts w:eastAsia="Calibri"/>
          <w:vertAlign w:val="superscript"/>
        </w:rPr>
        <w:t>2</w:t>
      </w:r>
      <w:r w:rsidR="001D29E0">
        <w:rPr>
          <w:rFonts w:eastAsia="Calibri"/>
        </w:rPr>
        <w:t xml:space="preserve"> is the Adjusted R Square.</w:t>
      </w:r>
    </w:p>
    <w:p w14:paraId="79F9C678" w14:textId="0CB9768F" w:rsidR="004C3F84" w:rsidRDefault="004C3F84" w:rsidP="00BA47BE"/>
    <w:p w14:paraId="1C43B930" w14:textId="08F752C9" w:rsidR="004C3F84" w:rsidRDefault="004C3F84" w:rsidP="004C3F84">
      <w:pPr>
        <w:spacing w:line="480" w:lineRule="auto"/>
        <w:rPr>
          <w:rFonts w:eastAsia="Calibri" w:cs="Times New Roman"/>
        </w:rPr>
      </w:pPr>
      <w:r>
        <w:rPr>
          <w:rFonts w:eastAsia="Calibri" w:cs="Times New Roman"/>
        </w:rPr>
        <w:t xml:space="preserve">These findings were communicated to our collaborator </w:t>
      </w:r>
      <w:r w:rsidR="001768DA" w:rsidRPr="00062CDD">
        <w:rPr>
          <w:rFonts w:eastAsia="Calibri" w:cs="Times New Roman"/>
        </w:rPr>
        <w:t>Klaus Oldach</w:t>
      </w:r>
      <w:r w:rsidR="001768DA">
        <w:rPr>
          <w:rFonts w:eastAsia="Calibri" w:cs="Times New Roman"/>
        </w:rPr>
        <w:t xml:space="preserve"> </w:t>
      </w:r>
      <w:r>
        <w:rPr>
          <w:rFonts w:eastAsia="Calibri" w:cs="Times New Roman"/>
        </w:rPr>
        <w:t xml:space="preserve">at KWS and a series of crosses were carried out </w:t>
      </w:r>
      <w:r w:rsidR="00062CDD">
        <w:rPr>
          <w:rFonts w:eastAsia="Calibri" w:cs="Times New Roman"/>
        </w:rPr>
        <w:t xml:space="preserve">by KWS </w:t>
      </w:r>
      <w:r>
        <w:rPr>
          <w:rFonts w:eastAsia="Calibri" w:cs="Times New Roman"/>
        </w:rPr>
        <w:t xml:space="preserve">between the high sensitivity lines KWS Thalis and HOR 21641, with the low sensitivity lines: HOR 12070, </w:t>
      </w:r>
      <w:r>
        <w:rPr>
          <w:rFonts w:eastAsia="Calibri" w:cs="Times New Roman"/>
        </w:rPr>
        <w:lastRenderedPageBreak/>
        <w:t>HOR 11126 and HOR 10990</w:t>
      </w:r>
      <w:r w:rsidRPr="00A66B51">
        <w:rPr>
          <w:rFonts w:eastAsia="Calibri" w:cs="Times New Roman"/>
        </w:rPr>
        <w:t>.</w:t>
      </w:r>
      <w:r>
        <w:rPr>
          <w:rFonts w:eastAsia="Calibri" w:cs="Times New Roman"/>
        </w:rPr>
        <w:t xml:space="preserve"> The doubled haploid technique was used to generate offspring as this produces homozygous offspring much faster than traditional line breeding programs. </w:t>
      </w:r>
    </w:p>
    <w:p w14:paraId="6D242AEB" w14:textId="77777777" w:rsidR="004C3F84" w:rsidRDefault="004C3F84" w:rsidP="004C3F84">
      <w:pPr>
        <w:spacing w:line="480" w:lineRule="auto"/>
        <w:rPr>
          <w:rFonts w:eastAsia="Calibri" w:cs="Times New Roman"/>
        </w:rPr>
      </w:pPr>
      <w:r>
        <w:rPr>
          <w:rFonts w:eastAsia="Calibri" w:cs="Times New Roman"/>
        </w:rPr>
        <w:t xml:space="preserve">The resulting doubled haploid F2 populations from these crosses will been taken forward for phenotyping using the same experimental design as the initial screen. Once this has been completed, quantitative trait loci (QTL) can be mapped, ultimately leading to the identification of genomic regions that are responsible for soil volume sensitivity. Unfortunately, due to time constraints this screen has not yet been carried out. </w:t>
      </w:r>
    </w:p>
    <w:p w14:paraId="1F8F7A53" w14:textId="77777777" w:rsidR="004C3F84" w:rsidRPr="002254F0" w:rsidRDefault="004C3F84" w:rsidP="004C3F84">
      <w:pPr>
        <w:spacing w:line="480" w:lineRule="auto"/>
        <w:rPr>
          <w:rFonts w:eastAsia="Calibri" w:cs="Times New Roman"/>
          <w:color w:val="000000" w:themeColor="text1"/>
        </w:rPr>
      </w:pPr>
      <w:r w:rsidRPr="002254F0">
        <w:rPr>
          <w:rFonts w:eastAsia="Calibri" w:cs="Times New Roman"/>
          <w:color w:val="000000" w:themeColor="text1"/>
        </w:rPr>
        <w:t>The data presented here from the initial screen has shown a large amount of variation in soil volume responsiveness amongst the lines investigated. This highlighted that lines which have undergone more intensive breeding are more sensitive to soil volume and thus can take advantage of the additional space available to them more efficiently.</w:t>
      </w:r>
    </w:p>
    <w:p w14:paraId="53E01038" w14:textId="77777777" w:rsidR="004C3F84" w:rsidRDefault="004C3F84" w:rsidP="00BA47BE"/>
    <w:p w14:paraId="67BBBF65" w14:textId="4ABEB3AE" w:rsidR="004C3F84" w:rsidRDefault="004C3F84" w:rsidP="00743E4C">
      <w:pPr>
        <w:pStyle w:val="Heading2"/>
      </w:pPr>
      <w:bookmarkStart w:id="141" w:name="_Toc154331479"/>
      <w:r w:rsidRPr="004C3F84">
        <w:t>Response of root system architecture (RSA) to soil volume and neighbour density</w:t>
      </w:r>
      <w:bookmarkEnd w:id="141"/>
    </w:p>
    <w:p w14:paraId="47662B4E" w14:textId="77777777" w:rsidR="004C3F84" w:rsidRDefault="004C3F84" w:rsidP="004C3F84"/>
    <w:p w14:paraId="5D14BBBB" w14:textId="11E8C6AB" w:rsidR="004C3F84" w:rsidRDefault="004C3F84" w:rsidP="004C3F84">
      <w:pPr>
        <w:numPr>
          <w:ilvl w:val="1"/>
          <w:numId w:val="0"/>
        </w:numPr>
        <w:spacing w:before="160" w:line="480" w:lineRule="auto"/>
        <w:outlineLvl w:val="1"/>
        <w:rPr>
          <w:rFonts w:cs="Times New Roman"/>
          <w:bCs/>
        </w:rPr>
      </w:pPr>
      <w:r w:rsidRPr="00073087">
        <w:rPr>
          <w:rFonts w:cs="Times New Roman"/>
          <w:bCs/>
        </w:rPr>
        <w:t xml:space="preserve">In </w:t>
      </w:r>
      <w:r>
        <w:rPr>
          <w:rFonts w:cs="Times New Roman"/>
          <w:bCs/>
        </w:rPr>
        <w:t xml:space="preserve">sections </w:t>
      </w:r>
      <w:r w:rsidRPr="000C52DB">
        <w:rPr>
          <w:rFonts w:cs="Times New Roman"/>
          <w:bCs/>
        </w:rPr>
        <w:t>3.</w:t>
      </w:r>
      <w:r w:rsidR="000C52DB" w:rsidRPr="000C52DB">
        <w:rPr>
          <w:rFonts w:cs="Times New Roman"/>
          <w:bCs/>
        </w:rPr>
        <w:t>2</w:t>
      </w:r>
      <w:r w:rsidRPr="000C52DB">
        <w:rPr>
          <w:rFonts w:cs="Times New Roman"/>
          <w:bCs/>
        </w:rPr>
        <w:t xml:space="preserve"> and 3.</w:t>
      </w:r>
      <w:r w:rsidR="000C52DB">
        <w:rPr>
          <w:rFonts w:cs="Times New Roman"/>
          <w:bCs/>
        </w:rPr>
        <w:t>3</w:t>
      </w:r>
      <w:r>
        <w:rPr>
          <w:rFonts w:cs="Times New Roman"/>
          <w:bCs/>
        </w:rPr>
        <w:t xml:space="preserve">, </w:t>
      </w:r>
      <w:r w:rsidRPr="00073087">
        <w:rPr>
          <w:rFonts w:cs="Times New Roman"/>
          <w:bCs/>
        </w:rPr>
        <w:t xml:space="preserve">I </w:t>
      </w:r>
      <w:r>
        <w:rPr>
          <w:rFonts w:cs="Times New Roman"/>
          <w:bCs/>
        </w:rPr>
        <w:t xml:space="preserve">outlined the shoot growth responses of plants to soil volume and neighbour density. </w:t>
      </w:r>
      <w:r w:rsidRPr="00073087">
        <w:rPr>
          <w:rFonts w:cs="Times New Roman"/>
          <w:bCs/>
        </w:rPr>
        <w:t xml:space="preserve">However, </w:t>
      </w:r>
      <w:r>
        <w:rPr>
          <w:rFonts w:cs="Times New Roman"/>
          <w:bCs/>
        </w:rPr>
        <w:t xml:space="preserve">despite plants perceiving the </w:t>
      </w:r>
      <w:r w:rsidRPr="00745A3D">
        <w:rPr>
          <w:rFonts w:cs="Times New Roman"/>
          <w:bCs/>
          <w:color w:val="000000" w:themeColor="text1"/>
        </w:rPr>
        <w:t xml:space="preserve">available </w:t>
      </w:r>
      <w:r>
        <w:rPr>
          <w:rFonts w:cs="Times New Roman"/>
          <w:bCs/>
        </w:rPr>
        <w:t xml:space="preserve">soil volume with their roots, </w:t>
      </w:r>
      <w:r w:rsidR="00085711" w:rsidRPr="006E452E">
        <w:rPr>
          <w:rFonts w:cs="Times New Roman"/>
          <w:bCs/>
        </w:rPr>
        <w:t>it is not clear</w:t>
      </w:r>
      <w:r w:rsidRPr="006E452E">
        <w:rPr>
          <w:rFonts w:cs="Times New Roman"/>
          <w:bCs/>
        </w:rPr>
        <w:t xml:space="preserve"> </w:t>
      </w:r>
      <w:r w:rsidR="009707FF" w:rsidRPr="006E452E">
        <w:rPr>
          <w:rFonts w:cs="Times New Roman"/>
          <w:bCs/>
        </w:rPr>
        <w:t>what</w:t>
      </w:r>
      <w:r w:rsidRPr="006E452E">
        <w:rPr>
          <w:rFonts w:cs="Times New Roman"/>
          <w:bCs/>
        </w:rPr>
        <w:t xml:space="preserve"> the </w:t>
      </w:r>
      <w:bookmarkStart w:id="142" w:name="_Hlk142567780"/>
      <w:r w:rsidRPr="006E452E">
        <w:rPr>
          <w:rFonts w:cs="Times New Roman"/>
          <w:bCs/>
        </w:rPr>
        <w:t>effects</w:t>
      </w:r>
      <w:r>
        <w:rPr>
          <w:rFonts w:cs="Times New Roman"/>
          <w:bCs/>
        </w:rPr>
        <w:t xml:space="preserve"> of </w:t>
      </w:r>
      <w:r w:rsidRPr="00073087">
        <w:rPr>
          <w:rFonts w:cs="Times New Roman"/>
          <w:bCs/>
        </w:rPr>
        <w:t>soil volume</w:t>
      </w:r>
      <w:r>
        <w:rPr>
          <w:rFonts w:cs="Times New Roman"/>
          <w:bCs/>
        </w:rPr>
        <w:t xml:space="preserve"> on root system </w:t>
      </w:r>
      <w:bookmarkEnd w:id="142"/>
      <w:r>
        <w:rPr>
          <w:rFonts w:cs="Times New Roman"/>
          <w:bCs/>
        </w:rPr>
        <w:t>architecture</w:t>
      </w:r>
      <w:r w:rsidR="009707FF">
        <w:rPr>
          <w:rFonts w:cs="Times New Roman"/>
          <w:bCs/>
        </w:rPr>
        <w:t xml:space="preserve"> are</w:t>
      </w:r>
      <w:r w:rsidRPr="00073087">
        <w:rPr>
          <w:rFonts w:cs="Times New Roman"/>
          <w:bCs/>
        </w:rPr>
        <w:t xml:space="preserve">. </w:t>
      </w:r>
    </w:p>
    <w:p w14:paraId="7F72E1CD" w14:textId="77777777" w:rsidR="004C3F84" w:rsidRDefault="004C3F84" w:rsidP="004C3F84">
      <w:pPr>
        <w:numPr>
          <w:ilvl w:val="1"/>
          <w:numId w:val="0"/>
        </w:numPr>
        <w:spacing w:before="160" w:line="480" w:lineRule="auto"/>
        <w:outlineLvl w:val="1"/>
        <w:rPr>
          <w:rFonts w:cs="Times New Roman"/>
          <w:bCs/>
        </w:rPr>
      </w:pPr>
      <w:r w:rsidRPr="00745A3D">
        <w:rPr>
          <w:rFonts w:cs="Times New Roman"/>
          <w:bCs/>
          <w:color w:val="000000" w:themeColor="text1"/>
        </w:rPr>
        <w:t xml:space="preserve">By visualising the root system, I aim to investigate if the density of roots in the pot could explain all or part of the shoot-based responses to soil volume. </w:t>
      </w:r>
      <w:r w:rsidRPr="00073087">
        <w:rPr>
          <w:rFonts w:cs="Times New Roman"/>
          <w:bCs/>
        </w:rPr>
        <w:t xml:space="preserve">As plants grown in large soil volumes produce greater shoot system size </w:t>
      </w:r>
      <w:r w:rsidRPr="00073087">
        <w:rPr>
          <w:rFonts w:cs="Times New Roman"/>
          <w:bCs/>
        </w:rPr>
        <w:lastRenderedPageBreak/>
        <w:t>(biomass and tiller number) than those in small soil volumes, I hypothesised that root system size (root number and length) would also follow the same trend</w:t>
      </w:r>
      <w:r>
        <w:rPr>
          <w:rFonts w:cs="Times New Roman"/>
          <w:bCs/>
        </w:rPr>
        <w:t>,</w:t>
      </w:r>
      <w:r w:rsidRPr="00073087">
        <w:rPr>
          <w:rFonts w:cs="Times New Roman"/>
          <w:bCs/>
        </w:rPr>
        <w:t xml:space="preserve"> as plants in large soil volumes would have more space for their root systems to explore. </w:t>
      </w:r>
      <w:r>
        <w:rPr>
          <w:rFonts w:cs="Times New Roman"/>
          <w:bCs/>
        </w:rPr>
        <w:t xml:space="preserve">Similarly, I hypothesised that plants grown in crowded treatments would have smaller root systems than those grown uncrowded in the same soil volume. </w:t>
      </w:r>
    </w:p>
    <w:p w14:paraId="754D72C0" w14:textId="77777777" w:rsidR="004C3F84" w:rsidRDefault="004C3F84" w:rsidP="004C3F84">
      <w:pPr>
        <w:numPr>
          <w:ilvl w:val="1"/>
          <w:numId w:val="0"/>
        </w:numPr>
        <w:spacing w:before="160" w:line="480" w:lineRule="auto"/>
        <w:outlineLvl w:val="1"/>
        <w:rPr>
          <w:rFonts w:cs="Times New Roman"/>
          <w:bCs/>
        </w:rPr>
      </w:pPr>
      <w:r w:rsidRPr="00EC528B">
        <w:rPr>
          <w:rFonts w:cs="Times New Roman"/>
          <w:bCs/>
        </w:rPr>
        <w:t xml:space="preserve">I also wanted to address how and if root system architecture differs between plants in small and large soil volumes. Do plants grown in small soil volumes have the same distribution of root types (seminal and lateral roots) but produce less of them compared to plants in large soil volumes? Or is there a preference of one root type over the other in small pots perhaps to aid resource capture? Therefore, I hypothesised that plants grown in small soil volumes would have more lateral roots to provide a larger surface area for resource capture than those in large soil volumes. </w:t>
      </w:r>
    </w:p>
    <w:p w14:paraId="23F86F27" w14:textId="77777777" w:rsidR="004C3F84" w:rsidRDefault="004C3F84" w:rsidP="004C3F84">
      <w:pPr>
        <w:numPr>
          <w:ilvl w:val="1"/>
          <w:numId w:val="0"/>
        </w:numPr>
        <w:spacing w:before="160" w:line="480" w:lineRule="auto"/>
        <w:outlineLvl w:val="1"/>
        <w:rPr>
          <w:rFonts w:cs="Times New Roman"/>
          <w:bCs/>
        </w:rPr>
      </w:pPr>
    </w:p>
    <w:p w14:paraId="2B15EB26" w14:textId="3FD81F5B" w:rsidR="004C3F84" w:rsidRDefault="004C3F84" w:rsidP="00743E4C">
      <w:pPr>
        <w:pStyle w:val="Heading3"/>
      </w:pPr>
      <w:bookmarkStart w:id="143" w:name="_Toc154331480"/>
      <w:r w:rsidRPr="004C3F84">
        <w:t>Root system growth response to soil volume in barley and wheat</w:t>
      </w:r>
      <w:bookmarkEnd w:id="143"/>
    </w:p>
    <w:p w14:paraId="331748BC" w14:textId="77777777" w:rsidR="004C3F84" w:rsidRDefault="004C3F84" w:rsidP="004C3F84"/>
    <w:p w14:paraId="69DB08AF" w14:textId="2060C4BB" w:rsidR="004C3F84" w:rsidRPr="00005829" w:rsidRDefault="004C3F84" w:rsidP="004C3F84">
      <w:pPr>
        <w:spacing w:line="480" w:lineRule="auto"/>
        <w:rPr>
          <w:color w:val="000000" w:themeColor="text1"/>
          <w:szCs w:val="24"/>
        </w:rPr>
      </w:pPr>
      <w:r w:rsidRPr="007679F1">
        <w:rPr>
          <w:szCs w:val="24"/>
        </w:rPr>
        <w:t xml:space="preserve">To explore root system architecture in different soil volumes, I first </w:t>
      </w:r>
      <w:r w:rsidR="005D7786" w:rsidRPr="006E452E">
        <w:rPr>
          <w:szCs w:val="24"/>
        </w:rPr>
        <w:t>asked</w:t>
      </w:r>
      <w:r w:rsidRPr="007679F1">
        <w:rPr>
          <w:szCs w:val="24"/>
        </w:rPr>
        <w:t xml:space="preserve"> if barley and wheat root system</w:t>
      </w:r>
      <w:r w:rsidR="00453073">
        <w:rPr>
          <w:szCs w:val="24"/>
        </w:rPr>
        <w:t xml:space="preserve"> </w:t>
      </w:r>
      <w:r w:rsidR="00453073" w:rsidRPr="006E452E">
        <w:rPr>
          <w:szCs w:val="24"/>
        </w:rPr>
        <w:t>architecture</w:t>
      </w:r>
      <w:r w:rsidRPr="007679F1">
        <w:rPr>
          <w:szCs w:val="24"/>
        </w:rPr>
        <w:t xml:space="preserve"> respond in the same way to soil volume availability. I hypothesised they would, given their strong similarities in shoot growth habit when grown in different pot sizes, albeit with barley usually producing a relatively larger shoot system than wheat (</w:t>
      </w:r>
      <w:r>
        <w:rPr>
          <w:szCs w:val="24"/>
        </w:rPr>
        <w:t>F</w:t>
      </w:r>
      <w:r w:rsidRPr="007679F1">
        <w:rPr>
          <w:szCs w:val="24"/>
        </w:rPr>
        <w:t>ig</w:t>
      </w:r>
      <w:r w:rsidR="00F71C59">
        <w:rPr>
          <w:szCs w:val="24"/>
        </w:rPr>
        <w:t>.</w:t>
      </w:r>
      <w:r w:rsidRPr="007679F1">
        <w:rPr>
          <w:szCs w:val="24"/>
        </w:rPr>
        <w:t xml:space="preserve"> 3.</w:t>
      </w:r>
      <w:r>
        <w:rPr>
          <w:szCs w:val="24"/>
        </w:rPr>
        <w:t>1 and 3.4</w:t>
      </w:r>
      <w:r w:rsidRPr="007679F1">
        <w:rPr>
          <w:szCs w:val="24"/>
        </w:rPr>
        <w:t xml:space="preserve">). </w:t>
      </w:r>
      <w:r w:rsidRPr="00005829">
        <w:rPr>
          <w:color w:val="000000" w:themeColor="text1"/>
          <w:szCs w:val="24"/>
        </w:rPr>
        <w:t xml:space="preserve">In addition, I hypothesised that plants grown in small pots would produce </w:t>
      </w:r>
      <w:r w:rsidRPr="00005829">
        <w:rPr>
          <w:color w:val="000000" w:themeColor="text1"/>
          <w:szCs w:val="24"/>
        </w:rPr>
        <w:lastRenderedPageBreak/>
        <w:t>smaller shoot systems than those in larger pots due to increased root density sooner in small pots.</w:t>
      </w:r>
    </w:p>
    <w:p w14:paraId="12E91F3B" w14:textId="2165681C" w:rsidR="004C3F84" w:rsidRDefault="004C3F84" w:rsidP="004C3F84">
      <w:pPr>
        <w:spacing w:line="480" w:lineRule="auto"/>
        <w:rPr>
          <w:szCs w:val="24"/>
        </w:rPr>
      </w:pPr>
      <w:r w:rsidRPr="00602B24">
        <w:rPr>
          <w:color w:val="000000" w:themeColor="text1"/>
          <w:szCs w:val="24"/>
        </w:rPr>
        <w:t xml:space="preserve">To investigate root system response to soil volume, </w:t>
      </w:r>
      <w:r>
        <w:rPr>
          <w:szCs w:val="24"/>
        </w:rPr>
        <w:t>b</w:t>
      </w:r>
      <w:r w:rsidRPr="007679F1">
        <w:rPr>
          <w:szCs w:val="24"/>
        </w:rPr>
        <w:t>arley (cv. Charon) and wheat (cv. Mulika) seeds were pregerminated for a week then placed singly into 150ml and 1100ml rhizoboxes filled with compost</w:t>
      </w:r>
      <w:r>
        <w:rPr>
          <w:szCs w:val="24"/>
        </w:rPr>
        <w:t xml:space="preserve"> (</w:t>
      </w:r>
      <w:r w:rsidR="008F048F">
        <w:rPr>
          <w:szCs w:val="24"/>
        </w:rPr>
        <w:t>Chapter 2</w:t>
      </w:r>
      <w:r>
        <w:rPr>
          <w:szCs w:val="24"/>
        </w:rPr>
        <w:t>)</w:t>
      </w:r>
      <w:r w:rsidRPr="007679F1">
        <w:rPr>
          <w:szCs w:val="24"/>
        </w:rPr>
        <w:t>. Pre-germination aimed to remove the possibility of sowing seeds in the wrong orientation (</w:t>
      </w:r>
      <w:r w:rsidR="007A3758" w:rsidRPr="007679F1">
        <w:rPr>
          <w:szCs w:val="24"/>
        </w:rPr>
        <w:t>i.e.</w:t>
      </w:r>
      <w:r w:rsidRPr="007679F1">
        <w:rPr>
          <w:szCs w:val="24"/>
        </w:rPr>
        <w:t xml:space="preserve"> shoots downwards and roots upwards) and also to ensure all rhizoboxes had successfully germinated seed. Rhizoboxes were scanned twice weekly until </w:t>
      </w:r>
      <w:r w:rsidR="00F16F7D">
        <w:rPr>
          <w:szCs w:val="24"/>
        </w:rPr>
        <w:t xml:space="preserve">64 and </w:t>
      </w:r>
      <w:r w:rsidR="00CE77AE">
        <w:rPr>
          <w:szCs w:val="24"/>
        </w:rPr>
        <w:t>72</w:t>
      </w:r>
      <w:r w:rsidRPr="007679F1">
        <w:rPr>
          <w:szCs w:val="24"/>
        </w:rPr>
        <w:t xml:space="preserve"> </w:t>
      </w:r>
      <w:r w:rsidR="004732BF">
        <w:rPr>
          <w:szCs w:val="24"/>
        </w:rPr>
        <w:t xml:space="preserve">(wheat and barley respectively) </w:t>
      </w:r>
      <w:r w:rsidRPr="007679F1">
        <w:rPr>
          <w:szCs w:val="24"/>
        </w:rPr>
        <w:t xml:space="preserve">days post germination when shoots were harvested and dried for biomass measurements. </w:t>
      </w:r>
    </w:p>
    <w:p w14:paraId="145FE55D" w14:textId="4BB4026B" w:rsidR="004C3F84" w:rsidRPr="00521D15" w:rsidRDefault="004C3F84" w:rsidP="004C3F84">
      <w:pPr>
        <w:spacing w:line="480" w:lineRule="auto"/>
        <w:rPr>
          <w:szCs w:val="24"/>
        </w:rPr>
      </w:pPr>
      <w:r w:rsidRPr="00602B24">
        <w:rPr>
          <w:color w:val="000000" w:themeColor="text1"/>
          <w:szCs w:val="24"/>
        </w:rPr>
        <w:t xml:space="preserve">I first wanted to establish the root system response overtime and identify if the shoot-based differences seen in different </w:t>
      </w:r>
      <w:r>
        <w:rPr>
          <w:color w:val="000000" w:themeColor="text1"/>
          <w:szCs w:val="24"/>
        </w:rPr>
        <w:t>soil volumes</w:t>
      </w:r>
      <w:r w:rsidRPr="00602B24">
        <w:rPr>
          <w:color w:val="000000" w:themeColor="text1"/>
          <w:szCs w:val="24"/>
        </w:rPr>
        <w:t xml:space="preserve"> could involve root density. To do this, I devised a method of assessing root density using a </w:t>
      </w:r>
      <w:r w:rsidRPr="00521D15">
        <w:rPr>
          <w:szCs w:val="24"/>
        </w:rPr>
        <w:t xml:space="preserve">root density score </w:t>
      </w:r>
      <w:r>
        <w:rPr>
          <w:szCs w:val="24"/>
        </w:rPr>
        <w:t>a</w:t>
      </w:r>
      <w:r w:rsidRPr="00521D15">
        <w:rPr>
          <w:szCs w:val="24"/>
        </w:rPr>
        <w:t xml:space="preserve">s described in detail in </w:t>
      </w:r>
      <w:r w:rsidR="008F048F">
        <w:rPr>
          <w:szCs w:val="24"/>
        </w:rPr>
        <w:t>Chapter 2</w:t>
      </w:r>
      <w:r w:rsidRPr="00521D15">
        <w:rPr>
          <w:szCs w:val="24"/>
        </w:rPr>
        <w:t>. The root density score does not provide information about absolute root system size, but rather provides an insight into the relative density of roots in the given soil volume.</w:t>
      </w:r>
    </w:p>
    <w:p w14:paraId="3DEEECD6" w14:textId="246F568A" w:rsidR="004C3F84" w:rsidRPr="00521D15" w:rsidRDefault="004C3F84" w:rsidP="004C3F84">
      <w:pPr>
        <w:spacing w:line="480" w:lineRule="auto"/>
        <w:rPr>
          <w:szCs w:val="24"/>
        </w:rPr>
      </w:pPr>
      <w:r w:rsidRPr="00521D15">
        <w:rPr>
          <w:szCs w:val="24"/>
        </w:rPr>
        <w:t xml:space="preserve">In the first few weeks, the root density score </w:t>
      </w:r>
      <w:r w:rsidR="000A76B8" w:rsidRPr="006E452E">
        <w:rPr>
          <w:szCs w:val="24"/>
        </w:rPr>
        <w:t>wa</w:t>
      </w:r>
      <w:r w:rsidRPr="006E452E">
        <w:rPr>
          <w:szCs w:val="24"/>
        </w:rPr>
        <w:t>s</w:t>
      </w:r>
      <w:r w:rsidRPr="00521D15">
        <w:rPr>
          <w:szCs w:val="24"/>
        </w:rPr>
        <w:t xml:space="preserve"> highest in the 150ml grown plants in both species (Fig</w:t>
      </w:r>
      <w:r w:rsidR="008619DB">
        <w:rPr>
          <w:szCs w:val="24"/>
        </w:rPr>
        <w:t>.</w:t>
      </w:r>
      <w:r w:rsidRPr="00521D15">
        <w:rPr>
          <w:szCs w:val="24"/>
        </w:rPr>
        <w:t xml:space="preserve"> 3.</w:t>
      </w:r>
      <w:r>
        <w:rPr>
          <w:szCs w:val="24"/>
        </w:rPr>
        <w:t>18</w:t>
      </w:r>
      <w:r w:rsidRPr="00521D15">
        <w:rPr>
          <w:szCs w:val="24"/>
        </w:rPr>
        <w:t>A), this is not necessarily surprising given these plants are in a small soil volume</w:t>
      </w:r>
      <w:r>
        <w:rPr>
          <w:szCs w:val="24"/>
        </w:rPr>
        <w:t>.</w:t>
      </w:r>
    </w:p>
    <w:p w14:paraId="1B3F2B27" w14:textId="667A3D32" w:rsidR="004C3F84" w:rsidRPr="00521D15" w:rsidRDefault="00B31453" w:rsidP="004C3F84">
      <w:pPr>
        <w:spacing w:line="480" w:lineRule="auto"/>
        <w:rPr>
          <w:szCs w:val="24"/>
        </w:rPr>
      </w:pPr>
      <w:r w:rsidRPr="006E452E">
        <w:rPr>
          <w:szCs w:val="24"/>
        </w:rPr>
        <w:t>Analysis of</w:t>
      </w:r>
      <w:r w:rsidR="004C3F84" w:rsidRPr="006E452E">
        <w:rPr>
          <w:szCs w:val="24"/>
        </w:rPr>
        <w:t xml:space="preserve"> barley</w:t>
      </w:r>
      <w:r w:rsidRPr="006E452E">
        <w:rPr>
          <w:szCs w:val="24"/>
        </w:rPr>
        <w:t xml:space="preserve"> showed that</w:t>
      </w:r>
      <w:r w:rsidR="004C3F84" w:rsidRPr="00521D15">
        <w:rPr>
          <w:szCs w:val="24"/>
        </w:rPr>
        <w:t xml:space="preserve">, the 150ml plants consistently maintain </w:t>
      </w:r>
      <w:r w:rsidR="004C3F84">
        <w:rPr>
          <w:szCs w:val="24"/>
        </w:rPr>
        <w:t xml:space="preserve">a </w:t>
      </w:r>
      <w:r w:rsidR="004C3F84" w:rsidRPr="00521D15">
        <w:rPr>
          <w:szCs w:val="24"/>
        </w:rPr>
        <w:t xml:space="preserve">high density of roots in their given soil volume compared to those grown in 1100ml </w:t>
      </w:r>
      <w:r w:rsidR="004C3F84">
        <w:rPr>
          <w:szCs w:val="24"/>
        </w:rPr>
        <w:t xml:space="preserve">rhizoboxes </w:t>
      </w:r>
      <w:r w:rsidR="004C3F84" w:rsidRPr="00175560">
        <w:rPr>
          <w:color w:val="000000" w:themeColor="text1"/>
          <w:szCs w:val="24"/>
        </w:rPr>
        <w:t xml:space="preserve">until later on in life. </w:t>
      </w:r>
      <w:r w:rsidR="004C3F84" w:rsidRPr="00521D15">
        <w:rPr>
          <w:szCs w:val="24"/>
        </w:rPr>
        <w:t xml:space="preserve">The </w:t>
      </w:r>
      <w:r w:rsidR="00FC5C51">
        <w:rPr>
          <w:szCs w:val="24"/>
        </w:rPr>
        <w:t xml:space="preserve">plants grown in </w:t>
      </w:r>
      <w:r w:rsidR="004C3F84" w:rsidRPr="00521D15">
        <w:rPr>
          <w:szCs w:val="24"/>
        </w:rPr>
        <w:t xml:space="preserve">150ml </w:t>
      </w:r>
      <w:r w:rsidR="004C3F84">
        <w:rPr>
          <w:szCs w:val="24"/>
        </w:rPr>
        <w:t>rhizoboxes</w:t>
      </w:r>
      <w:r w:rsidR="004C3F84" w:rsidRPr="00521D15">
        <w:rPr>
          <w:szCs w:val="24"/>
        </w:rPr>
        <w:t xml:space="preserve"> continue to increase their root density until ~55 days post germination where root production appears to cease (Fig</w:t>
      </w:r>
      <w:r w:rsidR="00053130">
        <w:rPr>
          <w:szCs w:val="24"/>
        </w:rPr>
        <w:t>.</w:t>
      </w:r>
      <w:r w:rsidR="004C3F84" w:rsidRPr="00521D15">
        <w:rPr>
          <w:szCs w:val="24"/>
        </w:rPr>
        <w:t xml:space="preserve"> 3.</w:t>
      </w:r>
      <w:r w:rsidR="004C3F84">
        <w:rPr>
          <w:szCs w:val="24"/>
        </w:rPr>
        <w:t>18</w:t>
      </w:r>
      <w:r w:rsidR="004C3F84" w:rsidRPr="00521D15">
        <w:rPr>
          <w:szCs w:val="24"/>
        </w:rPr>
        <w:t xml:space="preserve">A). The plants in the 1100ml </w:t>
      </w:r>
      <w:r w:rsidR="004C3F84">
        <w:rPr>
          <w:szCs w:val="24"/>
        </w:rPr>
        <w:t>rhizoboxes</w:t>
      </w:r>
      <w:r w:rsidR="004C3F84" w:rsidRPr="00521D15">
        <w:rPr>
          <w:szCs w:val="24"/>
        </w:rPr>
        <w:t xml:space="preserve"> </w:t>
      </w:r>
      <w:r w:rsidR="004C3F84" w:rsidRPr="00521D15">
        <w:rPr>
          <w:szCs w:val="24"/>
        </w:rPr>
        <w:lastRenderedPageBreak/>
        <w:t>however appear to continue to steadily produce roots for at least 10 days longer than the 150ml grown plants (Fig</w:t>
      </w:r>
      <w:r w:rsidR="00053130">
        <w:rPr>
          <w:szCs w:val="24"/>
        </w:rPr>
        <w:t>.</w:t>
      </w:r>
      <w:r w:rsidR="004C3F84" w:rsidRPr="00521D15">
        <w:rPr>
          <w:szCs w:val="24"/>
        </w:rPr>
        <w:t xml:space="preserve"> 3.</w:t>
      </w:r>
      <w:r w:rsidR="004C3F84">
        <w:rPr>
          <w:szCs w:val="24"/>
        </w:rPr>
        <w:t>18</w:t>
      </w:r>
      <w:r w:rsidR="004C3F84" w:rsidRPr="00521D15">
        <w:rPr>
          <w:szCs w:val="24"/>
        </w:rPr>
        <w:t xml:space="preserve">A), eventually reaching the same root density. This suggests that barley root systems become inhibited in their root growth when their root density reaches a critical threshold, and this occurs earlier in the smaller rhizoboxes. The plants grown in the 1100ml rhizoboxes have more soil volume in which their roots can spread hence can continue to produce roots for longer before reaching this root density threshold and then becoming inhibited. </w:t>
      </w:r>
    </w:p>
    <w:p w14:paraId="61673009" w14:textId="4B769E11" w:rsidR="004C3F84" w:rsidRDefault="004C3F84" w:rsidP="004C3F84">
      <w:pPr>
        <w:spacing w:line="480" w:lineRule="auto"/>
        <w:rPr>
          <w:szCs w:val="24"/>
        </w:rPr>
      </w:pPr>
      <w:r w:rsidRPr="00521D15">
        <w:rPr>
          <w:szCs w:val="24"/>
        </w:rPr>
        <w:t>The same trend can be seen in wheat, however the maximum root density score seen in both soil volumes is lower than in barley (Fig</w:t>
      </w:r>
      <w:r w:rsidR="00B97AA3">
        <w:rPr>
          <w:szCs w:val="24"/>
        </w:rPr>
        <w:t>.</w:t>
      </w:r>
      <w:r w:rsidRPr="00521D15">
        <w:rPr>
          <w:szCs w:val="24"/>
        </w:rPr>
        <w:t xml:space="preserve"> 3.</w:t>
      </w:r>
      <w:r>
        <w:rPr>
          <w:szCs w:val="24"/>
        </w:rPr>
        <w:t>18</w:t>
      </w:r>
      <w:r w:rsidRPr="00521D15">
        <w:rPr>
          <w:szCs w:val="24"/>
        </w:rPr>
        <w:t>A). This could suggest that wheat has a higher sensitivity to root density than barley, hence inhibiting root growth at an earlier time. However, this could be interlinked with inherent differences in their developmental growth speeds as wheat also ceases its tiller production before barley</w:t>
      </w:r>
      <w:r>
        <w:rPr>
          <w:szCs w:val="24"/>
        </w:rPr>
        <w:t xml:space="preserve"> (Fig</w:t>
      </w:r>
      <w:r w:rsidR="00B97AA3">
        <w:rPr>
          <w:szCs w:val="24"/>
        </w:rPr>
        <w:t>.</w:t>
      </w:r>
      <w:r>
        <w:rPr>
          <w:szCs w:val="24"/>
        </w:rPr>
        <w:t xml:space="preserve"> 3.22A)</w:t>
      </w:r>
      <w:r w:rsidRPr="00521D15">
        <w:rPr>
          <w:szCs w:val="24"/>
        </w:rPr>
        <w:t>.</w:t>
      </w:r>
    </w:p>
    <w:p w14:paraId="095BFBAB" w14:textId="77777777" w:rsidR="00FB0498" w:rsidRDefault="00FB0498" w:rsidP="004C3F84">
      <w:pPr>
        <w:spacing w:line="480" w:lineRule="auto"/>
        <w:rPr>
          <w:szCs w:val="24"/>
        </w:rPr>
      </w:pPr>
    </w:p>
    <w:p w14:paraId="2C62365B" w14:textId="77777777" w:rsidR="00FB0498" w:rsidRDefault="00FB0498" w:rsidP="004C3F84">
      <w:pPr>
        <w:spacing w:line="480" w:lineRule="auto"/>
        <w:rPr>
          <w:szCs w:val="24"/>
        </w:rPr>
      </w:pPr>
    </w:p>
    <w:p w14:paraId="0259D2F8" w14:textId="77777777" w:rsidR="00FB0498" w:rsidRDefault="00FB0498" w:rsidP="004C3F84">
      <w:pPr>
        <w:spacing w:line="480" w:lineRule="auto"/>
        <w:rPr>
          <w:szCs w:val="24"/>
        </w:rPr>
      </w:pPr>
    </w:p>
    <w:p w14:paraId="4EAAC44D" w14:textId="4ECBFA9A" w:rsidR="004C3F84" w:rsidRDefault="00FB0498" w:rsidP="004C3F84">
      <w:pPr>
        <w:spacing w:line="480" w:lineRule="auto"/>
        <w:rPr>
          <w:szCs w:val="24"/>
        </w:rPr>
      </w:pPr>
      <w:r>
        <w:rPr>
          <w:noProof/>
          <w:szCs w:val="24"/>
        </w:rPr>
        <w:lastRenderedPageBreak/>
        <w:drawing>
          <wp:anchor distT="0" distB="0" distL="114300" distR="114300" simplePos="0" relativeHeight="251597312" behindDoc="0" locked="0" layoutInCell="1" allowOverlap="1" wp14:anchorId="08D76FF5" wp14:editId="65486F7A">
            <wp:simplePos x="0" y="0"/>
            <wp:positionH relativeFrom="margin">
              <wp:align>left</wp:align>
            </wp:positionH>
            <wp:positionV relativeFrom="paragraph">
              <wp:posOffset>8255</wp:posOffset>
            </wp:positionV>
            <wp:extent cx="3589020" cy="2719070"/>
            <wp:effectExtent l="0" t="0" r="0" b="5080"/>
            <wp:wrapSquare wrapText="bothSides"/>
            <wp:docPr id="7868488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48857" name="Picture 78684885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89020" cy="2719070"/>
                    </a:xfrm>
                    <a:prstGeom prst="rect">
                      <a:avLst/>
                    </a:prstGeom>
                  </pic:spPr>
                </pic:pic>
              </a:graphicData>
            </a:graphic>
            <wp14:sizeRelH relativeFrom="margin">
              <wp14:pctWidth>0</wp14:pctWidth>
            </wp14:sizeRelH>
            <wp14:sizeRelV relativeFrom="margin">
              <wp14:pctHeight>0</wp14:pctHeight>
            </wp14:sizeRelV>
          </wp:anchor>
        </w:drawing>
      </w:r>
    </w:p>
    <w:p w14:paraId="0839A18E" w14:textId="6ED90EFF" w:rsidR="004C3F84" w:rsidRDefault="004C3F84" w:rsidP="004C3F84">
      <w:pPr>
        <w:spacing w:line="480" w:lineRule="auto"/>
        <w:rPr>
          <w:szCs w:val="24"/>
        </w:rPr>
      </w:pPr>
    </w:p>
    <w:p w14:paraId="25F7876D" w14:textId="77777777" w:rsidR="004C3F84" w:rsidRDefault="004C3F84" w:rsidP="004C3F84">
      <w:pPr>
        <w:spacing w:line="480" w:lineRule="auto"/>
        <w:rPr>
          <w:szCs w:val="24"/>
        </w:rPr>
      </w:pPr>
    </w:p>
    <w:p w14:paraId="241314F9" w14:textId="77777777" w:rsidR="004C3F84" w:rsidRPr="007679F1" w:rsidRDefault="004C3F84" w:rsidP="004C3F84">
      <w:pPr>
        <w:spacing w:line="480" w:lineRule="auto"/>
        <w:rPr>
          <w:szCs w:val="24"/>
        </w:rPr>
      </w:pPr>
    </w:p>
    <w:p w14:paraId="0B186D07" w14:textId="77777777" w:rsidR="004C3F84" w:rsidRDefault="004C3F84" w:rsidP="004C3F84">
      <w:pPr>
        <w:spacing w:line="480" w:lineRule="auto"/>
        <w:rPr>
          <w:szCs w:val="24"/>
        </w:rPr>
      </w:pPr>
    </w:p>
    <w:p w14:paraId="64BE7901" w14:textId="77777777" w:rsidR="004C3F84" w:rsidRDefault="004C3F84" w:rsidP="004C3F84">
      <w:pPr>
        <w:spacing w:line="480" w:lineRule="auto"/>
        <w:rPr>
          <w:szCs w:val="24"/>
        </w:rPr>
      </w:pPr>
    </w:p>
    <w:p w14:paraId="431B4D7B" w14:textId="77777777" w:rsidR="004C3F84" w:rsidRDefault="004C3F84" w:rsidP="004C3F84">
      <w:pPr>
        <w:spacing w:line="480" w:lineRule="auto"/>
        <w:rPr>
          <w:szCs w:val="24"/>
        </w:rPr>
      </w:pPr>
    </w:p>
    <w:p w14:paraId="43475651" w14:textId="3D6F592B" w:rsidR="004C3F84" w:rsidRDefault="004C3F84" w:rsidP="004C3F84">
      <w:pPr>
        <w:pStyle w:val="Caption"/>
        <w:rPr>
          <w:sz w:val="24"/>
        </w:rPr>
      </w:pPr>
      <w:bookmarkStart w:id="144" w:name="_Toc146657561"/>
      <w:bookmarkStart w:id="145" w:name="_Toc154331552"/>
      <w:r>
        <w:t xml:space="preserve">Figure </w:t>
      </w:r>
      <w:fldSimple w:instr=" STYLEREF 1 \s ">
        <w:r w:rsidR="004B7F70">
          <w:rPr>
            <w:noProof/>
          </w:rPr>
          <w:t>3</w:t>
        </w:r>
      </w:fldSimple>
      <w:r w:rsidR="00C97D34">
        <w:t>.</w:t>
      </w:r>
      <w:fldSimple w:instr=" SEQ Figure \* ARABIC \s 1 ">
        <w:r w:rsidR="004B7F70">
          <w:rPr>
            <w:noProof/>
          </w:rPr>
          <w:t>18</w:t>
        </w:r>
      </w:fldSimple>
      <w:r>
        <w:t xml:space="preserve"> </w:t>
      </w:r>
      <w:r w:rsidRPr="00114AC0">
        <w:t>Root density increases faster in small soil volumes</w:t>
      </w:r>
      <w:bookmarkEnd w:id="144"/>
      <w:bookmarkEnd w:id="145"/>
    </w:p>
    <w:p w14:paraId="64656FA3" w14:textId="4215F9B3" w:rsidR="004C3F84" w:rsidRDefault="004C3F84" w:rsidP="004C3F84">
      <w:pPr>
        <w:pStyle w:val="Description"/>
      </w:pPr>
      <w:r w:rsidRPr="002C3A6B">
        <w:t>Barley (cv</w:t>
      </w:r>
      <w:r w:rsidR="008448DF">
        <w:t>.</w:t>
      </w:r>
      <w:r w:rsidR="008448DF" w:rsidRPr="002C3A6B">
        <w:t xml:space="preserve"> </w:t>
      </w:r>
      <w:r w:rsidRPr="002C3A6B">
        <w:t xml:space="preserve">Charon) and Wheat (cv. Mulika) plants were pregerminated for 1 week before transferring into 150ml </w:t>
      </w:r>
      <w:r>
        <w:t xml:space="preserve">(barley: lilac, wheat: peach) </w:t>
      </w:r>
      <w:r w:rsidRPr="002C3A6B">
        <w:t xml:space="preserve">and 1100ml </w:t>
      </w:r>
      <w:r>
        <w:t xml:space="preserve">(barley: purple, wheat: red) </w:t>
      </w:r>
      <w:r w:rsidRPr="002C3A6B">
        <w:t xml:space="preserve">rhizoboxes. Rhizoboxes were imaged every 3-4 days from day 11-64 for wheat and day 11-71 for barley.  </w:t>
      </w:r>
    </w:p>
    <w:p w14:paraId="2278A179" w14:textId="3094E5B8" w:rsidR="004C3F84" w:rsidRDefault="004C3F84" w:rsidP="00EA2FF3">
      <w:pPr>
        <w:pStyle w:val="Description"/>
      </w:pPr>
      <w:r w:rsidRPr="00A07906">
        <w:t>A)</w:t>
      </w:r>
      <w:r>
        <w:t xml:space="preserve"> </w:t>
      </w:r>
      <w:r w:rsidRPr="00A07906">
        <w:t xml:space="preserve">Line graph showing </w:t>
      </w:r>
      <w:r>
        <w:t xml:space="preserve">the </w:t>
      </w:r>
      <w:r w:rsidRPr="00A07906">
        <w:t>root density</w:t>
      </w:r>
      <w:r>
        <w:t xml:space="preserve"> as a percentage of roots (white pixels) to soil (black pixels) (as described </w:t>
      </w:r>
      <w:r w:rsidR="008F048F">
        <w:t>Chapter 2</w:t>
      </w:r>
      <w:r w:rsidR="00893E78">
        <w:t>)</w:t>
      </w:r>
      <w:r>
        <w:t xml:space="preserve"> </w:t>
      </w:r>
      <w:r w:rsidRPr="00A07906">
        <w:t>over time as a rolling average of 4 time points each 3-4 days apart.</w:t>
      </w:r>
    </w:p>
    <w:p w14:paraId="15CE2092" w14:textId="77777777" w:rsidR="004C3F84" w:rsidRDefault="004C3F84" w:rsidP="004C3F84"/>
    <w:p w14:paraId="6B24FF1B" w14:textId="714974F9" w:rsidR="004C3F84" w:rsidRDefault="004C3F84" w:rsidP="004C3F84">
      <w:pPr>
        <w:spacing w:line="480" w:lineRule="auto"/>
        <w:rPr>
          <w:szCs w:val="24"/>
        </w:rPr>
      </w:pPr>
      <w:r w:rsidRPr="001B4294">
        <w:rPr>
          <w:color w:val="000000" w:themeColor="text1"/>
          <w:szCs w:val="24"/>
        </w:rPr>
        <w:t xml:space="preserve">As plants in small rhizoboxes showed an elevated root density earlier on in plant life than those in large rhizoboxes, I explored root growth in greater detail to identify how that could be achieved. I aimed to understand how the plants allocate root types in different soil volumes and hence </w:t>
      </w:r>
      <w:r w:rsidRPr="007679F1">
        <w:rPr>
          <w:szCs w:val="24"/>
        </w:rPr>
        <w:t>I needed to define and measure these. I have defined seminal roots as roots which emerge from the seed, these are generally the thickest roots and often have fine roots which emerge from them (</w:t>
      </w:r>
      <w:r>
        <w:rPr>
          <w:szCs w:val="24"/>
        </w:rPr>
        <w:t>Fi</w:t>
      </w:r>
      <w:r w:rsidRPr="007679F1">
        <w:rPr>
          <w:szCs w:val="24"/>
        </w:rPr>
        <w:t>g</w:t>
      </w:r>
      <w:r w:rsidR="008F048F">
        <w:rPr>
          <w:szCs w:val="24"/>
        </w:rPr>
        <w:t>. 2.4</w:t>
      </w:r>
      <w:r w:rsidRPr="007679F1">
        <w:rPr>
          <w:szCs w:val="24"/>
        </w:rPr>
        <w:t>). I have defined lateral roots as the fine roots which emerge from the seminal roots, these are often much shorter than the seminal roots (</w:t>
      </w:r>
      <w:r>
        <w:rPr>
          <w:szCs w:val="24"/>
        </w:rPr>
        <w:t>F</w:t>
      </w:r>
      <w:r w:rsidRPr="007679F1">
        <w:rPr>
          <w:szCs w:val="24"/>
        </w:rPr>
        <w:t>i</w:t>
      </w:r>
      <w:r w:rsidR="008F048F">
        <w:rPr>
          <w:szCs w:val="24"/>
        </w:rPr>
        <w:t>g. 2.4</w:t>
      </w:r>
      <w:r w:rsidRPr="007679F1">
        <w:rPr>
          <w:szCs w:val="24"/>
        </w:rPr>
        <w:t xml:space="preserve">). I measured individual root length of seminal and lateral roots for each rhizobox at 11-, 14-, 18- and 21-days post germination and from this I was able to calculate total root length (as a sum of all lateral and seminal root lengths), and total root number (as a sum of the total number </w:t>
      </w:r>
      <w:r w:rsidRPr="007679F1">
        <w:rPr>
          <w:szCs w:val="24"/>
        </w:rPr>
        <w:lastRenderedPageBreak/>
        <w:t>of seminal and lateral roots) (Fig</w:t>
      </w:r>
      <w:r w:rsidR="00E434D0">
        <w:rPr>
          <w:szCs w:val="24"/>
        </w:rPr>
        <w:t>.</w:t>
      </w:r>
      <w:r>
        <w:rPr>
          <w:szCs w:val="24"/>
        </w:rPr>
        <w:t xml:space="preserve"> 3.19A-B</w:t>
      </w:r>
      <w:r w:rsidRPr="007679F1">
        <w:rPr>
          <w:szCs w:val="24"/>
        </w:rPr>
        <w:t>). By assessing roots in this early time window, I aimed to identify how soon differences in root architecture could be seen between soil volumes and determine if certain features of the root system were more affected</w:t>
      </w:r>
      <w:r>
        <w:rPr>
          <w:szCs w:val="24"/>
        </w:rPr>
        <w:t xml:space="preserve"> by soil volume availability</w:t>
      </w:r>
      <w:r w:rsidRPr="007679F1">
        <w:rPr>
          <w:szCs w:val="24"/>
        </w:rPr>
        <w:t xml:space="preserve"> than others.</w:t>
      </w:r>
    </w:p>
    <w:p w14:paraId="055B9CE2" w14:textId="71EF6294" w:rsidR="004C3F84" w:rsidRDefault="004C3F84" w:rsidP="004C3F84">
      <w:pPr>
        <w:spacing w:line="480" w:lineRule="auto"/>
        <w:rPr>
          <w:color w:val="00B050"/>
          <w:szCs w:val="24"/>
        </w:rPr>
      </w:pPr>
      <w:r w:rsidRPr="009F6FA6">
        <w:rPr>
          <w:szCs w:val="24"/>
        </w:rPr>
        <w:t>At 11 days post germination, total root length in barley plants is equal in both soil volumes</w:t>
      </w:r>
      <w:r>
        <w:rPr>
          <w:szCs w:val="24"/>
        </w:rPr>
        <w:t xml:space="preserve"> (Fig</w:t>
      </w:r>
      <w:r w:rsidR="00F9266B">
        <w:rPr>
          <w:szCs w:val="24"/>
        </w:rPr>
        <w:t>.</w:t>
      </w:r>
      <w:r>
        <w:rPr>
          <w:szCs w:val="24"/>
        </w:rPr>
        <w:t xml:space="preserve"> 3.19A)</w:t>
      </w:r>
      <w:r w:rsidRPr="009F6FA6">
        <w:rPr>
          <w:szCs w:val="24"/>
        </w:rPr>
        <w:t>. The same can be said of wheat, however wheat plants produced ~2 fold greater total root length at this timepoint than barley plants</w:t>
      </w:r>
      <w:r>
        <w:rPr>
          <w:szCs w:val="24"/>
        </w:rPr>
        <w:t xml:space="preserve"> (Fig</w:t>
      </w:r>
      <w:r w:rsidR="007162B6">
        <w:rPr>
          <w:szCs w:val="24"/>
        </w:rPr>
        <w:t>.</w:t>
      </w:r>
      <w:r>
        <w:rPr>
          <w:szCs w:val="24"/>
        </w:rPr>
        <w:t xml:space="preserve"> 3.</w:t>
      </w:r>
      <w:r w:rsidR="007162B6">
        <w:rPr>
          <w:szCs w:val="24"/>
        </w:rPr>
        <w:t>19</w:t>
      </w:r>
      <w:r>
        <w:rPr>
          <w:szCs w:val="24"/>
        </w:rPr>
        <w:t>A)</w:t>
      </w:r>
      <w:r w:rsidRPr="009F6FA6">
        <w:rPr>
          <w:szCs w:val="24"/>
        </w:rPr>
        <w:t>. Total root number of barley plants is also equal in both soil volumes at 11 days post germination</w:t>
      </w:r>
      <w:r>
        <w:rPr>
          <w:szCs w:val="24"/>
        </w:rPr>
        <w:t xml:space="preserve"> (Fig</w:t>
      </w:r>
      <w:r w:rsidR="00B94D77">
        <w:rPr>
          <w:szCs w:val="24"/>
        </w:rPr>
        <w:t>.</w:t>
      </w:r>
      <w:r>
        <w:rPr>
          <w:szCs w:val="24"/>
        </w:rPr>
        <w:t xml:space="preserve"> 3.19B)</w:t>
      </w:r>
      <w:r w:rsidRPr="009F6FA6">
        <w:rPr>
          <w:szCs w:val="24"/>
        </w:rPr>
        <w:t>. This same trend is also reflected in wheat as total root number is also equal in both soil volumes at this timepoint and these plants produce a similar number of roots to barley</w:t>
      </w:r>
      <w:r>
        <w:rPr>
          <w:szCs w:val="24"/>
        </w:rPr>
        <w:t xml:space="preserve"> (Fig</w:t>
      </w:r>
      <w:r w:rsidR="00B94D77">
        <w:rPr>
          <w:szCs w:val="24"/>
        </w:rPr>
        <w:t>.</w:t>
      </w:r>
      <w:r>
        <w:rPr>
          <w:szCs w:val="24"/>
        </w:rPr>
        <w:t xml:space="preserve"> 3.19B)</w:t>
      </w:r>
      <w:r w:rsidRPr="009F6FA6">
        <w:rPr>
          <w:szCs w:val="24"/>
        </w:rPr>
        <w:t>.</w:t>
      </w:r>
      <w:r w:rsidRPr="00D34BA7">
        <w:rPr>
          <w:color w:val="00B050"/>
          <w:szCs w:val="24"/>
        </w:rPr>
        <w:t xml:space="preserve"> </w:t>
      </w:r>
    </w:p>
    <w:p w14:paraId="269E3723" w14:textId="09EE817A" w:rsidR="004C3F84" w:rsidRDefault="004C3F84" w:rsidP="004C3F84">
      <w:pPr>
        <w:spacing w:line="480" w:lineRule="auto"/>
        <w:rPr>
          <w:szCs w:val="24"/>
        </w:rPr>
      </w:pPr>
      <w:r w:rsidRPr="00C82F62">
        <w:rPr>
          <w:szCs w:val="24"/>
        </w:rPr>
        <w:t xml:space="preserve">After 11 days post germination, a trend begins to emerge in both species where the plants grown in 150ml rhizoboxes produced a greater total number of roots and root length compared to </w:t>
      </w:r>
      <w:r w:rsidR="00B47534" w:rsidRPr="00AF29B3">
        <w:rPr>
          <w:szCs w:val="24"/>
        </w:rPr>
        <w:t>those</w:t>
      </w:r>
      <w:r w:rsidR="00E3082B" w:rsidRPr="00AF29B3">
        <w:rPr>
          <w:szCs w:val="24"/>
        </w:rPr>
        <w:t xml:space="preserve"> in</w:t>
      </w:r>
      <w:r w:rsidRPr="00C82F62">
        <w:rPr>
          <w:szCs w:val="24"/>
        </w:rPr>
        <w:t xml:space="preserve"> 1100ml </w:t>
      </w:r>
      <w:r w:rsidR="00E3082B">
        <w:rPr>
          <w:szCs w:val="24"/>
        </w:rPr>
        <w:t>rhizoboxes</w:t>
      </w:r>
      <w:r w:rsidRPr="00C82F62">
        <w:rPr>
          <w:szCs w:val="24"/>
        </w:rPr>
        <w:t>. This is maintained until at least 21 days post germination (Fig</w:t>
      </w:r>
      <w:r w:rsidR="005A1971">
        <w:rPr>
          <w:szCs w:val="24"/>
        </w:rPr>
        <w:t>.</w:t>
      </w:r>
      <w:r w:rsidRPr="00C82F62">
        <w:rPr>
          <w:szCs w:val="24"/>
        </w:rPr>
        <w:t xml:space="preserve"> 3.</w:t>
      </w:r>
      <w:r>
        <w:rPr>
          <w:szCs w:val="24"/>
        </w:rPr>
        <w:t>19</w:t>
      </w:r>
      <w:r w:rsidRPr="00C82F62">
        <w:rPr>
          <w:szCs w:val="24"/>
        </w:rPr>
        <w:t>A-B).</w:t>
      </w:r>
    </w:p>
    <w:p w14:paraId="6AA1855D" w14:textId="076FEADD" w:rsidR="00562324" w:rsidRDefault="00562324" w:rsidP="004C3F84">
      <w:pPr>
        <w:spacing w:line="480" w:lineRule="auto"/>
        <w:rPr>
          <w:szCs w:val="24"/>
        </w:rPr>
      </w:pPr>
    </w:p>
    <w:p w14:paraId="2455D428" w14:textId="0563BC6A" w:rsidR="00562324" w:rsidRDefault="00562324" w:rsidP="004C3F84">
      <w:pPr>
        <w:spacing w:line="480" w:lineRule="auto"/>
        <w:rPr>
          <w:szCs w:val="24"/>
        </w:rPr>
      </w:pPr>
    </w:p>
    <w:p w14:paraId="3CC7539B" w14:textId="23DAD4BC" w:rsidR="00562324" w:rsidRPr="00C82F62" w:rsidRDefault="00562324" w:rsidP="004C3F84">
      <w:pPr>
        <w:spacing w:line="480" w:lineRule="auto"/>
        <w:rPr>
          <w:szCs w:val="24"/>
        </w:rPr>
      </w:pPr>
    </w:p>
    <w:p w14:paraId="1EB5F390" w14:textId="1EF53203" w:rsidR="004C3F84" w:rsidRDefault="00562324" w:rsidP="004C3F84">
      <w:pPr>
        <w:pStyle w:val="Caption"/>
        <w:rPr>
          <w:sz w:val="24"/>
        </w:rPr>
      </w:pPr>
      <w:bookmarkStart w:id="146" w:name="_Toc146657562"/>
      <w:bookmarkStart w:id="147" w:name="_Toc154331553"/>
      <w:r w:rsidRPr="00C82F62">
        <w:rPr>
          <w:noProof/>
        </w:rPr>
        <w:lastRenderedPageBreak/>
        <w:drawing>
          <wp:anchor distT="0" distB="0" distL="114300" distR="114300" simplePos="0" relativeHeight="251602432" behindDoc="0" locked="0" layoutInCell="1" allowOverlap="1" wp14:anchorId="183ABE6B" wp14:editId="178B95F5">
            <wp:simplePos x="0" y="0"/>
            <wp:positionH relativeFrom="margin">
              <wp:posOffset>-157090</wp:posOffset>
            </wp:positionH>
            <wp:positionV relativeFrom="paragraph">
              <wp:posOffset>-195</wp:posOffset>
            </wp:positionV>
            <wp:extent cx="5396230" cy="2153920"/>
            <wp:effectExtent l="0" t="0" r="0" b="0"/>
            <wp:wrapSquare wrapText="bothSides"/>
            <wp:docPr id="168686895" name="Picture 2"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6895" name="Picture 2" descr="A graph of different colored bars&#10;&#10;Description automatically generated with medium confidence"/>
                    <pic:cNvPicPr/>
                  </pic:nvPicPr>
                  <pic:blipFill rotWithShape="1">
                    <a:blip r:embed="rId42" cstate="print">
                      <a:extLst>
                        <a:ext uri="{28A0092B-C50C-407E-A947-70E740481C1C}">
                          <a14:useLocalDpi xmlns:a14="http://schemas.microsoft.com/office/drawing/2010/main" val="0"/>
                        </a:ext>
                      </a:extLst>
                    </a:blip>
                    <a:srcRect l="1586"/>
                    <a:stretch/>
                  </pic:blipFill>
                  <pic:spPr bwMode="auto">
                    <a:xfrm>
                      <a:off x="0" y="0"/>
                      <a:ext cx="5396230" cy="2153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3F84">
        <w:t xml:space="preserve">Figure </w:t>
      </w:r>
      <w:fldSimple w:instr=" STYLEREF 1 \s ">
        <w:r w:rsidR="004B7F70">
          <w:rPr>
            <w:noProof/>
          </w:rPr>
          <w:t>3</w:t>
        </w:r>
      </w:fldSimple>
      <w:r w:rsidR="00C97D34">
        <w:t>.</w:t>
      </w:r>
      <w:fldSimple w:instr=" SEQ Figure \* ARABIC \s 1 ">
        <w:r w:rsidR="004B7F70">
          <w:rPr>
            <w:noProof/>
          </w:rPr>
          <w:t>19</w:t>
        </w:r>
      </w:fldSimple>
      <w:r w:rsidR="004C3F84">
        <w:t xml:space="preserve"> </w:t>
      </w:r>
      <w:r w:rsidR="004C3F84" w:rsidRPr="00924900">
        <w:t>Total root number and length differs between soil volumes within the first 3 weeks post germination</w:t>
      </w:r>
      <w:bookmarkEnd w:id="146"/>
      <w:bookmarkEnd w:id="147"/>
    </w:p>
    <w:p w14:paraId="4CB91E0D" w14:textId="38D9EC85" w:rsidR="004C3F84" w:rsidRDefault="004C3F84" w:rsidP="004C3F84">
      <w:pPr>
        <w:pStyle w:val="Description"/>
      </w:pPr>
      <w:r w:rsidRPr="00370352">
        <w:t>Barley (cv. Charon) and Wheat (cv. Mulika) plants were pregerminated for 1 week before transferring into 150ml and 1100ml rhizoboxes. Rhizoboxes were imaged every 3-4 days from day 11-</w:t>
      </w:r>
      <w:r w:rsidR="00F447A7">
        <w:t>21</w:t>
      </w:r>
      <w:r w:rsidR="008448DF">
        <w:t xml:space="preserve"> post germination</w:t>
      </w:r>
      <w:r w:rsidR="00F447A7">
        <w:t>.</w:t>
      </w:r>
    </w:p>
    <w:p w14:paraId="74C2C6CA" w14:textId="0F8395E0" w:rsidR="004C3F84" w:rsidRDefault="004C3F84" w:rsidP="004C3F84">
      <w:pPr>
        <w:pStyle w:val="Description"/>
      </w:pPr>
      <w:r w:rsidRPr="00E55804">
        <w:t>A-B) Bar charts showing total root length (mm) (A) and total root number (B) at 11, 14, 18 and 21 days post germination. Statistical tests were carried out separately for each species, asterisks indicate significant difference, n.s represents no significant difference (Day 21; A</w:t>
      </w:r>
      <w:r w:rsidR="00ED53E6">
        <w:t>)</w:t>
      </w:r>
      <w:r w:rsidRPr="00E55804">
        <w:t xml:space="preserve"> barley- Mann Whitney U p&lt;0.05, wheat- Independent samples T-test, p&lt;0.05, B</w:t>
      </w:r>
      <w:r w:rsidR="00ED53E6">
        <w:t>)</w:t>
      </w:r>
      <w:r w:rsidRPr="00E55804">
        <w:t xml:space="preserve"> barley and wheat- Independent samples </w:t>
      </w:r>
      <w:r>
        <w:t>t</w:t>
      </w:r>
      <w:r w:rsidRPr="00E55804">
        <w:t>-test, p&lt;0.05) n=5.</w:t>
      </w:r>
    </w:p>
    <w:p w14:paraId="6F512D10" w14:textId="77777777" w:rsidR="004C3F84" w:rsidRDefault="004C3F84" w:rsidP="004C3F84">
      <w:pPr>
        <w:spacing w:line="480" w:lineRule="auto"/>
        <w:rPr>
          <w:color w:val="00B050"/>
          <w:szCs w:val="24"/>
        </w:rPr>
      </w:pPr>
    </w:p>
    <w:p w14:paraId="14F3B52A" w14:textId="245A97EA" w:rsidR="004C3F84" w:rsidRDefault="004C3F84" w:rsidP="004C3F84">
      <w:pPr>
        <w:spacing w:line="480" w:lineRule="auto"/>
        <w:rPr>
          <w:color w:val="000000" w:themeColor="text1"/>
          <w:szCs w:val="24"/>
        </w:rPr>
      </w:pPr>
      <w:r w:rsidRPr="007C67C7">
        <w:rPr>
          <w:color w:val="000000" w:themeColor="text1"/>
          <w:szCs w:val="24"/>
        </w:rPr>
        <w:t>In wheat, plants produced a similar seminal root length and number in both soil volumes at 11 days post germination (Fig</w:t>
      </w:r>
      <w:r w:rsidR="00586D89">
        <w:rPr>
          <w:color w:val="000000" w:themeColor="text1"/>
          <w:szCs w:val="24"/>
        </w:rPr>
        <w:t>.</w:t>
      </w:r>
      <w:r w:rsidRPr="007C67C7">
        <w:rPr>
          <w:color w:val="000000" w:themeColor="text1"/>
          <w:szCs w:val="24"/>
        </w:rPr>
        <w:t xml:space="preserve"> 3.</w:t>
      </w:r>
      <w:r>
        <w:rPr>
          <w:color w:val="000000" w:themeColor="text1"/>
          <w:szCs w:val="24"/>
        </w:rPr>
        <w:t>20</w:t>
      </w:r>
      <w:r w:rsidRPr="007C67C7">
        <w:rPr>
          <w:color w:val="000000" w:themeColor="text1"/>
          <w:szCs w:val="24"/>
        </w:rPr>
        <w:t>A-B). However, in barley at this time point, seminal root length is equal in both soil volumes whereas the number of seminal roots is greater in the 150ml rhizoboxes than in 1100ml rhizoboxes (Fig</w:t>
      </w:r>
      <w:r w:rsidR="00586D89">
        <w:rPr>
          <w:color w:val="000000" w:themeColor="text1"/>
          <w:szCs w:val="24"/>
        </w:rPr>
        <w:t>.</w:t>
      </w:r>
      <w:r w:rsidRPr="007C67C7">
        <w:rPr>
          <w:color w:val="000000" w:themeColor="text1"/>
          <w:szCs w:val="24"/>
        </w:rPr>
        <w:t xml:space="preserve"> 3.</w:t>
      </w:r>
      <w:r>
        <w:rPr>
          <w:color w:val="000000" w:themeColor="text1"/>
          <w:szCs w:val="24"/>
        </w:rPr>
        <w:t>20</w:t>
      </w:r>
      <w:r w:rsidRPr="007C67C7">
        <w:rPr>
          <w:color w:val="000000" w:themeColor="text1"/>
          <w:szCs w:val="24"/>
        </w:rPr>
        <w:t xml:space="preserve">A-B). </w:t>
      </w:r>
      <w:r w:rsidRPr="004A3048">
        <w:rPr>
          <w:color w:val="000000" w:themeColor="text1"/>
          <w:szCs w:val="24"/>
        </w:rPr>
        <w:t xml:space="preserve">After day 11 post germination however, there does not appear to be a consistent </w:t>
      </w:r>
      <w:r w:rsidR="007C06D3" w:rsidRPr="00B6047B">
        <w:rPr>
          <w:color w:val="000000" w:themeColor="text1"/>
          <w:szCs w:val="24"/>
        </w:rPr>
        <w:t>difference</w:t>
      </w:r>
      <w:r w:rsidRPr="004A3048">
        <w:rPr>
          <w:color w:val="000000" w:themeColor="text1"/>
          <w:szCs w:val="24"/>
        </w:rPr>
        <w:t xml:space="preserve"> in seminal root length and number.</w:t>
      </w:r>
      <w:r w:rsidR="0018324A" w:rsidRPr="0018324A">
        <w:rPr>
          <w:color w:val="000000" w:themeColor="text1"/>
          <w:szCs w:val="24"/>
        </w:rPr>
        <w:t xml:space="preserve"> </w:t>
      </w:r>
      <w:r w:rsidR="0018324A" w:rsidRPr="00B6047B">
        <w:rPr>
          <w:color w:val="000000" w:themeColor="text1"/>
          <w:szCs w:val="24"/>
        </w:rPr>
        <w:t>At 21 days there was no statistical difference in seminal root number or length between the soil volumes in both wheat and barley (Fig. 3.20A-B).</w:t>
      </w:r>
    </w:p>
    <w:p w14:paraId="0B0E469E" w14:textId="77777777" w:rsidR="000940F5" w:rsidRDefault="004C3F84" w:rsidP="004C3F84">
      <w:pPr>
        <w:spacing w:line="480" w:lineRule="auto"/>
        <w:rPr>
          <w:szCs w:val="24"/>
        </w:rPr>
      </w:pPr>
      <w:r w:rsidRPr="00064A67">
        <w:rPr>
          <w:szCs w:val="24"/>
        </w:rPr>
        <w:t xml:space="preserve">Together, </w:t>
      </w:r>
      <w:r w:rsidR="00C27EA5" w:rsidRPr="00B6047B">
        <w:rPr>
          <w:szCs w:val="24"/>
        </w:rPr>
        <w:t>analysis of</w:t>
      </w:r>
      <w:r w:rsidR="00C27EA5">
        <w:rPr>
          <w:szCs w:val="24"/>
        </w:rPr>
        <w:t xml:space="preserve"> </w:t>
      </w:r>
      <w:r w:rsidRPr="00064A67">
        <w:rPr>
          <w:szCs w:val="24"/>
        </w:rPr>
        <w:t xml:space="preserve">the total and seminal root length and number data suggests that at 11 days post germination, plants are unable to sense their available </w:t>
      </w:r>
      <w:r w:rsidR="00F0302A">
        <w:rPr>
          <w:szCs w:val="24"/>
        </w:rPr>
        <w:t>soil volume</w:t>
      </w:r>
      <w:r w:rsidRPr="00064A67">
        <w:rPr>
          <w:szCs w:val="24"/>
        </w:rPr>
        <w:t xml:space="preserve">, perhaps through simply not colonising enough of the space yet. </w:t>
      </w:r>
    </w:p>
    <w:p w14:paraId="76CAF15A" w14:textId="0B45AD19" w:rsidR="00562324" w:rsidRPr="00064A67" w:rsidRDefault="00562324" w:rsidP="004C3F84">
      <w:pPr>
        <w:spacing w:line="480" w:lineRule="auto"/>
        <w:rPr>
          <w:szCs w:val="24"/>
        </w:rPr>
      </w:pPr>
      <w:r w:rsidRPr="00064A67">
        <w:rPr>
          <w:noProof/>
          <w:szCs w:val="24"/>
        </w:rPr>
        <w:lastRenderedPageBreak/>
        <w:drawing>
          <wp:anchor distT="0" distB="0" distL="114300" distR="114300" simplePos="0" relativeHeight="251607552" behindDoc="0" locked="0" layoutInCell="1" allowOverlap="1" wp14:anchorId="4AB5F98F" wp14:editId="4DC9E2A4">
            <wp:simplePos x="0" y="0"/>
            <wp:positionH relativeFrom="margin">
              <wp:align>left</wp:align>
            </wp:positionH>
            <wp:positionV relativeFrom="paragraph">
              <wp:posOffset>330591</wp:posOffset>
            </wp:positionV>
            <wp:extent cx="5405755" cy="2216150"/>
            <wp:effectExtent l="0" t="0" r="4445" b="0"/>
            <wp:wrapSquare wrapText="bothSides"/>
            <wp:docPr id="1643974910" name="Picture 3" descr="A comparison of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974910" name="Picture 3" descr="A comparison of a number of numbers&#10;&#10;Description automatically generated with medium confidence"/>
                    <pic:cNvPicPr/>
                  </pic:nvPicPr>
                  <pic:blipFill rotWithShape="1">
                    <a:blip r:embed="rId43" cstate="print">
                      <a:extLst>
                        <a:ext uri="{28A0092B-C50C-407E-A947-70E740481C1C}">
                          <a14:useLocalDpi xmlns:a14="http://schemas.microsoft.com/office/drawing/2010/main" val="0"/>
                        </a:ext>
                      </a:extLst>
                    </a:blip>
                    <a:srcRect l="1412"/>
                    <a:stretch/>
                  </pic:blipFill>
                  <pic:spPr bwMode="auto">
                    <a:xfrm>
                      <a:off x="0" y="0"/>
                      <a:ext cx="5405755" cy="2216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D87CC6" w14:textId="38FAB5A5" w:rsidR="004C3F84" w:rsidRDefault="004C3F84" w:rsidP="004C3F84">
      <w:pPr>
        <w:pStyle w:val="Caption"/>
        <w:rPr>
          <w:b w:val="0"/>
          <w:bCs w:val="0"/>
        </w:rPr>
      </w:pPr>
      <w:bookmarkStart w:id="148" w:name="_Toc146657563"/>
      <w:bookmarkStart w:id="149" w:name="_Toc154331554"/>
      <w:r>
        <w:t xml:space="preserve">Figure </w:t>
      </w:r>
      <w:fldSimple w:instr=" STYLEREF 1 \s ">
        <w:r w:rsidR="004B7F70">
          <w:rPr>
            <w:noProof/>
          </w:rPr>
          <w:t>3</w:t>
        </w:r>
      </w:fldSimple>
      <w:r w:rsidR="00C97D34">
        <w:t>.</w:t>
      </w:r>
      <w:fldSimple w:instr=" SEQ Figure \* ARABIC \s 1 ">
        <w:r w:rsidR="004B7F70">
          <w:rPr>
            <w:noProof/>
          </w:rPr>
          <w:t>20</w:t>
        </w:r>
      </w:fldSimple>
      <w:r>
        <w:t xml:space="preserve"> </w:t>
      </w:r>
      <w:r w:rsidRPr="00727DD6">
        <w:t xml:space="preserve">Seminal root growth in wheat and barley is not </w:t>
      </w:r>
      <w:bookmarkEnd w:id="148"/>
      <w:r w:rsidR="00C27EA5">
        <w:t>affected by soil volume</w:t>
      </w:r>
      <w:bookmarkEnd w:id="149"/>
    </w:p>
    <w:p w14:paraId="21D8E81D" w14:textId="77777777" w:rsidR="004C3F84" w:rsidRDefault="004C3F84" w:rsidP="004C3F84">
      <w:pPr>
        <w:pStyle w:val="Description"/>
      </w:pPr>
      <w:r w:rsidRPr="009E3002">
        <w:t xml:space="preserve">Barley (cv. Charon) and Wheat (cv. Mulika) plants were pregerminated for 1 week before transferring into 150ml and 1100ml rhizoboxes. Rhizoboxes were imaged every 3-4 days from day 11-64 for wheat and day 11-71 for barley.  </w:t>
      </w:r>
    </w:p>
    <w:p w14:paraId="194D6F5D" w14:textId="41D5D6C8" w:rsidR="004C3F84" w:rsidRDefault="004C3F84" w:rsidP="004C3F84">
      <w:pPr>
        <w:pStyle w:val="Description"/>
      </w:pPr>
      <w:r>
        <w:t>A</w:t>
      </w:r>
      <w:r w:rsidRPr="00FE5925">
        <w:t>-</w:t>
      </w:r>
      <w:r>
        <w:t>B</w:t>
      </w:r>
      <w:r w:rsidRPr="00FE5925">
        <w:t xml:space="preserve">) Bar charts showing </w:t>
      </w:r>
      <w:r>
        <w:t xml:space="preserve">mean </w:t>
      </w:r>
      <w:r w:rsidRPr="00FE5925">
        <w:t>seminal root length (mm) (</w:t>
      </w:r>
      <w:r>
        <w:t>A</w:t>
      </w:r>
      <w:r w:rsidRPr="00FE5925">
        <w:t xml:space="preserve">) and </w:t>
      </w:r>
      <w:r>
        <w:t xml:space="preserve">mean </w:t>
      </w:r>
      <w:r w:rsidRPr="00FE5925">
        <w:t>seminal root number (</w:t>
      </w:r>
      <w:r>
        <w:t>B</w:t>
      </w:r>
      <w:r w:rsidRPr="00FE5925">
        <w:t xml:space="preserve">) at 11-, 14-, 18- and 21-days post germination. Statistical tests were carried out separately for each species, n.s indicates no significant difference (Day 21; Independent samples </w:t>
      </w:r>
      <w:r>
        <w:t>t</w:t>
      </w:r>
      <w:r w:rsidRPr="00FE5925">
        <w:t>-test, p&lt;0.05) n=5.</w:t>
      </w:r>
    </w:p>
    <w:p w14:paraId="46FC4BB4" w14:textId="77777777" w:rsidR="000940F5" w:rsidRDefault="000940F5" w:rsidP="004C3F84">
      <w:pPr>
        <w:spacing w:line="480" w:lineRule="auto"/>
        <w:rPr>
          <w:color w:val="000000" w:themeColor="text1"/>
          <w:szCs w:val="24"/>
        </w:rPr>
      </w:pPr>
    </w:p>
    <w:p w14:paraId="42854734" w14:textId="21E49856" w:rsidR="004C3F84" w:rsidRDefault="004C3F84" w:rsidP="004C3F84">
      <w:pPr>
        <w:spacing w:line="480" w:lineRule="auto"/>
        <w:rPr>
          <w:color w:val="000000" w:themeColor="text1"/>
          <w:szCs w:val="24"/>
        </w:rPr>
      </w:pPr>
      <w:r w:rsidRPr="000F3898">
        <w:rPr>
          <w:color w:val="000000" w:themeColor="text1"/>
          <w:szCs w:val="24"/>
        </w:rPr>
        <w:t xml:space="preserve">This trend of elevated </w:t>
      </w:r>
      <w:r>
        <w:rPr>
          <w:color w:val="000000" w:themeColor="text1"/>
          <w:szCs w:val="24"/>
        </w:rPr>
        <w:t xml:space="preserve">total </w:t>
      </w:r>
      <w:r w:rsidRPr="000F3898">
        <w:rPr>
          <w:color w:val="000000" w:themeColor="text1"/>
          <w:szCs w:val="24"/>
        </w:rPr>
        <w:t>root number and length in small soil volumes arises from differences in lateral root number and length</w:t>
      </w:r>
      <w:r>
        <w:rPr>
          <w:color w:val="000000" w:themeColor="text1"/>
          <w:szCs w:val="24"/>
        </w:rPr>
        <w:t xml:space="preserve"> </w:t>
      </w:r>
      <w:r w:rsidRPr="000E4C24">
        <w:rPr>
          <w:color w:val="000000" w:themeColor="text1"/>
          <w:szCs w:val="24"/>
        </w:rPr>
        <w:t>from 14 days post germination (Fig</w:t>
      </w:r>
      <w:r w:rsidR="00757019">
        <w:rPr>
          <w:color w:val="000000" w:themeColor="text1"/>
          <w:szCs w:val="24"/>
        </w:rPr>
        <w:t>.</w:t>
      </w:r>
      <w:r w:rsidRPr="000E4C24">
        <w:rPr>
          <w:color w:val="000000" w:themeColor="text1"/>
          <w:szCs w:val="24"/>
        </w:rPr>
        <w:t xml:space="preserve"> 3.21A-B) as there is no clear </w:t>
      </w:r>
      <w:r w:rsidR="00823339" w:rsidRPr="000F1741">
        <w:rPr>
          <w:color w:val="000000" w:themeColor="text1"/>
          <w:szCs w:val="24"/>
        </w:rPr>
        <w:t>difference</w:t>
      </w:r>
      <w:r w:rsidRPr="000E4C24">
        <w:rPr>
          <w:color w:val="000000" w:themeColor="text1"/>
          <w:szCs w:val="24"/>
        </w:rPr>
        <w:t xml:space="preserve"> in seminal root length and number before 21 days post germination (Fig</w:t>
      </w:r>
      <w:r w:rsidR="00757019">
        <w:rPr>
          <w:color w:val="000000" w:themeColor="text1"/>
          <w:szCs w:val="24"/>
        </w:rPr>
        <w:t xml:space="preserve">. </w:t>
      </w:r>
      <w:r w:rsidRPr="000E4C24">
        <w:rPr>
          <w:color w:val="000000" w:themeColor="text1"/>
          <w:szCs w:val="24"/>
        </w:rPr>
        <w:t>3.20A-B). This could explain why root density in the 150ml rhizoboxes is higher early in life (Fig</w:t>
      </w:r>
      <w:r w:rsidR="003C09FE">
        <w:rPr>
          <w:color w:val="000000" w:themeColor="text1"/>
          <w:szCs w:val="24"/>
        </w:rPr>
        <w:t>.</w:t>
      </w:r>
      <w:r w:rsidRPr="000E4C24">
        <w:rPr>
          <w:color w:val="000000" w:themeColor="text1"/>
          <w:szCs w:val="24"/>
        </w:rPr>
        <w:t xml:space="preserve"> 3.18A).</w:t>
      </w:r>
    </w:p>
    <w:p w14:paraId="44DDD2EC" w14:textId="33CBA5BF" w:rsidR="000940F5" w:rsidRDefault="000940F5" w:rsidP="004C3F84">
      <w:pPr>
        <w:spacing w:line="480" w:lineRule="auto"/>
        <w:rPr>
          <w:color w:val="000000" w:themeColor="text1"/>
          <w:szCs w:val="24"/>
        </w:rPr>
      </w:pPr>
    </w:p>
    <w:p w14:paraId="35632009" w14:textId="77777777" w:rsidR="000940F5" w:rsidRDefault="000940F5" w:rsidP="004C3F84">
      <w:pPr>
        <w:spacing w:line="480" w:lineRule="auto"/>
        <w:rPr>
          <w:color w:val="000000" w:themeColor="text1"/>
          <w:szCs w:val="24"/>
        </w:rPr>
      </w:pPr>
    </w:p>
    <w:p w14:paraId="030938D1" w14:textId="77777777" w:rsidR="000940F5" w:rsidRDefault="000940F5" w:rsidP="004C3F84">
      <w:pPr>
        <w:spacing w:line="480" w:lineRule="auto"/>
        <w:rPr>
          <w:color w:val="000000" w:themeColor="text1"/>
          <w:szCs w:val="24"/>
        </w:rPr>
      </w:pPr>
    </w:p>
    <w:p w14:paraId="0100117A" w14:textId="77777777" w:rsidR="000940F5" w:rsidRDefault="000940F5" w:rsidP="004C3F84">
      <w:pPr>
        <w:spacing w:line="480" w:lineRule="auto"/>
        <w:rPr>
          <w:color w:val="000000" w:themeColor="text1"/>
          <w:szCs w:val="24"/>
        </w:rPr>
      </w:pPr>
    </w:p>
    <w:p w14:paraId="7272EEFE" w14:textId="77777777" w:rsidR="000940F5" w:rsidRPr="000E4C24" w:rsidRDefault="000940F5" w:rsidP="004C3F84">
      <w:pPr>
        <w:spacing w:line="480" w:lineRule="auto"/>
        <w:rPr>
          <w:color w:val="000000" w:themeColor="text1"/>
          <w:szCs w:val="24"/>
        </w:rPr>
      </w:pPr>
    </w:p>
    <w:p w14:paraId="0B67A431" w14:textId="2AFAF6A7" w:rsidR="004C3F84" w:rsidRPr="000E4C24" w:rsidRDefault="000940F5" w:rsidP="004C3F84">
      <w:pPr>
        <w:pStyle w:val="Caption"/>
        <w:rPr>
          <w:color w:val="000000" w:themeColor="text1"/>
          <w:sz w:val="24"/>
        </w:rPr>
      </w:pPr>
      <w:bookmarkStart w:id="150" w:name="_Toc146657564"/>
      <w:bookmarkStart w:id="151" w:name="_Toc154331555"/>
      <w:r w:rsidRPr="003B0D93">
        <w:rPr>
          <w:b w:val="0"/>
          <w:bCs w:val="0"/>
          <w:noProof/>
          <w:color w:val="000000" w:themeColor="text1"/>
        </w:rPr>
        <w:lastRenderedPageBreak/>
        <w:drawing>
          <wp:anchor distT="0" distB="0" distL="114300" distR="114300" simplePos="0" relativeHeight="251612672" behindDoc="0" locked="0" layoutInCell="1" allowOverlap="1" wp14:anchorId="7B67A44C" wp14:editId="2C7645C5">
            <wp:simplePos x="0" y="0"/>
            <wp:positionH relativeFrom="margin">
              <wp:align>center</wp:align>
            </wp:positionH>
            <wp:positionV relativeFrom="paragraph">
              <wp:posOffset>342</wp:posOffset>
            </wp:positionV>
            <wp:extent cx="5391150" cy="2233930"/>
            <wp:effectExtent l="0" t="0" r="0" b="0"/>
            <wp:wrapSquare wrapText="bothSides"/>
            <wp:docPr id="1042936686" name="Picture 4" descr="A comparison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936686" name="Picture 4" descr="A comparison of different colored bars&#10;&#10;Description automatically generated with medium confidence"/>
                    <pic:cNvPicPr/>
                  </pic:nvPicPr>
                  <pic:blipFill rotWithShape="1">
                    <a:blip r:embed="rId44" cstate="print">
                      <a:extLst>
                        <a:ext uri="{28A0092B-C50C-407E-A947-70E740481C1C}">
                          <a14:useLocalDpi xmlns:a14="http://schemas.microsoft.com/office/drawing/2010/main" val="0"/>
                        </a:ext>
                      </a:extLst>
                    </a:blip>
                    <a:srcRect l="1765"/>
                    <a:stretch/>
                  </pic:blipFill>
                  <pic:spPr bwMode="auto">
                    <a:xfrm>
                      <a:off x="0" y="0"/>
                      <a:ext cx="5391150" cy="2233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3F84">
        <w:t xml:space="preserve">Figure </w:t>
      </w:r>
      <w:fldSimple w:instr=" STYLEREF 1 \s ">
        <w:r w:rsidR="004B7F70">
          <w:rPr>
            <w:noProof/>
          </w:rPr>
          <w:t>3</w:t>
        </w:r>
      </w:fldSimple>
      <w:r w:rsidR="00C97D34">
        <w:t>.</w:t>
      </w:r>
      <w:fldSimple w:instr=" SEQ Figure \* ARABIC \s 1 ">
        <w:r w:rsidR="004B7F70">
          <w:rPr>
            <w:noProof/>
          </w:rPr>
          <w:t>21</w:t>
        </w:r>
      </w:fldSimple>
      <w:r w:rsidR="004C3F84">
        <w:t xml:space="preserve"> </w:t>
      </w:r>
      <w:r w:rsidR="004C3F84" w:rsidRPr="00046BA2">
        <w:t>Barley and wheat produce more and longer lateral roots in small soil volumes compared to large soil volumes</w:t>
      </w:r>
      <w:bookmarkEnd w:id="150"/>
      <w:bookmarkEnd w:id="151"/>
    </w:p>
    <w:p w14:paraId="425AD719" w14:textId="64EE8DB5" w:rsidR="004C3F84" w:rsidRDefault="004C3F84" w:rsidP="004C3F84">
      <w:pPr>
        <w:pStyle w:val="Description"/>
      </w:pPr>
      <w:r w:rsidRPr="006C4C51">
        <w:t>Barley (cv. Charon) and Wheat (cv. Mulika) plants were pregerminated for 1 week before transferring into 150ml and 1100ml rhizoboxes. Rhizoboxes were imaged every 3-4 days from day 11-</w:t>
      </w:r>
      <w:r w:rsidR="006C604F">
        <w:t>21.</w:t>
      </w:r>
      <w:r w:rsidRPr="006C4C51">
        <w:t xml:space="preserve">  </w:t>
      </w:r>
    </w:p>
    <w:p w14:paraId="31FABE6A" w14:textId="73415561" w:rsidR="004C3F84" w:rsidRPr="006C4C51" w:rsidRDefault="004C3F84" w:rsidP="004C3F84">
      <w:pPr>
        <w:pStyle w:val="Description"/>
      </w:pPr>
      <w:r w:rsidRPr="006C4C51">
        <w:t xml:space="preserve">A-B) Bar chart showing mean total lateral root length (mm) (A) and mean total lateral root number (B) at 11-, 14-, 18- and 21-days post germination. Statistical tests were carried out separately for each species, asterisks indicate significant difference (Day 21; </w:t>
      </w:r>
      <w:r w:rsidR="00E22E6C">
        <w:t>A)</w:t>
      </w:r>
      <w:r w:rsidRPr="006C4C51">
        <w:t xml:space="preserve"> barley</w:t>
      </w:r>
      <w:r w:rsidR="00C4076C">
        <w:t>:</w:t>
      </w:r>
      <w:r w:rsidRPr="006C4C51">
        <w:t xml:space="preserve"> Mann Whitney U p&lt;0.05, wheat</w:t>
      </w:r>
      <w:r w:rsidR="00C4076C">
        <w:t>:</w:t>
      </w:r>
      <w:r w:rsidRPr="006C4C51">
        <w:t xml:space="preserve"> Independent samples </w:t>
      </w:r>
      <w:r w:rsidR="00C4076C">
        <w:t>t</w:t>
      </w:r>
      <w:r w:rsidRPr="006C4C51">
        <w:t xml:space="preserve">-test, p&lt;0.05, </w:t>
      </w:r>
      <w:r w:rsidR="00E22E6C">
        <w:t>B)</w:t>
      </w:r>
      <w:r w:rsidRPr="006C4C51">
        <w:t xml:space="preserve"> barley and wheat</w:t>
      </w:r>
      <w:r w:rsidR="00C4076C">
        <w:t>:</w:t>
      </w:r>
      <w:r w:rsidRPr="006C4C51">
        <w:t xml:space="preserve"> Independent samples </w:t>
      </w:r>
      <w:r>
        <w:t>t</w:t>
      </w:r>
      <w:r w:rsidRPr="006C4C51">
        <w:t>-test, p&lt;0.05) n=5.</w:t>
      </w:r>
    </w:p>
    <w:p w14:paraId="0F4FC337" w14:textId="77777777" w:rsidR="004C3F84" w:rsidRDefault="004C3F84" w:rsidP="004C3F84"/>
    <w:p w14:paraId="4931F6E0" w14:textId="00DF4DAD" w:rsidR="001C2B32" w:rsidRPr="007679F1" w:rsidRDefault="001C2B32" w:rsidP="001C2B32">
      <w:pPr>
        <w:spacing w:line="480" w:lineRule="auto"/>
        <w:rPr>
          <w:szCs w:val="24"/>
        </w:rPr>
      </w:pPr>
      <w:r w:rsidRPr="000E4C24">
        <w:rPr>
          <w:color w:val="000000" w:themeColor="text1"/>
          <w:szCs w:val="24"/>
        </w:rPr>
        <w:t xml:space="preserve">To </w:t>
      </w:r>
      <w:r w:rsidR="00556EAF" w:rsidRPr="000F1741">
        <w:rPr>
          <w:color w:val="000000" w:themeColor="text1"/>
          <w:szCs w:val="24"/>
        </w:rPr>
        <w:t>ask if</w:t>
      </w:r>
      <w:r w:rsidRPr="000E4C24">
        <w:rPr>
          <w:color w:val="000000" w:themeColor="text1"/>
          <w:szCs w:val="24"/>
        </w:rPr>
        <w:t xml:space="preserve"> shoot growth was affected by the 2D nature of the rhizoboxes, and hence behaved similarly to that of section</w:t>
      </w:r>
      <w:r w:rsidR="004B1438">
        <w:rPr>
          <w:color w:val="000000" w:themeColor="text1"/>
          <w:szCs w:val="24"/>
        </w:rPr>
        <w:t>s</w:t>
      </w:r>
      <w:r w:rsidRPr="000E4C24">
        <w:rPr>
          <w:color w:val="000000" w:themeColor="text1"/>
          <w:szCs w:val="24"/>
        </w:rPr>
        <w:t xml:space="preserve"> 3.</w:t>
      </w:r>
      <w:r w:rsidR="004B1438">
        <w:rPr>
          <w:color w:val="000000" w:themeColor="text1"/>
          <w:szCs w:val="24"/>
        </w:rPr>
        <w:t>2</w:t>
      </w:r>
      <w:r w:rsidRPr="000E4C24">
        <w:rPr>
          <w:color w:val="000000" w:themeColor="text1"/>
          <w:szCs w:val="24"/>
        </w:rPr>
        <w:t>.1 and 3.</w:t>
      </w:r>
      <w:r w:rsidR="004B1438">
        <w:rPr>
          <w:color w:val="000000" w:themeColor="text1"/>
          <w:szCs w:val="24"/>
        </w:rPr>
        <w:t>2</w:t>
      </w:r>
      <w:r w:rsidRPr="000E4C24">
        <w:rPr>
          <w:color w:val="000000" w:themeColor="text1"/>
          <w:szCs w:val="24"/>
        </w:rPr>
        <w:t xml:space="preserve">.2, shoot </w:t>
      </w:r>
      <w:r w:rsidRPr="007679F1">
        <w:rPr>
          <w:szCs w:val="24"/>
        </w:rPr>
        <w:t xml:space="preserve">system growth </w:t>
      </w:r>
      <w:r>
        <w:rPr>
          <w:szCs w:val="24"/>
        </w:rPr>
        <w:t xml:space="preserve">was assessed </w:t>
      </w:r>
      <w:r w:rsidRPr="007679F1">
        <w:rPr>
          <w:szCs w:val="24"/>
        </w:rPr>
        <w:t>concurrently with root system growth</w:t>
      </w:r>
      <w:r>
        <w:rPr>
          <w:szCs w:val="24"/>
        </w:rPr>
        <w:t xml:space="preserve"> by assessing</w:t>
      </w:r>
      <w:r w:rsidRPr="007679F1">
        <w:rPr>
          <w:szCs w:val="24"/>
        </w:rPr>
        <w:t xml:space="preserve"> tiller</w:t>
      </w:r>
      <w:r>
        <w:rPr>
          <w:szCs w:val="24"/>
        </w:rPr>
        <w:t xml:space="preserve"> number </w:t>
      </w:r>
      <w:r w:rsidRPr="007679F1">
        <w:rPr>
          <w:szCs w:val="24"/>
        </w:rPr>
        <w:t>from week 2-8 in wheat and 2-9 in barley</w:t>
      </w:r>
      <w:r>
        <w:rPr>
          <w:szCs w:val="24"/>
        </w:rPr>
        <w:t xml:space="preserve"> and harvesting shoots for dry shoot biomass at the end of the experiment</w:t>
      </w:r>
      <w:r w:rsidRPr="007679F1">
        <w:rPr>
          <w:szCs w:val="24"/>
        </w:rPr>
        <w:t xml:space="preserve">. </w:t>
      </w:r>
      <w:r>
        <w:rPr>
          <w:szCs w:val="24"/>
        </w:rPr>
        <w:t xml:space="preserve">Shoot growth </w:t>
      </w:r>
      <w:r w:rsidR="00556EAF" w:rsidRPr="000F1741">
        <w:rPr>
          <w:szCs w:val="24"/>
        </w:rPr>
        <w:t>occurred</w:t>
      </w:r>
      <w:r>
        <w:rPr>
          <w:szCs w:val="24"/>
        </w:rPr>
        <w:t xml:space="preserve"> as</w:t>
      </w:r>
      <w:r w:rsidRPr="007679F1">
        <w:rPr>
          <w:szCs w:val="24"/>
        </w:rPr>
        <w:t xml:space="preserve"> expected, </w:t>
      </w:r>
      <w:r>
        <w:rPr>
          <w:szCs w:val="24"/>
        </w:rPr>
        <w:t xml:space="preserve">with </w:t>
      </w:r>
      <w:r w:rsidRPr="007679F1">
        <w:rPr>
          <w:szCs w:val="24"/>
        </w:rPr>
        <w:t>both species produced a greater number of tillers in 1100ml rhizoboxes compared to 150ml rhizoboxes</w:t>
      </w:r>
      <w:r>
        <w:rPr>
          <w:szCs w:val="24"/>
        </w:rPr>
        <w:t xml:space="preserve"> (Fig</w:t>
      </w:r>
      <w:r w:rsidR="00591852">
        <w:rPr>
          <w:szCs w:val="24"/>
        </w:rPr>
        <w:t>.</w:t>
      </w:r>
      <w:r>
        <w:rPr>
          <w:szCs w:val="24"/>
        </w:rPr>
        <w:t xml:space="preserve"> 3.22A)</w:t>
      </w:r>
      <w:r w:rsidRPr="007679F1">
        <w:rPr>
          <w:szCs w:val="24"/>
        </w:rPr>
        <w:t xml:space="preserve">. </w:t>
      </w:r>
    </w:p>
    <w:p w14:paraId="1CD8DA4D" w14:textId="1DC165DB" w:rsidR="001C2B32" w:rsidRPr="000E4C24" w:rsidRDefault="001C2B32" w:rsidP="001C2B32">
      <w:pPr>
        <w:spacing w:line="480" w:lineRule="auto"/>
        <w:rPr>
          <w:color w:val="000000" w:themeColor="text1"/>
          <w:szCs w:val="24"/>
        </w:rPr>
      </w:pPr>
      <w:r w:rsidRPr="007679F1">
        <w:rPr>
          <w:szCs w:val="24"/>
        </w:rPr>
        <w:t>Barley and wheat produce</w:t>
      </w:r>
      <w:r w:rsidR="0037283A">
        <w:rPr>
          <w:szCs w:val="24"/>
        </w:rPr>
        <w:t>d</w:t>
      </w:r>
      <w:r w:rsidRPr="007679F1">
        <w:rPr>
          <w:szCs w:val="24"/>
        </w:rPr>
        <w:t xml:space="preserve"> the same peak tiller number of ~6 in 150ml rhizoboxes whereas in 1100ml rhizoboxes</w:t>
      </w:r>
      <w:r w:rsidR="00F20A14">
        <w:rPr>
          <w:szCs w:val="24"/>
        </w:rPr>
        <w:t>,</w:t>
      </w:r>
      <w:r w:rsidRPr="007679F1">
        <w:rPr>
          <w:szCs w:val="24"/>
        </w:rPr>
        <w:t xml:space="preserve"> wheat produce</w:t>
      </w:r>
      <w:r w:rsidR="0037283A">
        <w:rPr>
          <w:szCs w:val="24"/>
        </w:rPr>
        <w:t>d</w:t>
      </w:r>
      <w:r w:rsidRPr="007679F1">
        <w:rPr>
          <w:szCs w:val="24"/>
        </w:rPr>
        <w:t xml:space="preserve"> ~19 tillers, and barley produces ~25 tillers.  Wheat reaches its peak tiller number 2 weeks earlier than barley, with the subsequent senescence of tillers following shortly after (Fig. </w:t>
      </w:r>
      <w:r>
        <w:rPr>
          <w:szCs w:val="24"/>
        </w:rPr>
        <w:t>3.22A</w:t>
      </w:r>
      <w:r w:rsidRPr="007679F1">
        <w:rPr>
          <w:szCs w:val="24"/>
        </w:rPr>
        <w:t xml:space="preserve">). Wheat plants began senescing tillers around 3 weeks earlier </w:t>
      </w:r>
      <w:r w:rsidRPr="007679F1">
        <w:rPr>
          <w:szCs w:val="24"/>
        </w:rPr>
        <w:lastRenderedPageBreak/>
        <w:t xml:space="preserve">than barley. </w:t>
      </w:r>
      <w:r w:rsidRPr="000E4C24">
        <w:rPr>
          <w:color w:val="000000" w:themeColor="text1"/>
          <w:szCs w:val="24"/>
        </w:rPr>
        <w:t>Root density measurements were also seen to reach the critical threshold earlier in wheat than barley (Fig</w:t>
      </w:r>
      <w:r w:rsidR="009C112C">
        <w:rPr>
          <w:color w:val="000000" w:themeColor="text1"/>
          <w:szCs w:val="24"/>
        </w:rPr>
        <w:t>.</w:t>
      </w:r>
      <w:r w:rsidRPr="000E4C24">
        <w:rPr>
          <w:color w:val="000000" w:themeColor="text1"/>
          <w:szCs w:val="24"/>
        </w:rPr>
        <w:t xml:space="preserve"> 3.18A).</w:t>
      </w:r>
    </w:p>
    <w:p w14:paraId="463B772A" w14:textId="413757D3" w:rsidR="001C2B32" w:rsidRPr="00F74D0E" w:rsidRDefault="00223580" w:rsidP="001C2B32">
      <w:pPr>
        <w:spacing w:line="480" w:lineRule="auto"/>
        <w:rPr>
          <w:color w:val="00B050"/>
          <w:szCs w:val="24"/>
        </w:rPr>
      </w:pPr>
      <w:r w:rsidRPr="000F1741">
        <w:rPr>
          <w:szCs w:val="24"/>
        </w:rPr>
        <w:t xml:space="preserve">When shoot biomass was assessed, there was a statistically significant difference in </w:t>
      </w:r>
      <w:r w:rsidR="008E47BF" w:rsidRPr="000F1741">
        <w:rPr>
          <w:szCs w:val="24"/>
        </w:rPr>
        <w:t>150ml and 1100ml grown plants</w:t>
      </w:r>
      <w:r w:rsidR="001F762A" w:rsidRPr="000F1741">
        <w:rPr>
          <w:szCs w:val="24"/>
        </w:rPr>
        <w:t xml:space="preserve"> for both species</w:t>
      </w:r>
      <w:r w:rsidR="008E47BF" w:rsidRPr="000F1741">
        <w:rPr>
          <w:szCs w:val="24"/>
        </w:rPr>
        <w:t>.</w:t>
      </w:r>
      <w:r w:rsidR="008E47BF">
        <w:rPr>
          <w:szCs w:val="24"/>
        </w:rPr>
        <w:t xml:space="preserve"> </w:t>
      </w:r>
      <w:r w:rsidR="001C2B32" w:rsidRPr="007679F1">
        <w:rPr>
          <w:szCs w:val="24"/>
        </w:rPr>
        <w:t xml:space="preserve">Barley plants also had a higher shoot biomass than wheat when grown in 1100ml rhizoboxes. However, both species produced a similar, lower shoot biomass when grown in 150ml rhizoboxes (Fig. </w:t>
      </w:r>
      <w:r w:rsidR="001C2B32">
        <w:rPr>
          <w:szCs w:val="24"/>
        </w:rPr>
        <w:t xml:space="preserve">3.22B). </w:t>
      </w:r>
    </w:p>
    <w:p w14:paraId="72577320" w14:textId="77777777" w:rsidR="001C2B32" w:rsidRDefault="001C2B32" w:rsidP="001C2B32">
      <w:pPr>
        <w:spacing w:line="480" w:lineRule="auto"/>
        <w:rPr>
          <w:szCs w:val="24"/>
        </w:rPr>
      </w:pPr>
      <w:r>
        <w:rPr>
          <w:noProof/>
          <w:szCs w:val="24"/>
        </w:rPr>
        <w:drawing>
          <wp:anchor distT="0" distB="0" distL="114300" distR="114300" simplePos="0" relativeHeight="251617792" behindDoc="0" locked="0" layoutInCell="1" allowOverlap="1" wp14:anchorId="6246AA75" wp14:editId="0CC8D252">
            <wp:simplePos x="0" y="0"/>
            <wp:positionH relativeFrom="margin">
              <wp:align>left</wp:align>
            </wp:positionH>
            <wp:positionV relativeFrom="paragraph">
              <wp:posOffset>213129</wp:posOffset>
            </wp:positionV>
            <wp:extent cx="5213350" cy="2077720"/>
            <wp:effectExtent l="0" t="0" r="6350" b="0"/>
            <wp:wrapSquare wrapText="bothSides"/>
            <wp:docPr id="1811911255" name="Picture 1" descr="A diagram of a plant growth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911255" name="Picture 1" descr="A diagram of a plant growth graph&#10;&#10;Description automatically generated with medium confidence"/>
                    <pic:cNvPicPr/>
                  </pic:nvPicPr>
                  <pic:blipFill rotWithShape="1">
                    <a:blip r:embed="rId45" cstate="print">
                      <a:extLst>
                        <a:ext uri="{28A0092B-C50C-407E-A947-70E740481C1C}">
                          <a14:useLocalDpi xmlns:a14="http://schemas.microsoft.com/office/drawing/2010/main" val="0"/>
                        </a:ext>
                      </a:extLst>
                    </a:blip>
                    <a:srcRect l="1385"/>
                    <a:stretch/>
                  </pic:blipFill>
                  <pic:spPr bwMode="auto">
                    <a:xfrm>
                      <a:off x="0" y="0"/>
                      <a:ext cx="5219281" cy="20804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1436CE" w14:textId="1785F704" w:rsidR="001C2B32" w:rsidRDefault="001C2B32" w:rsidP="001C2B32">
      <w:pPr>
        <w:pStyle w:val="Caption"/>
        <w:rPr>
          <w:b w:val="0"/>
          <w:bCs w:val="0"/>
        </w:rPr>
      </w:pPr>
      <w:bookmarkStart w:id="152" w:name="_Toc146657565"/>
      <w:bookmarkStart w:id="153" w:name="_Toc154331556"/>
      <w:r>
        <w:t xml:space="preserve">Figure </w:t>
      </w:r>
      <w:fldSimple w:instr=" STYLEREF 1 \s ">
        <w:r w:rsidR="004B7F70">
          <w:rPr>
            <w:noProof/>
          </w:rPr>
          <w:t>3</w:t>
        </w:r>
      </w:fldSimple>
      <w:r w:rsidR="00C97D34">
        <w:t>.</w:t>
      </w:r>
      <w:fldSimple w:instr=" SEQ Figure \* ARABIC \s 1 ">
        <w:r w:rsidR="004B7F70">
          <w:rPr>
            <w:noProof/>
          </w:rPr>
          <w:t>22</w:t>
        </w:r>
      </w:fldSimple>
      <w:r>
        <w:t xml:space="preserve"> </w:t>
      </w:r>
      <w:r w:rsidRPr="00371EA6">
        <w:t>Soil volume effects are present in shoot systems of plants grown in rhizoboxes</w:t>
      </w:r>
      <w:bookmarkEnd w:id="152"/>
      <w:bookmarkEnd w:id="153"/>
    </w:p>
    <w:p w14:paraId="37E585BB" w14:textId="04EDC728" w:rsidR="001C2B32" w:rsidRPr="00894215" w:rsidRDefault="001C2B32" w:rsidP="001C2B32">
      <w:pPr>
        <w:pStyle w:val="Description"/>
      </w:pPr>
      <w:r w:rsidRPr="00894215">
        <w:t>Barley (cv</w:t>
      </w:r>
      <w:r>
        <w:t>.</w:t>
      </w:r>
      <w:r w:rsidRPr="00894215">
        <w:t xml:space="preserve"> Charon) and Wheat (cv. Mulika) plants were pregerminated for 1 week before transferring into 150ml and 1100ml rhizoboxes. </w:t>
      </w:r>
    </w:p>
    <w:p w14:paraId="7B483796" w14:textId="1673D762" w:rsidR="001C2B32" w:rsidRPr="00894215" w:rsidRDefault="001C2B32" w:rsidP="001C2B32">
      <w:pPr>
        <w:pStyle w:val="Description"/>
      </w:pPr>
      <w:r w:rsidRPr="00894215">
        <w:t>A) Line graph showing tiller number over</w:t>
      </w:r>
      <w:r w:rsidR="00856136">
        <w:t xml:space="preserve"> </w:t>
      </w:r>
      <w:r w:rsidRPr="00894215">
        <w:t>time. Error bars represent S.E.M, n=5.</w:t>
      </w:r>
    </w:p>
    <w:p w14:paraId="1C8981D6" w14:textId="5031A1E0" w:rsidR="001C2B32" w:rsidRDefault="001C2B32" w:rsidP="001C2B32">
      <w:pPr>
        <w:pStyle w:val="Description"/>
      </w:pPr>
      <w:r w:rsidRPr="00894215">
        <w:t xml:space="preserve">B) Boxplots showing mean dry shoot biomass at 64 and 71 days post germination for wheat and barley respectively, grown in 2 rhizobox sizes. Statistical tests were carried out separately for each species, asterisks indicate significant difference (Independent samples </w:t>
      </w:r>
      <w:r>
        <w:t>t</w:t>
      </w:r>
      <w:r w:rsidRPr="00894215">
        <w:t>-test, p&lt;0.05) n=5.</w:t>
      </w:r>
    </w:p>
    <w:p w14:paraId="19E7694D" w14:textId="77777777" w:rsidR="001C2B32" w:rsidRDefault="001C2B32" w:rsidP="001C2B32"/>
    <w:p w14:paraId="54CBB6C3" w14:textId="1DCE6A13" w:rsidR="001C2B32" w:rsidRDefault="001C2B32" w:rsidP="001C2B32">
      <w:pPr>
        <w:spacing w:line="480" w:lineRule="auto"/>
        <w:rPr>
          <w:color w:val="000000" w:themeColor="text1"/>
          <w:szCs w:val="24"/>
        </w:rPr>
      </w:pPr>
      <w:r w:rsidRPr="000E4C24">
        <w:rPr>
          <w:color w:val="000000" w:themeColor="text1"/>
          <w:szCs w:val="24"/>
        </w:rPr>
        <w:t xml:space="preserve">Bringing this together, both wheat and barley appear to reach a critical threshold of root density sooner in 150ml rhizoboxes than 1100ml rhizoboxes. Nevertheless, the </w:t>
      </w:r>
      <w:r w:rsidR="00856136" w:rsidRPr="00A44ABE">
        <w:rPr>
          <w:color w:val="000000" w:themeColor="text1"/>
          <w:szCs w:val="24"/>
        </w:rPr>
        <w:t>plants grown in</w:t>
      </w:r>
      <w:r w:rsidR="00856136">
        <w:rPr>
          <w:color w:val="000000" w:themeColor="text1"/>
          <w:szCs w:val="24"/>
        </w:rPr>
        <w:t xml:space="preserve"> </w:t>
      </w:r>
      <w:r w:rsidRPr="000E4C24">
        <w:rPr>
          <w:color w:val="000000" w:themeColor="text1"/>
          <w:szCs w:val="24"/>
        </w:rPr>
        <w:t xml:space="preserve">1100ml rhizoboxes eventually reach the same root density, albeit later in life. Perception of root density could therefore potentially be part of a mechanism in which plants detect and respond to their soil volume (and neighbour density). In addition, the root system architecture </w:t>
      </w:r>
      <w:r w:rsidRPr="000E4C24">
        <w:rPr>
          <w:color w:val="000000" w:themeColor="text1"/>
          <w:szCs w:val="24"/>
        </w:rPr>
        <w:lastRenderedPageBreak/>
        <w:t>of both species appears to respond to soil volume in a similar manner as both species produced a greater number and length of roots in small rhizoboxes compared to the large rhizoboxes early in life.</w:t>
      </w:r>
    </w:p>
    <w:p w14:paraId="6E859E1A" w14:textId="77777777" w:rsidR="00244583" w:rsidRPr="000E4C24" w:rsidRDefault="00244583" w:rsidP="001C2B32">
      <w:pPr>
        <w:spacing w:line="480" w:lineRule="auto"/>
        <w:rPr>
          <w:color w:val="000000" w:themeColor="text1"/>
          <w:szCs w:val="24"/>
        </w:rPr>
      </w:pPr>
    </w:p>
    <w:p w14:paraId="7AC181C6" w14:textId="3E9E46EC" w:rsidR="001C2B32" w:rsidRDefault="001C2B32" w:rsidP="00743E4C">
      <w:pPr>
        <w:pStyle w:val="Heading3"/>
      </w:pPr>
      <w:bookmarkStart w:id="154" w:name="_Toc154331481"/>
      <w:r w:rsidRPr="001C2B32">
        <w:t>Barley root system architecture in response to neighbouring plants</w:t>
      </w:r>
      <w:bookmarkEnd w:id="154"/>
    </w:p>
    <w:p w14:paraId="5F62657D" w14:textId="77777777" w:rsidR="001C2B32" w:rsidRDefault="001C2B32" w:rsidP="001C2B32"/>
    <w:p w14:paraId="7CA4CBE3" w14:textId="7B073AD6" w:rsidR="001C2B32" w:rsidRDefault="001C2B32" w:rsidP="00D13800">
      <w:pPr>
        <w:numPr>
          <w:ilvl w:val="1"/>
          <w:numId w:val="0"/>
        </w:numPr>
        <w:spacing w:before="160" w:line="480" w:lineRule="auto"/>
        <w:outlineLvl w:val="1"/>
        <w:rPr>
          <w:rFonts w:cs="Times New Roman"/>
          <w:bCs/>
        </w:rPr>
      </w:pPr>
      <w:r w:rsidRPr="00E45C24">
        <w:rPr>
          <w:rFonts w:cs="Times New Roman"/>
          <w:bCs/>
          <w:color w:val="000000" w:themeColor="text1"/>
        </w:rPr>
        <w:t xml:space="preserve">In </w:t>
      </w:r>
      <w:r w:rsidR="00244583">
        <w:rPr>
          <w:rFonts w:cs="Times New Roman"/>
          <w:bCs/>
          <w:color w:val="000000" w:themeColor="text1"/>
        </w:rPr>
        <w:t xml:space="preserve">Section </w:t>
      </w:r>
      <w:r w:rsidRPr="00244583">
        <w:rPr>
          <w:rFonts w:cs="Times New Roman"/>
          <w:bCs/>
          <w:color w:val="000000" w:themeColor="text1"/>
        </w:rPr>
        <w:t>3.</w:t>
      </w:r>
      <w:r w:rsidR="00244583">
        <w:rPr>
          <w:rFonts w:cs="Times New Roman"/>
          <w:bCs/>
          <w:color w:val="000000" w:themeColor="text1"/>
        </w:rPr>
        <w:t>2</w:t>
      </w:r>
      <w:r w:rsidRPr="00E45C24">
        <w:rPr>
          <w:rFonts w:cs="Times New Roman"/>
          <w:bCs/>
          <w:color w:val="000000" w:themeColor="text1"/>
        </w:rPr>
        <w:t xml:space="preserve"> I showed that available soil volume per plant is an important predictor of final shoot growth. This also showed that crowded plants ‘over-produced’ shoot biomass in crowded treatments, therefore I hypothesised that root growth may act in a similar way given the roots detect the availability of belowground space. </w:t>
      </w:r>
      <w:r w:rsidRPr="007631A0">
        <w:rPr>
          <w:rFonts w:cs="Times New Roman"/>
          <w:bCs/>
        </w:rPr>
        <w:t xml:space="preserve">To visualise how roots of the same genotype </w:t>
      </w:r>
      <w:r>
        <w:rPr>
          <w:rFonts w:cs="Times New Roman"/>
          <w:bCs/>
        </w:rPr>
        <w:t>grow</w:t>
      </w:r>
      <w:r w:rsidRPr="007631A0">
        <w:rPr>
          <w:rFonts w:cs="Times New Roman"/>
          <w:bCs/>
        </w:rPr>
        <w:t xml:space="preserve"> when crowded, the rhizobox system was used as described previously. Barley (cv. Charon) seeds were pregerminated on filter paper for 1 day and then transferred into 1100ml rhizoboxes in either 1 plant per pot (1/pot) or 4 plants per pot (4/pot). 4/pot plants were evenly spaced across the rhizobox (Fig</w:t>
      </w:r>
      <w:r w:rsidR="006E524D">
        <w:rPr>
          <w:rFonts w:cs="Times New Roman"/>
          <w:bCs/>
        </w:rPr>
        <w:t>.</w:t>
      </w:r>
      <w:r>
        <w:rPr>
          <w:rFonts w:cs="Times New Roman"/>
          <w:bCs/>
        </w:rPr>
        <w:t xml:space="preserve"> 3.23A</w:t>
      </w:r>
      <w:r w:rsidRPr="007631A0">
        <w:rPr>
          <w:rFonts w:cs="Times New Roman"/>
          <w:bCs/>
        </w:rPr>
        <w:t xml:space="preserve">). </w:t>
      </w:r>
    </w:p>
    <w:p w14:paraId="6CA405CC" w14:textId="6D987225" w:rsidR="00D13800" w:rsidRDefault="00D13800" w:rsidP="001C2B32">
      <w:pPr>
        <w:keepNext/>
        <w:keepLines/>
        <w:numPr>
          <w:ilvl w:val="1"/>
          <w:numId w:val="0"/>
        </w:numPr>
        <w:spacing w:before="160" w:line="480" w:lineRule="auto"/>
        <w:outlineLvl w:val="1"/>
        <w:rPr>
          <w:rFonts w:cs="Times New Roman"/>
          <w:bCs/>
        </w:rPr>
      </w:pPr>
    </w:p>
    <w:p w14:paraId="0D856EAE" w14:textId="31A9CEB9" w:rsidR="00D13800" w:rsidRDefault="00D13800" w:rsidP="001C2B32">
      <w:pPr>
        <w:keepNext/>
        <w:keepLines/>
        <w:numPr>
          <w:ilvl w:val="1"/>
          <w:numId w:val="0"/>
        </w:numPr>
        <w:spacing w:before="160" w:line="480" w:lineRule="auto"/>
        <w:outlineLvl w:val="1"/>
        <w:rPr>
          <w:rFonts w:cs="Times New Roman"/>
          <w:bCs/>
        </w:rPr>
      </w:pPr>
    </w:p>
    <w:p w14:paraId="18680A30" w14:textId="3F686740" w:rsidR="006A7156" w:rsidRDefault="006A7156" w:rsidP="001C2B32">
      <w:pPr>
        <w:keepNext/>
        <w:keepLines/>
        <w:numPr>
          <w:ilvl w:val="1"/>
          <w:numId w:val="0"/>
        </w:numPr>
        <w:spacing w:before="160" w:line="480" w:lineRule="auto"/>
        <w:outlineLvl w:val="1"/>
        <w:rPr>
          <w:rFonts w:cs="Times New Roman"/>
          <w:bCs/>
        </w:rPr>
      </w:pPr>
    </w:p>
    <w:p w14:paraId="592EC145" w14:textId="77777777" w:rsidR="001C2B32" w:rsidRDefault="001C2B32" w:rsidP="001C2B32">
      <w:pPr>
        <w:spacing w:line="480" w:lineRule="auto"/>
        <w:rPr>
          <w:rFonts w:cs="Times New Roman"/>
          <w:bCs/>
        </w:rPr>
      </w:pPr>
    </w:p>
    <w:p w14:paraId="71B94D01" w14:textId="77777777" w:rsidR="001C2B32" w:rsidRDefault="001C2B32" w:rsidP="001C2B32">
      <w:pPr>
        <w:spacing w:line="480" w:lineRule="auto"/>
        <w:rPr>
          <w:rFonts w:cs="Times New Roman"/>
          <w:bCs/>
        </w:rPr>
      </w:pPr>
    </w:p>
    <w:p w14:paraId="6CCC1081" w14:textId="77777777" w:rsidR="001C2B32" w:rsidRDefault="001C2B32" w:rsidP="001C2B32">
      <w:pPr>
        <w:spacing w:line="480" w:lineRule="auto"/>
        <w:rPr>
          <w:rFonts w:cs="Times New Roman"/>
          <w:bCs/>
        </w:rPr>
      </w:pPr>
    </w:p>
    <w:p w14:paraId="6BA2097D" w14:textId="77777777" w:rsidR="001C2B32" w:rsidRDefault="001C2B32" w:rsidP="001C2B32">
      <w:pPr>
        <w:spacing w:line="480" w:lineRule="auto"/>
        <w:rPr>
          <w:rFonts w:cs="Times New Roman"/>
          <w:bCs/>
        </w:rPr>
      </w:pPr>
    </w:p>
    <w:p w14:paraId="4252FE84" w14:textId="0C5FD79A" w:rsidR="001C2B32" w:rsidRDefault="00C161C3" w:rsidP="001C2B32">
      <w:pPr>
        <w:spacing w:line="480" w:lineRule="auto"/>
        <w:rPr>
          <w:rFonts w:cs="Times New Roman"/>
          <w:bCs/>
        </w:rPr>
      </w:pPr>
      <w:r w:rsidRPr="00E45C24">
        <w:rPr>
          <w:rFonts w:cs="Times New Roman"/>
          <w:bCs/>
          <w:noProof/>
          <w:color w:val="000000" w:themeColor="text1"/>
          <w:highlight w:val="yellow"/>
        </w:rPr>
        <w:lastRenderedPageBreak/>
        <w:drawing>
          <wp:anchor distT="0" distB="0" distL="114300" distR="114300" simplePos="0" relativeHeight="251622912" behindDoc="0" locked="0" layoutInCell="1" allowOverlap="1" wp14:anchorId="0F2BBBBF" wp14:editId="37376598">
            <wp:simplePos x="0" y="0"/>
            <wp:positionH relativeFrom="margin">
              <wp:posOffset>105507</wp:posOffset>
            </wp:positionH>
            <wp:positionV relativeFrom="paragraph">
              <wp:posOffset>-488</wp:posOffset>
            </wp:positionV>
            <wp:extent cx="2828290" cy="2000250"/>
            <wp:effectExtent l="0" t="0" r="0" b="0"/>
            <wp:wrapSquare wrapText="bothSides"/>
            <wp:docPr id="2080345480" name="Picture 5"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45480" name="Picture 5" descr="A close-up of a plant&#10;&#10;Description automatically generated"/>
                    <pic:cNvPicPr/>
                  </pic:nvPicPr>
                  <pic:blipFill rotWithShape="1">
                    <a:blip r:embed="rId46" cstate="print">
                      <a:extLst>
                        <a:ext uri="{28A0092B-C50C-407E-A947-70E740481C1C}">
                          <a14:useLocalDpi xmlns:a14="http://schemas.microsoft.com/office/drawing/2010/main" val="0"/>
                        </a:ext>
                      </a:extLst>
                    </a:blip>
                    <a:srcRect b="20314"/>
                    <a:stretch/>
                  </pic:blipFill>
                  <pic:spPr bwMode="auto">
                    <a:xfrm>
                      <a:off x="0" y="0"/>
                      <a:ext cx="2828290" cy="2000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F8224B" w14:textId="77777777" w:rsidR="00C161C3" w:rsidRDefault="00C161C3" w:rsidP="001C2B32">
      <w:pPr>
        <w:pStyle w:val="Caption"/>
      </w:pPr>
      <w:bookmarkStart w:id="155" w:name="_Toc146657566"/>
    </w:p>
    <w:p w14:paraId="4AD06C03" w14:textId="77777777" w:rsidR="00C161C3" w:rsidRDefault="00C161C3" w:rsidP="001C2B32">
      <w:pPr>
        <w:pStyle w:val="Caption"/>
      </w:pPr>
    </w:p>
    <w:p w14:paraId="1CBBC0F5" w14:textId="77777777" w:rsidR="00C161C3" w:rsidRDefault="00C161C3" w:rsidP="001C2B32">
      <w:pPr>
        <w:pStyle w:val="Caption"/>
      </w:pPr>
    </w:p>
    <w:p w14:paraId="42650F67" w14:textId="77777777" w:rsidR="00C161C3" w:rsidRDefault="00C161C3" w:rsidP="001C2B32">
      <w:pPr>
        <w:pStyle w:val="Caption"/>
      </w:pPr>
    </w:p>
    <w:p w14:paraId="13B097E5" w14:textId="77777777" w:rsidR="00C161C3" w:rsidRDefault="00C161C3" w:rsidP="001C2B32">
      <w:pPr>
        <w:pStyle w:val="Caption"/>
      </w:pPr>
    </w:p>
    <w:p w14:paraId="76A09603" w14:textId="77777777" w:rsidR="00C161C3" w:rsidRDefault="00C161C3" w:rsidP="001C2B32">
      <w:pPr>
        <w:pStyle w:val="Caption"/>
      </w:pPr>
    </w:p>
    <w:p w14:paraId="04FADC68" w14:textId="43A2AE13" w:rsidR="001C2B32" w:rsidRPr="001C2B32" w:rsidRDefault="001C2B32" w:rsidP="001C2B32">
      <w:pPr>
        <w:pStyle w:val="Caption"/>
        <w:rPr>
          <w:rFonts w:cs="Times New Roman"/>
          <w:b w:val="0"/>
        </w:rPr>
      </w:pPr>
      <w:bookmarkStart w:id="156" w:name="_Toc154331557"/>
      <w:r>
        <w:t xml:space="preserve">Figure </w:t>
      </w:r>
      <w:fldSimple w:instr=" STYLEREF 1 \s ">
        <w:r w:rsidR="004B7F70">
          <w:rPr>
            <w:noProof/>
          </w:rPr>
          <w:t>3</w:t>
        </w:r>
      </w:fldSimple>
      <w:r w:rsidR="00C97D34">
        <w:t>.</w:t>
      </w:r>
      <w:fldSimple w:instr=" SEQ Figure \* ARABIC \s 1 ">
        <w:r w:rsidR="004B7F70">
          <w:rPr>
            <w:noProof/>
          </w:rPr>
          <w:t>23</w:t>
        </w:r>
      </w:fldSimple>
      <w:r>
        <w:t xml:space="preserve"> </w:t>
      </w:r>
      <w:r w:rsidRPr="00AA3210">
        <w:t>Barley roots in crowded and uncrowded rhizoboxes</w:t>
      </w:r>
      <w:bookmarkEnd w:id="155"/>
      <w:bookmarkEnd w:id="156"/>
    </w:p>
    <w:p w14:paraId="699B8AE1" w14:textId="521A2E99" w:rsidR="001C2B32" w:rsidRDefault="001C2B32" w:rsidP="001C2B32">
      <w:pPr>
        <w:pStyle w:val="Description"/>
      </w:pPr>
      <w:r w:rsidRPr="003625C5">
        <w:t xml:space="preserve">A) Images of </w:t>
      </w:r>
      <w:r w:rsidR="008B59A2">
        <w:t>barley</w:t>
      </w:r>
      <w:r w:rsidRPr="003625C5">
        <w:t xml:space="preserve"> </w:t>
      </w:r>
      <w:r w:rsidR="008B59A2" w:rsidRPr="00CB2ABA">
        <w:t xml:space="preserve">(cv. </w:t>
      </w:r>
      <w:r w:rsidR="008B59A2">
        <w:t>Charon</w:t>
      </w:r>
      <w:r w:rsidR="008B59A2" w:rsidRPr="00CB2ABA">
        <w:t xml:space="preserve">) </w:t>
      </w:r>
      <w:r w:rsidRPr="003625C5">
        <w:t xml:space="preserve">roots </w:t>
      </w:r>
      <w:r>
        <w:t xml:space="preserve">grown either </w:t>
      </w:r>
      <w:r w:rsidRPr="003625C5">
        <w:t>1/pot or</w:t>
      </w:r>
      <w:r>
        <w:t xml:space="preserve"> </w:t>
      </w:r>
      <w:r w:rsidRPr="003625C5">
        <w:t>4/pot at 17 days post germination. Scale bar represents 5cm.</w:t>
      </w:r>
    </w:p>
    <w:p w14:paraId="0DE0E47D" w14:textId="77777777" w:rsidR="001C2B32" w:rsidRDefault="001C2B32" w:rsidP="001C2B32"/>
    <w:p w14:paraId="04C220B5" w14:textId="76087E7C" w:rsidR="001C2B32" w:rsidRPr="00D80BDB" w:rsidRDefault="001C2B32" w:rsidP="00D9407A">
      <w:pPr>
        <w:numPr>
          <w:ilvl w:val="1"/>
          <w:numId w:val="0"/>
        </w:numPr>
        <w:spacing w:before="160" w:line="480" w:lineRule="auto"/>
        <w:outlineLvl w:val="1"/>
        <w:rPr>
          <w:rFonts w:cs="Times New Roman"/>
          <w:bCs/>
        </w:rPr>
      </w:pPr>
      <w:r w:rsidRPr="0054273D">
        <w:rPr>
          <w:rFonts w:cs="Times New Roman"/>
          <w:bCs/>
          <w:color w:val="000000" w:themeColor="text1"/>
        </w:rPr>
        <w:t xml:space="preserve">To investigate if there is an overproduction of roots in crowded rhizoboxes, I measured </w:t>
      </w:r>
      <w:r>
        <w:rPr>
          <w:rFonts w:cs="Times New Roman"/>
          <w:bCs/>
        </w:rPr>
        <w:t>r</w:t>
      </w:r>
      <w:r w:rsidRPr="000A5185">
        <w:rPr>
          <w:rFonts w:cs="Times New Roman"/>
          <w:bCs/>
        </w:rPr>
        <w:t xml:space="preserve">oot length and number at 4 time points early in life as described previously in </w:t>
      </w:r>
      <w:r w:rsidR="00252792">
        <w:rPr>
          <w:rFonts w:cs="Times New Roman"/>
          <w:bCs/>
        </w:rPr>
        <w:t xml:space="preserve">section </w:t>
      </w:r>
      <w:r w:rsidRPr="00252792">
        <w:rPr>
          <w:rFonts w:cs="Times New Roman"/>
          <w:bCs/>
        </w:rPr>
        <w:t>3.</w:t>
      </w:r>
      <w:r w:rsidR="00252792" w:rsidRPr="00252792">
        <w:rPr>
          <w:rFonts w:cs="Times New Roman"/>
          <w:bCs/>
        </w:rPr>
        <w:t>4</w:t>
      </w:r>
      <w:r w:rsidRPr="00252792">
        <w:rPr>
          <w:rFonts w:cs="Times New Roman"/>
          <w:bCs/>
        </w:rPr>
        <w:t>.1</w:t>
      </w:r>
      <w:r w:rsidRPr="000A5185">
        <w:rPr>
          <w:rFonts w:cs="Times New Roman"/>
          <w:bCs/>
        </w:rPr>
        <w:t xml:space="preserve">. </w:t>
      </w:r>
      <w:r w:rsidR="00352EE7" w:rsidRPr="00A44ABE">
        <w:rPr>
          <w:rFonts w:cs="Times New Roman"/>
          <w:bCs/>
        </w:rPr>
        <w:t>Analysis of</w:t>
      </w:r>
      <w:r w:rsidRPr="000A5185">
        <w:rPr>
          <w:rFonts w:cs="Times New Roman"/>
          <w:bCs/>
        </w:rPr>
        <w:t xml:space="preserve"> total root length per </w:t>
      </w:r>
      <w:r w:rsidRPr="00A44ABE">
        <w:rPr>
          <w:rFonts w:cs="Times New Roman"/>
          <w:bCs/>
        </w:rPr>
        <w:t>plant</w:t>
      </w:r>
      <w:r w:rsidR="003A0458" w:rsidRPr="00A44ABE">
        <w:rPr>
          <w:rFonts w:cs="Times New Roman"/>
          <w:bCs/>
        </w:rPr>
        <w:t xml:space="preserve"> showed that</w:t>
      </w:r>
      <w:r w:rsidRPr="000A5185">
        <w:rPr>
          <w:rFonts w:cs="Times New Roman"/>
          <w:bCs/>
        </w:rPr>
        <w:t xml:space="preserve"> this was slightly but statistically significantly greater in the 1/pot treatment than the 4/pot treatment within the first 17 days post germination (1.1-, 1.3-, 1.3-, 1.6- fold respectively) (</w:t>
      </w:r>
      <w:r>
        <w:rPr>
          <w:rFonts w:cs="Times New Roman"/>
          <w:bCs/>
        </w:rPr>
        <w:t>F</w:t>
      </w:r>
      <w:r w:rsidRPr="000A5185">
        <w:rPr>
          <w:rFonts w:cs="Times New Roman"/>
          <w:bCs/>
        </w:rPr>
        <w:t>ig</w:t>
      </w:r>
      <w:r w:rsidR="00EB5E22">
        <w:rPr>
          <w:rFonts w:cs="Times New Roman"/>
          <w:bCs/>
        </w:rPr>
        <w:t>.</w:t>
      </w:r>
      <w:r>
        <w:rPr>
          <w:rFonts w:cs="Times New Roman"/>
          <w:bCs/>
        </w:rPr>
        <w:t xml:space="preserve"> 3.24A</w:t>
      </w:r>
      <w:r w:rsidRPr="000A5185">
        <w:rPr>
          <w:rFonts w:cs="Times New Roman"/>
          <w:bCs/>
        </w:rPr>
        <w:t xml:space="preserve">). </w:t>
      </w:r>
      <w:r w:rsidR="00147904">
        <w:rPr>
          <w:rFonts w:cs="Times New Roman"/>
          <w:bCs/>
        </w:rPr>
        <w:t>T</w:t>
      </w:r>
      <w:r w:rsidRPr="000A5185">
        <w:rPr>
          <w:rFonts w:cs="Times New Roman"/>
          <w:bCs/>
        </w:rPr>
        <w:t xml:space="preserve">otal root length per pot was </w:t>
      </w:r>
      <w:r w:rsidR="00B94097" w:rsidRPr="00A44ABE">
        <w:rPr>
          <w:rFonts w:cs="Times New Roman"/>
          <w:bCs/>
        </w:rPr>
        <w:t>statistically</w:t>
      </w:r>
      <w:r w:rsidR="00B94097">
        <w:rPr>
          <w:rFonts w:cs="Times New Roman"/>
          <w:bCs/>
        </w:rPr>
        <w:t xml:space="preserve"> </w:t>
      </w:r>
      <w:r w:rsidRPr="008A3573">
        <w:rPr>
          <w:rFonts w:cs="Times New Roman"/>
          <w:bCs/>
        </w:rPr>
        <w:t>significantly</w:t>
      </w:r>
      <w:r w:rsidRPr="000A5185">
        <w:rPr>
          <w:rFonts w:cs="Times New Roman"/>
          <w:bCs/>
        </w:rPr>
        <w:t xml:space="preserve"> greater in the 4/pot treatment (3.6-, 2.9-, 3.1-, 2.4- fold respectively) (</w:t>
      </w:r>
      <w:r>
        <w:rPr>
          <w:rFonts w:cs="Times New Roman"/>
          <w:bCs/>
        </w:rPr>
        <w:t>F</w:t>
      </w:r>
      <w:r w:rsidRPr="000A5185">
        <w:rPr>
          <w:rFonts w:cs="Times New Roman"/>
          <w:bCs/>
        </w:rPr>
        <w:t>ig</w:t>
      </w:r>
      <w:r w:rsidR="00EB5E22">
        <w:rPr>
          <w:rFonts w:cs="Times New Roman"/>
          <w:bCs/>
        </w:rPr>
        <w:t>.</w:t>
      </w:r>
      <w:r>
        <w:rPr>
          <w:rFonts w:cs="Times New Roman"/>
          <w:bCs/>
        </w:rPr>
        <w:t xml:space="preserve"> 3.24B)</w:t>
      </w:r>
      <w:r w:rsidRPr="000A5185">
        <w:rPr>
          <w:rFonts w:cs="Times New Roman"/>
          <w:bCs/>
        </w:rPr>
        <w:t>.</w:t>
      </w:r>
    </w:p>
    <w:p w14:paraId="785C524A" w14:textId="5EF3F8D4" w:rsidR="00D9407A" w:rsidRDefault="001C2B32" w:rsidP="00D9407A">
      <w:pPr>
        <w:numPr>
          <w:ilvl w:val="1"/>
          <w:numId w:val="0"/>
        </w:numPr>
        <w:spacing w:before="160" w:line="480" w:lineRule="auto"/>
        <w:outlineLvl w:val="1"/>
        <w:rPr>
          <w:rFonts w:cs="Times New Roman"/>
          <w:bCs/>
          <w:color w:val="000000" w:themeColor="text1"/>
        </w:rPr>
      </w:pPr>
      <w:r w:rsidRPr="00A646C1">
        <w:rPr>
          <w:rFonts w:cs="Times New Roman"/>
          <w:bCs/>
        </w:rPr>
        <w:t xml:space="preserve">Despite producing longer roots in the 1/pot treatment, the total root number per plant was not significantly different between the treatments, </w:t>
      </w:r>
      <w:r w:rsidR="00DA7282" w:rsidRPr="00A44ABE">
        <w:rPr>
          <w:rFonts w:cs="Times New Roman"/>
          <w:bCs/>
        </w:rPr>
        <w:t>and</w:t>
      </w:r>
      <w:r w:rsidRPr="00A646C1">
        <w:rPr>
          <w:rFonts w:cs="Times New Roman"/>
          <w:bCs/>
        </w:rPr>
        <w:t xml:space="preserve"> did increase over time, whereas total root number per pot was greater in the 4/pot treatment compared to the 1/pot treatment (4.1-, 4.0-, 3.8-, 3.5- fold respectively) (</w:t>
      </w:r>
      <w:r>
        <w:rPr>
          <w:rFonts w:cs="Times New Roman"/>
          <w:bCs/>
        </w:rPr>
        <w:t>F</w:t>
      </w:r>
      <w:r w:rsidRPr="00A646C1">
        <w:rPr>
          <w:rFonts w:cs="Times New Roman"/>
          <w:bCs/>
        </w:rPr>
        <w:t>ig</w:t>
      </w:r>
      <w:r w:rsidR="00EB2680">
        <w:rPr>
          <w:rFonts w:cs="Times New Roman"/>
          <w:bCs/>
        </w:rPr>
        <w:t>.</w:t>
      </w:r>
      <w:r>
        <w:rPr>
          <w:rFonts w:cs="Times New Roman"/>
          <w:bCs/>
        </w:rPr>
        <w:t xml:space="preserve"> 3.24A+B)</w:t>
      </w:r>
      <w:r w:rsidRPr="00A646C1">
        <w:rPr>
          <w:rFonts w:cs="Times New Roman"/>
          <w:bCs/>
        </w:rPr>
        <w:t xml:space="preserve">. </w:t>
      </w:r>
      <w:r w:rsidRPr="0054273D">
        <w:rPr>
          <w:rFonts w:cs="Times New Roman"/>
          <w:bCs/>
          <w:color w:val="000000" w:themeColor="text1"/>
        </w:rPr>
        <w:t xml:space="preserve">This suggested that </w:t>
      </w:r>
      <w:r w:rsidR="00FE5845">
        <w:rPr>
          <w:rFonts w:cs="Times New Roman"/>
          <w:bCs/>
          <w:color w:val="000000" w:themeColor="text1"/>
        </w:rPr>
        <w:t xml:space="preserve">crowded </w:t>
      </w:r>
      <w:r w:rsidRPr="0054273D">
        <w:rPr>
          <w:rFonts w:cs="Times New Roman"/>
          <w:bCs/>
          <w:color w:val="000000" w:themeColor="text1"/>
        </w:rPr>
        <w:t xml:space="preserve">plants also over-produce roots in crowded treatments. Unfortunately, counting individual roots became too difficult after 17 days post germination but, nevertheless this data </w:t>
      </w:r>
      <w:r w:rsidRPr="0054273D">
        <w:rPr>
          <w:rFonts w:cs="Times New Roman"/>
          <w:bCs/>
          <w:color w:val="000000" w:themeColor="text1"/>
        </w:rPr>
        <w:lastRenderedPageBreak/>
        <w:t xml:space="preserve">suggests that in this system the plants did not stop producing roots throughout the experiment regardless of their crowding treatment. </w:t>
      </w:r>
    </w:p>
    <w:p w14:paraId="44B8C4E9" w14:textId="509DB55B" w:rsidR="00C161C3" w:rsidRDefault="00C161C3" w:rsidP="00D9407A">
      <w:pPr>
        <w:numPr>
          <w:ilvl w:val="1"/>
          <w:numId w:val="0"/>
        </w:numPr>
        <w:spacing w:before="160" w:line="480" w:lineRule="auto"/>
        <w:outlineLvl w:val="1"/>
        <w:rPr>
          <w:rFonts w:cs="Times New Roman"/>
          <w:bCs/>
          <w:color w:val="000000" w:themeColor="text1"/>
        </w:rPr>
      </w:pPr>
      <w:r>
        <w:rPr>
          <w:rFonts w:cs="Times New Roman"/>
          <w:bCs/>
          <w:noProof/>
        </w:rPr>
        <w:drawing>
          <wp:anchor distT="0" distB="0" distL="114300" distR="114300" simplePos="0" relativeHeight="251628032" behindDoc="0" locked="0" layoutInCell="1" allowOverlap="1" wp14:anchorId="4CB6076D" wp14:editId="1AEF627D">
            <wp:simplePos x="0" y="0"/>
            <wp:positionH relativeFrom="margin">
              <wp:posOffset>-56564</wp:posOffset>
            </wp:positionH>
            <wp:positionV relativeFrom="paragraph">
              <wp:posOffset>303579</wp:posOffset>
            </wp:positionV>
            <wp:extent cx="5183505" cy="2103755"/>
            <wp:effectExtent l="0" t="0" r="0" b="0"/>
            <wp:wrapSquare wrapText="bothSides"/>
            <wp:docPr id="1519861144" name="Picture 11" descr="A comparison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61144" name="Picture 11" descr="A comparison of a graph&#10;&#10;Description automatically generated with medium confidence"/>
                    <pic:cNvPicPr/>
                  </pic:nvPicPr>
                  <pic:blipFill rotWithShape="1">
                    <a:blip r:embed="rId47" cstate="print">
                      <a:extLst>
                        <a:ext uri="{28A0092B-C50C-407E-A947-70E740481C1C}">
                          <a14:useLocalDpi xmlns:a14="http://schemas.microsoft.com/office/drawing/2010/main" val="0"/>
                        </a:ext>
                      </a:extLst>
                    </a:blip>
                    <a:srcRect l="1305"/>
                    <a:stretch/>
                  </pic:blipFill>
                  <pic:spPr bwMode="auto">
                    <a:xfrm>
                      <a:off x="0" y="0"/>
                      <a:ext cx="5183505" cy="2103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B4682C" w14:textId="5A9AD6D7" w:rsidR="001C2B32" w:rsidRDefault="001C2B32" w:rsidP="008A0D85">
      <w:pPr>
        <w:pStyle w:val="Caption"/>
        <w:ind w:left="0" w:firstLine="0"/>
        <w:rPr>
          <w:rFonts w:cs="Times New Roman"/>
          <w:b w:val="0"/>
        </w:rPr>
      </w:pPr>
      <w:bookmarkStart w:id="157" w:name="_Toc146657567"/>
      <w:bookmarkStart w:id="158" w:name="_Toc154331558"/>
      <w:r>
        <w:t xml:space="preserve">Figure </w:t>
      </w:r>
      <w:fldSimple w:instr=" STYLEREF 1 \s ">
        <w:r w:rsidR="004B7F70">
          <w:rPr>
            <w:noProof/>
          </w:rPr>
          <w:t>3</w:t>
        </w:r>
      </w:fldSimple>
      <w:r w:rsidR="00C97D34">
        <w:t>.</w:t>
      </w:r>
      <w:fldSimple w:instr=" SEQ Figure \* ARABIC \s 1 ">
        <w:r w:rsidR="004B7F70">
          <w:rPr>
            <w:noProof/>
          </w:rPr>
          <w:t>24</w:t>
        </w:r>
      </w:fldSimple>
      <w:r>
        <w:t xml:space="preserve"> </w:t>
      </w:r>
      <w:r w:rsidRPr="00393C14">
        <w:t>Barley root production continues regardless of crowding treatment</w:t>
      </w:r>
      <w:bookmarkEnd w:id="157"/>
      <w:bookmarkEnd w:id="158"/>
    </w:p>
    <w:p w14:paraId="51DEDAF5" w14:textId="77777777" w:rsidR="001C2B32" w:rsidRPr="00D06228" w:rsidRDefault="001C2B32" w:rsidP="001C2B32">
      <w:pPr>
        <w:pStyle w:val="Description"/>
      </w:pPr>
      <w:r w:rsidRPr="00D06228">
        <w:t xml:space="preserve">Graphs showing spring </w:t>
      </w:r>
      <w:r>
        <w:t>barley</w:t>
      </w:r>
      <w:r w:rsidRPr="00D06228">
        <w:t xml:space="preserve"> (cv. </w:t>
      </w:r>
      <w:r>
        <w:t>Charon</w:t>
      </w:r>
      <w:r w:rsidRPr="00D06228">
        <w:t>) grown in 1100ml rhizoboxes in either 1 plant per pot (1/pot) or 4 plants per pot (4/pot).</w:t>
      </w:r>
    </w:p>
    <w:p w14:paraId="6D82C46A" w14:textId="2A04313A" w:rsidR="001C2B32" w:rsidRPr="00D06228" w:rsidRDefault="001C2B32" w:rsidP="001C2B32">
      <w:pPr>
        <w:pStyle w:val="Description"/>
      </w:pPr>
      <w:r w:rsidRPr="00D06228">
        <w:t xml:space="preserve">A-B) Bar charts showing total root length per plant and per pot </w:t>
      </w:r>
      <w:r w:rsidR="008464D7">
        <w:t xml:space="preserve">(mm) </w:t>
      </w:r>
      <w:r w:rsidRPr="00D06228">
        <w:t>(</w:t>
      </w:r>
      <w:r w:rsidR="00F27B30">
        <w:t>A</w:t>
      </w:r>
      <w:r w:rsidRPr="00D06228">
        <w:t>) and total root number per plant and per pot (</w:t>
      </w:r>
      <w:r w:rsidR="00F27B30">
        <w:t>B</w:t>
      </w:r>
      <w:r w:rsidRPr="00D06228">
        <w:t>) from day 6 to 17 post germination. Error bars represent S.E.M, Asterisks represent significant difference, n.s represents no significant difference (Independent samples t</w:t>
      </w:r>
      <w:r w:rsidR="00F27B30">
        <w:t>-</w:t>
      </w:r>
      <w:r w:rsidRPr="00D06228">
        <w:t>test for all except day 10 total root length per plant and per pot where Mann Whitney U was used</w:t>
      </w:r>
      <w:r w:rsidRPr="004C3C75">
        <w:t>)</w:t>
      </w:r>
      <w:r w:rsidR="008A0D85" w:rsidRPr="004C3C75">
        <w:t>, n=6-8</w:t>
      </w:r>
      <w:r w:rsidRPr="004C3C75">
        <w:t>.</w:t>
      </w:r>
    </w:p>
    <w:p w14:paraId="4FBFFB95" w14:textId="77777777" w:rsidR="001C2B32" w:rsidRPr="001C2B32" w:rsidRDefault="001C2B32" w:rsidP="001C2B32"/>
    <w:p w14:paraId="0922C9E5" w14:textId="6A7AE37E" w:rsidR="00714F43" w:rsidRDefault="001C2B32" w:rsidP="00714F43">
      <w:pPr>
        <w:numPr>
          <w:ilvl w:val="1"/>
          <w:numId w:val="0"/>
        </w:numPr>
        <w:spacing w:before="160" w:line="480" w:lineRule="auto"/>
        <w:outlineLvl w:val="1"/>
        <w:rPr>
          <w:rFonts w:cs="Times New Roman"/>
          <w:bCs/>
          <w:noProof/>
        </w:rPr>
      </w:pPr>
      <w:r w:rsidRPr="0054273D">
        <w:rPr>
          <w:rFonts w:cs="Times New Roman"/>
          <w:bCs/>
          <w:color w:val="000000" w:themeColor="text1"/>
        </w:rPr>
        <w:t xml:space="preserve">Suggestions have been made in the literature that rice plants of the same genotype appear to avoid each other </w:t>
      </w:r>
      <w:r w:rsidRPr="0054273D">
        <w:rPr>
          <w:rFonts w:cs="Times New Roman"/>
          <w:bCs/>
          <w:color w:val="000000" w:themeColor="text1"/>
        </w:rPr>
        <w:fldChar w:fldCharType="begin" w:fldLock="1"/>
      </w:r>
      <w:r w:rsidRPr="0054273D">
        <w:rPr>
          <w:rFonts w:cs="Times New Roman"/>
          <w:bCs/>
          <w:color w:val="000000" w:themeColor="text1"/>
        </w:rPr>
        <w:instrText>ADDIN CSL_CITATION {"citationItems":[{"id":"ITEM-1","itemData":{"DOI":"10.1073/pnas.1222821110","ISSN":"00278424","PMID":"23362379","abstract":"Root system growth and development is highly plastic and is influenced by the surrounding environment. Roots frequently grow in heterogeneous environments that include interactions from neighboring plants and physical impediments in the rhizosphere. To investigate how planting density and physical objects affect root system growth, we grew rice in a transparent gel system in close proximity with another plant or a physical object. Root systems were imaged and reconstructed in three dimensions. Root-root interaction strength was calculated using quantitative metrics that characterize the extent towhich the reconstructed root systems overlap each other. Surprisingly, we found the overlap of root systems of the same genotype was significantly higher than that of root systems of different genotypes. Root systems of the same genotype tended to grow toward each other but those of different genotypes appeared to avoid each other. Shoot separation experiments excluded the possibility of aerial interactions, suggesting root communication. Staggered plantings indicated that interactions likely occur at root tips in close proximity. Recognition of obstacles also occurred through root tips, but through physical contact in a size-dependent manner. These results indicate that root systems use two different forms of communication to recognize objects and alter root architecture: root-root recognition, possibly mediated through root exudates, and root-object recognition mediated by physical contact at the root tips. This finding suggests that root tips act as local sensors that integrate rhizosphere information into global root architectural changes.","author":[{"dropping-particle":"","family":"Fang","given":"Suqin","non-dropping-particle":"","parse-names":false,"suffix":""},{"dropping-particle":"","family":"Clark","given":"Randy T.","non-dropping-particle":"","parse-names":false,"suffix":""},{"dropping-particle":"","family":"Zheng","given":"Ying","non-dropping-particle":"","parse-names":false,"suffix":""},{"dropping-particle":"","family":"Iyer-Pascuzzi","given":"Anjali S.","non-dropping-particle":"","parse-names":false,"suffix":""},{"dropping-particle":"","family":"Weitz","given":"Joshua S.","non-dropping-particle":"","parse-names":false,"suffix":""},{"dropping-particle":"V.","family":"Kochian","given":"Leon","non-dropping-particle":"","parse-names":false,"suffix":""},{"dropping-particle":"","family":"Edelsbrunner","given":"Herbert","non-dropping-particle":"","parse-names":false,"suffix":""},{"dropping-particle":"","family":"Liao","given":"Hong","non-dropping-particle":"","parse-names":false,"suffix":""},{"dropping-particle":"","family":"Benfey","given":"Philip N.","non-dropping-particle":"","parse-names":false,"suffix":""}],"container-title":"Proceedings of the National Academy of Sciences of the United States of America","id":"ITEM-1","issue":"7","issued":{"date-parts":[["2013","2","12"]]},"page":"2670-2675","publisher":"National Academy of Sciences","title":"Genotypic recognition and spatial responses by rice roots","type":"article-journal","volume":"110"},"uris":["http://www.mendeley.com/documents/?uuid=1af83ed3-6e5b-362a-8d87-2d58151feb40"]}],"mendeley":{"formattedCitation":"(Fang et al., 2013)","plainTextFormattedCitation":"(Fang et al., 2013)","previouslyFormattedCitation":"(Fang et al., 2013)"},"properties":{"noteIndex":0},"schema":"https://github.com/citation-style-language/schema/raw/master/csl-citation.json"}</w:instrText>
      </w:r>
      <w:r w:rsidRPr="0054273D">
        <w:rPr>
          <w:rFonts w:cs="Times New Roman"/>
          <w:bCs/>
          <w:color w:val="000000" w:themeColor="text1"/>
        </w:rPr>
        <w:fldChar w:fldCharType="separate"/>
      </w:r>
      <w:r w:rsidRPr="0054273D">
        <w:rPr>
          <w:rFonts w:cs="Times New Roman"/>
          <w:bCs/>
          <w:noProof/>
          <w:color w:val="000000" w:themeColor="text1"/>
        </w:rPr>
        <w:t>(Fang et al., 2013)</w:t>
      </w:r>
      <w:r w:rsidRPr="0054273D">
        <w:rPr>
          <w:rFonts w:cs="Times New Roman"/>
          <w:bCs/>
          <w:color w:val="000000" w:themeColor="text1"/>
        </w:rPr>
        <w:fldChar w:fldCharType="end"/>
      </w:r>
      <w:r w:rsidRPr="0054273D">
        <w:rPr>
          <w:rFonts w:cs="Times New Roman"/>
          <w:bCs/>
          <w:color w:val="000000" w:themeColor="text1"/>
        </w:rPr>
        <w:t xml:space="preserve">. However, at </w:t>
      </w:r>
      <w:r w:rsidRPr="00AC6A87">
        <w:rPr>
          <w:rFonts w:cs="Times New Roman"/>
          <w:bCs/>
        </w:rPr>
        <w:t>6 days post germination I could already observe collision and overlap between roots from different plants in the 4/pot treatment (</w:t>
      </w:r>
      <w:r>
        <w:rPr>
          <w:rFonts w:cs="Times New Roman"/>
          <w:bCs/>
        </w:rPr>
        <w:t>F</w:t>
      </w:r>
      <w:r w:rsidRPr="00AC6A87">
        <w:rPr>
          <w:rFonts w:cs="Times New Roman"/>
          <w:bCs/>
        </w:rPr>
        <w:t>ig</w:t>
      </w:r>
      <w:r w:rsidR="008464D7">
        <w:rPr>
          <w:rFonts w:cs="Times New Roman"/>
          <w:bCs/>
        </w:rPr>
        <w:t>.</w:t>
      </w:r>
      <w:r>
        <w:rPr>
          <w:rFonts w:cs="Times New Roman"/>
          <w:bCs/>
        </w:rPr>
        <w:t xml:space="preserve"> 3.25A</w:t>
      </w:r>
      <w:r w:rsidRPr="00AC6A87">
        <w:rPr>
          <w:rFonts w:cs="Times New Roman"/>
          <w:bCs/>
        </w:rPr>
        <w:t xml:space="preserve">), suggesting that in </w:t>
      </w:r>
      <w:r w:rsidRPr="0054273D">
        <w:rPr>
          <w:rFonts w:cs="Times New Roman"/>
          <w:bCs/>
          <w:color w:val="000000" w:themeColor="text1"/>
        </w:rPr>
        <w:t>barley, and in this system, roots of the same genotype do not avoid one and other. From the limited available knowledge on this it is not clear whether this is a species-specific difference, or a difference caused by the system in which the plants are grown. Nevertheless, direct contact with roots of neighbouring plants did not prevent root growth from continuing as shown by the root number and length data in this rhizobox system (Fig. 3.24A+B).</w:t>
      </w:r>
      <w:r w:rsidRPr="001C2B32">
        <w:rPr>
          <w:rFonts w:cs="Times New Roman"/>
          <w:bCs/>
          <w:noProof/>
        </w:rPr>
        <w:t xml:space="preserve"> </w:t>
      </w:r>
    </w:p>
    <w:p w14:paraId="1707A25A" w14:textId="1DBD7AF5" w:rsidR="001C2B32" w:rsidRDefault="001C2B32" w:rsidP="00714F43">
      <w:pPr>
        <w:numPr>
          <w:ilvl w:val="1"/>
          <w:numId w:val="0"/>
        </w:numPr>
        <w:spacing w:before="160" w:line="480" w:lineRule="auto"/>
        <w:outlineLvl w:val="1"/>
        <w:rPr>
          <w:rFonts w:cs="Times New Roman"/>
          <w:bCs/>
          <w:noProof/>
        </w:rPr>
      </w:pPr>
      <w:r>
        <w:rPr>
          <w:rFonts w:cs="Times New Roman"/>
          <w:bCs/>
          <w:noProof/>
        </w:rPr>
        <w:lastRenderedPageBreak/>
        <w:drawing>
          <wp:inline distT="0" distB="0" distL="0" distR="0" wp14:anchorId="37904F16" wp14:editId="1D29BD1B">
            <wp:extent cx="1647825" cy="2615565"/>
            <wp:effectExtent l="0" t="0" r="9525" b="0"/>
            <wp:docPr id="1373177313" name="Picture 10"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177313" name="Picture 10" descr="A close-up of a microscope&#10;&#10;Description automatically generated"/>
                    <pic:cNvPicPr/>
                  </pic:nvPicPr>
                  <pic:blipFill rotWithShape="1">
                    <a:blip r:embed="rId48" cstate="print">
                      <a:extLst>
                        <a:ext uri="{28A0092B-C50C-407E-A947-70E740481C1C}">
                          <a14:useLocalDpi xmlns:a14="http://schemas.microsoft.com/office/drawing/2010/main" val="0"/>
                        </a:ext>
                      </a:extLst>
                    </a:blip>
                    <a:srcRect l="6350" b="3113"/>
                    <a:stretch/>
                  </pic:blipFill>
                  <pic:spPr bwMode="auto">
                    <a:xfrm>
                      <a:off x="0" y="0"/>
                      <a:ext cx="1647825" cy="2615565"/>
                    </a:xfrm>
                    <a:prstGeom prst="rect">
                      <a:avLst/>
                    </a:prstGeom>
                    <a:ln>
                      <a:noFill/>
                    </a:ln>
                    <a:extLst>
                      <a:ext uri="{53640926-AAD7-44D8-BBD7-CCE9431645EC}">
                        <a14:shadowObscured xmlns:a14="http://schemas.microsoft.com/office/drawing/2010/main"/>
                      </a:ext>
                    </a:extLst>
                  </pic:spPr>
                </pic:pic>
              </a:graphicData>
            </a:graphic>
          </wp:inline>
        </w:drawing>
      </w:r>
    </w:p>
    <w:p w14:paraId="320DCC8F" w14:textId="72639E96" w:rsidR="001C2B32" w:rsidRPr="001C2B32" w:rsidRDefault="001C2B32" w:rsidP="001C2B32">
      <w:pPr>
        <w:pStyle w:val="Caption"/>
        <w:rPr>
          <w:rFonts w:cs="Times New Roman"/>
          <w:noProof/>
        </w:rPr>
      </w:pPr>
      <w:bookmarkStart w:id="159" w:name="_Toc146657568"/>
      <w:bookmarkStart w:id="160" w:name="_Toc154331559"/>
      <w:r>
        <w:t xml:space="preserve">Figure </w:t>
      </w:r>
      <w:fldSimple w:instr=" STYLEREF 1 \s ">
        <w:r w:rsidR="004B7F70">
          <w:rPr>
            <w:noProof/>
          </w:rPr>
          <w:t>3</w:t>
        </w:r>
      </w:fldSimple>
      <w:r w:rsidR="00C97D34">
        <w:t>.</w:t>
      </w:r>
      <w:fldSimple w:instr=" SEQ Figure \* ARABIC \s 1 ">
        <w:r w:rsidR="004B7F70">
          <w:rPr>
            <w:noProof/>
          </w:rPr>
          <w:t>25</w:t>
        </w:r>
      </w:fldSimple>
      <w:r>
        <w:t xml:space="preserve"> </w:t>
      </w:r>
      <w:r w:rsidRPr="00C80760">
        <w:t>Barley roots overlap when grown with other barley plants</w:t>
      </w:r>
      <w:bookmarkEnd w:id="159"/>
      <w:bookmarkEnd w:id="160"/>
    </w:p>
    <w:p w14:paraId="6477897A" w14:textId="77777777" w:rsidR="001C2B32" w:rsidRPr="003B0D93" w:rsidRDefault="001C2B32" w:rsidP="001C2B32">
      <w:pPr>
        <w:pStyle w:val="Description"/>
      </w:pPr>
      <w:r w:rsidRPr="003B0D93">
        <w:t xml:space="preserve">Spring </w:t>
      </w:r>
      <w:r>
        <w:t>barley</w:t>
      </w:r>
      <w:r w:rsidRPr="003B0D93">
        <w:t xml:space="preserve"> (cv. </w:t>
      </w:r>
      <w:r>
        <w:t>Charon</w:t>
      </w:r>
      <w:r w:rsidRPr="003B0D93">
        <w:t>) grown in 1100ml rhizoboxes 4 plants per pot (4/pot).</w:t>
      </w:r>
    </w:p>
    <w:p w14:paraId="58E207FA" w14:textId="77777777" w:rsidR="001C2B32" w:rsidRDefault="001C2B32" w:rsidP="001C2B32">
      <w:pPr>
        <w:pStyle w:val="Description"/>
      </w:pPr>
      <w:r w:rsidRPr="003B0D93">
        <w:t>A) Image of wheat roots in a 4/pot rhizobox at 6 days post germination. White arrow heads indicate points of neighbouring plant root collision or overlap. Scale bar represents 5cm.</w:t>
      </w:r>
    </w:p>
    <w:p w14:paraId="00A70E88" w14:textId="77777777" w:rsidR="001C2B32" w:rsidRDefault="001C2B32" w:rsidP="001C2B32"/>
    <w:p w14:paraId="5F3B8037" w14:textId="7B790995" w:rsidR="001C2B32" w:rsidRPr="007C6326" w:rsidRDefault="001C2B32" w:rsidP="001C2B32">
      <w:pPr>
        <w:spacing w:line="480" w:lineRule="auto"/>
        <w:rPr>
          <w:rFonts w:cs="Times New Roman"/>
          <w:bCs/>
          <w:color w:val="000000" w:themeColor="text1"/>
        </w:rPr>
      </w:pPr>
      <w:r w:rsidRPr="007C6326">
        <w:rPr>
          <w:rFonts w:cs="Times New Roman"/>
          <w:bCs/>
          <w:color w:val="000000" w:themeColor="text1"/>
        </w:rPr>
        <w:t xml:space="preserve">Again, I aimed to </w:t>
      </w:r>
      <w:r w:rsidR="0001728F">
        <w:rPr>
          <w:rFonts w:cs="Times New Roman"/>
          <w:bCs/>
          <w:color w:val="000000" w:themeColor="text1"/>
        </w:rPr>
        <w:t>ask</w:t>
      </w:r>
      <w:r w:rsidRPr="007C6326">
        <w:rPr>
          <w:rFonts w:cs="Times New Roman"/>
          <w:bCs/>
          <w:color w:val="000000" w:themeColor="text1"/>
        </w:rPr>
        <w:t xml:space="preserve"> that shoot growth behaved similarly as barley plants in </w:t>
      </w:r>
      <w:r w:rsidR="001A3286">
        <w:rPr>
          <w:rFonts w:cs="Times New Roman"/>
          <w:bCs/>
          <w:color w:val="000000" w:themeColor="text1"/>
        </w:rPr>
        <w:t xml:space="preserve">section </w:t>
      </w:r>
      <w:r w:rsidRPr="007C6326">
        <w:rPr>
          <w:rFonts w:cs="Times New Roman"/>
          <w:bCs/>
          <w:color w:val="000000" w:themeColor="text1"/>
        </w:rPr>
        <w:t>3.</w:t>
      </w:r>
      <w:r w:rsidR="008464D7">
        <w:rPr>
          <w:rFonts w:cs="Times New Roman"/>
          <w:bCs/>
          <w:color w:val="000000" w:themeColor="text1"/>
        </w:rPr>
        <w:t>2</w:t>
      </w:r>
      <w:r w:rsidRPr="007C6326">
        <w:rPr>
          <w:rFonts w:cs="Times New Roman"/>
          <w:bCs/>
          <w:color w:val="000000" w:themeColor="text1"/>
        </w:rPr>
        <w:t>.2 to ensure root growth seen in this rhizobox system would be comparable, therefore tiller number was assessed from week 2-7 post germination. As expected 1/pot plants produced a greater number of tillers per plant over time than the 4/pot treatment (Fig</w:t>
      </w:r>
      <w:r w:rsidR="008464D7">
        <w:rPr>
          <w:rFonts w:cs="Times New Roman"/>
          <w:bCs/>
          <w:color w:val="000000" w:themeColor="text1"/>
        </w:rPr>
        <w:t>.</w:t>
      </w:r>
      <w:r w:rsidRPr="007C6326">
        <w:rPr>
          <w:rFonts w:cs="Times New Roman"/>
          <w:bCs/>
          <w:color w:val="000000" w:themeColor="text1"/>
        </w:rPr>
        <w:t xml:space="preserve"> 3.26A). The peak tiller number of 1/pot plants was 3.3-fold greater than that of individual plants in the 4/pot. Thus, overall, per pot 4/pot plants produced 1.2-fold more tillers than the 1/pot plants (Fig</w:t>
      </w:r>
      <w:r w:rsidR="008464D7">
        <w:rPr>
          <w:rFonts w:cs="Times New Roman"/>
          <w:bCs/>
          <w:color w:val="000000" w:themeColor="text1"/>
        </w:rPr>
        <w:t>.</w:t>
      </w:r>
      <w:r w:rsidRPr="007C6326">
        <w:rPr>
          <w:rFonts w:cs="Times New Roman"/>
          <w:bCs/>
          <w:color w:val="000000" w:themeColor="text1"/>
        </w:rPr>
        <w:t xml:space="preserve"> 3.26A), again showing an ‘over production’ of shoot growth in the crowded scenario. This supports what was seen previously in pot grown barley </w:t>
      </w:r>
      <w:r w:rsidR="001A3286">
        <w:rPr>
          <w:rFonts w:cs="Times New Roman"/>
          <w:bCs/>
          <w:color w:val="000000" w:themeColor="text1"/>
        </w:rPr>
        <w:t xml:space="preserve">section </w:t>
      </w:r>
      <w:r w:rsidRPr="007C6326">
        <w:rPr>
          <w:rFonts w:cs="Times New Roman"/>
          <w:bCs/>
          <w:color w:val="000000" w:themeColor="text1"/>
        </w:rPr>
        <w:t>3.</w:t>
      </w:r>
      <w:r w:rsidR="008464D7">
        <w:rPr>
          <w:rFonts w:cs="Times New Roman"/>
          <w:bCs/>
          <w:color w:val="000000" w:themeColor="text1"/>
        </w:rPr>
        <w:t>2</w:t>
      </w:r>
      <w:r w:rsidRPr="007C6326">
        <w:rPr>
          <w:rFonts w:cs="Times New Roman"/>
          <w:bCs/>
          <w:color w:val="000000" w:themeColor="text1"/>
        </w:rPr>
        <w:t>.2</w:t>
      </w:r>
      <w:r w:rsidR="000B73DF">
        <w:rPr>
          <w:rFonts w:cs="Times New Roman"/>
          <w:bCs/>
          <w:color w:val="000000" w:themeColor="text1"/>
        </w:rPr>
        <w:t xml:space="preserve"> </w:t>
      </w:r>
      <w:r w:rsidR="000B73DF" w:rsidRPr="00E44DBD">
        <w:rPr>
          <w:rFonts w:cs="Times New Roman"/>
          <w:bCs/>
          <w:color w:val="000000" w:themeColor="text1"/>
        </w:rPr>
        <w:t>suggesting that the shoot response to rhizoboxes and pots is the same</w:t>
      </w:r>
      <w:r w:rsidRPr="00E44DBD">
        <w:rPr>
          <w:rFonts w:cs="Times New Roman"/>
          <w:bCs/>
          <w:color w:val="000000" w:themeColor="text1"/>
        </w:rPr>
        <w:t>.</w:t>
      </w:r>
    </w:p>
    <w:p w14:paraId="08B29F17" w14:textId="0990CD26" w:rsidR="001C2B32" w:rsidRDefault="001C2B32" w:rsidP="001C2B32">
      <w:pPr>
        <w:spacing w:line="480" w:lineRule="auto"/>
        <w:rPr>
          <w:rFonts w:cs="Times New Roman"/>
          <w:bCs/>
          <w:color w:val="000000" w:themeColor="text1"/>
        </w:rPr>
      </w:pPr>
      <w:r w:rsidRPr="00AC6A87">
        <w:rPr>
          <w:rFonts w:cs="Times New Roman"/>
          <w:bCs/>
        </w:rPr>
        <w:t xml:space="preserve">Shoot biomass per plant and per pot was significantly different between the treatments </w:t>
      </w:r>
      <w:r w:rsidRPr="007631A0">
        <w:rPr>
          <w:rFonts w:cs="Times New Roman"/>
          <w:bCs/>
        </w:rPr>
        <w:t>(Fig</w:t>
      </w:r>
      <w:r w:rsidR="008464D7">
        <w:rPr>
          <w:rFonts w:cs="Times New Roman"/>
          <w:bCs/>
        </w:rPr>
        <w:t>.</w:t>
      </w:r>
      <w:r w:rsidRPr="007631A0">
        <w:rPr>
          <w:rFonts w:cs="Times New Roman"/>
          <w:bCs/>
        </w:rPr>
        <w:t xml:space="preserve"> </w:t>
      </w:r>
      <w:r>
        <w:rPr>
          <w:rFonts w:cs="Times New Roman"/>
          <w:bCs/>
        </w:rPr>
        <w:t>3.26B</w:t>
      </w:r>
      <w:r w:rsidRPr="007631A0">
        <w:rPr>
          <w:rFonts w:cs="Times New Roman"/>
          <w:bCs/>
        </w:rPr>
        <w:t>)</w:t>
      </w:r>
      <w:r w:rsidRPr="00AC6A87">
        <w:rPr>
          <w:rFonts w:cs="Times New Roman"/>
          <w:bCs/>
        </w:rPr>
        <w:t>. Shoot biomass per plant was strongly reduced (~3-</w:t>
      </w:r>
      <w:r w:rsidRPr="00AC6A87">
        <w:rPr>
          <w:rFonts w:cs="Times New Roman"/>
          <w:bCs/>
        </w:rPr>
        <w:lastRenderedPageBreak/>
        <w:t xml:space="preserve">fold) in the 4/pot treatment compared to the 1/pot treatment </w:t>
      </w:r>
      <w:r w:rsidRPr="007631A0">
        <w:rPr>
          <w:rFonts w:cs="Times New Roman"/>
          <w:bCs/>
        </w:rPr>
        <w:t>(Fig</w:t>
      </w:r>
      <w:r w:rsidR="008464D7">
        <w:rPr>
          <w:rFonts w:cs="Times New Roman"/>
          <w:bCs/>
        </w:rPr>
        <w:t>.</w:t>
      </w:r>
      <w:r w:rsidRPr="007631A0">
        <w:rPr>
          <w:rFonts w:cs="Times New Roman"/>
          <w:bCs/>
        </w:rPr>
        <w:t xml:space="preserve"> </w:t>
      </w:r>
      <w:r>
        <w:rPr>
          <w:rFonts w:cs="Times New Roman"/>
          <w:bCs/>
        </w:rPr>
        <w:t>3.26B</w:t>
      </w:r>
      <w:r w:rsidRPr="007631A0">
        <w:rPr>
          <w:rFonts w:cs="Times New Roman"/>
          <w:bCs/>
        </w:rPr>
        <w:t>)</w:t>
      </w:r>
      <w:r w:rsidRPr="00AC6A87">
        <w:rPr>
          <w:rFonts w:cs="Times New Roman"/>
          <w:bCs/>
        </w:rPr>
        <w:t xml:space="preserve">. </w:t>
      </w:r>
      <w:r w:rsidR="00BD2D89" w:rsidRPr="00E44DBD">
        <w:rPr>
          <w:rFonts w:cs="Times New Roman"/>
          <w:bCs/>
        </w:rPr>
        <w:t>T</w:t>
      </w:r>
      <w:r w:rsidRPr="00E44DBD">
        <w:rPr>
          <w:rFonts w:cs="Times New Roman"/>
          <w:bCs/>
        </w:rPr>
        <w:t>otal</w:t>
      </w:r>
      <w:r w:rsidRPr="00AC6A87">
        <w:rPr>
          <w:rFonts w:cs="Times New Roman"/>
          <w:bCs/>
        </w:rPr>
        <w:t xml:space="preserve"> shoot biomass per pot was 1.3-fold greater in 4/pot treatment than the 1/pot treatment </w:t>
      </w:r>
      <w:r w:rsidRPr="007631A0">
        <w:rPr>
          <w:rFonts w:cs="Times New Roman"/>
          <w:bCs/>
        </w:rPr>
        <w:t>(Fig</w:t>
      </w:r>
      <w:r w:rsidR="008464D7">
        <w:rPr>
          <w:rFonts w:cs="Times New Roman"/>
          <w:bCs/>
        </w:rPr>
        <w:t>.</w:t>
      </w:r>
      <w:r w:rsidRPr="007631A0">
        <w:rPr>
          <w:rFonts w:cs="Times New Roman"/>
          <w:bCs/>
        </w:rPr>
        <w:t xml:space="preserve"> </w:t>
      </w:r>
      <w:r>
        <w:rPr>
          <w:rFonts w:cs="Times New Roman"/>
          <w:bCs/>
        </w:rPr>
        <w:t>3.26B</w:t>
      </w:r>
      <w:r w:rsidRPr="007631A0">
        <w:rPr>
          <w:rFonts w:cs="Times New Roman"/>
          <w:bCs/>
        </w:rPr>
        <w:t>)</w:t>
      </w:r>
      <w:r>
        <w:rPr>
          <w:rFonts w:cs="Times New Roman"/>
          <w:bCs/>
        </w:rPr>
        <w:t xml:space="preserve">. </w:t>
      </w:r>
      <w:r w:rsidRPr="007C6326">
        <w:rPr>
          <w:rFonts w:cs="Times New Roman"/>
          <w:bCs/>
          <w:color w:val="000000" w:themeColor="text1"/>
        </w:rPr>
        <w:t>This also supports the ‘over-production’ of shoot biomass seen in 3.</w:t>
      </w:r>
      <w:r w:rsidR="008464D7">
        <w:rPr>
          <w:rFonts w:cs="Times New Roman"/>
          <w:bCs/>
          <w:color w:val="000000" w:themeColor="text1"/>
        </w:rPr>
        <w:t>2</w:t>
      </w:r>
      <w:r w:rsidRPr="007C6326">
        <w:rPr>
          <w:rFonts w:cs="Times New Roman"/>
          <w:bCs/>
          <w:color w:val="000000" w:themeColor="text1"/>
        </w:rPr>
        <w:t>.2.</w:t>
      </w:r>
    </w:p>
    <w:p w14:paraId="46D77996" w14:textId="119938E7" w:rsidR="00D9407A" w:rsidRDefault="00D9407A" w:rsidP="001C2B32">
      <w:pPr>
        <w:spacing w:line="480" w:lineRule="auto"/>
        <w:rPr>
          <w:rFonts w:cs="Times New Roman"/>
          <w:bCs/>
        </w:rPr>
      </w:pPr>
      <w:r>
        <w:rPr>
          <w:rFonts w:cs="Times New Roman"/>
          <w:bCs/>
          <w:noProof/>
        </w:rPr>
        <w:drawing>
          <wp:anchor distT="0" distB="0" distL="114300" distR="114300" simplePos="0" relativeHeight="251633152" behindDoc="0" locked="0" layoutInCell="1" allowOverlap="1" wp14:anchorId="2960F52D" wp14:editId="6D79C04F">
            <wp:simplePos x="0" y="0"/>
            <wp:positionH relativeFrom="margin">
              <wp:align>right</wp:align>
            </wp:positionH>
            <wp:positionV relativeFrom="paragraph">
              <wp:posOffset>265778</wp:posOffset>
            </wp:positionV>
            <wp:extent cx="5183505" cy="1868805"/>
            <wp:effectExtent l="0" t="0" r="0" b="0"/>
            <wp:wrapSquare wrapText="bothSides"/>
            <wp:docPr id="1353268894" name="Picture 8" descr="A diagram of a graph and 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68894" name="Picture 8" descr="A diagram of a graph and a diagram of a graph&#10;&#10;Description automatically generated"/>
                    <pic:cNvPicPr/>
                  </pic:nvPicPr>
                  <pic:blipFill rotWithShape="1">
                    <a:blip r:embed="rId49" cstate="print">
                      <a:extLst>
                        <a:ext uri="{28A0092B-C50C-407E-A947-70E740481C1C}">
                          <a14:useLocalDpi xmlns:a14="http://schemas.microsoft.com/office/drawing/2010/main" val="0"/>
                        </a:ext>
                      </a:extLst>
                    </a:blip>
                    <a:srcRect l="4147"/>
                    <a:stretch/>
                  </pic:blipFill>
                  <pic:spPr bwMode="auto">
                    <a:xfrm>
                      <a:off x="0" y="0"/>
                      <a:ext cx="5183505" cy="1868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AA40DA" w14:textId="52A5BD4B" w:rsidR="001C2B32" w:rsidRDefault="001C2B32" w:rsidP="001C2B32">
      <w:pPr>
        <w:pStyle w:val="Caption"/>
        <w:rPr>
          <w:rFonts w:cs="Times New Roman"/>
          <w:b w:val="0"/>
        </w:rPr>
      </w:pPr>
      <w:bookmarkStart w:id="161" w:name="_Toc146657569"/>
      <w:bookmarkStart w:id="162" w:name="_Toc154331560"/>
      <w:r>
        <w:t xml:space="preserve">Figure </w:t>
      </w:r>
      <w:fldSimple w:instr=" STYLEREF 1 \s ">
        <w:r w:rsidR="004B7F70">
          <w:rPr>
            <w:noProof/>
          </w:rPr>
          <w:t>3</w:t>
        </w:r>
      </w:fldSimple>
      <w:r w:rsidR="00C97D34">
        <w:t>.</w:t>
      </w:r>
      <w:fldSimple w:instr=" SEQ Figure \* ARABIC \s 1 ">
        <w:r w:rsidR="004B7F70">
          <w:rPr>
            <w:noProof/>
          </w:rPr>
          <w:t>26</w:t>
        </w:r>
      </w:fldSimple>
      <w:r>
        <w:t xml:space="preserve"> </w:t>
      </w:r>
      <w:r w:rsidRPr="004515D3">
        <w:t xml:space="preserve">Crowded barley plants produce </w:t>
      </w:r>
      <w:r w:rsidR="00BD2D89">
        <w:t>fewer</w:t>
      </w:r>
      <w:r w:rsidRPr="004515D3">
        <w:t xml:space="preserve"> tillers and shoot biomass per plant than uncrowded plants</w:t>
      </w:r>
      <w:bookmarkEnd w:id="161"/>
      <w:bookmarkEnd w:id="162"/>
    </w:p>
    <w:p w14:paraId="2C7FEA27" w14:textId="77777777" w:rsidR="001C2B32" w:rsidRPr="00CB2ABA" w:rsidRDefault="001C2B32" w:rsidP="001C2B32">
      <w:pPr>
        <w:pStyle w:val="Description"/>
      </w:pPr>
      <w:r w:rsidRPr="00CB2ABA">
        <w:t xml:space="preserve">Graphs showing spring </w:t>
      </w:r>
      <w:r>
        <w:t>barley</w:t>
      </w:r>
      <w:r w:rsidRPr="00CB2ABA">
        <w:t xml:space="preserve"> (cv. </w:t>
      </w:r>
      <w:r>
        <w:t>Charon</w:t>
      </w:r>
      <w:r w:rsidRPr="00CB2ABA">
        <w:t xml:space="preserve">) grown in 1100ml rhizoboxes in either 1 plant per pot (1/pot) or 4 plants per pot (4/pot). </w:t>
      </w:r>
    </w:p>
    <w:p w14:paraId="4246A65F" w14:textId="58217ACE" w:rsidR="001C2B32" w:rsidRPr="00CB2ABA" w:rsidRDefault="001C2B32" w:rsidP="001C2B32">
      <w:pPr>
        <w:pStyle w:val="Description"/>
      </w:pPr>
      <w:r w:rsidRPr="00CB2ABA">
        <w:t>A) Line graph showing mean tiller number per plant and per pot from week 2-7 post germination. Error bars represent S.E.M, Asterisks represent significant difference (Independent samples t</w:t>
      </w:r>
      <w:r w:rsidR="001A3286">
        <w:t>-</w:t>
      </w:r>
      <w:r w:rsidRPr="00CB2ABA">
        <w:t>test, p&lt;0.05, n=6-8).</w:t>
      </w:r>
    </w:p>
    <w:p w14:paraId="2B6959F0" w14:textId="25AD7F99" w:rsidR="001C2B32" w:rsidRDefault="001C2B32" w:rsidP="001C2B32">
      <w:pPr>
        <w:pStyle w:val="Description"/>
      </w:pPr>
      <w:r w:rsidRPr="00CB2ABA">
        <w:t xml:space="preserve">B) Box plot showing the mean final dry shoot biomass per plant and per pot at 7 weeks post germination. Asterisks represent significant difference (Independent samples </w:t>
      </w:r>
      <w:r>
        <w:t>t</w:t>
      </w:r>
      <w:r w:rsidRPr="00CB2ABA">
        <w:t>-test, p &lt;0.05) n=6-8. The box indicates the interquartile range, the midline represents the median, the whiskers are the minimum and maximum values, the circle is the mean.</w:t>
      </w:r>
    </w:p>
    <w:p w14:paraId="03AC1459" w14:textId="77777777" w:rsidR="001C2B32" w:rsidRDefault="001C2B32" w:rsidP="001C2B32">
      <w:pPr>
        <w:rPr>
          <w:rFonts w:cs="Times New Roman"/>
          <w:bCs/>
        </w:rPr>
      </w:pPr>
    </w:p>
    <w:p w14:paraId="7B954ABB" w14:textId="77777777" w:rsidR="001C2B32" w:rsidRPr="007C6326" w:rsidRDefault="001C2B32" w:rsidP="001C2B32">
      <w:pPr>
        <w:spacing w:line="480" w:lineRule="auto"/>
        <w:rPr>
          <w:rFonts w:cs="Times New Roman"/>
          <w:color w:val="000000" w:themeColor="text1"/>
        </w:rPr>
      </w:pPr>
      <w:r w:rsidRPr="007C6326">
        <w:rPr>
          <w:rFonts w:cs="Times New Roman"/>
          <w:color w:val="000000" w:themeColor="text1"/>
        </w:rPr>
        <w:t xml:space="preserve">Bringing this data together, the number of roots produced per plant between the crowding treatments was equal which could display an inherent ‘minimum’ amount of roots the plants are able to produce in this soil volume. This resulted in an early increase in total number of roots per rhizobox in the case of the 4/pot treatment. Therefore, it could be hypothesised that 4/pot treatments would have higher root density sooner than those in 1/pot treatments, which could explain shoot based differences seen between the treatments. </w:t>
      </w:r>
    </w:p>
    <w:p w14:paraId="5F0E0AD9" w14:textId="77777777" w:rsidR="001C2B32" w:rsidRPr="001C2B32" w:rsidRDefault="001C2B32" w:rsidP="001C2B32"/>
    <w:p w14:paraId="7258E8EB" w14:textId="051798BB" w:rsidR="001C2B32" w:rsidRDefault="001C2B32" w:rsidP="00743E4C">
      <w:pPr>
        <w:pStyle w:val="Heading3"/>
      </w:pPr>
      <w:bookmarkStart w:id="163" w:name="_Toc154331482"/>
      <w:r w:rsidRPr="001C2B32">
        <w:lastRenderedPageBreak/>
        <w:t>Root density and shoot system size are uncoupled in barley</w:t>
      </w:r>
      <w:bookmarkEnd w:id="163"/>
    </w:p>
    <w:p w14:paraId="5866ABF1" w14:textId="77777777" w:rsidR="001C2B32" w:rsidRDefault="001C2B32" w:rsidP="001C2B32"/>
    <w:p w14:paraId="7F2E2A5C" w14:textId="659F6CEF" w:rsidR="001C2B32" w:rsidRPr="007C6326" w:rsidRDefault="001C2B32" w:rsidP="001C2B32">
      <w:pPr>
        <w:keepNext/>
        <w:keepLines/>
        <w:numPr>
          <w:ilvl w:val="1"/>
          <w:numId w:val="0"/>
        </w:numPr>
        <w:spacing w:before="160" w:line="480" w:lineRule="auto"/>
        <w:outlineLvl w:val="1"/>
        <w:rPr>
          <w:color w:val="000000" w:themeColor="text1"/>
          <w:szCs w:val="24"/>
        </w:rPr>
      </w:pPr>
      <w:r w:rsidRPr="009C0E64">
        <w:rPr>
          <w:szCs w:val="24"/>
        </w:rPr>
        <w:t xml:space="preserve">In section </w:t>
      </w:r>
      <w:r w:rsidRPr="001A3286">
        <w:rPr>
          <w:szCs w:val="24"/>
        </w:rPr>
        <w:t>3.</w:t>
      </w:r>
      <w:r w:rsidR="001A3286" w:rsidRPr="001A3286">
        <w:rPr>
          <w:szCs w:val="24"/>
        </w:rPr>
        <w:t>3</w:t>
      </w:r>
      <w:r w:rsidRPr="009C0E64">
        <w:rPr>
          <w:szCs w:val="24"/>
        </w:rPr>
        <w:t xml:space="preserve">, I showed that there is </w:t>
      </w:r>
      <w:r>
        <w:rPr>
          <w:szCs w:val="24"/>
        </w:rPr>
        <w:t>large variation</w:t>
      </w:r>
      <w:r w:rsidRPr="009C0E64">
        <w:rPr>
          <w:szCs w:val="24"/>
        </w:rPr>
        <w:t xml:space="preserve"> </w:t>
      </w:r>
      <w:r>
        <w:rPr>
          <w:szCs w:val="24"/>
        </w:rPr>
        <w:t>in</w:t>
      </w:r>
      <w:r w:rsidRPr="009C0E64">
        <w:rPr>
          <w:szCs w:val="24"/>
        </w:rPr>
        <w:t xml:space="preserve"> shoot </w:t>
      </w:r>
      <w:r>
        <w:rPr>
          <w:szCs w:val="24"/>
        </w:rPr>
        <w:t xml:space="preserve">growth </w:t>
      </w:r>
      <w:r w:rsidRPr="009C0E64">
        <w:rPr>
          <w:szCs w:val="24"/>
        </w:rPr>
        <w:t xml:space="preserve">responses (tiller number and shoot biomass) to soil volume </w:t>
      </w:r>
      <w:r>
        <w:rPr>
          <w:szCs w:val="24"/>
        </w:rPr>
        <w:t>due to</w:t>
      </w:r>
      <w:r w:rsidRPr="009C0E64">
        <w:rPr>
          <w:szCs w:val="24"/>
        </w:rPr>
        <w:t xml:space="preserve"> genetic diversity in the barley lines I screened. I identified three low (HOR 10990, HOR 11126 and HOR 12070) and three high (HOR 21641, KWS Thalis and LG Tosca) </w:t>
      </w:r>
      <w:r>
        <w:rPr>
          <w:szCs w:val="24"/>
        </w:rPr>
        <w:t>soil volume sensitivity</w:t>
      </w:r>
      <w:r w:rsidRPr="009C0E64">
        <w:rPr>
          <w:szCs w:val="24"/>
        </w:rPr>
        <w:t xml:space="preserve"> lines. I hypothesised that th</w:t>
      </w:r>
      <w:r>
        <w:rPr>
          <w:szCs w:val="24"/>
        </w:rPr>
        <w:t>e observed</w:t>
      </w:r>
      <w:r w:rsidRPr="009C0E64">
        <w:rPr>
          <w:szCs w:val="24"/>
        </w:rPr>
        <w:t xml:space="preserve"> shoot</w:t>
      </w:r>
      <w:r>
        <w:rPr>
          <w:szCs w:val="24"/>
        </w:rPr>
        <w:t xml:space="preserve"> growth</w:t>
      </w:r>
      <w:r w:rsidRPr="009C0E64">
        <w:rPr>
          <w:szCs w:val="24"/>
        </w:rPr>
        <w:t xml:space="preserve"> responses would also be reflected in </w:t>
      </w:r>
      <w:r>
        <w:rPr>
          <w:szCs w:val="24"/>
        </w:rPr>
        <w:t>the</w:t>
      </w:r>
      <w:r w:rsidRPr="009C0E64">
        <w:rPr>
          <w:szCs w:val="24"/>
        </w:rPr>
        <w:t xml:space="preserve"> root syste</w:t>
      </w:r>
      <w:r>
        <w:rPr>
          <w:szCs w:val="24"/>
        </w:rPr>
        <w:t>m growth</w:t>
      </w:r>
      <w:r w:rsidRPr="009C0E64">
        <w:rPr>
          <w:szCs w:val="24"/>
        </w:rPr>
        <w:t xml:space="preserve">, i.e. if </w:t>
      </w:r>
      <w:r>
        <w:rPr>
          <w:szCs w:val="24"/>
        </w:rPr>
        <w:t>higher soil volume sensitivity was</w:t>
      </w:r>
      <w:r w:rsidRPr="009C0E64">
        <w:rPr>
          <w:szCs w:val="24"/>
        </w:rPr>
        <w:t xml:space="preserve"> present in a line I expected to</w:t>
      </w:r>
      <w:r>
        <w:rPr>
          <w:szCs w:val="24"/>
        </w:rPr>
        <w:t xml:space="preserve"> see</w:t>
      </w:r>
      <w:r w:rsidRPr="009C0E64">
        <w:rPr>
          <w:szCs w:val="24"/>
        </w:rPr>
        <w:t xml:space="preserve"> </w:t>
      </w:r>
      <w:r>
        <w:rPr>
          <w:szCs w:val="24"/>
        </w:rPr>
        <w:t xml:space="preserve">this in the root system too </w:t>
      </w:r>
      <w:r w:rsidRPr="007C6326">
        <w:rPr>
          <w:color w:val="000000" w:themeColor="text1"/>
          <w:szCs w:val="24"/>
        </w:rPr>
        <w:t xml:space="preserve">and that this may be seen in the root density threshold. In addition, I aimed to identify if different lines allocated their root number and length differently which could potentially explain their shoot phenotypes. To test this, I used the same rhizobox system described previously, but the seeds were only pregerminated for 3 days to ensure minimal root growth had occurred before transplantation into the rhizoboxes. </w:t>
      </w:r>
      <w:r w:rsidRPr="007C6326">
        <w:rPr>
          <w:color w:val="000000" w:themeColor="text1"/>
          <w:szCs w:val="24"/>
        </w:rPr>
        <w:tab/>
      </w:r>
    </w:p>
    <w:p w14:paraId="291C148B" w14:textId="5936003F" w:rsidR="001C2B32" w:rsidRPr="007C6326" w:rsidRDefault="001C2B32" w:rsidP="001C2B32">
      <w:pPr>
        <w:numPr>
          <w:ilvl w:val="1"/>
          <w:numId w:val="0"/>
        </w:numPr>
        <w:spacing w:before="160" w:line="480" w:lineRule="auto"/>
        <w:outlineLvl w:val="1"/>
        <w:rPr>
          <w:rFonts w:cs="Times New Roman"/>
          <w:bCs/>
          <w:color w:val="000000" w:themeColor="text1"/>
        </w:rPr>
      </w:pPr>
      <w:r w:rsidRPr="007C6326">
        <w:rPr>
          <w:rFonts w:cs="Times New Roman"/>
          <w:bCs/>
          <w:color w:val="000000" w:themeColor="text1"/>
        </w:rPr>
        <w:t xml:space="preserve">As barley and wheat plants showed a different root density threshold in </w:t>
      </w:r>
      <w:r w:rsidR="00A20E20">
        <w:rPr>
          <w:rFonts w:cs="Times New Roman"/>
          <w:bCs/>
          <w:color w:val="000000" w:themeColor="text1"/>
        </w:rPr>
        <w:t xml:space="preserve">section </w:t>
      </w:r>
      <w:r w:rsidRPr="007C6326">
        <w:rPr>
          <w:rFonts w:cs="Times New Roman"/>
          <w:bCs/>
          <w:color w:val="000000" w:themeColor="text1"/>
        </w:rPr>
        <w:t>3.</w:t>
      </w:r>
      <w:r w:rsidR="00A20E20">
        <w:rPr>
          <w:rFonts w:cs="Times New Roman"/>
          <w:bCs/>
          <w:color w:val="000000" w:themeColor="text1"/>
        </w:rPr>
        <w:t>3</w:t>
      </w:r>
      <w:r w:rsidRPr="007C6326">
        <w:rPr>
          <w:rFonts w:cs="Times New Roman"/>
          <w:bCs/>
          <w:color w:val="000000" w:themeColor="text1"/>
        </w:rPr>
        <w:t>.1, I hypothesised that there may be intraspecific variation in root density in the barley lines of interest. Using the same root density measurement system as in 3.3.1, I saw that the root density scores varied across the lines assessed (Fig</w:t>
      </w:r>
      <w:r w:rsidR="00A20E20">
        <w:rPr>
          <w:rFonts w:cs="Times New Roman"/>
          <w:bCs/>
          <w:color w:val="000000" w:themeColor="text1"/>
        </w:rPr>
        <w:t>.</w:t>
      </w:r>
      <w:r w:rsidRPr="007C6326">
        <w:rPr>
          <w:rFonts w:cs="Times New Roman"/>
          <w:bCs/>
          <w:color w:val="000000" w:themeColor="text1"/>
        </w:rPr>
        <w:t xml:space="preserve"> 3.27A). The low sensitivity line HOR 10990 produced a low density of roots compared to the others suggesting this line has a low threshold of root density tolerance before inhibiting root growth. On the converse, the high sensitivity line HOR 21641 appears to be able to tolerate a much higher root density and by the end of the experiment </w:t>
      </w:r>
      <w:r w:rsidRPr="00E44DBD">
        <w:rPr>
          <w:rFonts w:cs="Times New Roman"/>
          <w:bCs/>
          <w:color w:val="000000" w:themeColor="text1"/>
        </w:rPr>
        <w:t>ha</w:t>
      </w:r>
      <w:r w:rsidR="005D647F" w:rsidRPr="00E44DBD">
        <w:rPr>
          <w:rFonts w:cs="Times New Roman"/>
          <w:bCs/>
          <w:color w:val="000000" w:themeColor="text1"/>
        </w:rPr>
        <w:t>d</w:t>
      </w:r>
      <w:r w:rsidRPr="007C6326">
        <w:rPr>
          <w:rFonts w:cs="Times New Roman"/>
          <w:bCs/>
          <w:color w:val="000000" w:themeColor="text1"/>
        </w:rPr>
        <w:t xml:space="preserve"> not yet ceased root production as the root density score is yet to plateau. However, these </w:t>
      </w:r>
      <w:r w:rsidR="00D24493" w:rsidRPr="00E44DBD">
        <w:rPr>
          <w:rFonts w:cs="Times New Roman"/>
          <w:bCs/>
          <w:color w:val="000000" w:themeColor="text1"/>
        </w:rPr>
        <w:lastRenderedPageBreak/>
        <w:t>differences were</w:t>
      </w:r>
      <w:r w:rsidRPr="007C6326">
        <w:rPr>
          <w:rFonts w:cs="Times New Roman"/>
          <w:bCs/>
          <w:color w:val="000000" w:themeColor="text1"/>
        </w:rPr>
        <w:t xml:space="preserve"> not seen in all the lines assessed hence root density cannot solely explain the shoot growth phenotypes seen. LG Tosca appears to tightly regulate its root density as this increases at the same rate in both soil volumes, nevertheless the plants in the large rhizoboxes will still produce proportionally more roots than in small rhizoboxes. </w:t>
      </w:r>
    </w:p>
    <w:p w14:paraId="354CDB8F" w14:textId="213102D2" w:rsidR="001C2B32" w:rsidRDefault="001C2B32" w:rsidP="001C2B32">
      <w:pPr>
        <w:numPr>
          <w:ilvl w:val="1"/>
          <w:numId w:val="0"/>
        </w:numPr>
        <w:spacing w:before="160" w:line="480" w:lineRule="auto"/>
        <w:outlineLvl w:val="1"/>
        <w:rPr>
          <w:rFonts w:cs="Times New Roman"/>
          <w:bCs/>
          <w:color w:val="000000" w:themeColor="text1"/>
        </w:rPr>
      </w:pPr>
      <w:r w:rsidRPr="007C6326">
        <w:rPr>
          <w:rFonts w:cs="Times New Roman"/>
          <w:bCs/>
          <w:color w:val="000000" w:themeColor="text1"/>
        </w:rPr>
        <w:t xml:space="preserve">This data suggests that the density of roots cannot be the only explanation for the soil volume sensitivity of the lines as this is variable within the sensitivity categories. Therefore, </w:t>
      </w:r>
      <w:r w:rsidR="00A20E20">
        <w:rPr>
          <w:rFonts w:cs="Times New Roman"/>
          <w:bCs/>
          <w:color w:val="000000" w:themeColor="text1"/>
        </w:rPr>
        <w:t xml:space="preserve">this suggests </w:t>
      </w:r>
      <w:r w:rsidRPr="007C6326">
        <w:rPr>
          <w:rFonts w:cs="Times New Roman"/>
          <w:bCs/>
          <w:color w:val="000000" w:themeColor="text1"/>
        </w:rPr>
        <w:t>there is no clear link between root density and shoot growth responses to soil volume in these lines.</w:t>
      </w:r>
    </w:p>
    <w:p w14:paraId="6E8E5175" w14:textId="77777777" w:rsidR="00F76935" w:rsidRDefault="00F76935" w:rsidP="001C2B32">
      <w:pPr>
        <w:numPr>
          <w:ilvl w:val="1"/>
          <w:numId w:val="0"/>
        </w:numPr>
        <w:spacing w:before="160" w:line="480" w:lineRule="auto"/>
        <w:outlineLvl w:val="1"/>
        <w:rPr>
          <w:rFonts w:cs="Times New Roman"/>
          <w:bCs/>
          <w:color w:val="000000" w:themeColor="text1"/>
        </w:rPr>
      </w:pPr>
    </w:p>
    <w:p w14:paraId="4948118A" w14:textId="77777777" w:rsidR="00F76935" w:rsidRDefault="00F76935" w:rsidP="001C2B32">
      <w:pPr>
        <w:numPr>
          <w:ilvl w:val="1"/>
          <w:numId w:val="0"/>
        </w:numPr>
        <w:spacing w:before="160" w:line="480" w:lineRule="auto"/>
        <w:outlineLvl w:val="1"/>
        <w:rPr>
          <w:rFonts w:cs="Times New Roman"/>
          <w:bCs/>
          <w:color w:val="000000" w:themeColor="text1"/>
        </w:rPr>
      </w:pPr>
    </w:p>
    <w:p w14:paraId="5D44A95C" w14:textId="6600C196" w:rsidR="00F76935" w:rsidRDefault="00F76935" w:rsidP="001C2B32">
      <w:pPr>
        <w:numPr>
          <w:ilvl w:val="1"/>
          <w:numId w:val="0"/>
        </w:numPr>
        <w:spacing w:before="160" w:line="480" w:lineRule="auto"/>
        <w:outlineLvl w:val="1"/>
        <w:rPr>
          <w:rFonts w:cs="Times New Roman"/>
          <w:bCs/>
          <w:color w:val="000000" w:themeColor="text1"/>
        </w:rPr>
      </w:pPr>
    </w:p>
    <w:p w14:paraId="6E865743" w14:textId="6CB7DC9D" w:rsidR="00F76935" w:rsidRDefault="00F76935" w:rsidP="001C2B32">
      <w:pPr>
        <w:numPr>
          <w:ilvl w:val="1"/>
          <w:numId w:val="0"/>
        </w:numPr>
        <w:spacing w:before="160" w:line="480" w:lineRule="auto"/>
        <w:outlineLvl w:val="1"/>
        <w:rPr>
          <w:rFonts w:cs="Times New Roman"/>
          <w:bCs/>
          <w:color w:val="000000" w:themeColor="text1"/>
        </w:rPr>
      </w:pPr>
    </w:p>
    <w:p w14:paraId="3BA92324" w14:textId="17117AE9" w:rsidR="00F76935" w:rsidRDefault="00F76935" w:rsidP="001C2B32">
      <w:pPr>
        <w:numPr>
          <w:ilvl w:val="1"/>
          <w:numId w:val="0"/>
        </w:numPr>
        <w:spacing w:before="160" w:line="480" w:lineRule="auto"/>
        <w:outlineLvl w:val="1"/>
        <w:rPr>
          <w:rFonts w:cs="Times New Roman"/>
          <w:bCs/>
          <w:color w:val="000000" w:themeColor="text1"/>
        </w:rPr>
      </w:pPr>
    </w:p>
    <w:p w14:paraId="79F5A68C" w14:textId="03A5A59F" w:rsidR="00F76935" w:rsidRDefault="00F76935" w:rsidP="001C2B32">
      <w:pPr>
        <w:numPr>
          <w:ilvl w:val="1"/>
          <w:numId w:val="0"/>
        </w:numPr>
        <w:spacing w:before="160" w:line="480" w:lineRule="auto"/>
        <w:outlineLvl w:val="1"/>
        <w:rPr>
          <w:rFonts w:cs="Times New Roman"/>
          <w:bCs/>
          <w:color w:val="000000" w:themeColor="text1"/>
        </w:rPr>
      </w:pPr>
    </w:p>
    <w:p w14:paraId="799816A9" w14:textId="77777777" w:rsidR="00F76935" w:rsidRDefault="00F76935" w:rsidP="001C2B32">
      <w:pPr>
        <w:numPr>
          <w:ilvl w:val="1"/>
          <w:numId w:val="0"/>
        </w:numPr>
        <w:spacing w:before="160" w:line="480" w:lineRule="auto"/>
        <w:outlineLvl w:val="1"/>
        <w:rPr>
          <w:rFonts w:cs="Times New Roman"/>
          <w:bCs/>
          <w:color w:val="000000" w:themeColor="text1"/>
        </w:rPr>
      </w:pPr>
    </w:p>
    <w:p w14:paraId="53EC4230" w14:textId="77777777" w:rsidR="00F76935" w:rsidRDefault="00F76935" w:rsidP="001C2B32">
      <w:pPr>
        <w:numPr>
          <w:ilvl w:val="1"/>
          <w:numId w:val="0"/>
        </w:numPr>
        <w:spacing w:before="160" w:line="480" w:lineRule="auto"/>
        <w:outlineLvl w:val="1"/>
        <w:rPr>
          <w:rFonts w:cs="Times New Roman"/>
          <w:bCs/>
          <w:color w:val="000000" w:themeColor="text1"/>
        </w:rPr>
      </w:pPr>
    </w:p>
    <w:p w14:paraId="7974EF63" w14:textId="77777777" w:rsidR="00F76935" w:rsidRPr="007C6326" w:rsidRDefault="00F76935" w:rsidP="001C2B32">
      <w:pPr>
        <w:numPr>
          <w:ilvl w:val="1"/>
          <w:numId w:val="0"/>
        </w:numPr>
        <w:spacing w:before="160" w:line="480" w:lineRule="auto"/>
        <w:outlineLvl w:val="1"/>
        <w:rPr>
          <w:rFonts w:cs="Times New Roman"/>
          <w:bCs/>
          <w:color w:val="000000" w:themeColor="text1"/>
        </w:rPr>
      </w:pPr>
    </w:p>
    <w:p w14:paraId="0E13E1D8" w14:textId="1169B427" w:rsidR="001C2B32" w:rsidRPr="001C2B32" w:rsidRDefault="001C2B32" w:rsidP="001C2B32"/>
    <w:p w14:paraId="219B7947" w14:textId="4B3DF170" w:rsidR="001C2B32" w:rsidRPr="004C3F84" w:rsidRDefault="001C2B32" w:rsidP="004C3F84"/>
    <w:p w14:paraId="03070242" w14:textId="77777777" w:rsidR="004C3F84" w:rsidRPr="004C3F84" w:rsidRDefault="004C3F84" w:rsidP="004C3F84"/>
    <w:p w14:paraId="2A732962" w14:textId="77777777" w:rsidR="004C3F84" w:rsidRDefault="004C3F84" w:rsidP="004C3F84"/>
    <w:p w14:paraId="6D3BBBF2" w14:textId="77777777" w:rsidR="001C2B32" w:rsidRPr="001C2B32" w:rsidRDefault="001C2B32" w:rsidP="001C2B32"/>
    <w:p w14:paraId="7E93EFF5" w14:textId="704603BC" w:rsidR="001C2B32" w:rsidRPr="001C2B32" w:rsidRDefault="00F76935" w:rsidP="001C2B32">
      <w:r>
        <w:rPr>
          <w:rFonts w:cs="Times New Roman"/>
          <w:bCs/>
          <w:noProof/>
          <w:color w:val="00B050"/>
        </w:rPr>
        <w:lastRenderedPageBreak/>
        <w:drawing>
          <wp:anchor distT="0" distB="0" distL="114300" distR="114300" simplePos="0" relativeHeight="251638272" behindDoc="0" locked="0" layoutInCell="1" allowOverlap="1" wp14:anchorId="66A3E867" wp14:editId="154F457E">
            <wp:simplePos x="0" y="0"/>
            <wp:positionH relativeFrom="margin">
              <wp:posOffset>28135</wp:posOffset>
            </wp:positionH>
            <wp:positionV relativeFrom="paragraph">
              <wp:posOffset>-196</wp:posOffset>
            </wp:positionV>
            <wp:extent cx="3681095" cy="4532630"/>
            <wp:effectExtent l="0" t="0" r="0" b="1270"/>
            <wp:wrapSquare wrapText="bothSides"/>
            <wp:docPr id="14594892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489215" name="Picture 145948921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81095" cy="4532630"/>
                    </a:xfrm>
                    <a:prstGeom prst="rect">
                      <a:avLst/>
                    </a:prstGeom>
                  </pic:spPr>
                </pic:pic>
              </a:graphicData>
            </a:graphic>
            <wp14:sizeRelH relativeFrom="margin">
              <wp14:pctWidth>0</wp14:pctWidth>
            </wp14:sizeRelH>
            <wp14:sizeRelV relativeFrom="margin">
              <wp14:pctHeight>0</wp14:pctHeight>
            </wp14:sizeRelV>
          </wp:anchor>
        </w:drawing>
      </w:r>
    </w:p>
    <w:p w14:paraId="46BCF273" w14:textId="77777777" w:rsidR="001C2B32" w:rsidRPr="001C2B32" w:rsidRDefault="001C2B32" w:rsidP="001C2B32"/>
    <w:p w14:paraId="052B2B71" w14:textId="77777777" w:rsidR="001C2B32" w:rsidRPr="001C2B32" w:rsidRDefault="001C2B32" w:rsidP="001C2B32"/>
    <w:p w14:paraId="5EAB7D2B" w14:textId="77777777" w:rsidR="001C2B32" w:rsidRPr="001C2B32" w:rsidRDefault="001C2B32" w:rsidP="001C2B32"/>
    <w:p w14:paraId="04755EE9" w14:textId="77777777" w:rsidR="001C2B32" w:rsidRPr="001C2B32" w:rsidRDefault="001C2B32" w:rsidP="001C2B32"/>
    <w:p w14:paraId="53D1FCC8" w14:textId="77777777" w:rsidR="001C2B32" w:rsidRPr="001C2B32" w:rsidRDefault="001C2B32" w:rsidP="001C2B32"/>
    <w:p w14:paraId="2EB10C3A" w14:textId="77777777" w:rsidR="001C2B32" w:rsidRPr="001C2B32" w:rsidRDefault="001C2B32" w:rsidP="001C2B32"/>
    <w:p w14:paraId="7358389D" w14:textId="77777777" w:rsidR="001C2B32" w:rsidRPr="001C2B32" w:rsidRDefault="001C2B32" w:rsidP="001C2B32"/>
    <w:p w14:paraId="59D09DA2" w14:textId="77777777" w:rsidR="001C2B32" w:rsidRDefault="001C2B32" w:rsidP="001C2B32">
      <w:pPr>
        <w:jc w:val="center"/>
      </w:pPr>
    </w:p>
    <w:p w14:paraId="3352516B" w14:textId="77777777" w:rsidR="001C2B32" w:rsidRDefault="001C2B32" w:rsidP="001C2B32">
      <w:pPr>
        <w:jc w:val="center"/>
      </w:pPr>
    </w:p>
    <w:p w14:paraId="08196E33" w14:textId="77777777" w:rsidR="008820FC" w:rsidRDefault="008820FC" w:rsidP="001C2B32">
      <w:pPr>
        <w:jc w:val="center"/>
      </w:pPr>
    </w:p>
    <w:p w14:paraId="2AF90AAD" w14:textId="77777777" w:rsidR="008820FC" w:rsidRDefault="008820FC" w:rsidP="001C2B32">
      <w:pPr>
        <w:jc w:val="center"/>
      </w:pPr>
    </w:p>
    <w:p w14:paraId="5FF8FA5C" w14:textId="77777777" w:rsidR="008820FC" w:rsidRDefault="008820FC" w:rsidP="001C2B32">
      <w:pPr>
        <w:jc w:val="center"/>
      </w:pPr>
    </w:p>
    <w:p w14:paraId="60C248A2" w14:textId="77777777" w:rsidR="008820FC" w:rsidRDefault="008820FC" w:rsidP="001C2B32">
      <w:pPr>
        <w:jc w:val="center"/>
      </w:pPr>
    </w:p>
    <w:p w14:paraId="5AE87DCC" w14:textId="77777777" w:rsidR="008820FC" w:rsidRDefault="008820FC" w:rsidP="001C2B32">
      <w:pPr>
        <w:jc w:val="center"/>
      </w:pPr>
    </w:p>
    <w:p w14:paraId="28E2CF6F" w14:textId="5117A441" w:rsidR="001C2B32" w:rsidRDefault="001C2B32" w:rsidP="001C2B32">
      <w:pPr>
        <w:pStyle w:val="Caption"/>
        <w:rPr>
          <w:rFonts w:cs="Times New Roman"/>
          <w:b w:val="0"/>
        </w:rPr>
      </w:pPr>
      <w:bookmarkStart w:id="164" w:name="_Toc146657570"/>
      <w:bookmarkStart w:id="165" w:name="_Toc154331561"/>
      <w:r>
        <w:t xml:space="preserve">Figure </w:t>
      </w:r>
      <w:fldSimple w:instr=" STYLEREF 1 \s ">
        <w:r w:rsidR="004B7F70">
          <w:rPr>
            <w:noProof/>
          </w:rPr>
          <w:t>3</w:t>
        </w:r>
      </w:fldSimple>
      <w:r w:rsidR="00C97D34">
        <w:t>.</w:t>
      </w:r>
      <w:fldSimple w:instr=" SEQ Figure \* ARABIC \s 1 ">
        <w:r w:rsidR="004B7F70">
          <w:rPr>
            <w:noProof/>
          </w:rPr>
          <w:t>27</w:t>
        </w:r>
      </w:fldSimple>
      <w:r>
        <w:t xml:space="preserve"> </w:t>
      </w:r>
      <w:r w:rsidRPr="00304E87">
        <w:t>Root density is variable across spring barley lines</w:t>
      </w:r>
      <w:bookmarkEnd w:id="164"/>
      <w:bookmarkEnd w:id="165"/>
    </w:p>
    <w:p w14:paraId="58FC246D" w14:textId="1B911D4C" w:rsidR="001C2B32" w:rsidRDefault="001C2B32" w:rsidP="001C2B32">
      <w:pPr>
        <w:pStyle w:val="Description"/>
      </w:pPr>
      <w:r w:rsidRPr="00112FB7">
        <w:t xml:space="preserve">Figure showing barley lines HOR 10990, HOR 11126, HOR 12070, HOR 21641, KWS Thalis and LG Tosca selected from the soil volume phenotyping screen presented in chapter 3. Plants were pregerminated for </w:t>
      </w:r>
      <w:r w:rsidR="00A20E20">
        <w:t>3</w:t>
      </w:r>
      <w:r w:rsidRPr="00112FB7">
        <w:t xml:space="preserve"> days before transferring into 150ml and 1100ml rhizoboxes. Rhizoboxes were imaged every 3-4 days from day 7-57 post germination.</w:t>
      </w:r>
    </w:p>
    <w:p w14:paraId="5C0E5B0A" w14:textId="270F77D3" w:rsidR="001C2B32" w:rsidRDefault="001C2B32" w:rsidP="001C2B32">
      <w:pPr>
        <w:pStyle w:val="Description"/>
      </w:pPr>
      <w:r>
        <w:t xml:space="preserve">A) </w:t>
      </w:r>
      <w:r w:rsidRPr="0006782A">
        <w:t>Line charts of root density as a percentage of white pixels (roots) to black pixels (compost) in 150ml and 1100ml rhizoboxes from day 7-5</w:t>
      </w:r>
      <w:r w:rsidR="009E14FD">
        <w:t>7</w:t>
      </w:r>
      <w:r w:rsidR="00E34304">
        <w:t xml:space="preserve"> post germination (described in chapter 2)</w:t>
      </w:r>
      <w:r w:rsidRPr="0006782A">
        <w:t>. Data is presented as a rolling average of the previous 2 timepoints where each timepoint was 3-4 days apart</w:t>
      </w:r>
      <w:r w:rsidR="00066F7C">
        <w:t xml:space="preserve">, </w:t>
      </w:r>
      <w:r w:rsidR="00066F7C" w:rsidRPr="00770554">
        <w:t>n=1-3</w:t>
      </w:r>
      <w:r w:rsidRPr="00770554">
        <w:t>.</w:t>
      </w:r>
    </w:p>
    <w:p w14:paraId="602696D5" w14:textId="77777777" w:rsidR="001C2B32" w:rsidRDefault="001C2B32" w:rsidP="001C2B32"/>
    <w:p w14:paraId="2BAD7C10" w14:textId="79BE212B" w:rsidR="001C2B32" w:rsidRPr="00FE39CD" w:rsidRDefault="001C2B32" w:rsidP="001C2B32">
      <w:pPr>
        <w:keepNext/>
        <w:keepLines/>
        <w:numPr>
          <w:ilvl w:val="1"/>
          <w:numId w:val="0"/>
        </w:numPr>
        <w:spacing w:before="160" w:line="480" w:lineRule="auto"/>
        <w:outlineLvl w:val="1"/>
        <w:rPr>
          <w:rFonts w:cs="Times New Roman"/>
          <w:bCs/>
          <w:color w:val="00B050"/>
        </w:rPr>
      </w:pPr>
      <w:r w:rsidRPr="003B0D93">
        <w:rPr>
          <w:rFonts w:cs="Times New Roman"/>
          <w:b/>
          <w:bCs/>
          <w:noProof/>
        </w:rPr>
        <w:lastRenderedPageBreak/>
        <w:drawing>
          <wp:anchor distT="0" distB="0" distL="114300" distR="114300" simplePos="0" relativeHeight="251643392" behindDoc="0" locked="0" layoutInCell="1" allowOverlap="1" wp14:anchorId="2A278BA0" wp14:editId="324387F3">
            <wp:simplePos x="0" y="0"/>
            <wp:positionH relativeFrom="margin">
              <wp:align>right</wp:align>
            </wp:positionH>
            <wp:positionV relativeFrom="paragraph">
              <wp:posOffset>3145770</wp:posOffset>
            </wp:positionV>
            <wp:extent cx="5176520" cy="2193925"/>
            <wp:effectExtent l="0" t="0" r="5080" b="0"/>
            <wp:wrapSquare wrapText="bothSides"/>
            <wp:docPr id="516965117" name="Picture 14" descr="A diagram of a graph and 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965117" name="Picture 14" descr="A diagram of a graph and a diagram of a graph&#10;&#10;Description automatically generated with medium confidence"/>
                    <pic:cNvPicPr/>
                  </pic:nvPicPr>
                  <pic:blipFill rotWithShape="1">
                    <a:blip r:embed="rId51" cstate="print">
                      <a:extLst>
                        <a:ext uri="{28A0092B-C50C-407E-A947-70E740481C1C}">
                          <a14:useLocalDpi xmlns:a14="http://schemas.microsoft.com/office/drawing/2010/main" val="0"/>
                        </a:ext>
                      </a:extLst>
                    </a:blip>
                    <a:srcRect l="1485"/>
                    <a:stretch/>
                  </pic:blipFill>
                  <pic:spPr bwMode="auto">
                    <a:xfrm>
                      <a:off x="0" y="0"/>
                      <a:ext cx="5176520" cy="219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C6326">
        <w:rPr>
          <w:rFonts w:cs="Times New Roman"/>
          <w:bCs/>
          <w:color w:val="000000" w:themeColor="text1"/>
        </w:rPr>
        <w:t xml:space="preserve">To explore the root and shoot growth responses further, tillering and shoot biomass was assessed. </w:t>
      </w:r>
      <w:r w:rsidRPr="009C0E64">
        <w:rPr>
          <w:rFonts w:cs="Times New Roman"/>
          <w:bCs/>
        </w:rPr>
        <w:t>As expected, shoot biomass was greatest in 1100ml rhizoboxes compared to 150ml rhizoboxes, regardless of the variety (Fig</w:t>
      </w:r>
      <w:r w:rsidR="004A5BBD">
        <w:rPr>
          <w:rFonts w:cs="Times New Roman"/>
          <w:bCs/>
        </w:rPr>
        <w:t>.</w:t>
      </w:r>
      <w:r>
        <w:rPr>
          <w:rFonts w:cs="Times New Roman"/>
          <w:bCs/>
        </w:rPr>
        <w:t xml:space="preserve"> 3.28A</w:t>
      </w:r>
      <w:r w:rsidRPr="009C0E64">
        <w:rPr>
          <w:rFonts w:cs="Times New Roman"/>
          <w:bCs/>
        </w:rPr>
        <w:t>). Low sensitivity lines produced fewer tillers in both soil volumes compared to high sensitivity lines, nevertheless, tiller number was always greater for plants in 1100ml rhizoboxes compared to 150ml rhizoboxes (Fig</w:t>
      </w:r>
      <w:r w:rsidR="004A5BBD">
        <w:rPr>
          <w:rFonts w:cs="Times New Roman"/>
          <w:bCs/>
        </w:rPr>
        <w:t>.</w:t>
      </w:r>
      <w:r>
        <w:rPr>
          <w:rFonts w:cs="Times New Roman"/>
          <w:bCs/>
        </w:rPr>
        <w:t xml:space="preserve"> 3.28B)</w:t>
      </w:r>
      <w:r w:rsidRPr="009C0E64">
        <w:rPr>
          <w:rFonts w:cs="Times New Roman"/>
          <w:bCs/>
        </w:rPr>
        <w:t xml:space="preserve">. As these tiller number trends were also seen in the standard pots used for assessments </w:t>
      </w:r>
      <w:r>
        <w:rPr>
          <w:rFonts w:cs="Times New Roman"/>
          <w:bCs/>
        </w:rPr>
        <w:t>section 3.</w:t>
      </w:r>
      <w:r w:rsidR="004A5BBD">
        <w:rPr>
          <w:rFonts w:cs="Times New Roman"/>
          <w:bCs/>
        </w:rPr>
        <w:t>3</w:t>
      </w:r>
      <w:r w:rsidRPr="009C0E64">
        <w:rPr>
          <w:rFonts w:cs="Times New Roman"/>
          <w:bCs/>
        </w:rPr>
        <w:t xml:space="preserve">, </w:t>
      </w:r>
      <w:r>
        <w:rPr>
          <w:rFonts w:cs="Times New Roman"/>
          <w:bCs/>
        </w:rPr>
        <w:t>I</w:t>
      </w:r>
      <w:r w:rsidRPr="009C0E64">
        <w:rPr>
          <w:rFonts w:cs="Times New Roman"/>
          <w:bCs/>
        </w:rPr>
        <w:t xml:space="preserve"> can be confident that despite the 2D nature of rhizoboxes, they are not </w:t>
      </w:r>
      <w:r w:rsidR="004B103A" w:rsidRPr="00921208">
        <w:rPr>
          <w:rFonts w:cs="Times New Roman"/>
          <w:bCs/>
        </w:rPr>
        <w:t>leading to the</w:t>
      </w:r>
      <w:r w:rsidR="004B103A">
        <w:rPr>
          <w:rFonts w:cs="Times New Roman"/>
          <w:bCs/>
        </w:rPr>
        <w:t xml:space="preserve"> </w:t>
      </w:r>
      <w:r w:rsidRPr="009C0E64">
        <w:rPr>
          <w:rFonts w:cs="Times New Roman"/>
          <w:bCs/>
        </w:rPr>
        <w:t>inhibiti</w:t>
      </w:r>
      <w:r w:rsidR="004B103A">
        <w:rPr>
          <w:rFonts w:cs="Times New Roman"/>
          <w:bCs/>
        </w:rPr>
        <w:t>on of</w:t>
      </w:r>
      <w:r w:rsidRPr="009C0E64">
        <w:rPr>
          <w:rFonts w:cs="Times New Roman"/>
          <w:bCs/>
        </w:rPr>
        <w:t xml:space="preserve"> sho</w:t>
      </w:r>
      <w:r>
        <w:rPr>
          <w:rFonts w:cs="Times New Roman"/>
          <w:bCs/>
        </w:rPr>
        <w:t>ot growth</w:t>
      </w:r>
      <w:r w:rsidRPr="009C0E64">
        <w:rPr>
          <w:rFonts w:cs="Times New Roman"/>
          <w:bCs/>
        </w:rPr>
        <w:t xml:space="preserve"> responses. </w:t>
      </w:r>
    </w:p>
    <w:p w14:paraId="121D2F9C" w14:textId="59076EB7" w:rsidR="001C2B32" w:rsidRDefault="001C2B32" w:rsidP="001C2B32">
      <w:pPr>
        <w:pStyle w:val="Caption"/>
        <w:rPr>
          <w:rFonts w:cs="Times New Roman"/>
          <w:b w:val="0"/>
          <w:bCs w:val="0"/>
        </w:rPr>
      </w:pPr>
      <w:bookmarkStart w:id="166" w:name="_Toc146657571"/>
      <w:bookmarkStart w:id="167" w:name="_Toc154331562"/>
      <w:r>
        <w:t xml:space="preserve">Figure </w:t>
      </w:r>
      <w:fldSimple w:instr=" STYLEREF 1 \s ">
        <w:r w:rsidR="004B7F70">
          <w:rPr>
            <w:noProof/>
          </w:rPr>
          <w:t>3</w:t>
        </w:r>
      </w:fldSimple>
      <w:r w:rsidR="00C97D34">
        <w:t>.</w:t>
      </w:r>
      <w:fldSimple w:instr=" SEQ Figure \* ARABIC \s 1 ">
        <w:r w:rsidR="004B7F70">
          <w:rPr>
            <w:noProof/>
          </w:rPr>
          <w:t>28</w:t>
        </w:r>
      </w:fldSimple>
      <w:r>
        <w:t xml:space="preserve"> </w:t>
      </w:r>
      <w:r w:rsidRPr="00E122B8">
        <w:t>Low and high sensitivity spring barley lines grown in rhizoboxes tiller</w:t>
      </w:r>
      <w:r w:rsidR="00F77800">
        <w:t xml:space="preserve"> in a similar manner to those grown in</w:t>
      </w:r>
      <w:r w:rsidRPr="00E122B8">
        <w:t xml:space="preserve"> pots</w:t>
      </w:r>
      <w:bookmarkEnd w:id="166"/>
      <w:bookmarkEnd w:id="167"/>
    </w:p>
    <w:p w14:paraId="147BF1FC" w14:textId="7AE0EE31" w:rsidR="001C2B32" w:rsidRPr="00424077" w:rsidRDefault="001C2B32" w:rsidP="001C2B32">
      <w:pPr>
        <w:pStyle w:val="Description"/>
      </w:pPr>
      <w:r w:rsidRPr="00424077">
        <w:t xml:space="preserve">Figure showing barley lines HOR 10990, HOR 11126, HOR 12070, HOR 21641, KWS Thalis and LG Tosca selected from the soil volume phenotyping screen presented in chapter 3. Plants were pregerminated for </w:t>
      </w:r>
      <w:r w:rsidR="00367FED">
        <w:t>3</w:t>
      </w:r>
      <w:r w:rsidRPr="00424077">
        <w:t xml:space="preserve"> days before transferring into 150ml and 1100ml rhizoboxes. </w:t>
      </w:r>
    </w:p>
    <w:p w14:paraId="71FF0884" w14:textId="620B4E5F" w:rsidR="001C2B32" w:rsidRPr="00424077" w:rsidRDefault="001C2B32" w:rsidP="001C2B32">
      <w:pPr>
        <w:pStyle w:val="Description"/>
      </w:pPr>
      <w:r w:rsidRPr="00424077">
        <w:t xml:space="preserve">A) Boxplots showing mean dry shoot biomass (g) at 57 days post germination. The box indicates the interquartile range, the midline represents the median, the circle is the mean. Statistical tests were carried out separately for each </w:t>
      </w:r>
      <w:r w:rsidR="004A5BBD">
        <w:t>genotype</w:t>
      </w:r>
      <w:r w:rsidRPr="00424077">
        <w:t xml:space="preserve">, asterisks indicate significant difference, n.s indicated so statistical difference (Independent samples </w:t>
      </w:r>
      <w:r>
        <w:t>t</w:t>
      </w:r>
      <w:r w:rsidRPr="00424077">
        <w:t>-test for HOR 10990, HOR 11126 and HOR 12070, Mann Whitney U for HOR 2164</w:t>
      </w:r>
      <w:r w:rsidR="004A5BBD">
        <w:t>1</w:t>
      </w:r>
      <w:r w:rsidRPr="00424077">
        <w:t>, p&lt;0.05) n=1-3.</w:t>
      </w:r>
    </w:p>
    <w:p w14:paraId="5FF6A417" w14:textId="2D078945" w:rsidR="001C2B32" w:rsidRDefault="001C2B32" w:rsidP="001C2B32">
      <w:pPr>
        <w:pStyle w:val="Description"/>
      </w:pPr>
      <w:r w:rsidRPr="00D43C34">
        <w:t>B) Line graphs showing tiller number over</w:t>
      </w:r>
      <w:r w:rsidR="00081044">
        <w:t xml:space="preserve"> </w:t>
      </w:r>
      <w:r w:rsidRPr="00D43C34">
        <w:t>time from week 1-8 post germination. Error bars represent S.E.M, n=1-3.</w:t>
      </w:r>
    </w:p>
    <w:p w14:paraId="1401F52D" w14:textId="77777777" w:rsidR="001C2B32" w:rsidRDefault="001C2B32" w:rsidP="001C2B32">
      <w:pPr>
        <w:spacing w:line="480" w:lineRule="auto"/>
        <w:rPr>
          <w:rFonts w:cs="Times New Roman"/>
          <w:bCs/>
        </w:rPr>
      </w:pPr>
    </w:p>
    <w:p w14:paraId="3751A0AE" w14:textId="2D625983" w:rsidR="001C2B32" w:rsidRPr="007C6326" w:rsidRDefault="001C2B32" w:rsidP="001C2B32">
      <w:pPr>
        <w:spacing w:line="480" w:lineRule="auto"/>
        <w:rPr>
          <w:rFonts w:cs="Times New Roman"/>
          <w:bCs/>
          <w:color w:val="000000" w:themeColor="text1"/>
        </w:rPr>
      </w:pPr>
      <w:r w:rsidRPr="007C6326">
        <w:rPr>
          <w:rFonts w:cs="Times New Roman"/>
          <w:bCs/>
          <w:noProof/>
          <w:color w:val="000000" w:themeColor="text1"/>
        </w:rPr>
        <w:lastRenderedPageBreak/>
        <w:drawing>
          <wp:anchor distT="0" distB="0" distL="114300" distR="114300" simplePos="0" relativeHeight="251648512" behindDoc="0" locked="0" layoutInCell="1" allowOverlap="1" wp14:anchorId="0F07A097" wp14:editId="1CD6A8B6">
            <wp:simplePos x="0" y="0"/>
            <wp:positionH relativeFrom="margin">
              <wp:align>left</wp:align>
            </wp:positionH>
            <wp:positionV relativeFrom="paragraph">
              <wp:posOffset>2797052</wp:posOffset>
            </wp:positionV>
            <wp:extent cx="4015105" cy="2611120"/>
            <wp:effectExtent l="0" t="0" r="4445" b="0"/>
            <wp:wrapSquare wrapText="bothSides"/>
            <wp:docPr id="4537143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14332" name="Picture 45371433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015105" cy="2611120"/>
                    </a:xfrm>
                    <a:prstGeom prst="rect">
                      <a:avLst/>
                    </a:prstGeom>
                  </pic:spPr>
                </pic:pic>
              </a:graphicData>
            </a:graphic>
            <wp14:sizeRelH relativeFrom="margin">
              <wp14:pctWidth>0</wp14:pctWidth>
            </wp14:sizeRelH>
            <wp14:sizeRelV relativeFrom="margin">
              <wp14:pctHeight>0</wp14:pctHeight>
            </wp14:sizeRelV>
          </wp:anchor>
        </w:drawing>
      </w:r>
      <w:r w:rsidRPr="007C6326">
        <w:rPr>
          <w:rFonts w:cs="Times New Roman"/>
          <w:bCs/>
          <w:color w:val="000000" w:themeColor="text1"/>
        </w:rPr>
        <w:t xml:space="preserve">When shoot biomass and root density measurements at 57 days post germination </w:t>
      </w:r>
      <w:r w:rsidR="00081044" w:rsidRPr="00650912">
        <w:rPr>
          <w:rFonts w:cs="Times New Roman"/>
          <w:bCs/>
          <w:color w:val="000000" w:themeColor="text1"/>
        </w:rPr>
        <w:t>we</w:t>
      </w:r>
      <w:r w:rsidRPr="00650912">
        <w:rPr>
          <w:rFonts w:cs="Times New Roman"/>
          <w:bCs/>
          <w:color w:val="000000" w:themeColor="text1"/>
        </w:rPr>
        <w:t xml:space="preserve">re compared, the lines grown in the 150ml rhizoboxes </w:t>
      </w:r>
      <w:r w:rsidR="00081044" w:rsidRPr="00650912">
        <w:rPr>
          <w:rFonts w:cs="Times New Roman"/>
          <w:bCs/>
          <w:color w:val="000000" w:themeColor="text1"/>
        </w:rPr>
        <w:t xml:space="preserve">were found to </w:t>
      </w:r>
      <w:r w:rsidRPr="00650912">
        <w:rPr>
          <w:rFonts w:cs="Times New Roman"/>
          <w:bCs/>
          <w:color w:val="000000" w:themeColor="text1"/>
        </w:rPr>
        <w:t>have similar</w:t>
      </w:r>
      <w:r w:rsidRPr="007C6326">
        <w:rPr>
          <w:rFonts w:cs="Times New Roman"/>
          <w:bCs/>
          <w:color w:val="000000" w:themeColor="text1"/>
        </w:rPr>
        <w:t xml:space="preserve"> shoot biomasses regardless of the maximum root density (highlighted with a box) whereas those grown in 1100ml rhizoboxes show the opposite effect; very different shoot biomasses despite similar maximum root density (Fig 3.29A). This suggests that shoot and root system size are not closely coupled in barley and therefore root density is not predictive of shoot system size in barley.</w:t>
      </w:r>
    </w:p>
    <w:p w14:paraId="518DFC6A" w14:textId="77777777" w:rsidR="001C2B32" w:rsidRDefault="001C2B32" w:rsidP="001C2B32">
      <w:pPr>
        <w:spacing w:line="480" w:lineRule="auto"/>
        <w:rPr>
          <w:rFonts w:cs="Times New Roman"/>
          <w:bCs/>
        </w:rPr>
      </w:pPr>
    </w:p>
    <w:p w14:paraId="4F195A1B" w14:textId="77777777" w:rsidR="001C2B32" w:rsidRDefault="001C2B32" w:rsidP="001C2B32">
      <w:pPr>
        <w:spacing w:line="480" w:lineRule="auto"/>
        <w:rPr>
          <w:rFonts w:cs="Times New Roman"/>
          <w:bCs/>
        </w:rPr>
      </w:pPr>
    </w:p>
    <w:p w14:paraId="1AA2915B" w14:textId="77777777" w:rsidR="001C2B32" w:rsidRDefault="001C2B32" w:rsidP="001C2B32">
      <w:pPr>
        <w:spacing w:line="480" w:lineRule="auto"/>
        <w:rPr>
          <w:rFonts w:cs="Times New Roman"/>
          <w:bCs/>
        </w:rPr>
      </w:pPr>
    </w:p>
    <w:p w14:paraId="69AF17D6" w14:textId="77777777" w:rsidR="001C2B32" w:rsidRDefault="001C2B32" w:rsidP="001C2B32">
      <w:pPr>
        <w:spacing w:line="480" w:lineRule="auto"/>
        <w:rPr>
          <w:rFonts w:cs="Times New Roman"/>
          <w:bCs/>
        </w:rPr>
      </w:pPr>
    </w:p>
    <w:p w14:paraId="7D326D64" w14:textId="77777777" w:rsidR="001C2B32" w:rsidRDefault="001C2B32" w:rsidP="001C2B32">
      <w:pPr>
        <w:spacing w:line="480" w:lineRule="auto"/>
        <w:rPr>
          <w:rFonts w:cs="Times New Roman"/>
          <w:bCs/>
        </w:rPr>
      </w:pPr>
    </w:p>
    <w:p w14:paraId="129B90D0" w14:textId="77777777" w:rsidR="001C2B32" w:rsidRDefault="001C2B32" w:rsidP="001C2B32">
      <w:pPr>
        <w:spacing w:line="480" w:lineRule="auto"/>
        <w:rPr>
          <w:rFonts w:cs="Times New Roman"/>
          <w:bCs/>
        </w:rPr>
      </w:pPr>
    </w:p>
    <w:p w14:paraId="750F3C39" w14:textId="621FE918" w:rsidR="001C2B32" w:rsidRPr="003B0D93" w:rsidRDefault="001C2B32" w:rsidP="001C2B32">
      <w:pPr>
        <w:pStyle w:val="Caption"/>
        <w:rPr>
          <w:b w:val="0"/>
          <w:bCs w:val="0"/>
        </w:rPr>
      </w:pPr>
      <w:bookmarkStart w:id="168" w:name="_Toc146657572"/>
      <w:bookmarkStart w:id="169" w:name="_Toc154331563"/>
      <w:r>
        <w:t xml:space="preserve">Figure </w:t>
      </w:r>
      <w:fldSimple w:instr=" STYLEREF 1 \s ">
        <w:r w:rsidR="004B7F70">
          <w:rPr>
            <w:noProof/>
          </w:rPr>
          <w:t>3</w:t>
        </w:r>
      </w:fldSimple>
      <w:r w:rsidR="00C97D34">
        <w:t>.</w:t>
      </w:r>
      <w:fldSimple w:instr=" SEQ Figure \* ARABIC \s 1 ">
        <w:r w:rsidR="004B7F70">
          <w:rPr>
            <w:noProof/>
          </w:rPr>
          <w:t>29</w:t>
        </w:r>
      </w:fldSimple>
      <w:r>
        <w:t xml:space="preserve"> </w:t>
      </w:r>
      <w:r w:rsidRPr="00900205">
        <w:t>Root and shoot system size are unlinked in barley</w:t>
      </w:r>
      <w:bookmarkEnd w:id="168"/>
      <w:bookmarkEnd w:id="169"/>
    </w:p>
    <w:p w14:paraId="64864D8B" w14:textId="4F82335B" w:rsidR="001C2B32" w:rsidRPr="00617F07" w:rsidRDefault="001C2B32" w:rsidP="001C2B32">
      <w:pPr>
        <w:pStyle w:val="Description"/>
      </w:pPr>
      <w:r w:rsidRPr="00617F07">
        <w:t xml:space="preserve">Figure showing barley lines HOR 10990, HOR 11126, HOR 12070, HOR 21641, KWS Thalis and LG Tosca selected from the soil volume phenotyping screen presented in chapter 3. Plants were pregerminated for </w:t>
      </w:r>
      <w:r w:rsidR="00367FED">
        <w:t>3</w:t>
      </w:r>
      <w:r w:rsidRPr="00617F07">
        <w:t xml:space="preserve"> days before transferring into 150ml and 1100ml rhizoboxes. Rhizoboxes were imaged every 3-4 days from day 7-57 post germination.</w:t>
      </w:r>
    </w:p>
    <w:p w14:paraId="0F59AAA3" w14:textId="16CF1643" w:rsidR="001C2B32" w:rsidRPr="00617F07" w:rsidRDefault="001C2B32" w:rsidP="001C2B32">
      <w:pPr>
        <w:pStyle w:val="Description"/>
      </w:pPr>
      <w:r w:rsidRPr="00617F07">
        <w:t xml:space="preserve">A) Scatter chart with shoot biomass (g) plotted against </w:t>
      </w:r>
      <w:r>
        <w:t>r</w:t>
      </w:r>
      <w:r w:rsidRPr="00617F07">
        <w:t xml:space="preserve">oot density </w:t>
      </w:r>
      <w:r>
        <w:t>score. Circles indicate 1</w:t>
      </w:r>
      <w:r w:rsidR="00367FED">
        <w:t>5</w:t>
      </w:r>
      <w:r>
        <w:t>0ml rhizoboxes and squares indicate 1100ml rhizoboxes. The box within the chart surrounds the 1</w:t>
      </w:r>
      <w:r w:rsidR="00367FED">
        <w:t>5</w:t>
      </w:r>
      <w:r>
        <w:t xml:space="preserve">0ml </w:t>
      </w:r>
      <w:r w:rsidR="00367FED">
        <w:t xml:space="preserve">data points. </w:t>
      </w:r>
      <w:r>
        <w:t xml:space="preserve">HOR 10990 (blue), HOR 11126 (green), HOR 12070 (burgundy), HOR 21641 (orange), black (KWS thalis) and LG Tosca (purple). </w:t>
      </w:r>
    </w:p>
    <w:p w14:paraId="7DF3DA38" w14:textId="77777777" w:rsidR="001C2B32" w:rsidRDefault="001C2B32" w:rsidP="001C2B32">
      <w:pPr>
        <w:spacing w:line="480" w:lineRule="auto"/>
        <w:rPr>
          <w:rFonts w:cs="Times New Roman"/>
          <w:bCs/>
        </w:rPr>
      </w:pPr>
    </w:p>
    <w:p w14:paraId="42B9D019" w14:textId="19B412B1" w:rsidR="000B1137" w:rsidRDefault="000B1137" w:rsidP="000B1137">
      <w:pPr>
        <w:spacing w:before="160" w:line="480" w:lineRule="auto"/>
        <w:outlineLvl w:val="1"/>
        <w:rPr>
          <w:rFonts w:cs="Times New Roman"/>
          <w:bCs/>
        </w:rPr>
      </w:pPr>
      <w:r w:rsidRPr="007C6326">
        <w:rPr>
          <w:rFonts w:cs="Times New Roman"/>
          <w:bCs/>
          <w:color w:val="000000" w:themeColor="text1"/>
        </w:rPr>
        <w:t xml:space="preserve">To investigate if there are root system architecture differences between the lines, I assessed total root length and number as described in </w:t>
      </w:r>
      <w:r w:rsidR="00367FED">
        <w:rPr>
          <w:rFonts w:cs="Times New Roman"/>
          <w:bCs/>
          <w:color w:val="000000" w:themeColor="text1"/>
        </w:rPr>
        <w:t xml:space="preserve">section </w:t>
      </w:r>
      <w:r w:rsidRPr="007C6326">
        <w:rPr>
          <w:rFonts w:cs="Times New Roman"/>
          <w:bCs/>
          <w:color w:val="000000" w:themeColor="text1"/>
        </w:rPr>
        <w:t>3.</w:t>
      </w:r>
      <w:r w:rsidR="00367FED">
        <w:rPr>
          <w:rFonts w:cs="Times New Roman"/>
          <w:bCs/>
          <w:color w:val="000000" w:themeColor="text1"/>
        </w:rPr>
        <w:t>4</w:t>
      </w:r>
      <w:r w:rsidRPr="007C6326">
        <w:rPr>
          <w:rFonts w:cs="Times New Roman"/>
          <w:bCs/>
          <w:color w:val="000000" w:themeColor="text1"/>
        </w:rPr>
        <w:t xml:space="preserve">.1. </w:t>
      </w:r>
      <w:r w:rsidRPr="009C0E64">
        <w:rPr>
          <w:rFonts w:cs="Times New Roman"/>
          <w:bCs/>
        </w:rPr>
        <w:t xml:space="preserve">At 18 days post germination, </w:t>
      </w:r>
      <w:r>
        <w:rPr>
          <w:rFonts w:cs="Times New Roman"/>
          <w:bCs/>
        </w:rPr>
        <w:t>trends seen in t</w:t>
      </w:r>
      <w:r w:rsidRPr="009C0E64">
        <w:rPr>
          <w:rFonts w:cs="Times New Roman"/>
          <w:bCs/>
        </w:rPr>
        <w:t xml:space="preserve">otal root length </w:t>
      </w:r>
      <w:r w:rsidRPr="00167406">
        <w:rPr>
          <w:rFonts w:cs="Times New Roman"/>
          <w:bCs/>
        </w:rPr>
        <w:t xml:space="preserve">reflect those seen </w:t>
      </w:r>
      <w:r w:rsidRPr="00167406">
        <w:rPr>
          <w:rFonts w:cs="Times New Roman"/>
          <w:bCs/>
        </w:rPr>
        <w:lastRenderedPageBreak/>
        <w:t>in 3.</w:t>
      </w:r>
      <w:r>
        <w:rPr>
          <w:rFonts w:cs="Times New Roman"/>
          <w:bCs/>
        </w:rPr>
        <w:t>3</w:t>
      </w:r>
      <w:r w:rsidRPr="00167406">
        <w:rPr>
          <w:rFonts w:cs="Times New Roman"/>
          <w:bCs/>
        </w:rPr>
        <w:t xml:space="preserve">.1 </w:t>
      </w:r>
      <w:r>
        <w:rPr>
          <w:rFonts w:cs="Times New Roman"/>
          <w:bCs/>
        </w:rPr>
        <w:t xml:space="preserve">as this was generally </w:t>
      </w:r>
      <w:r w:rsidRPr="009C0E64">
        <w:rPr>
          <w:rFonts w:cs="Times New Roman"/>
          <w:bCs/>
        </w:rPr>
        <w:t xml:space="preserve">greater </w:t>
      </w:r>
      <w:r>
        <w:rPr>
          <w:rFonts w:cs="Times New Roman"/>
          <w:bCs/>
        </w:rPr>
        <w:t xml:space="preserve">(although not significantly different) </w:t>
      </w:r>
      <w:r w:rsidRPr="009C0E64">
        <w:rPr>
          <w:rFonts w:cs="Times New Roman"/>
          <w:bCs/>
        </w:rPr>
        <w:t xml:space="preserve">in </w:t>
      </w:r>
      <w:r>
        <w:rPr>
          <w:rFonts w:cs="Times New Roman"/>
          <w:bCs/>
        </w:rPr>
        <w:t xml:space="preserve">the plants grown in </w:t>
      </w:r>
      <w:r w:rsidRPr="009C0E64">
        <w:rPr>
          <w:rFonts w:cs="Times New Roman"/>
          <w:bCs/>
        </w:rPr>
        <w:t xml:space="preserve">150ml rhizoboxes with the exception </w:t>
      </w:r>
      <w:r w:rsidRPr="00E72F04">
        <w:rPr>
          <w:rFonts w:cs="Times New Roman"/>
          <w:bCs/>
          <w:szCs w:val="24"/>
        </w:rPr>
        <w:t>of HOR 11126 and HOR 12070</w:t>
      </w:r>
      <w:r>
        <w:rPr>
          <w:rFonts w:cs="Times New Roman"/>
          <w:bCs/>
          <w:szCs w:val="24"/>
        </w:rPr>
        <w:t xml:space="preserve"> (Fig 3.30 A). </w:t>
      </w:r>
      <w:r>
        <w:rPr>
          <w:rFonts w:cs="Times New Roman"/>
          <w:bCs/>
        </w:rPr>
        <w:t>T</w:t>
      </w:r>
      <w:r w:rsidRPr="009C0E64">
        <w:rPr>
          <w:rFonts w:cs="Times New Roman"/>
          <w:bCs/>
        </w:rPr>
        <w:t xml:space="preserve">otal root number </w:t>
      </w:r>
      <w:r w:rsidRPr="00167406">
        <w:rPr>
          <w:rFonts w:cs="Times New Roman"/>
          <w:bCs/>
        </w:rPr>
        <w:t>a</w:t>
      </w:r>
      <w:r>
        <w:rPr>
          <w:rFonts w:cs="Times New Roman"/>
          <w:bCs/>
        </w:rPr>
        <w:t>l</w:t>
      </w:r>
      <w:r w:rsidRPr="00167406">
        <w:rPr>
          <w:rFonts w:cs="Times New Roman"/>
          <w:bCs/>
        </w:rPr>
        <w:t>s</w:t>
      </w:r>
      <w:r>
        <w:rPr>
          <w:rFonts w:cs="Times New Roman"/>
          <w:bCs/>
        </w:rPr>
        <w:t xml:space="preserve">o reflects those seen in </w:t>
      </w:r>
      <w:r w:rsidR="009849A3">
        <w:rPr>
          <w:rFonts w:cs="Times New Roman"/>
          <w:bCs/>
        </w:rPr>
        <w:t xml:space="preserve">section </w:t>
      </w:r>
      <w:r>
        <w:rPr>
          <w:rFonts w:cs="Times New Roman"/>
          <w:bCs/>
        </w:rPr>
        <w:t>3.</w:t>
      </w:r>
      <w:r w:rsidR="009849A3">
        <w:rPr>
          <w:rFonts w:cs="Times New Roman"/>
          <w:bCs/>
        </w:rPr>
        <w:t>4</w:t>
      </w:r>
      <w:r>
        <w:rPr>
          <w:rFonts w:cs="Times New Roman"/>
          <w:bCs/>
        </w:rPr>
        <w:t>.1</w:t>
      </w:r>
      <w:r w:rsidRPr="00167406">
        <w:rPr>
          <w:rFonts w:cs="Times New Roman"/>
          <w:bCs/>
        </w:rPr>
        <w:t>,</w:t>
      </w:r>
      <w:r w:rsidRPr="009C0E64">
        <w:rPr>
          <w:rFonts w:cs="Times New Roman"/>
          <w:bCs/>
        </w:rPr>
        <w:t xml:space="preserve"> </w:t>
      </w:r>
      <w:r>
        <w:rPr>
          <w:rFonts w:cs="Times New Roman"/>
          <w:bCs/>
        </w:rPr>
        <w:t xml:space="preserve">as </w:t>
      </w:r>
      <w:r w:rsidRPr="009C0E64">
        <w:rPr>
          <w:rFonts w:cs="Times New Roman"/>
          <w:bCs/>
        </w:rPr>
        <w:t>there are more roots in 150ml rhizoboxes than in 1100ml rhizoboxes</w:t>
      </w:r>
      <w:r w:rsidRPr="00183495">
        <w:rPr>
          <w:rFonts w:cs="Times New Roman"/>
          <w:bCs/>
        </w:rPr>
        <w:t xml:space="preserve"> </w:t>
      </w:r>
      <w:r>
        <w:rPr>
          <w:rFonts w:cs="Times New Roman"/>
          <w:bCs/>
        </w:rPr>
        <w:t>(</w:t>
      </w:r>
      <w:r w:rsidRPr="009C0E64">
        <w:rPr>
          <w:rFonts w:cs="Times New Roman"/>
          <w:bCs/>
        </w:rPr>
        <w:t>although not statistically significant</w:t>
      </w:r>
      <w:r>
        <w:rPr>
          <w:rFonts w:cs="Times New Roman"/>
          <w:bCs/>
        </w:rPr>
        <w:t>)</w:t>
      </w:r>
      <w:r w:rsidRPr="009C0E64">
        <w:rPr>
          <w:rFonts w:cs="Times New Roman"/>
          <w:bCs/>
        </w:rPr>
        <w:t>, with the exception of HOR 12070 and LG Tosca (Fig</w:t>
      </w:r>
      <w:r w:rsidR="009849A3">
        <w:rPr>
          <w:rFonts w:cs="Times New Roman"/>
          <w:bCs/>
        </w:rPr>
        <w:t>.</w:t>
      </w:r>
      <w:r w:rsidRPr="009C0E64">
        <w:rPr>
          <w:rFonts w:cs="Times New Roman"/>
          <w:bCs/>
        </w:rPr>
        <w:t xml:space="preserve"> </w:t>
      </w:r>
      <w:r>
        <w:rPr>
          <w:rFonts w:cs="Times New Roman"/>
          <w:bCs/>
        </w:rPr>
        <w:t>3.30B</w:t>
      </w:r>
      <w:r w:rsidRPr="009C0E64">
        <w:rPr>
          <w:rFonts w:cs="Times New Roman"/>
          <w:bCs/>
        </w:rPr>
        <w:t xml:space="preserve">). </w:t>
      </w:r>
    </w:p>
    <w:p w14:paraId="6D7119EF" w14:textId="614D7AC1" w:rsidR="000B1137" w:rsidRDefault="000B1137" w:rsidP="000B1137">
      <w:pPr>
        <w:spacing w:before="160" w:line="480" w:lineRule="auto"/>
        <w:outlineLvl w:val="1"/>
        <w:rPr>
          <w:rFonts w:cs="Times New Roman"/>
          <w:bCs/>
        </w:rPr>
      </w:pPr>
      <w:r w:rsidRPr="00750D47">
        <w:rPr>
          <w:rFonts w:cs="Times New Roman"/>
          <w:bCs/>
        </w:rPr>
        <w:t xml:space="preserve">The root system architecture of HOR 12070 was visibly different to the other lines as this had very few seminal roots but a large </w:t>
      </w:r>
      <w:r w:rsidR="00A2799E" w:rsidRPr="00650912">
        <w:rPr>
          <w:rFonts w:cs="Times New Roman"/>
          <w:bCs/>
        </w:rPr>
        <w:t>number</w:t>
      </w:r>
      <w:r w:rsidRPr="00750D47">
        <w:rPr>
          <w:rFonts w:cs="Times New Roman"/>
          <w:bCs/>
        </w:rPr>
        <w:t xml:space="preserve"> of relatively long lateral roots emerging from the lower 2/3rd of the seminal roots</w:t>
      </w:r>
      <w:r>
        <w:rPr>
          <w:rFonts w:cs="Times New Roman"/>
          <w:bCs/>
        </w:rPr>
        <w:t xml:space="preserve"> </w:t>
      </w:r>
      <w:r w:rsidRPr="00750D47">
        <w:rPr>
          <w:rFonts w:cs="Times New Roman"/>
          <w:bCs/>
        </w:rPr>
        <w:t>(</w:t>
      </w:r>
      <w:r>
        <w:rPr>
          <w:rFonts w:cs="Times New Roman"/>
          <w:bCs/>
        </w:rPr>
        <w:t>F</w:t>
      </w:r>
      <w:r w:rsidRPr="00750D47">
        <w:rPr>
          <w:rFonts w:cs="Times New Roman"/>
          <w:bCs/>
        </w:rPr>
        <w:t>ig</w:t>
      </w:r>
      <w:r w:rsidR="009849A3">
        <w:rPr>
          <w:rFonts w:cs="Times New Roman"/>
          <w:bCs/>
        </w:rPr>
        <w:t>.</w:t>
      </w:r>
      <w:r>
        <w:rPr>
          <w:rFonts w:cs="Times New Roman"/>
          <w:bCs/>
        </w:rPr>
        <w:t xml:space="preserve"> 3.30C</w:t>
      </w:r>
      <w:r w:rsidRPr="00750D47">
        <w:rPr>
          <w:rFonts w:cs="Times New Roman"/>
          <w:bCs/>
        </w:rPr>
        <w:t xml:space="preserve">). This explains why the root length and root number of HOR 12070 plants does not </w:t>
      </w:r>
      <w:r w:rsidR="0050070F" w:rsidRPr="00650912">
        <w:rPr>
          <w:rFonts w:cs="Times New Roman"/>
          <w:bCs/>
        </w:rPr>
        <w:t>exhibit the same responses to</w:t>
      </w:r>
      <w:r w:rsidR="0050070F">
        <w:rPr>
          <w:rFonts w:cs="Times New Roman"/>
          <w:bCs/>
        </w:rPr>
        <w:t xml:space="preserve"> the</w:t>
      </w:r>
      <w:r w:rsidRPr="00750D47">
        <w:rPr>
          <w:rFonts w:cs="Times New Roman"/>
          <w:bCs/>
        </w:rPr>
        <w:t xml:space="preserve"> other lines.</w:t>
      </w:r>
      <w:r>
        <w:rPr>
          <w:rFonts w:cs="Times New Roman"/>
          <w:bCs/>
        </w:rPr>
        <w:t xml:space="preserve"> </w:t>
      </w:r>
      <w:r w:rsidRPr="00E924B6">
        <w:rPr>
          <w:rFonts w:cs="Times New Roman"/>
          <w:bCs/>
        </w:rPr>
        <w:t xml:space="preserve">Other research has supported this finding as seminal root number has significantly increased in modern barley cultivars compared to landrace varieties </w:t>
      </w:r>
      <w:r w:rsidRPr="00E924B6">
        <w:rPr>
          <w:rFonts w:cs="Times New Roman"/>
          <w:bCs/>
        </w:rPr>
        <w:fldChar w:fldCharType="begin" w:fldLock="1"/>
      </w:r>
      <w:r w:rsidRPr="00E924B6">
        <w:rPr>
          <w:rFonts w:cs="Times New Roman"/>
          <w:bCs/>
        </w:rPr>
        <w:instrText>ADDIN CSL_CITATION {"citationItems":[{"id":"ITEM-1","itemData":{"DOI":"10.1007/BF00035941","ISSN":"0014-2336","author":[{"dropping-particle":"","family":"Grando","given":"Stefania","non-dropping-particle":"","parse-names":false,"suffix":""},{"dropping-particle":"","family":"Ceccarelli","given":"Salvatore","non-dropping-particle":"","parse-names":false,"suffix":""}],"container-title":"Euphytica","id":"ITEM-1","issue":"1","issued":{"date-parts":[["1995","1"]]},"page":"73-80","title":"Seminal root morphology and coleoptile length in wild (Hordeum vulgare ssp. spontaneum) and cultivated (Hordeum vulgare ssp. vulgare) barley","type":"article-journal","volume":"86"},"uris":["http://www.mendeley.com/documents/?uuid=e3366beb-57b2-41d3-ab82-46fab3f2000b"]}],"mendeley":{"formattedCitation":"(Grando and Ceccarelli, 1995)","plainTextFormattedCitation":"(Grando and Ceccarelli, 1995)","previouslyFormattedCitation":"(Grando and Ceccarelli, 1995)"},"properties":{"noteIndex":0},"schema":"https://github.com/citation-style-language/schema/raw/master/csl-citation.json"}</w:instrText>
      </w:r>
      <w:r w:rsidRPr="00E924B6">
        <w:rPr>
          <w:rFonts w:cs="Times New Roman"/>
          <w:bCs/>
        </w:rPr>
        <w:fldChar w:fldCharType="separate"/>
      </w:r>
      <w:r w:rsidRPr="00E924B6">
        <w:rPr>
          <w:rFonts w:cs="Times New Roman"/>
          <w:bCs/>
          <w:noProof/>
        </w:rPr>
        <w:t>(Grando and Ceccarelli, 1995)</w:t>
      </w:r>
      <w:r w:rsidRPr="00E924B6">
        <w:rPr>
          <w:rFonts w:cs="Times New Roman"/>
          <w:bCs/>
        </w:rPr>
        <w:fldChar w:fldCharType="end"/>
      </w:r>
      <w:r w:rsidR="00285FC4">
        <w:rPr>
          <w:rFonts w:cs="Times New Roman"/>
          <w:bCs/>
        </w:rPr>
        <w:t xml:space="preserve">, </w:t>
      </w:r>
      <w:r w:rsidR="00285FC4" w:rsidRPr="00351ABC">
        <w:rPr>
          <w:rFonts w:cs="Times New Roman"/>
          <w:bCs/>
        </w:rPr>
        <w:t xml:space="preserve">whereas HOR 12070 is not classified as a </w:t>
      </w:r>
      <w:r w:rsidR="005B1C30" w:rsidRPr="00351ABC">
        <w:rPr>
          <w:rFonts w:cs="Times New Roman"/>
          <w:bCs/>
        </w:rPr>
        <w:t>modern barley variety, instead it is an Advanced/Improved variety (Table</w:t>
      </w:r>
      <w:r w:rsidR="00A21C7F" w:rsidRPr="00351ABC">
        <w:rPr>
          <w:rFonts w:cs="Times New Roman"/>
          <w:bCs/>
        </w:rPr>
        <w:t xml:space="preserve"> 2.2)</w:t>
      </w:r>
      <w:r w:rsidRPr="00351ABC">
        <w:rPr>
          <w:rFonts w:cs="Times New Roman"/>
          <w:bCs/>
        </w:rPr>
        <w:t>.</w:t>
      </w:r>
    </w:p>
    <w:p w14:paraId="41578DF0" w14:textId="0ECAA8BE" w:rsidR="001C2B32" w:rsidRDefault="001C2B32" w:rsidP="001C2B32"/>
    <w:p w14:paraId="02BDABC3" w14:textId="77777777" w:rsidR="000B1137" w:rsidRDefault="000B1137" w:rsidP="001C2B32"/>
    <w:p w14:paraId="7657CAA8" w14:textId="77777777" w:rsidR="000B1137" w:rsidRDefault="000B1137" w:rsidP="001C2B32"/>
    <w:p w14:paraId="123C135C" w14:textId="77777777" w:rsidR="000B1137" w:rsidRDefault="000B1137" w:rsidP="001C2B32"/>
    <w:p w14:paraId="53F4207C" w14:textId="7DE7D001" w:rsidR="000B1137" w:rsidRDefault="003B0881" w:rsidP="001C2B32">
      <w:r>
        <w:rPr>
          <w:noProof/>
        </w:rPr>
        <w:lastRenderedPageBreak/>
        <w:drawing>
          <wp:anchor distT="0" distB="0" distL="114300" distR="114300" simplePos="0" relativeHeight="251838976" behindDoc="0" locked="0" layoutInCell="1" allowOverlap="1" wp14:anchorId="4123AED9" wp14:editId="2BE789E2">
            <wp:simplePos x="0" y="0"/>
            <wp:positionH relativeFrom="column">
              <wp:posOffset>0</wp:posOffset>
            </wp:positionH>
            <wp:positionV relativeFrom="paragraph">
              <wp:posOffset>302260</wp:posOffset>
            </wp:positionV>
            <wp:extent cx="5182870" cy="4704715"/>
            <wp:effectExtent l="0" t="0" r="0" b="635"/>
            <wp:wrapSquare wrapText="bothSides"/>
            <wp:docPr id="1132895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895992" name="Picture 113289599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182870" cy="4704715"/>
                    </a:xfrm>
                    <a:prstGeom prst="rect">
                      <a:avLst/>
                    </a:prstGeom>
                  </pic:spPr>
                </pic:pic>
              </a:graphicData>
            </a:graphic>
          </wp:anchor>
        </w:drawing>
      </w:r>
    </w:p>
    <w:p w14:paraId="263DCC02" w14:textId="32E9403E" w:rsidR="000B1137" w:rsidRPr="001C2B32" w:rsidRDefault="000B1137" w:rsidP="000B1137">
      <w:pPr>
        <w:pStyle w:val="Caption"/>
      </w:pPr>
      <w:bookmarkStart w:id="170" w:name="_Toc146657573"/>
      <w:bookmarkStart w:id="171" w:name="_Toc154331564"/>
      <w:r>
        <w:t xml:space="preserve">Figure </w:t>
      </w:r>
      <w:fldSimple w:instr=" STYLEREF 1 \s ">
        <w:r w:rsidR="004B7F70">
          <w:rPr>
            <w:noProof/>
          </w:rPr>
          <w:t>3</w:t>
        </w:r>
      </w:fldSimple>
      <w:r w:rsidR="00C97D34">
        <w:t>.</w:t>
      </w:r>
      <w:fldSimple w:instr=" SEQ Figure \* ARABIC \s 1 ">
        <w:r w:rsidR="004B7F70">
          <w:rPr>
            <w:noProof/>
          </w:rPr>
          <w:t>30</w:t>
        </w:r>
      </w:fldSimple>
      <w:r>
        <w:t xml:space="preserve"> </w:t>
      </w:r>
      <w:r w:rsidRPr="00D44CC3">
        <w:t>Root length and root number is generally elevated in small soil volumes in barley lines</w:t>
      </w:r>
      <w:bookmarkEnd w:id="170"/>
      <w:bookmarkEnd w:id="171"/>
    </w:p>
    <w:p w14:paraId="5A4528D1" w14:textId="56CFCA46" w:rsidR="000B1137" w:rsidRDefault="000B1137" w:rsidP="000B1137">
      <w:pPr>
        <w:pStyle w:val="Description"/>
      </w:pPr>
      <w:r w:rsidRPr="00CA278D">
        <w:t xml:space="preserve">Figure showing barley lines HOR 10990, HOR 11126, HOR 12070, HOR 21641, KWS Thalis and LG Tosca selected from the soil volume phenotyping screen presented in chapter 3. Plants were pregerminated for </w:t>
      </w:r>
      <w:r w:rsidR="00AE4209">
        <w:t>3</w:t>
      </w:r>
      <w:r w:rsidRPr="00CA278D">
        <w:t xml:space="preserve"> days before transferring into 150ml and 1100ml rhizoboxes. Rhizoboxes were imaged every 3-4 days from day 7-57 post germination.</w:t>
      </w:r>
    </w:p>
    <w:p w14:paraId="2A3BC53A" w14:textId="49A0B3E6" w:rsidR="000B1137" w:rsidRDefault="000B1137" w:rsidP="000B1137">
      <w:pPr>
        <w:pStyle w:val="Description"/>
      </w:pPr>
      <w:r>
        <w:t>A</w:t>
      </w:r>
      <w:r w:rsidRPr="0020782F">
        <w:t>-</w:t>
      </w:r>
      <w:r>
        <w:t>B</w:t>
      </w:r>
      <w:r w:rsidRPr="0020782F">
        <w:t xml:space="preserve">) Bar chart showing total </w:t>
      </w:r>
      <w:r>
        <w:t xml:space="preserve">mean </w:t>
      </w:r>
      <w:r w:rsidRPr="0020782F">
        <w:t>root length (mm) (</w:t>
      </w:r>
      <w:r>
        <w:t>A</w:t>
      </w:r>
      <w:r w:rsidRPr="0020782F">
        <w:t xml:space="preserve">) and total </w:t>
      </w:r>
      <w:r>
        <w:t xml:space="preserve">mean </w:t>
      </w:r>
      <w:r w:rsidRPr="0020782F">
        <w:t>root number (</w:t>
      </w:r>
      <w:r>
        <w:t>B</w:t>
      </w:r>
      <w:r w:rsidRPr="0020782F">
        <w:t xml:space="preserve">) at 18 days post germination. Statistical tests were carried out separately for each </w:t>
      </w:r>
      <w:r w:rsidR="00AE4209">
        <w:t>genotype</w:t>
      </w:r>
      <w:r w:rsidRPr="0020782F">
        <w:t xml:space="preserve">, asterisks indicate significant difference, n.s indicated no statistical difference (Independent samples </w:t>
      </w:r>
      <w:r w:rsidR="00AE4209">
        <w:t>t</w:t>
      </w:r>
      <w:r w:rsidRPr="0020782F">
        <w:t>-test for HOR 10990, HOR 11126 and HOR 12070, Mann Whitney U for HOR 21641, p&lt;0.05) n=1-3.</w:t>
      </w:r>
    </w:p>
    <w:p w14:paraId="5209F9BE" w14:textId="3D4E6D6A" w:rsidR="000B1137" w:rsidRDefault="000B1137" w:rsidP="000B1137">
      <w:pPr>
        <w:pStyle w:val="Description"/>
      </w:pPr>
      <w:r>
        <w:t xml:space="preserve">C) </w:t>
      </w:r>
      <w:r w:rsidRPr="00617F07">
        <w:t>Images of HOR 12070 and HOR 1112</w:t>
      </w:r>
      <w:r w:rsidR="00F46D20">
        <w:t>6</w:t>
      </w:r>
      <w:r w:rsidRPr="00617F07">
        <w:t xml:space="preserve"> root systems at </w:t>
      </w:r>
      <w:r>
        <w:t>18</w:t>
      </w:r>
      <w:r w:rsidRPr="00617F07">
        <w:t xml:space="preserve"> days post germination</w:t>
      </w:r>
      <w:r w:rsidR="00F46D20">
        <w:t xml:space="preserve">. </w:t>
      </w:r>
      <w:r w:rsidR="002D08C5" w:rsidRPr="00351ABC">
        <w:t xml:space="preserve">For </w:t>
      </w:r>
      <w:r w:rsidR="006D4D23">
        <w:t>150ml rhizoboxes</w:t>
      </w:r>
      <w:r w:rsidR="002D08C5" w:rsidRPr="00351ABC">
        <w:t xml:space="preserve"> scale bar represents 30mm. For </w:t>
      </w:r>
      <w:r w:rsidR="006D4D23">
        <w:t>1100ml rhizoboxes</w:t>
      </w:r>
      <w:r w:rsidR="002D08C5" w:rsidRPr="00351ABC">
        <w:t xml:space="preserve"> the scale bar represents 60mm.</w:t>
      </w:r>
    </w:p>
    <w:p w14:paraId="1B70DDA3" w14:textId="7E2B0EDE" w:rsidR="001C2B32" w:rsidRDefault="001C2B32" w:rsidP="001C2B32"/>
    <w:p w14:paraId="162A68BB" w14:textId="2CCE335F" w:rsidR="000B1137" w:rsidRDefault="000B1137" w:rsidP="000B1137">
      <w:pPr>
        <w:numPr>
          <w:ilvl w:val="1"/>
          <w:numId w:val="0"/>
        </w:numPr>
        <w:spacing w:before="160" w:line="480" w:lineRule="auto"/>
        <w:outlineLvl w:val="1"/>
        <w:rPr>
          <w:rFonts w:cs="Times New Roman"/>
          <w:bCs/>
          <w:color w:val="000000" w:themeColor="text1"/>
        </w:rPr>
      </w:pPr>
      <w:r w:rsidRPr="007C6326">
        <w:rPr>
          <w:rFonts w:cs="Times New Roman"/>
          <w:bCs/>
          <w:color w:val="000000" w:themeColor="text1"/>
        </w:rPr>
        <w:t xml:space="preserve">Taken together this data suggests that in barley, the growth of the root system and shoot system are uncoupled. Although root length and root number data generally </w:t>
      </w:r>
      <w:r w:rsidR="007D0917" w:rsidRPr="00EC7041">
        <w:rPr>
          <w:rFonts w:cs="Times New Roman"/>
          <w:bCs/>
          <w:color w:val="000000" w:themeColor="text1"/>
        </w:rPr>
        <w:t>suggested</w:t>
      </w:r>
      <w:r w:rsidRPr="00EC7041">
        <w:rPr>
          <w:rFonts w:cs="Times New Roman"/>
          <w:bCs/>
          <w:color w:val="000000" w:themeColor="text1"/>
        </w:rPr>
        <w:t xml:space="preserve"> </w:t>
      </w:r>
      <w:r w:rsidR="007C1F71" w:rsidRPr="00EC7041">
        <w:rPr>
          <w:rFonts w:cs="Times New Roman"/>
          <w:bCs/>
          <w:color w:val="000000" w:themeColor="text1"/>
        </w:rPr>
        <w:t>that there were</w:t>
      </w:r>
      <w:r w:rsidR="007C1F71">
        <w:rPr>
          <w:rFonts w:cs="Times New Roman"/>
          <w:bCs/>
          <w:color w:val="000000" w:themeColor="text1"/>
        </w:rPr>
        <w:t xml:space="preserve"> </w:t>
      </w:r>
      <w:r w:rsidRPr="007C6326">
        <w:rPr>
          <w:rFonts w:cs="Times New Roman"/>
          <w:bCs/>
          <w:color w:val="000000" w:themeColor="text1"/>
        </w:rPr>
        <w:t xml:space="preserve">more and longer roots in small rhizoboxes </w:t>
      </w:r>
      <w:r w:rsidRPr="007C6326">
        <w:rPr>
          <w:rFonts w:cs="Times New Roman"/>
          <w:bCs/>
          <w:color w:val="000000" w:themeColor="text1"/>
        </w:rPr>
        <w:lastRenderedPageBreak/>
        <w:t xml:space="preserve">this was </w:t>
      </w:r>
      <w:r w:rsidRPr="00EC7041">
        <w:rPr>
          <w:rFonts w:cs="Times New Roman"/>
          <w:bCs/>
          <w:color w:val="000000" w:themeColor="text1"/>
        </w:rPr>
        <w:t>not statistically significant</w:t>
      </w:r>
      <w:r w:rsidR="007C1F71" w:rsidRPr="00EC7041">
        <w:rPr>
          <w:rFonts w:cs="Times New Roman"/>
          <w:bCs/>
          <w:color w:val="000000" w:themeColor="text1"/>
        </w:rPr>
        <w:t xml:space="preserve"> therefore there was no difference</w:t>
      </w:r>
      <w:r w:rsidR="00E70FE8" w:rsidRPr="00EC7041">
        <w:rPr>
          <w:rFonts w:cs="Times New Roman"/>
          <w:bCs/>
          <w:color w:val="000000" w:themeColor="text1"/>
        </w:rPr>
        <w:t xml:space="preserve"> between the soil volumes</w:t>
      </w:r>
      <w:r w:rsidRPr="00EC7041">
        <w:rPr>
          <w:rFonts w:cs="Times New Roman"/>
          <w:bCs/>
          <w:color w:val="000000" w:themeColor="text1"/>
        </w:rPr>
        <w:t>.</w:t>
      </w:r>
      <w:r w:rsidRPr="007C6326">
        <w:rPr>
          <w:rFonts w:cs="Times New Roman"/>
          <w:bCs/>
          <w:color w:val="000000" w:themeColor="text1"/>
        </w:rPr>
        <w:t xml:space="preserve"> Root density assessments varied greatly across the lines and therefore root density cannot be the only explanation for the sensitivity of plants to their availably soil volume. </w:t>
      </w:r>
    </w:p>
    <w:p w14:paraId="671C72C2" w14:textId="77777777" w:rsidR="0092105A" w:rsidRPr="007C6326" w:rsidRDefault="0092105A" w:rsidP="000B1137">
      <w:pPr>
        <w:numPr>
          <w:ilvl w:val="1"/>
          <w:numId w:val="0"/>
        </w:numPr>
        <w:spacing w:before="160" w:line="480" w:lineRule="auto"/>
        <w:outlineLvl w:val="1"/>
        <w:rPr>
          <w:rFonts w:cs="Times New Roman"/>
          <w:bCs/>
          <w:color w:val="000000" w:themeColor="text1"/>
        </w:rPr>
      </w:pPr>
    </w:p>
    <w:p w14:paraId="6F04A37E" w14:textId="54682C02" w:rsidR="000B1137" w:rsidRDefault="000B1137" w:rsidP="00743E4C">
      <w:pPr>
        <w:pStyle w:val="Heading3"/>
      </w:pPr>
      <w:bookmarkStart w:id="172" w:name="_Toc154331483"/>
      <w:r w:rsidRPr="000B1137">
        <w:t>Root system growth response in wheat landrace lines</w:t>
      </w:r>
      <w:bookmarkEnd w:id="172"/>
    </w:p>
    <w:p w14:paraId="4695F9F9" w14:textId="77777777" w:rsidR="000B1137" w:rsidRDefault="000B1137" w:rsidP="000B1137"/>
    <w:p w14:paraId="5565D239" w14:textId="414695A5" w:rsidR="000B1137" w:rsidRPr="00B642C0" w:rsidRDefault="000B1137" w:rsidP="000B1137">
      <w:pPr>
        <w:spacing w:line="480" w:lineRule="auto"/>
        <w:rPr>
          <w:szCs w:val="24"/>
        </w:rPr>
      </w:pPr>
      <w:r w:rsidRPr="007C6326">
        <w:rPr>
          <w:color w:val="000000" w:themeColor="text1"/>
          <w:szCs w:val="24"/>
        </w:rPr>
        <w:t xml:space="preserve">The previous work in this chapter has outlined that there is inter and intraspecific variation in soil volume response. As with barley in </w:t>
      </w:r>
      <w:r w:rsidR="00AE4209">
        <w:rPr>
          <w:color w:val="000000" w:themeColor="text1"/>
          <w:szCs w:val="24"/>
        </w:rPr>
        <w:t xml:space="preserve">section </w:t>
      </w:r>
      <w:r w:rsidRPr="007C6326">
        <w:rPr>
          <w:color w:val="000000" w:themeColor="text1"/>
          <w:szCs w:val="24"/>
        </w:rPr>
        <w:t>3.</w:t>
      </w:r>
      <w:r w:rsidR="00AE4209">
        <w:rPr>
          <w:color w:val="000000" w:themeColor="text1"/>
          <w:szCs w:val="24"/>
        </w:rPr>
        <w:t>4</w:t>
      </w:r>
      <w:r w:rsidRPr="007C6326">
        <w:rPr>
          <w:color w:val="000000" w:themeColor="text1"/>
          <w:szCs w:val="24"/>
        </w:rPr>
        <w:t xml:space="preserve">.3, I also aimed to </w:t>
      </w:r>
      <w:r w:rsidR="00733BA4" w:rsidRPr="00EC7041">
        <w:rPr>
          <w:color w:val="000000" w:themeColor="text1"/>
          <w:szCs w:val="24"/>
        </w:rPr>
        <w:t>ask</w:t>
      </w:r>
      <w:r w:rsidRPr="007C6326">
        <w:rPr>
          <w:color w:val="000000" w:themeColor="text1"/>
          <w:szCs w:val="24"/>
        </w:rPr>
        <w:t xml:space="preserve"> whether diverse wheat lines show differences in their root growth response to soil volume. The barley lines in </w:t>
      </w:r>
      <w:r w:rsidR="00AE4209">
        <w:rPr>
          <w:color w:val="000000" w:themeColor="text1"/>
          <w:szCs w:val="24"/>
        </w:rPr>
        <w:t xml:space="preserve">section </w:t>
      </w:r>
      <w:r w:rsidRPr="007C6326">
        <w:rPr>
          <w:color w:val="000000" w:themeColor="text1"/>
          <w:szCs w:val="24"/>
        </w:rPr>
        <w:t>3.</w:t>
      </w:r>
      <w:r w:rsidR="00AE4209">
        <w:rPr>
          <w:color w:val="000000" w:themeColor="text1"/>
          <w:szCs w:val="24"/>
        </w:rPr>
        <w:t>4</w:t>
      </w:r>
      <w:r w:rsidRPr="007C6326">
        <w:rPr>
          <w:color w:val="000000" w:themeColor="text1"/>
          <w:szCs w:val="24"/>
        </w:rPr>
        <w:t xml:space="preserve">.3 showed that root and shoot system growth are not closely coupled, however I hypothesised that in wheat they likely would be given the intensive breeding programs in wheat and the possibility of trade-offs between the growth of the root and shoot systems. In </w:t>
      </w:r>
      <w:r>
        <w:rPr>
          <w:szCs w:val="24"/>
        </w:rPr>
        <w:t>addition</w:t>
      </w:r>
      <w:r w:rsidRPr="00B642C0">
        <w:rPr>
          <w:szCs w:val="24"/>
        </w:rPr>
        <w:t xml:space="preserve">, I hypothesised that </w:t>
      </w:r>
      <w:r>
        <w:rPr>
          <w:szCs w:val="24"/>
        </w:rPr>
        <w:t xml:space="preserve">the </w:t>
      </w:r>
      <w:r w:rsidRPr="00B642C0">
        <w:rPr>
          <w:szCs w:val="24"/>
        </w:rPr>
        <w:t>angle of root emergence from the seed may influence plant responses to soil volume. This is because the angle of root emergence from the seed determines the direction in which the roots begin their growth.</w:t>
      </w:r>
      <w:r>
        <w:rPr>
          <w:szCs w:val="24"/>
        </w:rPr>
        <w:t xml:space="preserve"> The angle of root emergence in seedlings has been shown to strongly determine root system architecture later in life </w:t>
      </w:r>
      <w:r>
        <w:rPr>
          <w:szCs w:val="24"/>
        </w:rPr>
        <w:fldChar w:fldCharType="begin" w:fldLock="1"/>
      </w:r>
      <w:r>
        <w:rPr>
          <w:szCs w:val="24"/>
        </w:rPr>
        <w:instrText>ADDIN CSL_CITATION {"citationItems":[{"id":"ITEM-1","itemData":{"DOI":"10.1007/s11104-007-9492-1","ISSN":"0032-079X","author":[{"dropping-particle":"","family":"Manschadi","given":"Ahmad M.","non-dropping-particle":"","parse-names":false,"suffix":""},{"dropping-particle":"","family":"Hammer","given":"Graeme L.","non-dropping-particle":"","parse-names":false,"suffix":""},{"dropping-particle":"","family":"Christopher","given":"John T.","non-dropping-particle":"","parse-names":false,"suffix":""},{"dropping-particle":"","family":"DeVoil","given":"Peter","non-dropping-particle":"","parse-names":false,"suffix":""}],"container-title":"Plant and Soil","id":"ITEM-1","issue":"1-2","issued":{"date-parts":[["2008","2"]]},"page":"115-129","title":"Genotypic variation in seedling root architectural traits and implications for drought adaptation in wheat (Triticum aestivum L.)","type":"article-journal","volume":"303"},"uris":["http://www.mendeley.com/documents/?uuid=8db1a835-cae1-413a-9b95-17aed6a901a3"]}],"mendeley":{"formattedCitation":"(Manschadi et al., 2008)","plainTextFormattedCitation":"(Manschadi et al., 2008)","previouslyFormattedCitation":"(Manschadi et al., 2008)"},"properties":{"noteIndex":0},"schema":"https://github.com/citation-style-language/schema/raw/master/csl-citation.json"}</w:instrText>
      </w:r>
      <w:r>
        <w:rPr>
          <w:szCs w:val="24"/>
        </w:rPr>
        <w:fldChar w:fldCharType="separate"/>
      </w:r>
      <w:r w:rsidRPr="001F7686">
        <w:rPr>
          <w:noProof/>
          <w:szCs w:val="24"/>
        </w:rPr>
        <w:t>(Manschadi et al., 2008)</w:t>
      </w:r>
      <w:r>
        <w:rPr>
          <w:szCs w:val="24"/>
        </w:rPr>
        <w:fldChar w:fldCharType="end"/>
      </w:r>
      <w:r>
        <w:rPr>
          <w:szCs w:val="24"/>
        </w:rPr>
        <w:t>.</w:t>
      </w:r>
      <w:r w:rsidRPr="00B642C0">
        <w:rPr>
          <w:szCs w:val="24"/>
        </w:rPr>
        <w:t xml:space="preserve"> Lines with a steep root angle would likely fail to colonise the upper areas of the soil and hence may perceive they have access to a smaller space than they actually have available to them. On the converse, lines with a shallow rooting angle may allow for upper soil colonisation but these plants may be affected early by mechanical interaction with the side of </w:t>
      </w:r>
      <w:r w:rsidRPr="00B642C0">
        <w:rPr>
          <w:szCs w:val="24"/>
        </w:rPr>
        <w:lastRenderedPageBreak/>
        <w:t>the pot possibly resulting in a perceived limitation o</w:t>
      </w:r>
      <w:r w:rsidR="00AE4209">
        <w:rPr>
          <w:szCs w:val="24"/>
        </w:rPr>
        <w:t>f available</w:t>
      </w:r>
      <w:r w:rsidRPr="00B642C0">
        <w:rPr>
          <w:szCs w:val="24"/>
        </w:rPr>
        <w:t xml:space="preserve"> space in that regard.</w:t>
      </w:r>
    </w:p>
    <w:p w14:paraId="3E3EC613" w14:textId="77777777" w:rsidR="000B1137" w:rsidRPr="00C0329C" w:rsidRDefault="000B1137" w:rsidP="000B1137">
      <w:pPr>
        <w:numPr>
          <w:ilvl w:val="1"/>
          <w:numId w:val="0"/>
        </w:numPr>
        <w:spacing w:before="160" w:line="480" w:lineRule="auto"/>
        <w:outlineLvl w:val="1"/>
        <w:rPr>
          <w:rFonts w:cs="Times New Roman"/>
          <w:bCs/>
          <w:color w:val="000000" w:themeColor="text1"/>
        </w:rPr>
      </w:pPr>
      <w:r w:rsidRPr="002519CE">
        <w:rPr>
          <w:rFonts w:cs="Times New Roman"/>
          <w:bCs/>
          <w:color w:val="000000" w:themeColor="text1"/>
        </w:rPr>
        <w:t>The elite spring wheat cultivar Mulika and six spring wheat landrace lines were selected for this assessment. I used data from a previous screen of wheat lines (F. Walsh, personal communication) to identify lines with steep or shallow root system architectures, determined by their width/depth ratio. I selected 3 spring wheat lines with a steep rooting phenotype (low width/depth ratio) Yogi 005, Yogi 020, and Yogi 343, and 3 lines with a shallow rooting phenotype (high width/depth ratio) Yogi 065, Yogi 101 and Yogi 137.</w:t>
      </w:r>
    </w:p>
    <w:p w14:paraId="094199ED" w14:textId="6611690D" w:rsidR="000B1137" w:rsidRDefault="000B1137" w:rsidP="000B1137">
      <w:pPr>
        <w:spacing w:line="480" w:lineRule="auto"/>
        <w:rPr>
          <w:rFonts w:cs="Times New Roman"/>
          <w:color w:val="000000" w:themeColor="text1"/>
        </w:rPr>
      </w:pPr>
      <w:r w:rsidRPr="007C6326">
        <w:rPr>
          <w:rFonts w:cs="Times New Roman"/>
          <w:color w:val="000000" w:themeColor="text1"/>
        </w:rPr>
        <w:t>To first explore if the root and shoot systems of wheat are coupled, I compared shoot biomass and the root density score (both at 56 days post germination) of the lines in both soil volumes</w:t>
      </w:r>
      <w:r w:rsidR="00AE4209">
        <w:rPr>
          <w:rFonts w:cs="Times New Roman"/>
          <w:color w:val="000000" w:themeColor="text1"/>
        </w:rPr>
        <w:t xml:space="preserve"> (Fig. 3.31A)</w:t>
      </w:r>
      <w:r w:rsidRPr="007C6326">
        <w:rPr>
          <w:rFonts w:cs="Times New Roman"/>
          <w:color w:val="000000" w:themeColor="text1"/>
        </w:rPr>
        <w:t>. The points clustered according to their soil volumes, but each separately showed a strong linear relationship. The plants grown in the 150ml rhizoboxes were tightly clustered, whereas those in 1100ml rhizoboxes were more spread</w:t>
      </w:r>
      <w:r w:rsidR="00AE4209">
        <w:rPr>
          <w:rFonts w:cs="Times New Roman"/>
          <w:color w:val="000000" w:themeColor="text1"/>
        </w:rPr>
        <w:t xml:space="preserve"> (Fig. 3.31A)</w:t>
      </w:r>
      <w:r w:rsidRPr="007C6326">
        <w:rPr>
          <w:rFonts w:cs="Times New Roman"/>
          <w:color w:val="000000" w:themeColor="text1"/>
        </w:rPr>
        <w:t xml:space="preserve">. </w:t>
      </w:r>
      <w:r w:rsidR="00322F04">
        <w:rPr>
          <w:rFonts w:cs="Times New Roman"/>
          <w:color w:val="000000" w:themeColor="text1"/>
        </w:rPr>
        <w:t>T</w:t>
      </w:r>
      <w:r w:rsidRPr="007C6326">
        <w:rPr>
          <w:rFonts w:cs="Times New Roman"/>
          <w:color w:val="000000" w:themeColor="text1"/>
        </w:rPr>
        <w:t xml:space="preserve">here </w:t>
      </w:r>
      <w:r w:rsidR="00322F04" w:rsidRPr="003E38D6">
        <w:rPr>
          <w:rFonts w:cs="Times New Roman"/>
          <w:color w:val="000000" w:themeColor="text1"/>
        </w:rPr>
        <w:t>was</w:t>
      </w:r>
      <w:r w:rsidRPr="007C6326">
        <w:rPr>
          <w:rFonts w:cs="Times New Roman"/>
          <w:color w:val="000000" w:themeColor="text1"/>
        </w:rPr>
        <w:t xml:space="preserve"> a positive correlation between the root density score and shoot biomass. This suggests that in wheat, root density appears to be a strong predictor of final shoot system size.</w:t>
      </w:r>
    </w:p>
    <w:p w14:paraId="58AF70F1" w14:textId="77777777" w:rsidR="008820FC" w:rsidRDefault="008820FC" w:rsidP="000B1137">
      <w:pPr>
        <w:spacing w:line="480" w:lineRule="auto"/>
        <w:rPr>
          <w:rFonts w:cs="Times New Roman"/>
          <w:color w:val="000000" w:themeColor="text1"/>
        </w:rPr>
      </w:pPr>
    </w:p>
    <w:p w14:paraId="2D49FF83" w14:textId="77777777" w:rsidR="008820FC" w:rsidRPr="007C6326" w:rsidRDefault="008820FC" w:rsidP="000B1137">
      <w:pPr>
        <w:spacing w:line="480" w:lineRule="auto"/>
        <w:rPr>
          <w:rFonts w:cs="Times New Roman"/>
          <w:color w:val="000000" w:themeColor="text1"/>
        </w:rPr>
      </w:pPr>
    </w:p>
    <w:p w14:paraId="34BAD677" w14:textId="6CFE4DBC" w:rsidR="000B1137" w:rsidRDefault="000B1137" w:rsidP="000B1137">
      <w:pPr>
        <w:spacing w:line="480" w:lineRule="auto"/>
        <w:rPr>
          <w:rFonts w:cs="Times New Roman"/>
          <w:noProof/>
        </w:rPr>
      </w:pPr>
      <w:r>
        <w:rPr>
          <w:rFonts w:cs="Times New Roman"/>
          <w:noProof/>
        </w:rPr>
        <w:lastRenderedPageBreak/>
        <w:drawing>
          <wp:anchor distT="0" distB="0" distL="114300" distR="114300" simplePos="0" relativeHeight="251653632" behindDoc="0" locked="0" layoutInCell="1" allowOverlap="1" wp14:anchorId="68EE2BF0" wp14:editId="33B1969C">
            <wp:simplePos x="0" y="0"/>
            <wp:positionH relativeFrom="column">
              <wp:posOffset>30480</wp:posOffset>
            </wp:positionH>
            <wp:positionV relativeFrom="paragraph">
              <wp:posOffset>3810</wp:posOffset>
            </wp:positionV>
            <wp:extent cx="2934335" cy="2674620"/>
            <wp:effectExtent l="0" t="0" r="0" b="0"/>
            <wp:wrapSquare wrapText="bothSides"/>
            <wp:docPr id="12151282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28273" name="Picture 121512827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34335" cy="2674620"/>
                    </a:xfrm>
                    <a:prstGeom prst="rect">
                      <a:avLst/>
                    </a:prstGeom>
                  </pic:spPr>
                </pic:pic>
              </a:graphicData>
            </a:graphic>
            <wp14:sizeRelH relativeFrom="margin">
              <wp14:pctWidth>0</wp14:pctWidth>
            </wp14:sizeRelH>
            <wp14:sizeRelV relativeFrom="margin">
              <wp14:pctHeight>0</wp14:pctHeight>
            </wp14:sizeRelV>
          </wp:anchor>
        </w:drawing>
      </w:r>
    </w:p>
    <w:p w14:paraId="7EC26400" w14:textId="04C74DBF" w:rsidR="000B1137" w:rsidRPr="00C0329C" w:rsidRDefault="000B1137" w:rsidP="000B1137">
      <w:pPr>
        <w:rPr>
          <w:rFonts w:cs="Times New Roman"/>
        </w:rPr>
      </w:pPr>
    </w:p>
    <w:p w14:paraId="02834CDD" w14:textId="77777777" w:rsidR="000B1137" w:rsidRPr="00C0329C" w:rsidRDefault="000B1137" w:rsidP="000B1137">
      <w:pPr>
        <w:rPr>
          <w:rFonts w:cs="Times New Roman"/>
        </w:rPr>
      </w:pPr>
    </w:p>
    <w:p w14:paraId="02286D51" w14:textId="77777777" w:rsidR="000B1137" w:rsidRPr="00C0329C" w:rsidRDefault="000B1137" w:rsidP="000B1137">
      <w:pPr>
        <w:rPr>
          <w:rFonts w:cs="Times New Roman"/>
        </w:rPr>
      </w:pPr>
    </w:p>
    <w:p w14:paraId="63F6644A" w14:textId="77777777" w:rsidR="000B1137" w:rsidRPr="00C0329C" w:rsidRDefault="000B1137" w:rsidP="000B1137">
      <w:pPr>
        <w:rPr>
          <w:rFonts w:cs="Times New Roman"/>
        </w:rPr>
      </w:pPr>
    </w:p>
    <w:p w14:paraId="7E724DA1" w14:textId="77777777" w:rsidR="000B1137" w:rsidRPr="00C0329C" w:rsidRDefault="000B1137" w:rsidP="000B1137">
      <w:pPr>
        <w:rPr>
          <w:rFonts w:cs="Times New Roman"/>
        </w:rPr>
      </w:pPr>
    </w:p>
    <w:p w14:paraId="0219217D" w14:textId="77777777" w:rsidR="000B1137" w:rsidRPr="00C0329C" w:rsidRDefault="000B1137" w:rsidP="000B1137">
      <w:pPr>
        <w:rPr>
          <w:rFonts w:cs="Times New Roman"/>
        </w:rPr>
      </w:pPr>
    </w:p>
    <w:p w14:paraId="19265F9A" w14:textId="77777777" w:rsidR="000B1137" w:rsidRPr="00C0329C" w:rsidRDefault="000B1137" w:rsidP="000B1137">
      <w:pPr>
        <w:rPr>
          <w:rFonts w:cs="Times New Roman"/>
        </w:rPr>
      </w:pPr>
    </w:p>
    <w:p w14:paraId="702E4A59" w14:textId="77777777" w:rsidR="000B1137" w:rsidRDefault="000B1137" w:rsidP="000B1137">
      <w:pPr>
        <w:rPr>
          <w:rFonts w:cs="Times New Roman"/>
          <w:noProof/>
        </w:rPr>
      </w:pPr>
    </w:p>
    <w:p w14:paraId="5361BBF1" w14:textId="06081231" w:rsidR="000B1137" w:rsidRDefault="00D70128" w:rsidP="00D70128">
      <w:pPr>
        <w:pStyle w:val="Caption"/>
        <w:rPr>
          <w:rFonts w:cs="Times New Roman"/>
          <w:noProof/>
          <w:sz w:val="24"/>
        </w:rPr>
      </w:pPr>
      <w:bookmarkStart w:id="173" w:name="_Toc146657574"/>
      <w:bookmarkStart w:id="174" w:name="_Toc154331565"/>
      <w:r>
        <w:t xml:space="preserve">Figure </w:t>
      </w:r>
      <w:fldSimple w:instr=" STYLEREF 1 \s ">
        <w:r w:rsidR="004B7F70">
          <w:rPr>
            <w:noProof/>
          </w:rPr>
          <w:t>3</w:t>
        </w:r>
      </w:fldSimple>
      <w:r w:rsidR="00C97D34">
        <w:t>.</w:t>
      </w:r>
      <w:fldSimple w:instr=" SEQ Figure \* ARABIC \s 1 ">
        <w:r w:rsidR="004B7F70">
          <w:rPr>
            <w:noProof/>
          </w:rPr>
          <w:t>31</w:t>
        </w:r>
      </w:fldSimple>
      <w:r>
        <w:t xml:space="preserve"> </w:t>
      </w:r>
      <w:r w:rsidRPr="00505750">
        <w:t>Root density is predictive of shoot system size in wheat</w:t>
      </w:r>
      <w:bookmarkEnd w:id="173"/>
      <w:bookmarkEnd w:id="174"/>
    </w:p>
    <w:p w14:paraId="62C22E5D" w14:textId="3BC4A3C4" w:rsidR="000B1137" w:rsidRPr="003711D6" w:rsidRDefault="000B1137" w:rsidP="00D70128">
      <w:pPr>
        <w:pStyle w:val="Description"/>
      </w:pPr>
      <w:r w:rsidRPr="003711D6">
        <w:t>Graph</w:t>
      </w:r>
      <w:r>
        <w:t>s</w:t>
      </w:r>
      <w:r w:rsidRPr="003711D6">
        <w:t xml:space="preserve"> showing spring wheat elite line (</w:t>
      </w:r>
      <w:r w:rsidR="00AE4209">
        <w:t>c</w:t>
      </w:r>
      <w:r w:rsidRPr="003711D6">
        <w:t xml:space="preserve">v. Mulika) (grey) and spring wheat landrace lines </w:t>
      </w:r>
      <w:r>
        <w:t xml:space="preserve">with a steep angle of root emergence: </w:t>
      </w:r>
      <w:r w:rsidRPr="003711D6">
        <w:t>Yogi 005 (burgundy), Yogi 020 (blue), Yogi 343 (orange)</w:t>
      </w:r>
      <w:r>
        <w:t xml:space="preserve"> and a shallow angle of root emergence: </w:t>
      </w:r>
      <w:r w:rsidRPr="003711D6">
        <w:t>Yogi 065 (lilac), Yogi 101 (green), Yogi 137 (pink)</w:t>
      </w:r>
      <w:r>
        <w:t>,</w:t>
      </w:r>
      <w:r w:rsidRPr="003711D6">
        <w:t xml:space="preserve"> grown in 150ml and 1100ml rhizoboxes.</w:t>
      </w:r>
    </w:p>
    <w:p w14:paraId="4E7988EA" w14:textId="77777777" w:rsidR="000B1137" w:rsidRDefault="000B1137" w:rsidP="00D70128">
      <w:pPr>
        <w:pStyle w:val="Description"/>
      </w:pPr>
      <w:r w:rsidRPr="00070695">
        <w:t>A)</w:t>
      </w:r>
      <w:r>
        <w:t xml:space="preserve"> S</w:t>
      </w:r>
      <w:r w:rsidRPr="00070695">
        <w:t>catter</w:t>
      </w:r>
      <w:r>
        <w:t xml:space="preserve">plot depicting the relationship between the Root Density Score and Shoot Biomass (g) at 56 days post germination. 150ml rhizoboxes are represented by circles and 1100ml rhizoboxes are depicted by squares. Adjusted R-Square calculated separately for each soil volume, </w:t>
      </w:r>
      <w:r w:rsidRPr="002A5D79">
        <w:t>n=2-3</w:t>
      </w:r>
      <w:r>
        <w:t xml:space="preserve">. </w:t>
      </w:r>
    </w:p>
    <w:p w14:paraId="27865EC3" w14:textId="77777777" w:rsidR="000B1137" w:rsidRDefault="000B1137" w:rsidP="000B1137">
      <w:pPr>
        <w:spacing w:line="480" w:lineRule="auto"/>
        <w:rPr>
          <w:rFonts w:cs="Times New Roman"/>
          <w:szCs w:val="24"/>
        </w:rPr>
      </w:pPr>
    </w:p>
    <w:p w14:paraId="680AC7F0" w14:textId="46EB2BC4" w:rsidR="0051783F" w:rsidRPr="00BC6BDC" w:rsidRDefault="0051783F" w:rsidP="0051783F">
      <w:pPr>
        <w:numPr>
          <w:ilvl w:val="1"/>
          <w:numId w:val="0"/>
        </w:numPr>
        <w:spacing w:before="160" w:line="480" w:lineRule="auto"/>
        <w:outlineLvl w:val="1"/>
        <w:rPr>
          <w:rFonts w:cs="Times New Roman"/>
          <w:bCs/>
          <w:color w:val="000000" w:themeColor="text1"/>
        </w:rPr>
      </w:pPr>
      <w:r w:rsidRPr="00BC6BDC">
        <w:rPr>
          <w:rFonts w:cs="Times New Roman"/>
          <w:color w:val="000000" w:themeColor="text1"/>
          <w:szCs w:val="24"/>
        </w:rPr>
        <w:t xml:space="preserve">I then wanted to explore in more detail if the angle of emergence influenced the </w:t>
      </w:r>
      <w:r w:rsidR="00B2482F" w:rsidRPr="003E38D6">
        <w:rPr>
          <w:rFonts w:cs="Times New Roman"/>
          <w:color w:val="000000" w:themeColor="text1"/>
          <w:szCs w:val="24"/>
        </w:rPr>
        <w:t>a</w:t>
      </w:r>
      <w:r w:rsidRPr="003E38D6">
        <w:rPr>
          <w:rFonts w:cs="Times New Roman"/>
          <w:color w:val="000000" w:themeColor="text1"/>
          <w:szCs w:val="24"/>
        </w:rPr>
        <w:t xml:space="preserve">bility </w:t>
      </w:r>
      <w:r w:rsidR="00B2482F" w:rsidRPr="003E38D6">
        <w:rPr>
          <w:rFonts w:cs="Times New Roman"/>
          <w:color w:val="000000" w:themeColor="text1"/>
          <w:szCs w:val="24"/>
        </w:rPr>
        <w:t>of the plant</w:t>
      </w:r>
      <w:r w:rsidR="00B2482F">
        <w:rPr>
          <w:rFonts w:cs="Times New Roman"/>
          <w:color w:val="000000" w:themeColor="text1"/>
          <w:szCs w:val="24"/>
        </w:rPr>
        <w:t xml:space="preserve"> to </w:t>
      </w:r>
      <w:r w:rsidRPr="00BC6BDC">
        <w:rPr>
          <w:rFonts w:cs="Times New Roman"/>
          <w:color w:val="000000" w:themeColor="text1"/>
          <w:szCs w:val="24"/>
        </w:rPr>
        <w:t xml:space="preserve">detect and respond to soil volume. </w:t>
      </w:r>
      <w:r w:rsidRPr="00BC6BDC">
        <w:rPr>
          <w:rFonts w:cs="Times New Roman"/>
          <w:bCs/>
          <w:color w:val="000000" w:themeColor="text1"/>
        </w:rPr>
        <w:t>All lines showed typical shoot responses to soil volume, as plants grown in 1100ml rhizoboxes produced a greater shoot biomass than 150ml plants (Fig 3.32A). Generally, the steep root emergence lines produced less shoot biomass in the 1100ml rhizoboxes compared to the shallow root emergence lines, but all lines assessed produced a similar shoot biomass in 150ml pots. The shoot biomass fold change between the 150ml and 1100ml rhizoboxes in steep root emergence lines was 2.27-, 2.72-and 2.17- fold (Y</w:t>
      </w:r>
      <w:r w:rsidR="004E5901">
        <w:rPr>
          <w:rFonts w:cs="Times New Roman"/>
          <w:bCs/>
          <w:color w:val="000000" w:themeColor="text1"/>
        </w:rPr>
        <w:t>ogi</w:t>
      </w:r>
      <w:r w:rsidRPr="00BC6BDC">
        <w:rPr>
          <w:rFonts w:cs="Times New Roman"/>
          <w:bCs/>
          <w:color w:val="000000" w:themeColor="text1"/>
        </w:rPr>
        <w:t xml:space="preserve"> 005, Y</w:t>
      </w:r>
      <w:r w:rsidR="004E5901">
        <w:rPr>
          <w:rFonts w:cs="Times New Roman"/>
          <w:bCs/>
          <w:color w:val="000000" w:themeColor="text1"/>
        </w:rPr>
        <w:t>ogi</w:t>
      </w:r>
      <w:r w:rsidRPr="00BC6BDC">
        <w:rPr>
          <w:rFonts w:cs="Times New Roman"/>
          <w:bCs/>
          <w:color w:val="000000" w:themeColor="text1"/>
        </w:rPr>
        <w:t xml:space="preserve"> 020 and Y</w:t>
      </w:r>
      <w:r w:rsidR="004E5901">
        <w:rPr>
          <w:rFonts w:cs="Times New Roman"/>
          <w:bCs/>
          <w:color w:val="000000" w:themeColor="text1"/>
        </w:rPr>
        <w:t>ogi</w:t>
      </w:r>
      <w:r w:rsidRPr="00BC6BDC">
        <w:rPr>
          <w:rFonts w:cs="Times New Roman"/>
          <w:bCs/>
          <w:color w:val="000000" w:themeColor="text1"/>
        </w:rPr>
        <w:t xml:space="preserve"> 343 respectively) and for the shallow root emergence lines was 3.31-, 4.25- and 3.77- fold (Y</w:t>
      </w:r>
      <w:r w:rsidR="004E5901">
        <w:rPr>
          <w:rFonts w:cs="Times New Roman"/>
          <w:bCs/>
          <w:color w:val="000000" w:themeColor="text1"/>
        </w:rPr>
        <w:t>ogi</w:t>
      </w:r>
      <w:r w:rsidRPr="00BC6BDC">
        <w:rPr>
          <w:rFonts w:cs="Times New Roman"/>
          <w:bCs/>
          <w:color w:val="000000" w:themeColor="text1"/>
        </w:rPr>
        <w:t xml:space="preserve"> 065, Y</w:t>
      </w:r>
      <w:r w:rsidR="004E5901">
        <w:rPr>
          <w:rFonts w:cs="Times New Roman"/>
          <w:bCs/>
          <w:color w:val="000000" w:themeColor="text1"/>
        </w:rPr>
        <w:t>ogi</w:t>
      </w:r>
      <w:r w:rsidRPr="00BC6BDC">
        <w:rPr>
          <w:rFonts w:cs="Times New Roman"/>
          <w:bCs/>
          <w:color w:val="000000" w:themeColor="text1"/>
        </w:rPr>
        <w:t xml:space="preserve"> 101, Y</w:t>
      </w:r>
      <w:r w:rsidR="004E5901">
        <w:rPr>
          <w:rFonts w:cs="Times New Roman"/>
          <w:bCs/>
          <w:color w:val="000000" w:themeColor="text1"/>
        </w:rPr>
        <w:t>ogi</w:t>
      </w:r>
      <w:r w:rsidRPr="00BC6BDC">
        <w:rPr>
          <w:rFonts w:cs="Times New Roman"/>
          <w:bCs/>
          <w:color w:val="000000" w:themeColor="text1"/>
        </w:rPr>
        <w:t xml:space="preserve"> 137 respectively). </w:t>
      </w:r>
      <w:r w:rsidR="004E5901" w:rsidRPr="00BC6BDC">
        <w:rPr>
          <w:rFonts w:cs="Times New Roman"/>
          <w:bCs/>
          <w:color w:val="000000" w:themeColor="text1"/>
        </w:rPr>
        <w:t>The</w:t>
      </w:r>
      <w:r w:rsidR="004E5901">
        <w:rPr>
          <w:rFonts w:cs="Times New Roman"/>
          <w:bCs/>
          <w:color w:val="000000" w:themeColor="text1"/>
        </w:rPr>
        <w:t>se</w:t>
      </w:r>
      <w:r w:rsidR="004E5901" w:rsidRPr="00BC6BDC">
        <w:rPr>
          <w:rFonts w:cs="Times New Roman"/>
          <w:bCs/>
          <w:color w:val="000000" w:themeColor="text1"/>
        </w:rPr>
        <w:t xml:space="preserve"> shoot </w:t>
      </w:r>
      <w:r w:rsidR="004E5901" w:rsidRPr="00BC6BDC">
        <w:rPr>
          <w:rFonts w:cs="Times New Roman"/>
          <w:bCs/>
          <w:color w:val="000000" w:themeColor="text1"/>
        </w:rPr>
        <w:lastRenderedPageBreak/>
        <w:t xml:space="preserve">biomass findings are intriguing and could suggest that the steep root emergence lines are less able to take advantage of the additional volume in the 1100ml rhizoboxes than the </w:t>
      </w:r>
      <w:r w:rsidR="004E5901">
        <w:rPr>
          <w:rFonts w:cs="Times New Roman"/>
          <w:bCs/>
          <w:color w:val="000000" w:themeColor="text1"/>
        </w:rPr>
        <w:t>shallow root emergence</w:t>
      </w:r>
      <w:r w:rsidR="004E5901" w:rsidRPr="00BC6BDC">
        <w:rPr>
          <w:rFonts w:cs="Times New Roman"/>
          <w:bCs/>
          <w:color w:val="000000" w:themeColor="text1"/>
        </w:rPr>
        <w:t xml:space="preserve"> lines. However, more investigation would be required to better understand this. </w:t>
      </w:r>
      <w:r w:rsidR="00A126C4" w:rsidRPr="003E38D6">
        <w:rPr>
          <w:rFonts w:cs="Times New Roman"/>
          <w:bCs/>
          <w:color w:val="000000" w:themeColor="text1"/>
        </w:rPr>
        <w:t xml:space="preserve">A possible future experiment could involve growing these shallow and steep rooting varieties in different depths </w:t>
      </w:r>
      <w:r w:rsidR="00E21CCD" w:rsidRPr="003E38D6">
        <w:rPr>
          <w:rFonts w:cs="Times New Roman"/>
          <w:bCs/>
          <w:color w:val="000000" w:themeColor="text1"/>
        </w:rPr>
        <w:t xml:space="preserve">and widths of pots whilst </w:t>
      </w:r>
      <w:r w:rsidR="004E1D23" w:rsidRPr="003E38D6">
        <w:rPr>
          <w:rFonts w:cs="Times New Roman"/>
          <w:bCs/>
          <w:color w:val="000000" w:themeColor="text1"/>
        </w:rPr>
        <w:t>controll</w:t>
      </w:r>
      <w:r w:rsidR="00E21CCD" w:rsidRPr="003E38D6">
        <w:rPr>
          <w:rFonts w:cs="Times New Roman"/>
          <w:bCs/>
          <w:color w:val="000000" w:themeColor="text1"/>
        </w:rPr>
        <w:t xml:space="preserve">ing the soil volumes used. I would expect that the steeper rooting varieties would </w:t>
      </w:r>
      <w:r w:rsidR="004566A3" w:rsidRPr="003E38D6">
        <w:rPr>
          <w:rFonts w:cs="Times New Roman"/>
          <w:bCs/>
          <w:color w:val="000000" w:themeColor="text1"/>
        </w:rPr>
        <w:t>produce</w:t>
      </w:r>
      <w:r w:rsidR="00E21CCD" w:rsidRPr="003E38D6">
        <w:rPr>
          <w:rFonts w:cs="Times New Roman"/>
          <w:bCs/>
          <w:color w:val="000000" w:themeColor="text1"/>
        </w:rPr>
        <w:t xml:space="preserve"> larger </w:t>
      </w:r>
      <w:r w:rsidR="004566A3" w:rsidRPr="003E38D6">
        <w:rPr>
          <w:rFonts w:cs="Times New Roman"/>
          <w:bCs/>
          <w:color w:val="000000" w:themeColor="text1"/>
        </w:rPr>
        <w:t xml:space="preserve">shoot systems </w:t>
      </w:r>
      <w:r w:rsidR="00E21CCD" w:rsidRPr="003E38D6">
        <w:rPr>
          <w:rFonts w:cs="Times New Roman"/>
          <w:bCs/>
          <w:color w:val="000000" w:themeColor="text1"/>
        </w:rPr>
        <w:t>when experiencing increased depth of container, whereas</w:t>
      </w:r>
      <w:r w:rsidR="001832C8" w:rsidRPr="003E38D6">
        <w:rPr>
          <w:rFonts w:cs="Times New Roman"/>
          <w:bCs/>
          <w:color w:val="000000" w:themeColor="text1"/>
        </w:rPr>
        <w:t xml:space="preserve"> I would expect that</w:t>
      </w:r>
      <w:r w:rsidR="00E21CCD" w:rsidRPr="003E38D6">
        <w:rPr>
          <w:rFonts w:cs="Times New Roman"/>
          <w:bCs/>
          <w:color w:val="000000" w:themeColor="text1"/>
        </w:rPr>
        <w:t xml:space="preserve"> the shallower rooting varieties would</w:t>
      </w:r>
      <w:r w:rsidR="004566A3" w:rsidRPr="003E38D6">
        <w:rPr>
          <w:rFonts w:cs="Times New Roman"/>
          <w:bCs/>
          <w:color w:val="000000" w:themeColor="text1"/>
        </w:rPr>
        <w:t xml:space="preserve"> produce larger shoot systems in wider pots.</w:t>
      </w:r>
    </w:p>
    <w:p w14:paraId="2FB020FC" w14:textId="5D7A7259" w:rsidR="00D70128" w:rsidRPr="009019D6" w:rsidRDefault="0051783F" w:rsidP="009019D6">
      <w:pPr>
        <w:numPr>
          <w:ilvl w:val="1"/>
          <w:numId w:val="0"/>
        </w:numPr>
        <w:spacing w:before="160" w:line="480" w:lineRule="auto"/>
        <w:outlineLvl w:val="1"/>
        <w:rPr>
          <w:rFonts w:cs="Times New Roman"/>
          <w:bCs/>
          <w:color w:val="000000" w:themeColor="text1"/>
        </w:rPr>
      </w:pPr>
      <w:r w:rsidRPr="00BC6BDC">
        <w:rPr>
          <w:rFonts w:cs="Times New Roman"/>
          <w:bCs/>
          <w:color w:val="000000" w:themeColor="text1"/>
        </w:rPr>
        <w:t>The responses to tillering were varied with some lines producing a high number of tillers in both soil volumes (Yogi 101, Yogi 343), and others producing a low number of tillers in both volumes (Mulika, Yogi 005) (Fig</w:t>
      </w:r>
      <w:r w:rsidR="004E5901">
        <w:rPr>
          <w:rFonts w:cs="Times New Roman"/>
          <w:bCs/>
          <w:color w:val="000000" w:themeColor="text1"/>
        </w:rPr>
        <w:t>.</w:t>
      </w:r>
      <w:r w:rsidRPr="00BC6BDC">
        <w:rPr>
          <w:rFonts w:cs="Times New Roman"/>
          <w:bCs/>
          <w:color w:val="000000" w:themeColor="text1"/>
        </w:rPr>
        <w:t xml:space="preserve"> 3.32B). Nevertheless, tiller number was greater in 1100ml rhizoboxes compared to 150ml rhizoboxes for all lines. </w:t>
      </w:r>
    </w:p>
    <w:p w14:paraId="3EB31ABA" w14:textId="47F103BF" w:rsidR="0051783F" w:rsidRPr="009019D6" w:rsidRDefault="009019D6" w:rsidP="0051783F">
      <w:pPr>
        <w:spacing w:line="480" w:lineRule="auto"/>
        <w:rPr>
          <w:rFonts w:cs="Times New Roman"/>
          <w:szCs w:val="24"/>
        </w:rPr>
      </w:pPr>
      <w:r>
        <w:rPr>
          <w:rFonts w:cs="Times New Roman"/>
          <w:noProof/>
          <w:color w:val="00B050"/>
          <w:szCs w:val="24"/>
        </w:rPr>
        <w:lastRenderedPageBreak/>
        <w:drawing>
          <wp:inline distT="0" distB="0" distL="0" distR="0" wp14:anchorId="1797D621" wp14:editId="36FE7C57">
            <wp:extent cx="4616245" cy="5622554"/>
            <wp:effectExtent l="0" t="0" r="0" b="0"/>
            <wp:docPr id="16981806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180691" name="Picture 169818069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621811" cy="5629333"/>
                    </a:xfrm>
                    <a:prstGeom prst="rect">
                      <a:avLst/>
                    </a:prstGeom>
                  </pic:spPr>
                </pic:pic>
              </a:graphicData>
            </a:graphic>
          </wp:inline>
        </w:drawing>
      </w:r>
    </w:p>
    <w:p w14:paraId="0EEFF57F" w14:textId="0F87E5D3" w:rsidR="0051783F" w:rsidRDefault="0051783F" w:rsidP="0051783F">
      <w:pPr>
        <w:pStyle w:val="Caption"/>
        <w:rPr>
          <w:rFonts w:cs="Times New Roman"/>
          <w:b w:val="0"/>
          <w:color w:val="000000" w:themeColor="text1"/>
        </w:rPr>
      </w:pPr>
      <w:bookmarkStart w:id="175" w:name="_Toc146657575"/>
      <w:bookmarkStart w:id="176" w:name="_Toc154331566"/>
      <w:r>
        <w:t xml:space="preserve">Figure </w:t>
      </w:r>
      <w:fldSimple w:instr=" STYLEREF 1 \s ">
        <w:r w:rsidR="004B7F70">
          <w:rPr>
            <w:noProof/>
          </w:rPr>
          <w:t>3</w:t>
        </w:r>
      </w:fldSimple>
      <w:r w:rsidR="00C97D34">
        <w:t>.</w:t>
      </w:r>
      <w:fldSimple w:instr=" SEQ Figure \* ARABIC \s 1 ">
        <w:r w:rsidR="004B7F70">
          <w:rPr>
            <w:noProof/>
          </w:rPr>
          <w:t>32</w:t>
        </w:r>
      </w:fldSimple>
      <w:r>
        <w:t xml:space="preserve"> </w:t>
      </w:r>
      <w:r w:rsidRPr="00997E85">
        <w:t>Shoot biomass and tiller number varies in wheat lines</w:t>
      </w:r>
      <w:bookmarkEnd w:id="175"/>
      <w:bookmarkEnd w:id="176"/>
    </w:p>
    <w:p w14:paraId="606B5E97" w14:textId="3F5826C5" w:rsidR="0051783F" w:rsidRPr="003711D6" w:rsidRDefault="0051783F" w:rsidP="0051783F">
      <w:pPr>
        <w:pStyle w:val="Description"/>
      </w:pPr>
      <w:r w:rsidRPr="003711D6">
        <w:t>Graph</w:t>
      </w:r>
      <w:r>
        <w:t>s</w:t>
      </w:r>
      <w:r w:rsidRPr="003711D6">
        <w:t xml:space="preserve"> showing spring wheat elite line (</w:t>
      </w:r>
      <w:r w:rsidR="004E5901">
        <w:t>c</w:t>
      </w:r>
      <w:r w:rsidRPr="003711D6">
        <w:t xml:space="preserve">v. Mulika) (grey) and spring wheat landrace lines </w:t>
      </w:r>
      <w:r>
        <w:t xml:space="preserve">with a steep angle of root emergence: </w:t>
      </w:r>
      <w:r w:rsidRPr="003711D6">
        <w:t>Yogi 005 (burgundy), Yogi 020 (blue), Yogi 343 (orange)</w:t>
      </w:r>
      <w:r>
        <w:t xml:space="preserve"> and a shallow angle of root emergence: </w:t>
      </w:r>
      <w:r w:rsidRPr="003711D6">
        <w:t>Yogi 065 (lilac), Yogi 101 (green), Yogi 137 (pink)</w:t>
      </w:r>
      <w:r>
        <w:t>,</w:t>
      </w:r>
      <w:r w:rsidRPr="003711D6">
        <w:t xml:space="preserve"> grown in 150ml and 1100ml rhizoboxes.</w:t>
      </w:r>
    </w:p>
    <w:p w14:paraId="1218A74B" w14:textId="196F3A50" w:rsidR="0051783F" w:rsidRPr="009C0046" w:rsidRDefault="0051783F" w:rsidP="0051783F">
      <w:pPr>
        <w:pStyle w:val="Description"/>
      </w:pPr>
      <w:r w:rsidRPr="009C0046">
        <w:t>A)</w:t>
      </w:r>
      <w:r>
        <w:t xml:space="preserve"> </w:t>
      </w:r>
      <w:r w:rsidRPr="009C0046">
        <w:t>Boxplots showing dry shoot biomass (g) of lines grown in 150ml (striped) and 1100ml (solid) rhizoboxes (g) at 56 days post germination. The box indicates the interquartile range, the midline represents the median, the circle is the mean. Statistical tests were carried out separately for each genotype, asterisks indicate significant difference. Independent Samples t</w:t>
      </w:r>
      <w:r>
        <w:t>-</w:t>
      </w:r>
      <w:r w:rsidRPr="009C0046">
        <w:t>test. p&lt;0.05, n=2-3).</w:t>
      </w:r>
    </w:p>
    <w:p w14:paraId="56D692F4" w14:textId="77777777" w:rsidR="0051783F" w:rsidRPr="009C0046" w:rsidRDefault="0051783F" w:rsidP="0051783F">
      <w:pPr>
        <w:pStyle w:val="Description"/>
      </w:pPr>
      <w:r w:rsidRPr="009C0046">
        <w:t xml:space="preserve">B) </w:t>
      </w:r>
      <w:r w:rsidRPr="002A5D79">
        <w:t>Line graph</w:t>
      </w:r>
      <w:r>
        <w:t>s</w:t>
      </w:r>
      <w:r w:rsidRPr="002A5D79">
        <w:t xml:space="preserve"> showing tiller number overtime of wheat varieties in 150ml (</w:t>
      </w:r>
      <w:r>
        <w:t>dotted lines</w:t>
      </w:r>
      <w:r w:rsidRPr="002A5D79">
        <w:t xml:space="preserve">) and 1100ml (solid </w:t>
      </w:r>
      <w:r>
        <w:t>lines</w:t>
      </w:r>
      <w:r w:rsidRPr="002A5D79">
        <w:t>) rhizoboxes. n=2-3.</w:t>
      </w:r>
      <w:r>
        <w:t xml:space="preserve"> Error bars represent s.e.m.</w:t>
      </w:r>
    </w:p>
    <w:p w14:paraId="698A0642" w14:textId="77777777" w:rsidR="0051783F" w:rsidRDefault="0051783F" w:rsidP="000B1137">
      <w:pPr>
        <w:spacing w:line="480" w:lineRule="auto"/>
        <w:rPr>
          <w:rFonts w:cs="Times New Roman"/>
          <w:szCs w:val="24"/>
        </w:rPr>
      </w:pPr>
    </w:p>
    <w:p w14:paraId="13A324E8" w14:textId="48443945" w:rsidR="0051783F" w:rsidRDefault="0051783F" w:rsidP="0051783F">
      <w:pPr>
        <w:numPr>
          <w:ilvl w:val="1"/>
          <w:numId w:val="0"/>
        </w:numPr>
        <w:spacing w:before="160" w:line="480" w:lineRule="auto"/>
        <w:outlineLvl w:val="1"/>
        <w:rPr>
          <w:rFonts w:cs="Times New Roman"/>
          <w:bCs/>
          <w:color w:val="000000" w:themeColor="text1"/>
        </w:rPr>
      </w:pPr>
      <w:r w:rsidRPr="005E1E05">
        <w:rPr>
          <w:rFonts w:cs="Times New Roman"/>
          <w:bCs/>
          <w:color w:val="000000" w:themeColor="text1"/>
        </w:rPr>
        <w:lastRenderedPageBreak/>
        <w:t xml:space="preserve">To explore if the lines differed in their root density over time, root density measurements were taken as described previously. Mulika appears to closely follow the same root density </w:t>
      </w:r>
      <w:r w:rsidR="002C7785" w:rsidRPr="003D3701">
        <w:rPr>
          <w:rFonts w:cs="Times New Roman"/>
          <w:bCs/>
          <w:color w:val="000000" w:themeColor="text1"/>
        </w:rPr>
        <w:t>over time</w:t>
      </w:r>
      <w:r w:rsidRPr="003D3701">
        <w:rPr>
          <w:rFonts w:cs="Times New Roman"/>
          <w:bCs/>
          <w:color w:val="000000" w:themeColor="text1"/>
        </w:rPr>
        <w:t xml:space="preserve"> in both soil volumes (Fig</w:t>
      </w:r>
      <w:r w:rsidR="004E5901" w:rsidRPr="003D3701">
        <w:rPr>
          <w:rFonts w:cs="Times New Roman"/>
          <w:bCs/>
          <w:color w:val="000000" w:themeColor="text1"/>
        </w:rPr>
        <w:t>.</w:t>
      </w:r>
      <w:r w:rsidRPr="003D3701">
        <w:rPr>
          <w:rFonts w:cs="Times New Roman"/>
          <w:bCs/>
          <w:color w:val="000000" w:themeColor="text1"/>
        </w:rPr>
        <w:t xml:space="preserve"> 3.33A). This is similar in Y</w:t>
      </w:r>
      <w:r w:rsidR="004E5901" w:rsidRPr="003D3701">
        <w:rPr>
          <w:rFonts w:cs="Times New Roman"/>
          <w:bCs/>
          <w:color w:val="000000" w:themeColor="text1"/>
        </w:rPr>
        <w:t>ogi</w:t>
      </w:r>
      <w:r w:rsidRPr="003D3701">
        <w:rPr>
          <w:rFonts w:cs="Times New Roman"/>
          <w:bCs/>
          <w:color w:val="000000" w:themeColor="text1"/>
        </w:rPr>
        <w:t xml:space="preserve"> 343 which </w:t>
      </w:r>
      <w:r w:rsidR="003C6613" w:rsidRPr="003D3701">
        <w:rPr>
          <w:rFonts w:cs="Times New Roman"/>
          <w:bCs/>
          <w:color w:val="000000" w:themeColor="text1"/>
        </w:rPr>
        <w:t>has similar</w:t>
      </w:r>
      <w:r w:rsidRPr="005E1E05">
        <w:rPr>
          <w:rFonts w:cs="Times New Roman"/>
          <w:bCs/>
          <w:color w:val="000000" w:themeColor="text1"/>
        </w:rPr>
        <w:t xml:space="preserve"> root density in both volumes until ~40 days post germination where this begins to diverge. However, these trends are not seen in other lines and there does not appear to be a similar trend across lines within their root emergence category (Fig</w:t>
      </w:r>
      <w:r w:rsidR="004E5901">
        <w:rPr>
          <w:rFonts w:cs="Times New Roman"/>
          <w:bCs/>
          <w:color w:val="000000" w:themeColor="text1"/>
        </w:rPr>
        <w:t>.</w:t>
      </w:r>
      <w:r w:rsidRPr="005E1E05">
        <w:rPr>
          <w:rFonts w:cs="Times New Roman"/>
          <w:bCs/>
          <w:color w:val="000000" w:themeColor="text1"/>
        </w:rPr>
        <w:t xml:space="preserve"> 3.33A).  It is important to note that root density assessments were taken for the whole rhizobox, perhaps this could mask possible root density differences between the emergence groups if for example the root density measurements had been taken in 3 vertical subsections of the rhizoboxes. </w:t>
      </w:r>
    </w:p>
    <w:p w14:paraId="3939B208" w14:textId="77777777" w:rsidR="001B587D" w:rsidRDefault="001B587D" w:rsidP="0051783F">
      <w:pPr>
        <w:numPr>
          <w:ilvl w:val="1"/>
          <w:numId w:val="0"/>
        </w:numPr>
        <w:spacing w:before="160" w:line="480" w:lineRule="auto"/>
        <w:outlineLvl w:val="1"/>
        <w:rPr>
          <w:rFonts w:cs="Times New Roman"/>
          <w:bCs/>
          <w:color w:val="000000" w:themeColor="text1"/>
        </w:rPr>
      </w:pPr>
    </w:p>
    <w:p w14:paraId="5689942D" w14:textId="77777777" w:rsidR="001B587D" w:rsidRDefault="001B587D" w:rsidP="0051783F">
      <w:pPr>
        <w:numPr>
          <w:ilvl w:val="1"/>
          <w:numId w:val="0"/>
        </w:numPr>
        <w:spacing w:before="160" w:line="480" w:lineRule="auto"/>
        <w:outlineLvl w:val="1"/>
        <w:rPr>
          <w:rFonts w:cs="Times New Roman"/>
          <w:bCs/>
          <w:color w:val="000000" w:themeColor="text1"/>
        </w:rPr>
      </w:pPr>
    </w:p>
    <w:p w14:paraId="4902FB02" w14:textId="77777777" w:rsidR="001B587D" w:rsidRDefault="001B587D" w:rsidP="0051783F">
      <w:pPr>
        <w:numPr>
          <w:ilvl w:val="1"/>
          <w:numId w:val="0"/>
        </w:numPr>
        <w:spacing w:before="160" w:line="480" w:lineRule="auto"/>
        <w:outlineLvl w:val="1"/>
        <w:rPr>
          <w:rFonts w:cs="Times New Roman"/>
          <w:bCs/>
          <w:color w:val="000000" w:themeColor="text1"/>
        </w:rPr>
      </w:pPr>
    </w:p>
    <w:p w14:paraId="54FA5748" w14:textId="7C55E7DA" w:rsidR="00343A84" w:rsidRPr="00A32294" w:rsidRDefault="00343A84" w:rsidP="0051783F">
      <w:pPr>
        <w:numPr>
          <w:ilvl w:val="1"/>
          <w:numId w:val="0"/>
        </w:numPr>
        <w:spacing w:before="160" w:line="480" w:lineRule="auto"/>
        <w:outlineLvl w:val="1"/>
        <w:rPr>
          <w:rFonts w:cs="Times New Roman"/>
          <w:bCs/>
          <w:color w:val="000000" w:themeColor="text1"/>
        </w:rPr>
      </w:pPr>
      <w:r w:rsidRPr="005E1E05">
        <w:rPr>
          <w:rFonts w:cs="Times New Roman"/>
          <w:bCs/>
          <w:noProof/>
          <w:color w:val="000000" w:themeColor="text1"/>
        </w:rPr>
        <w:lastRenderedPageBreak/>
        <w:drawing>
          <wp:anchor distT="0" distB="0" distL="114300" distR="114300" simplePos="0" relativeHeight="251658752" behindDoc="0" locked="0" layoutInCell="1" allowOverlap="1" wp14:anchorId="6EC325C2" wp14:editId="40B4B105">
            <wp:simplePos x="0" y="0"/>
            <wp:positionH relativeFrom="margin">
              <wp:align>left</wp:align>
            </wp:positionH>
            <wp:positionV relativeFrom="paragraph">
              <wp:posOffset>270461</wp:posOffset>
            </wp:positionV>
            <wp:extent cx="5357495" cy="3800475"/>
            <wp:effectExtent l="0" t="0" r="0" b="9525"/>
            <wp:wrapSquare wrapText="bothSides"/>
            <wp:docPr id="8463571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57188" name="Picture 84635718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357495" cy="3800475"/>
                    </a:xfrm>
                    <a:prstGeom prst="rect">
                      <a:avLst/>
                    </a:prstGeom>
                  </pic:spPr>
                </pic:pic>
              </a:graphicData>
            </a:graphic>
            <wp14:sizeRelH relativeFrom="margin">
              <wp14:pctWidth>0</wp14:pctWidth>
            </wp14:sizeRelH>
            <wp14:sizeRelV relativeFrom="margin">
              <wp14:pctHeight>0</wp14:pctHeight>
            </wp14:sizeRelV>
          </wp:anchor>
        </w:drawing>
      </w:r>
    </w:p>
    <w:p w14:paraId="78450B36" w14:textId="3FC44C3D" w:rsidR="0051783F" w:rsidRDefault="0051783F" w:rsidP="0051783F">
      <w:pPr>
        <w:pStyle w:val="Caption"/>
        <w:rPr>
          <w:rFonts w:cs="Times New Roman"/>
          <w:b w:val="0"/>
          <w:color w:val="000000" w:themeColor="text1"/>
        </w:rPr>
      </w:pPr>
      <w:bookmarkStart w:id="177" w:name="_Toc146657576"/>
      <w:bookmarkStart w:id="178" w:name="_Toc154331567"/>
      <w:r>
        <w:t xml:space="preserve">Figure </w:t>
      </w:r>
      <w:fldSimple w:instr=" STYLEREF 1 \s ">
        <w:r w:rsidR="004B7F70">
          <w:rPr>
            <w:noProof/>
          </w:rPr>
          <w:t>3</w:t>
        </w:r>
      </w:fldSimple>
      <w:r w:rsidR="00C97D34">
        <w:t>.</w:t>
      </w:r>
      <w:fldSimple w:instr=" SEQ Figure \* ARABIC \s 1 ">
        <w:r w:rsidR="004B7F70">
          <w:rPr>
            <w:noProof/>
          </w:rPr>
          <w:t>33</w:t>
        </w:r>
      </w:fldSimple>
      <w:r>
        <w:t xml:space="preserve"> </w:t>
      </w:r>
      <w:r w:rsidRPr="00217C81">
        <w:t>Root density varies across wheat lines</w:t>
      </w:r>
      <w:bookmarkEnd w:id="177"/>
      <w:bookmarkEnd w:id="178"/>
    </w:p>
    <w:p w14:paraId="417DCEF9" w14:textId="2FEA7DE6" w:rsidR="0051783F" w:rsidRPr="005D1CE3" w:rsidRDefault="0051783F" w:rsidP="0051783F">
      <w:pPr>
        <w:pStyle w:val="Description"/>
      </w:pPr>
      <w:r w:rsidRPr="005D1CE3">
        <w:t>Graphs showing spring wheat elite line (</w:t>
      </w:r>
      <w:r w:rsidR="004E5901">
        <w:t>c</w:t>
      </w:r>
      <w:r w:rsidRPr="005D1CE3">
        <w:t>v. Mulika) (grey) and spring wheat landrace lines with a steep angle of root emergence: Yogi 005 (burgundy), Yogi 020 (blue), Yogi 343 (orange) and a shallow angle of root emergence: Yogi 065 (lilac), Yogi 101 (green), Yogi 137 (pink), grown in 150ml and 1100ml rhizoboxes.</w:t>
      </w:r>
    </w:p>
    <w:p w14:paraId="127A094A" w14:textId="77777777" w:rsidR="0051783F" w:rsidRDefault="0051783F" w:rsidP="0051783F">
      <w:pPr>
        <w:pStyle w:val="Description"/>
        <w:rPr>
          <w:sz w:val="24"/>
        </w:rPr>
      </w:pPr>
      <w:r w:rsidRPr="005D1CE3">
        <w:t xml:space="preserve">A) </w:t>
      </w:r>
      <w:r w:rsidRPr="0087302C">
        <w:t xml:space="preserve">Line charts of root density shown as a percentage of white pixels (roots) to black pixels (compost) in 150ml and 1100ml rhizoboxes from day 7-56. Data is presented as a rolling average of the previous </w:t>
      </w:r>
      <w:r>
        <w:t>4</w:t>
      </w:r>
      <w:r w:rsidRPr="0087302C">
        <w:t xml:space="preserve"> timepoints where each timepoint was 3-4 days apart</w:t>
      </w:r>
      <w:r>
        <w:t xml:space="preserve">, </w:t>
      </w:r>
      <w:r w:rsidRPr="002A5D79">
        <w:t>n=2-3</w:t>
      </w:r>
      <w:r w:rsidRPr="0087302C">
        <w:t>.</w:t>
      </w:r>
    </w:p>
    <w:p w14:paraId="7A90AC18" w14:textId="77777777" w:rsidR="0051783F" w:rsidRDefault="0051783F" w:rsidP="000B1137">
      <w:pPr>
        <w:spacing w:line="480" w:lineRule="auto"/>
        <w:rPr>
          <w:rFonts w:cs="Times New Roman"/>
          <w:szCs w:val="24"/>
        </w:rPr>
      </w:pPr>
    </w:p>
    <w:p w14:paraId="3DB710CF" w14:textId="390506B5" w:rsidR="0051783F" w:rsidRPr="00BC6BDC" w:rsidRDefault="0051783F" w:rsidP="0051783F">
      <w:pPr>
        <w:numPr>
          <w:ilvl w:val="1"/>
          <w:numId w:val="0"/>
        </w:numPr>
        <w:spacing w:before="160" w:line="480" w:lineRule="auto"/>
        <w:outlineLvl w:val="1"/>
        <w:rPr>
          <w:rFonts w:cs="Times New Roman"/>
          <w:bCs/>
          <w:color w:val="000000" w:themeColor="text1"/>
        </w:rPr>
      </w:pPr>
      <w:r w:rsidRPr="00BC6BDC">
        <w:rPr>
          <w:rFonts w:cs="Times New Roman"/>
          <w:bCs/>
          <w:color w:val="000000" w:themeColor="text1"/>
        </w:rPr>
        <w:t>Finally, I explored if the angle of root emergence influences total root number and total root length. Looking first at 150ml vs 1100ml, at 18 days post germination</w:t>
      </w:r>
      <w:r w:rsidR="00601798">
        <w:rPr>
          <w:rFonts w:cs="Times New Roman"/>
          <w:bCs/>
          <w:color w:val="000000" w:themeColor="text1"/>
        </w:rPr>
        <w:t>,</w:t>
      </w:r>
      <w:r w:rsidRPr="00BC6BDC">
        <w:rPr>
          <w:rFonts w:cs="Times New Roman"/>
          <w:bCs/>
          <w:color w:val="000000" w:themeColor="text1"/>
        </w:rPr>
        <w:t xml:space="preserve"> root number was greater in 150ml rhizoboxes compared to 1100ml rhizoboxes albeit not always significantly (Fig</w:t>
      </w:r>
      <w:r w:rsidR="004E5901">
        <w:rPr>
          <w:rFonts w:cs="Times New Roman"/>
          <w:bCs/>
          <w:color w:val="000000" w:themeColor="text1"/>
        </w:rPr>
        <w:t>.</w:t>
      </w:r>
      <w:r w:rsidRPr="00BC6BDC">
        <w:rPr>
          <w:rFonts w:cs="Times New Roman"/>
          <w:bCs/>
          <w:color w:val="000000" w:themeColor="text1"/>
        </w:rPr>
        <w:t xml:space="preserve"> 3.34A), this supports what was previously seen in barley lines (Fig</w:t>
      </w:r>
      <w:r w:rsidR="00A36A88">
        <w:rPr>
          <w:rFonts w:cs="Times New Roman"/>
          <w:bCs/>
          <w:color w:val="000000" w:themeColor="text1"/>
        </w:rPr>
        <w:t>.</w:t>
      </w:r>
      <w:r w:rsidRPr="00BC6BDC">
        <w:rPr>
          <w:rFonts w:cs="Times New Roman"/>
          <w:bCs/>
          <w:color w:val="000000" w:themeColor="text1"/>
        </w:rPr>
        <w:t xml:space="preserve"> 3.30). However, there does not appear to be a difference in total root number trend between the angle of root emergence groups</w:t>
      </w:r>
      <w:r w:rsidR="00A36A88">
        <w:rPr>
          <w:rFonts w:cs="Times New Roman"/>
          <w:bCs/>
          <w:color w:val="000000" w:themeColor="text1"/>
        </w:rPr>
        <w:t xml:space="preserve"> </w:t>
      </w:r>
      <w:r w:rsidR="00A36A88" w:rsidRPr="00BC6BDC">
        <w:rPr>
          <w:rFonts w:cs="Times New Roman"/>
          <w:bCs/>
          <w:color w:val="000000" w:themeColor="text1"/>
        </w:rPr>
        <w:t>(Fig</w:t>
      </w:r>
      <w:r w:rsidR="00A36A88">
        <w:rPr>
          <w:rFonts w:cs="Times New Roman"/>
          <w:bCs/>
          <w:color w:val="000000" w:themeColor="text1"/>
        </w:rPr>
        <w:t>.</w:t>
      </w:r>
      <w:r w:rsidR="00A36A88" w:rsidRPr="00BC6BDC">
        <w:rPr>
          <w:rFonts w:cs="Times New Roman"/>
          <w:bCs/>
          <w:color w:val="000000" w:themeColor="text1"/>
        </w:rPr>
        <w:t xml:space="preserve"> 3.34A)</w:t>
      </w:r>
      <w:r w:rsidRPr="00BC6BDC">
        <w:rPr>
          <w:rFonts w:cs="Times New Roman"/>
          <w:bCs/>
          <w:color w:val="000000" w:themeColor="text1"/>
        </w:rPr>
        <w:t xml:space="preserve">. </w:t>
      </w:r>
    </w:p>
    <w:p w14:paraId="330CAE71" w14:textId="21A7CD3E" w:rsidR="0051783F" w:rsidRPr="00BC6BDC" w:rsidRDefault="0051783F" w:rsidP="0051783F">
      <w:pPr>
        <w:numPr>
          <w:ilvl w:val="1"/>
          <w:numId w:val="0"/>
        </w:numPr>
        <w:spacing w:before="160" w:line="480" w:lineRule="auto"/>
        <w:outlineLvl w:val="1"/>
        <w:rPr>
          <w:rFonts w:cs="Times New Roman"/>
          <w:bCs/>
          <w:color w:val="000000" w:themeColor="text1"/>
        </w:rPr>
      </w:pPr>
      <w:r w:rsidRPr="00BC6BDC">
        <w:rPr>
          <w:rFonts w:cs="Times New Roman"/>
          <w:bCs/>
          <w:color w:val="000000" w:themeColor="text1"/>
        </w:rPr>
        <w:lastRenderedPageBreak/>
        <w:t xml:space="preserve">For total root length, 150ml vs 1100ml </w:t>
      </w:r>
      <w:r w:rsidR="00910A87" w:rsidRPr="003D3701">
        <w:rPr>
          <w:rFonts w:cs="Times New Roman"/>
          <w:bCs/>
          <w:color w:val="000000" w:themeColor="text1"/>
        </w:rPr>
        <w:t>differences are not apparent</w:t>
      </w:r>
      <w:r w:rsidRPr="003D3701">
        <w:rPr>
          <w:rFonts w:cs="Times New Roman"/>
          <w:bCs/>
          <w:color w:val="000000" w:themeColor="text1"/>
        </w:rPr>
        <w:t xml:space="preserve">. </w:t>
      </w:r>
      <w:r w:rsidR="009F10D1" w:rsidRPr="003D3701">
        <w:rPr>
          <w:rFonts w:cs="Times New Roman"/>
          <w:bCs/>
          <w:color w:val="000000" w:themeColor="text1"/>
        </w:rPr>
        <w:t xml:space="preserve">For most varieties there was no statistical difference between </w:t>
      </w:r>
      <w:r w:rsidR="00376E65" w:rsidRPr="003D3701">
        <w:rPr>
          <w:rFonts w:cs="Times New Roman"/>
          <w:bCs/>
          <w:color w:val="000000" w:themeColor="text1"/>
        </w:rPr>
        <w:t>the two soil volumes.</w:t>
      </w:r>
      <w:r w:rsidR="00376E65">
        <w:rPr>
          <w:rFonts w:cs="Times New Roman"/>
          <w:bCs/>
          <w:color w:val="000000" w:themeColor="text1"/>
        </w:rPr>
        <w:t xml:space="preserve"> </w:t>
      </w:r>
      <w:r w:rsidR="003B5063">
        <w:rPr>
          <w:rFonts w:cs="Times New Roman"/>
          <w:bCs/>
          <w:color w:val="000000" w:themeColor="text1"/>
        </w:rPr>
        <w:t>Looking numerically, s</w:t>
      </w:r>
      <w:r w:rsidRPr="00BC6BDC">
        <w:rPr>
          <w:rFonts w:cs="Times New Roman"/>
          <w:bCs/>
          <w:color w:val="000000" w:themeColor="text1"/>
        </w:rPr>
        <w:t xml:space="preserve">ome varieties produced a greater total root length in 1100ml compared to 150ml rhizoboxes (Mulika, Yogi 005, Yogi 101 and Yogi 137), lower total root length in 1100ml rhizoboxes compared to 150ml rhizoboxes (Yogi 065), or no difference between the rhizobox volumes (Yogi 020 and Yogi 343) (Fig 3.34B). Root angle emergence does not seem to influence root length at 18 days post germination. </w:t>
      </w:r>
    </w:p>
    <w:p w14:paraId="088CE558" w14:textId="421CAA8D" w:rsidR="0051783F" w:rsidRDefault="0051783F" w:rsidP="0051783F">
      <w:pPr>
        <w:numPr>
          <w:ilvl w:val="1"/>
          <w:numId w:val="0"/>
        </w:numPr>
        <w:spacing w:before="160" w:line="480" w:lineRule="auto"/>
        <w:outlineLvl w:val="1"/>
        <w:rPr>
          <w:rFonts w:cs="Times New Roman"/>
          <w:bCs/>
          <w:color w:val="000000" w:themeColor="text1"/>
        </w:rPr>
      </w:pPr>
      <w:r w:rsidRPr="00BC6BDC">
        <w:rPr>
          <w:rFonts w:cs="Times New Roman"/>
          <w:bCs/>
          <w:color w:val="000000" w:themeColor="text1"/>
        </w:rPr>
        <w:t xml:space="preserve">Root length and root number data suggest that these parameters are not influenced by the angle of root emergence. </w:t>
      </w:r>
    </w:p>
    <w:p w14:paraId="3B0384EC" w14:textId="5DBC11A2" w:rsidR="00A72715" w:rsidRDefault="00A72715" w:rsidP="0051783F">
      <w:pPr>
        <w:numPr>
          <w:ilvl w:val="1"/>
          <w:numId w:val="0"/>
        </w:numPr>
        <w:spacing w:before="160" w:line="480" w:lineRule="auto"/>
        <w:outlineLvl w:val="1"/>
        <w:rPr>
          <w:rFonts w:cs="Times New Roman"/>
          <w:bCs/>
          <w:color w:val="000000" w:themeColor="text1"/>
        </w:rPr>
      </w:pPr>
    </w:p>
    <w:p w14:paraId="0F1E56FF" w14:textId="017346BD" w:rsidR="00A72715" w:rsidRDefault="00A72715" w:rsidP="0051783F">
      <w:pPr>
        <w:numPr>
          <w:ilvl w:val="1"/>
          <w:numId w:val="0"/>
        </w:numPr>
        <w:spacing w:before="160" w:line="480" w:lineRule="auto"/>
        <w:outlineLvl w:val="1"/>
        <w:rPr>
          <w:rFonts w:cs="Times New Roman"/>
          <w:bCs/>
          <w:color w:val="000000" w:themeColor="text1"/>
        </w:rPr>
      </w:pPr>
    </w:p>
    <w:p w14:paraId="59126523" w14:textId="5CAC8B75" w:rsidR="00A72715" w:rsidRDefault="00A72715" w:rsidP="0051783F">
      <w:pPr>
        <w:numPr>
          <w:ilvl w:val="1"/>
          <w:numId w:val="0"/>
        </w:numPr>
        <w:spacing w:before="160" w:line="480" w:lineRule="auto"/>
        <w:outlineLvl w:val="1"/>
        <w:rPr>
          <w:rFonts w:cs="Times New Roman"/>
          <w:bCs/>
          <w:color w:val="000000" w:themeColor="text1"/>
        </w:rPr>
      </w:pPr>
    </w:p>
    <w:p w14:paraId="1B1DF18C" w14:textId="1EF78B4B" w:rsidR="00A72715" w:rsidRDefault="00A72715" w:rsidP="0051783F">
      <w:pPr>
        <w:numPr>
          <w:ilvl w:val="1"/>
          <w:numId w:val="0"/>
        </w:numPr>
        <w:spacing w:before="160" w:line="480" w:lineRule="auto"/>
        <w:outlineLvl w:val="1"/>
        <w:rPr>
          <w:rFonts w:cs="Times New Roman"/>
          <w:bCs/>
          <w:color w:val="000000" w:themeColor="text1"/>
        </w:rPr>
      </w:pPr>
    </w:p>
    <w:p w14:paraId="39AD1958" w14:textId="1020727E" w:rsidR="00A72715" w:rsidRDefault="00A72715" w:rsidP="0051783F">
      <w:pPr>
        <w:numPr>
          <w:ilvl w:val="1"/>
          <w:numId w:val="0"/>
        </w:numPr>
        <w:spacing w:before="160" w:line="480" w:lineRule="auto"/>
        <w:outlineLvl w:val="1"/>
        <w:rPr>
          <w:rFonts w:cs="Times New Roman"/>
          <w:bCs/>
          <w:color w:val="000000" w:themeColor="text1"/>
        </w:rPr>
      </w:pPr>
    </w:p>
    <w:p w14:paraId="100D3858" w14:textId="4BFE349D" w:rsidR="00A72715" w:rsidRDefault="00A72715" w:rsidP="0051783F">
      <w:pPr>
        <w:numPr>
          <w:ilvl w:val="1"/>
          <w:numId w:val="0"/>
        </w:numPr>
        <w:spacing w:before="160" w:line="480" w:lineRule="auto"/>
        <w:outlineLvl w:val="1"/>
        <w:rPr>
          <w:rFonts w:cs="Times New Roman"/>
          <w:bCs/>
          <w:color w:val="000000" w:themeColor="text1"/>
        </w:rPr>
      </w:pPr>
    </w:p>
    <w:p w14:paraId="3F479C2F" w14:textId="11A25AA7" w:rsidR="00A72715" w:rsidRPr="00BC6BDC" w:rsidRDefault="00A72715" w:rsidP="0051783F">
      <w:pPr>
        <w:numPr>
          <w:ilvl w:val="1"/>
          <w:numId w:val="0"/>
        </w:numPr>
        <w:spacing w:before="160" w:line="480" w:lineRule="auto"/>
        <w:outlineLvl w:val="1"/>
        <w:rPr>
          <w:rFonts w:cs="Times New Roman"/>
          <w:bCs/>
          <w:color w:val="000000" w:themeColor="text1"/>
        </w:rPr>
      </w:pPr>
    </w:p>
    <w:p w14:paraId="68AB3731" w14:textId="5AB0134D" w:rsidR="0051783F" w:rsidRDefault="00A72715" w:rsidP="0051783F">
      <w:pPr>
        <w:pStyle w:val="Caption"/>
        <w:rPr>
          <w:rFonts w:cs="Times New Roman"/>
          <w:b w:val="0"/>
          <w:color w:val="000000" w:themeColor="text1"/>
          <w:szCs w:val="18"/>
        </w:rPr>
      </w:pPr>
      <w:bookmarkStart w:id="179" w:name="_Toc146657577"/>
      <w:bookmarkStart w:id="180" w:name="_Toc154331568"/>
      <w:r>
        <w:rPr>
          <w:rFonts w:cs="Times New Roman"/>
          <w:bCs w:val="0"/>
          <w:noProof/>
          <w:color w:val="000000" w:themeColor="text1"/>
        </w:rPr>
        <w:lastRenderedPageBreak/>
        <w:drawing>
          <wp:anchor distT="0" distB="0" distL="114300" distR="114300" simplePos="0" relativeHeight="251663872" behindDoc="0" locked="0" layoutInCell="1" allowOverlap="1" wp14:anchorId="05D43EFE" wp14:editId="38946869">
            <wp:simplePos x="0" y="0"/>
            <wp:positionH relativeFrom="margin">
              <wp:posOffset>20710</wp:posOffset>
            </wp:positionH>
            <wp:positionV relativeFrom="paragraph">
              <wp:posOffset>-98</wp:posOffset>
            </wp:positionV>
            <wp:extent cx="5248102" cy="2200102"/>
            <wp:effectExtent l="0" t="0" r="0" b="0"/>
            <wp:wrapSquare wrapText="bothSides"/>
            <wp:docPr id="6634826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482624" name="Picture 66348262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48102" cy="2200102"/>
                    </a:xfrm>
                    <a:prstGeom prst="rect">
                      <a:avLst/>
                    </a:prstGeom>
                  </pic:spPr>
                </pic:pic>
              </a:graphicData>
            </a:graphic>
          </wp:anchor>
        </w:drawing>
      </w:r>
      <w:r w:rsidR="0051783F">
        <w:t xml:space="preserve">Figure </w:t>
      </w:r>
      <w:fldSimple w:instr=" STYLEREF 1 \s ">
        <w:r w:rsidR="004B7F70">
          <w:rPr>
            <w:noProof/>
          </w:rPr>
          <w:t>3</w:t>
        </w:r>
      </w:fldSimple>
      <w:r w:rsidR="00C97D34">
        <w:t>.</w:t>
      </w:r>
      <w:fldSimple w:instr=" SEQ Figure \* ARABIC \s 1 ">
        <w:r w:rsidR="004B7F70">
          <w:rPr>
            <w:noProof/>
          </w:rPr>
          <w:t>34</w:t>
        </w:r>
      </w:fldSimple>
      <w:r w:rsidR="0051783F">
        <w:t xml:space="preserve"> </w:t>
      </w:r>
      <w:r w:rsidR="0051783F" w:rsidRPr="008B02CF">
        <w:t>Root length and number are not influenced by angle of root emergence in wheat</w:t>
      </w:r>
      <w:bookmarkEnd w:id="179"/>
      <w:bookmarkEnd w:id="180"/>
    </w:p>
    <w:p w14:paraId="6107F52C" w14:textId="0F560F4D" w:rsidR="0051783F" w:rsidRPr="001C4968" w:rsidRDefault="0051783F" w:rsidP="0051783F">
      <w:pPr>
        <w:pStyle w:val="Description"/>
      </w:pPr>
      <w:r w:rsidRPr="001C4968">
        <w:t>Graphs showing spring wheat elite line (</w:t>
      </w:r>
      <w:r w:rsidR="00992AED">
        <w:t>c</w:t>
      </w:r>
      <w:r w:rsidRPr="001C4968">
        <w:t>v. Mulika) (grey) and spring wheat landrace lines with a steep angle of root emergence: Yogi 005 (burgundy), Yogi 020 (blue), Yogi 343 (orange) and a shallow angle of root emergence: Yogi 065 (lilac), Yogi 101 (green), Yogi 137 (pink), grown in 150ml and 1100ml rhizoboxes.</w:t>
      </w:r>
    </w:p>
    <w:p w14:paraId="095580EA" w14:textId="4EAAFBB7" w:rsidR="0051783F" w:rsidRPr="004525D3" w:rsidRDefault="0051783F" w:rsidP="0051783F">
      <w:pPr>
        <w:pStyle w:val="Description"/>
      </w:pPr>
      <w:r w:rsidRPr="004525D3">
        <w:t>A)</w:t>
      </w:r>
      <w:r>
        <w:t xml:space="preserve"> </w:t>
      </w:r>
      <w:r w:rsidRPr="004525D3">
        <w:t>Bar chart showing total root number at 18 days post germination in wheat lines. Striped bars represent plants grown in 150ml rhizoboxes and solid bars represent plants grown in 1100ml rhizoboxes.</w:t>
      </w:r>
      <w:r>
        <w:t xml:space="preserve"> </w:t>
      </w:r>
      <w:r w:rsidRPr="0047549D">
        <w:t>Statistical tests were carried out separately for each genotype, asterisks indicate significant difference, n.s represents no significant difference (Yogi 343: Mann Whitney U. All other genotypes: Independent Samples t</w:t>
      </w:r>
      <w:r>
        <w:t>-</w:t>
      </w:r>
      <w:r w:rsidRPr="0047549D">
        <w:t>test. p&lt;0.05, n=2-3).</w:t>
      </w:r>
    </w:p>
    <w:p w14:paraId="303F4203" w14:textId="36F1C4DE" w:rsidR="0051783F" w:rsidRPr="004525D3" w:rsidRDefault="0051783F" w:rsidP="0051783F">
      <w:pPr>
        <w:pStyle w:val="Description"/>
      </w:pPr>
      <w:r w:rsidRPr="004525D3">
        <w:t>B) Bar chart showing total root length (mm) at 18 days post germination in wheat lines. Striped bars represent plants grown in 150ml rhizoboxes and solid bars represent plants grown in 1100ml rhizoboxes. Error bar represents s.e.m, n=2-3.</w:t>
      </w:r>
      <w:r w:rsidRPr="003A481D">
        <w:t xml:space="preserve"> </w:t>
      </w:r>
      <w:r w:rsidRPr="006D59F0">
        <w:t>Statistical tests were carried out separately for each genotype, asterisks indicate significant difference, n.s represents no significant difference (Yogi 137 and Yogi 343: Mann Whitney U. All other genotypes: Independent Samples t</w:t>
      </w:r>
      <w:r>
        <w:t>-</w:t>
      </w:r>
      <w:r w:rsidRPr="006D59F0">
        <w:t xml:space="preserve">test. p&lt;0.05, n=2-3). </w:t>
      </w:r>
      <w:r w:rsidRPr="004525D3">
        <w:t>Error bar represents s.e.m</w:t>
      </w:r>
      <w:r>
        <w:t>.</w:t>
      </w:r>
    </w:p>
    <w:p w14:paraId="1D941D0F" w14:textId="77777777" w:rsidR="0051783F" w:rsidRDefault="0051783F" w:rsidP="000B1137">
      <w:pPr>
        <w:spacing w:line="480" w:lineRule="auto"/>
        <w:rPr>
          <w:rFonts w:cs="Times New Roman"/>
          <w:szCs w:val="24"/>
        </w:rPr>
      </w:pPr>
    </w:p>
    <w:p w14:paraId="7A8C71C4" w14:textId="77777777" w:rsidR="0051783F" w:rsidRPr="00B9545D" w:rsidRDefault="0051783F" w:rsidP="0051783F">
      <w:pPr>
        <w:numPr>
          <w:ilvl w:val="2"/>
          <w:numId w:val="0"/>
        </w:numPr>
        <w:spacing w:before="160" w:line="480" w:lineRule="auto"/>
        <w:outlineLvl w:val="2"/>
        <w:rPr>
          <w:rFonts w:cs="Times New Roman"/>
          <w:bCs/>
          <w:color w:val="000000" w:themeColor="text1"/>
        </w:rPr>
      </w:pPr>
      <w:r w:rsidRPr="00B9545D">
        <w:rPr>
          <w:rFonts w:cs="Times New Roman"/>
          <w:bCs/>
          <w:color w:val="000000" w:themeColor="text1"/>
        </w:rPr>
        <w:t>Taken together, assessment of the root and shoot system growth of wheat lines has highlighted an intriguing contrast to that of barley. In wheat, root density appears to be a strong predictor of shoot system size, suggesting that these are closely linked, whereas in barley there does not appear to be any connection between these parameters. Additionally, the angle of root emergence appears to be an indicator of final shoot system size in wheat.</w:t>
      </w:r>
    </w:p>
    <w:p w14:paraId="0A5F2E71" w14:textId="77777777" w:rsidR="0051783F" w:rsidRDefault="0051783F" w:rsidP="000B1137">
      <w:pPr>
        <w:spacing w:line="480" w:lineRule="auto"/>
        <w:rPr>
          <w:rFonts w:cs="Times New Roman"/>
          <w:szCs w:val="24"/>
        </w:rPr>
      </w:pPr>
    </w:p>
    <w:p w14:paraId="090C42BF" w14:textId="71830087" w:rsidR="0051783F" w:rsidRDefault="0051783F" w:rsidP="00743E4C">
      <w:pPr>
        <w:pStyle w:val="Heading2"/>
      </w:pPr>
      <w:bookmarkStart w:id="181" w:name="_Toc154331484"/>
      <w:r>
        <w:lastRenderedPageBreak/>
        <w:t>Discussion</w:t>
      </w:r>
      <w:bookmarkEnd w:id="181"/>
    </w:p>
    <w:p w14:paraId="1B81AB44" w14:textId="77777777" w:rsidR="0051783F" w:rsidRPr="0051783F" w:rsidRDefault="0051783F" w:rsidP="0051783F"/>
    <w:p w14:paraId="760165B3" w14:textId="77777777" w:rsidR="0051783F" w:rsidRPr="00FB33EC" w:rsidRDefault="0051783F" w:rsidP="0091359A">
      <w:pPr>
        <w:keepNext/>
        <w:numPr>
          <w:ilvl w:val="2"/>
          <w:numId w:val="0"/>
        </w:numPr>
        <w:spacing w:before="160" w:line="480" w:lineRule="auto"/>
        <w:outlineLvl w:val="2"/>
        <w:rPr>
          <w:bCs/>
          <w:color w:val="000000" w:themeColor="text1"/>
          <w:u w:val="single"/>
        </w:rPr>
      </w:pPr>
      <w:r w:rsidRPr="00FB33EC">
        <w:rPr>
          <w:bCs/>
          <w:color w:val="000000" w:themeColor="text1"/>
          <w:u w:val="single"/>
        </w:rPr>
        <w:t>Root density likely plays a role in soil volume and neighbour detection</w:t>
      </w:r>
    </w:p>
    <w:p w14:paraId="2EA7783E" w14:textId="130BC756" w:rsidR="0051783F" w:rsidRDefault="0051783F" w:rsidP="00200F23">
      <w:pPr>
        <w:numPr>
          <w:ilvl w:val="2"/>
          <w:numId w:val="0"/>
        </w:numPr>
        <w:spacing w:before="160" w:line="480" w:lineRule="auto"/>
        <w:outlineLvl w:val="2"/>
        <w:rPr>
          <w:bCs/>
          <w:color w:val="000000" w:themeColor="text1"/>
        </w:rPr>
      </w:pPr>
      <w:r w:rsidRPr="00923F9F">
        <w:rPr>
          <w:bCs/>
          <w:color w:val="000000" w:themeColor="text1"/>
        </w:rPr>
        <w:t>The design of the neighbour density experiments in section 3.</w:t>
      </w:r>
      <w:r w:rsidR="00DB6E0D">
        <w:rPr>
          <w:bCs/>
          <w:color w:val="000000" w:themeColor="text1"/>
        </w:rPr>
        <w:t>2</w:t>
      </w:r>
      <w:r w:rsidRPr="00923F9F">
        <w:rPr>
          <w:bCs/>
          <w:color w:val="000000" w:themeColor="text1"/>
        </w:rPr>
        <w:t xml:space="preserve"> (and Wheeldon et al, 2021 and Wheeldon et al, 2022) showed that a root-based mechanism is the primary cause for the resulting shoot growth phenotypes seen here. When crowded plants were grown in larger soil volumes this resulted in a reduction in the negative effects of being grown with neighbours (Section 3.</w:t>
      </w:r>
      <w:r w:rsidR="00DB6E0D">
        <w:rPr>
          <w:bCs/>
          <w:color w:val="000000" w:themeColor="text1"/>
        </w:rPr>
        <w:t>2</w:t>
      </w:r>
      <w:r w:rsidRPr="00923F9F">
        <w:rPr>
          <w:bCs/>
          <w:color w:val="000000" w:themeColor="text1"/>
        </w:rPr>
        <w:t xml:space="preserve">). Therefore, this points towards plant responses to soil volume and neighbour density </w:t>
      </w:r>
      <w:r>
        <w:rPr>
          <w:bCs/>
          <w:color w:val="000000" w:themeColor="text1"/>
        </w:rPr>
        <w:t>being driven</w:t>
      </w:r>
      <w:r w:rsidRPr="00923F9F">
        <w:rPr>
          <w:bCs/>
          <w:color w:val="000000" w:themeColor="text1"/>
        </w:rPr>
        <w:t xml:space="preserve"> the same mechanism. </w:t>
      </w:r>
      <w:r w:rsidRPr="00E544D2">
        <w:rPr>
          <w:bCs/>
          <w:color w:val="000000" w:themeColor="text1"/>
        </w:rPr>
        <w:t>One possible explanation for similar responses to soil volume and neighbour density could be that plants perceive the density of roots in their environment</w:t>
      </w:r>
      <w:r>
        <w:rPr>
          <w:bCs/>
          <w:color w:val="000000" w:themeColor="text1"/>
        </w:rPr>
        <w:t xml:space="preserve"> using root </w:t>
      </w:r>
      <w:r w:rsidRPr="003E43B5">
        <w:rPr>
          <w:bCs/>
          <w:color w:val="000000" w:themeColor="text1"/>
        </w:rPr>
        <w:t>exudates</w:t>
      </w:r>
      <w:r w:rsidR="00A6776E">
        <w:rPr>
          <w:bCs/>
          <w:color w:val="000000" w:themeColor="text1"/>
        </w:rPr>
        <w:t xml:space="preserve"> </w:t>
      </w:r>
      <w:r w:rsidR="00A6776E">
        <w:rPr>
          <w:bCs/>
          <w:color w:val="000000" w:themeColor="text1"/>
        </w:rPr>
        <w:fldChar w:fldCharType="begin" w:fldLock="1"/>
      </w:r>
      <w:r w:rsidR="00FE2C0E">
        <w:rPr>
          <w:bCs/>
          <w:color w:val="000000" w:themeColor="text1"/>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sidR="00FE2C0E">
        <w:rPr>
          <w:rFonts w:ascii="Cambria Math" w:hAnsi="Cambria Math" w:cs="Cambria Math"/>
          <w:bCs/>
          <w:color w:val="000000" w:themeColor="text1"/>
        </w:rPr>
        <w:instrText>‐</w:instrText>
      </w:r>
      <w:r w:rsidR="00FE2C0E">
        <w:rPr>
          <w:bCs/>
          <w:color w:val="000000" w:themeColor="text1"/>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sidR="00A6776E">
        <w:rPr>
          <w:bCs/>
          <w:color w:val="000000" w:themeColor="text1"/>
        </w:rPr>
        <w:fldChar w:fldCharType="separate"/>
      </w:r>
      <w:r w:rsidR="00A6776E" w:rsidRPr="00A6776E">
        <w:rPr>
          <w:bCs/>
          <w:noProof/>
          <w:color w:val="000000" w:themeColor="text1"/>
        </w:rPr>
        <w:t>(Wheeldon et al., 2021)</w:t>
      </w:r>
      <w:r w:rsidR="00A6776E">
        <w:rPr>
          <w:bCs/>
          <w:color w:val="000000" w:themeColor="text1"/>
        </w:rPr>
        <w:fldChar w:fldCharType="end"/>
      </w:r>
      <w:r>
        <w:rPr>
          <w:bCs/>
          <w:color w:val="000000" w:themeColor="text1"/>
        </w:rPr>
        <w:t>.</w:t>
      </w:r>
      <w:r w:rsidRPr="00E544D2">
        <w:rPr>
          <w:bCs/>
          <w:color w:val="000000" w:themeColor="text1"/>
        </w:rPr>
        <w:t xml:space="preserve"> In small soil volumes it would be expected that root density increases faster than in larger soil volumes, similarly treatments with multiple plants in the pot would also increase root density faster than those grown singly, which could potentially explain the reduction of shoot growth of each plant in small </w:t>
      </w:r>
      <w:r>
        <w:rPr>
          <w:bCs/>
          <w:color w:val="000000" w:themeColor="text1"/>
        </w:rPr>
        <w:t>soil volumes</w:t>
      </w:r>
      <w:r w:rsidRPr="00E544D2">
        <w:rPr>
          <w:bCs/>
          <w:color w:val="000000" w:themeColor="text1"/>
        </w:rPr>
        <w:t xml:space="preserve"> and in crowded treatments. Other studies have also shown that root competition is not simply due to neighbours in the environment but a combination of root density and nutrient effects </w:t>
      </w:r>
      <w:r w:rsidRPr="00E544D2">
        <w:rPr>
          <w:bCs/>
          <w:color w:val="000000" w:themeColor="text1"/>
        </w:rPr>
        <w:fldChar w:fldCharType="begin" w:fldLock="1"/>
      </w:r>
      <w:r w:rsidR="00493EC9">
        <w:rPr>
          <w:bCs/>
          <w:color w:val="000000" w:themeColor="text1"/>
        </w:rPr>
        <w:instrText>ADDIN CSL_CITATION {"citationItems":[{"id":"ITEM-1","itemData":{"DOI":"10.1071/FP11130","ISSN":"1445-4408","abstract":"Plants are reported to over-proliferate roots in response to belowground competition, thereby reducing reproductive biomass. This has been cited as an instance of the ‘tragedy of the commons’. Many of the studies that report this response suggest that plants can sense neighbours and discriminate between ‘self’ and ‘non-self’ roots. To test the alternate hypothesis that root responses to a neighbouring plant are mediated by resource depletion, common bean plants were supplied with the same phosphorus (P) fertiliser dose in varying rooting volumes, or with neighbouring plants separated by plastic film, nylon mesh, or no barrier to vary access to a neighbour. Phosphorus concentration, but not the presence of a neighbour or rooting volume, strongly influenced biomass allocation to roots. Root architecture was significantly altered by both neighbours and P availability. When exposed to the roots of a neighbour, plants altered the vertical and horizontal distribution of roots, placing fewer roots in soil domains occupied by roots of a neighbour. These results support the hypothesis that root responses to neighbouring plants are mediated by resource depletion by the neighbour rather than sensing of ‘non-self’ roots and show that the presence of a neighbour may affect root architecture without affecting biomass allocation to roots.","author":[{"dropping-particle":"","family":"Nord","given":"Eric A.","non-dropping-particle":"","parse-names":false,"suffix":""},{"dropping-particle":"","family":"Zhang","given":"Chaochun","non-dropping-particle":"","parse-names":false,"suffix":""},{"dropping-particle":"","family":"Lynch","given":"Jonathan P.","non-dropping-particle":"","parse-names":false,"suffix":""}],"container-title":"Functional Plant Biology","id":"ITEM-1","issue":"12","issued":{"date-parts":[["2011"]]},"page":"941","title":"Root responses to neighbouring plants in common bean are mediated by nutrient concentration rather than self/non-self recognition","type":"article-journal","volume":"38"},"uris":["http://www.mendeley.com/documents/?uuid=f8cbc041-84be-433d-8f26-f4a273c04a03"]},{"id":"ITEM-2","itemData":{"DOI":"10.2134/agronj2005.0336","ISSN":"00021962","abstract":"Conflicting results have been reported on the effects of spacing and emergence variability on grain yield in maize (Zea mays L.). Effects of spacing and emergence variability on maize grain yield are the net result of the responses of all plants within the stand. The objective of this study was to quantify effects of spacing and emergence variability on crop yield in terms of increased or decreased crowding stress on resource capture (i.e., dry matter accumulation) and resource utilization (i.e., dry matter partitioning) of the individual plants within the crop canopy. Results of previously reported studies were analyzed in terms of plant dry matter accumulation, leaf area, plant growth rate during the critical period for kernel set bracketed by silking (PGRS), grain yield, and harvest index, that is, the proportion of dry matter partitioned to the grain at maturity. Results show that a moderate increase in plant-spacing variability does not influence maize grain yield at the canopy level because reductions in grain yield of plants that experience enhanced crowding stress is compensated, in part, by increased yield of plants that experience reduced crowding stress; crowding stress affected dry matter accumulation but did not affect harvest index. In contrast, plant-emergence variability reduced grain yield at the canopy level because the reduction in grain yield was attributable, in part, to a reduction in harvest index of plants with PGRS less than the threshold for kernel set. Hence, plants can compensate for factors that influence resource capture, but cannot compensate for a reduction in factors that influence resource utilization. © American Society of Agronomy.","author":[{"dropping-particle":"","family":"Tollenaar","given":"Matthijs","non-dropping-particle":"","parse-names":false,"suffix":""},{"dropping-particle":"","family":"Deen","given":"William","non-dropping-particle":"","parse-names":false,"suffix":""},{"dropping-particle":"","family":"Echarte","given":"Laura","non-dropping-particle":"","parse-names":false,"suffix":""},{"dropping-particle":"","family":"Liu","given":"Weidong","non-dropping-particle":"","parse-names":false,"suffix":""}],"container-title":"Agronomy Journal","id":"ITEM-2","issue":"4","issued":{"date-parts":[["2006","7","1"]]},"page":"930-937","publisher":"John Wiley &amp; Sons, Ltd","title":"Effect of crowding stress on dry matter accumulation and harvest index in Maize","type":"article-journal","volume":"98"},"uris":["http://www.mendeley.com/documents/?uuid=46a7e65e-7830-3407-86fe-e27f095b27a0"]},{"id":"ITEM-3","itemData":{"DOI":"10.1111/j.1365-2745.2006.01124.x","ISSN":"00220477","author":[{"dropping-particle":"","family":"Schenk","given":"H. JOCHEN","non-dropping-particle":"","parse-names":false,"suffix":""}],"container-title":"Journal of Ecology","id":"ITEM-3","issue":"4","issued":{"date-parts":[["2006","7"]]},"page":"725-739","title":"Root competition: beyond resource depletion","type":"article-journal","volume":"94"},"uris":["http://www.mendeley.com/documents/?uuid=2ea56c5f-fd8d-3833-ab4b-b068a1d2f2ee"]},{"id":"ITEM-4","itemData":{"DOI":"10.2135/cropsci1999.3961597x","ISSN":"1435-0653","author":[{"dropping-particle":"","family":"Tollenaar","given":"M.","non-dropping-particle":"","parse-names":false,"suffix":""},{"dropping-particle":"","family":"Wu","given":"J.","non-dropping-particle":"","parse-names":false,"suffix":""}],"container-title":"Crop Science","id":"ITEM-4","issue":"6","issued":{"date-parts":[["1999","11","1"]]},"page":"1597-1604","publisher":"Crop Science Society of America","title":"Yield improvement in temperate Maize is attributable to greater stress tolerance","type":"article-journal","volume":"39"},"uris":["http://www.mendeley.com/documents/?uuid=59c260e8-e37b-32f8-8a17-6e0ac14aefee"]},{"id":"ITEM-5","itemData":{"DOI":"10.1371/journal.pone.0172717","ISSN":"1932-6203","abstract":"Understanding the physiological changes associated with high grain yield and high N use efficiency (NUE) is important when increasing the plant density and N rate to develop optimal agronomic management. We tested the hypothesis that high plant densities resulting in crowding stress reduce the ability of plants to use the N supply post-silking, thus decreasing the grain yield and NUE. In 2013 and 2014, a field experiment, with five N-application rates and three plant densities (6.0, 7.5, and 9.0 plants m-2), was conducted in the North China Plain (NCP). The calculated maximum grain yield and agronomic use efficiency (AEN) at a density of 7.5 plants m-2 were 12.4 Mg ha-1 and 39.3 kg kg-1, respectively, which were significantly higher than the values obtained at densities of 6.0 (11.3 Mg ha-1 and 30.2 kg kg-1) and 9.0 plant m-2 (11.7 Mg ha-1 and 27.8 kg kg-1). A high plant density of 9.0 plants m-2 decreased the post-silking N accumulation, leaf N concentration and net photosynthesis, which reduced the post-silking dry matter production, resulting in a low yield and NUE. Although a relatively low grain yield was observed at a density of 9.0 plants m-2, the optimal N rate increased from 150 to 186 kg N ha-1 at a density of 7.5 plants m-2. These results indicate that high plant densities with crowding stress reduce the ability of plants to use soil N during the post-silking period, and high rate of N fertilizer was needed to increase grain yield. We conclude that selecting the appropriate plant density combined with optimal N management could increase grain yields and the NUE in the NCP.","author":[{"dropping-particle":"","family":"Yan","given":"Peng","non-dropping-particle":"","parse-names":false,"suffix":""},{"dropping-particle":"","family":"Pan","given":"Junxiao","non-dropping-particle":"","parse-names":false,"suffix":""},{"dropping-particle":"","family":"Zhang","given":"Wenjie","non-dropping-particle":"","parse-names":false,"suffix":""},{"dropping-particle":"","family":"Shi","given":"Junfang","non-dropping-particle":"","parse-names":false,"suffix":""},{"dropping-particle":"","family":"Chen","given":"Xinping","non-dropping-particle":"","parse-names":false,"suffix":""},{"dropping-particle":"","family":"Cui","given":"Zhenling","non-dropping-particle":"","parse-names":false,"suffix":""}],"container-title":"PLOS ONE","id":"ITEM-5","issue":"2","issued":{"date-parts":[["2017","2","24"]]},"page":"e0172717","publisher":"Public Library of Science","title":"A high plant density reduces the ability of maize to use soil nitrogen","type":"article-journal","volume":"12"},"uris":["http://www.mendeley.com/documents/?uuid=cf4be6c7-1e09-3f5e-9296-88ba4c5ce2b5"]}],"mendeley":{"formattedCitation":"(Tollenaar and Wu, 1999; Schenk, 2006; Tollenaar et al., 2006; Nord et al., 2011; P. Yan et al., 2017)","plainTextFormattedCitation":"(Tollenaar and Wu, 1999; Schenk, 2006; Tollenaar et al., 2006; Nord et al., 2011; P. Yan et al., 2017)","previouslyFormattedCitation":"(Tollenaar and Wu, 1999; Schenk, 2006; Tollenaar et al., 2006; Nord et al., 2011; P. Yan et al., 2017)"},"properties":{"noteIndex":0},"schema":"https://github.com/citation-style-language/schema/raw/master/csl-citation.json"}</w:instrText>
      </w:r>
      <w:r w:rsidRPr="00E544D2">
        <w:rPr>
          <w:bCs/>
          <w:color w:val="000000" w:themeColor="text1"/>
        </w:rPr>
        <w:fldChar w:fldCharType="separate"/>
      </w:r>
      <w:r w:rsidR="006068FB" w:rsidRPr="006068FB">
        <w:rPr>
          <w:bCs/>
          <w:noProof/>
          <w:color w:val="000000" w:themeColor="text1"/>
        </w:rPr>
        <w:t>(Tollenaar and Wu, 1999; Schenk, 2006; Tollenaar et al., 2006; Nord et al., 2011; P. Yan et al., 2017)</w:t>
      </w:r>
      <w:r w:rsidRPr="00E544D2">
        <w:rPr>
          <w:bCs/>
          <w:color w:val="000000" w:themeColor="text1"/>
        </w:rPr>
        <w:fldChar w:fldCharType="end"/>
      </w:r>
      <w:r w:rsidRPr="00E544D2">
        <w:rPr>
          <w:bCs/>
          <w:color w:val="000000" w:themeColor="text1"/>
        </w:rPr>
        <w:t>.</w:t>
      </w:r>
      <w:r w:rsidRPr="002237C0">
        <w:rPr>
          <w:bCs/>
          <w:color w:val="000000" w:themeColor="text1"/>
        </w:rPr>
        <w:t xml:space="preserve"> </w:t>
      </w:r>
      <w:r>
        <w:rPr>
          <w:bCs/>
          <w:color w:val="000000" w:themeColor="text1"/>
        </w:rPr>
        <w:t>The role of root exudates will</w:t>
      </w:r>
      <w:r w:rsidRPr="00341BAC">
        <w:rPr>
          <w:bCs/>
          <w:color w:val="000000" w:themeColor="text1"/>
        </w:rPr>
        <w:t xml:space="preserve"> be discussed in greater detail in Chapter 4 and 5.</w:t>
      </w:r>
    </w:p>
    <w:p w14:paraId="65536F24" w14:textId="07A19B20" w:rsidR="009C3683" w:rsidRDefault="009C3683" w:rsidP="009C3683">
      <w:pPr>
        <w:keepNext/>
        <w:keepLines/>
        <w:numPr>
          <w:ilvl w:val="2"/>
          <w:numId w:val="0"/>
        </w:numPr>
        <w:tabs>
          <w:tab w:val="left" w:pos="6358"/>
        </w:tabs>
        <w:spacing w:before="160" w:line="480" w:lineRule="auto"/>
        <w:outlineLvl w:val="2"/>
        <w:rPr>
          <w:bCs/>
          <w:color w:val="000000" w:themeColor="text1"/>
        </w:rPr>
      </w:pPr>
      <w:r>
        <w:rPr>
          <w:bCs/>
          <w:color w:val="000000" w:themeColor="text1"/>
        </w:rPr>
        <w:tab/>
      </w:r>
    </w:p>
    <w:p w14:paraId="23C725BD" w14:textId="77777777" w:rsidR="00200F23" w:rsidRDefault="00200F23" w:rsidP="0051783F">
      <w:pPr>
        <w:numPr>
          <w:ilvl w:val="2"/>
          <w:numId w:val="0"/>
        </w:numPr>
        <w:spacing w:before="160" w:line="480" w:lineRule="auto"/>
        <w:outlineLvl w:val="2"/>
        <w:rPr>
          <w:bCs/>
          <w:u w:val="single"/>
        </w:rPr>
      </w:pPr>
    </w:p>
    <w:p w14:paraId="07009F91" w14:textId="3B616E09" w:rsidR="0051783F" w:rsidRPr="00396DAD" w:rsidRDefault="0051783F" w:rsidP="0051783F">
      <w:pPr>
        <w:numPr>
          <w:ilvl w:val="2"/>
          <w:numId w:val="0"/>
        </w:numPr>
        <w:spacing w:before="160" w:line="480" w:lineRule="auto"/>
        <w:outlineLvl w:val="2"/>
        <w:rPr>
          <w:bCs/>
          <w:u w:val="single"/>
        </w:rPr>
      </w:pPr>
      <w:r w:rsidRPr="00396DAD">
        <w:rPr>
          <w:bCs/>
          <w:u w:val="single"/>
        </w:rPr>
        <w:lastRenderedPageBreak/>
        <w:t>Root system investment early in life in small soil volumes could also explain decreased shoot system size</w:t>
      </w:r>
    </w:p>
    <w:p w14:paraId="3DF63233" w14:textId="47829412" w:rsidR="0051783F" w:rsidRPr="00396DAD" w:rsidRDefault="0051783F" w:rsidP="0051783F">
      <w:pPr>
        <w:numPr>
          <w:ilvl w:val="2"/>
          <w:numId w:val="0"/>
        </w:numPr>
        <w:spacing w:before="160" w:line="480" w:lineRule="auto"/>
        <w:outlineLvl w:val="2"/>
        <w:rPr>
          <w:bCs/>
        </w:rPr>
      </w:pPr>
      <w:r w:rsidRPr="00396DAD">
        <w:rPr>
          <w:bCs/>
        </w:rPr>
        <w:t xml:space="preserve">Investing in the root system is a careful balance between increased growth to forage for resources and the high metabolic cost of producing and sustaining larger root systems </w:t>
      </w:r>
      <w:r w:rsidRPr="00396DAD">
        <w:rPr>
          <w:bCs/>
        </w:rPr>
        <w:fldChar w:fldCharType="begin" w:fldLock="1"/>
      </w:r>
      <w:r w:rsidRPr="00396DAD">
        <w:rPr>
          <w:bCs/>
        </w:rPr>
        <w:instrText>ADDIN CSL_CITATION {"citationItems":[{"id":"ITEM-1","itemData":{"DOI":"10.1111/pce.12451","author":[{"dropping-particle":"","family":"Lynch","given":"Jonathan P.","non-dropping-particle":"","parse-names":false,"suffix":""}],"container-title":"Plant, Cell &amp; Environment","id":"ITEM-1","issue":"9","issued":{"date-parts":[["2015"]]},"page":"1775-84","title":"Root phenes that reduce the metabolic costs of soil exploration: opportunities for 21st century agriculture","type":"article-journal","volume":"38"},"uris":["http://www.mendeley.com/documents/?uuid=d744eaa8-af85-403b-a4c4-ac3d9fe37260"]}],"mendeley":{"formattedCitation":"(Lynch, 2015)","plainTextFormattedCitation":"(Lynch, 2015)","previouslyFormattedCitation":"(Lynch, 2015)"},"properties":{"noteIndex":0},"schema":"https://github.com/citation-style-language/schema/raw/master/csl-citation.json"}</w:instrText>
      </w:r>
      <w:r w:rsidRPr="00396DAD">
        <w:rPr>
          <w:bCs/>
        </w:rPr>
        <w:fldChar w:fldCharType="separate"/>
      </w:r>
      <w:r w:rsidRPr="00396DAD">
        <w:rPr>
          <w:bCs/>
          <w:noProof/>
        </w:rPr>
        <w:t>(Lynch, 2015)</w:t>
      </w:r>
      <w:r w:rsidRPr="00396DAD">
        <w:rPr>
          <w:bCs/>
        </w:rPr>
        <w:fldChar w:fldCharType="end"/>
      </w:r>
      <w:r w:rsidRPr="00396DAD">
        <w:rPr>
          <w:bCs/>
        </w:rPr>
        <w:t xml:space="preserve">. Increasing root system size has been shown to be of high metabolic cost to plants </w:t>
      </w:r>
      <w:r w:rsidRPr="00396DAD">
        <w:rPr>
          <w:bCs/>
        </w:rPr>
        <w:fldChar w:fldCharType="begin" w:fldLock="1"/>
      </w:r>
      <w:r w:rsidR="009F5D24">
        <w:rPr>
          <w:bCs/>
        </w:rPr>
        <w:instrText>ADDIN CSL_CITATION {"citationItems":[{"id":"ITEM-1","itemData":{"DOI":"10.1201/9780203909423.pt6","author":[{"dropping-particle":"","family":"Lambers","given":"Hans","non-dropping-particle":"","parse-names":false,"suffix":""},{"dropping-particle":"","family":"Atkin","given":"Owen","non-dropping-particle":"","parse-names":false,"suffix":""},{"dropping-particle":"","family":"Millenaar","given":"Frank","non-dropping-particle":"","parse-names":false,"suffix":""}],"container-title":"Plant Roots","id":"ITEM-1","issued":{"date-parts":[["2002","3","29"]]},"page":"521-552","publisher":"CRC Press","title":"Respiratory patterns in roots in relation to their functioning","type":"chapter"},"uris":["http://www.mendeley.com/documents/?uuid=26627ee8-fcb2-4e00-ac12-9fc7920b4545"]}],"mendeley":{"formattedCitation":"(Lambers et al., 2002)","plainTextFormattedCitation":"(Lambers et al., 2002)","previouslyFormattedCitation":"(Lambers et al., 2002)"},"properties":{"noteIndex":0},"schema":"https://github.com/citation-style-language/schema/raw/master/csl-citation.json"}</w:instrText>
      </w:r>
      <w:r w:rsidRPr="00396DAD">
        <w:rPr>
          <w:bCs/>
        </w:rPr>
        <w:fldChar w:fldCharType="separate"/>
      </w:r>
      <w:r w:rsidRPr="00396DAD">
        <w:rPr>
          <w:bCs/>
          <w:noProof/>
        </w:rPr>
        <w:t>(Lambers et al., 2002)</w:t>
      </w:r>
      <w:r w:rsidRPr="00396DAD">
        <w:rPr>
          <w:bCs/>
        </w:rPr>
        <w:fldChar w:fldCharType="end"/>
      </w:r>
      <w:r w:rsidRPr="00396DAD">
        <w:rPr>
          <w:bCs/>
        </w:rPr>
        <w:t xml:space="preserve">, which subsequently reduces the overall rate of plant growth </w:t>
      </w:r>
      <w:r w:rsidRPr="00396DAD">
        <w:rPr>
          <w:bCs/>
        </w:rPr>
        <w:fldChar w:fldCharType="begin" w:fldLock="1"/>
      </w:r>
      <w:r w:rsidRPr="00396DAD">
        <w:rPr>
          <w:bCs/>
        </w:rPr>
        <w:instrText>ADDIN CSL_CITATION {"citationItems":[{"id":"ITEM-1","itemData":{"DOI":"10.1007/BF00317209","author":[{"dropping-particle":"","family":"Poorter","given":"H.","non-dropping-particle":"","parse-names":false,"suffix":""},{"dropping-particle":"","family":"Remkes","given":"C.","non-dropping-particle":"","parse-names":false,"suffix":""}],"container-title":"Oecologia","id":"ITEM-1","issued":{"date-parts":[["1990"]]},"page":"553–559","title":"Leaf area ratio and net assimilation rate of 24 wild species differing in relative growth rate","type":"article-journal","volume":"83"},"uris":["http://www.mendeley.com/documents/?uuid=e73ffe64-5a9a-40d3-81f4-794eecb4bd82"]},{"id":"ITEM-2","itemData":{"ISBN":"9780713128444","author":[{"dropping-particle":"","family":"Hunt","given":"Roderick","non-dropping-particle":"","parse-names":false,"suffix":""}],"id":"ITEM-2","issued":{"date-parts":[["1982"]]},"publisher":"Edwin Arnold","publisher-place":"London","title":"Plant Growth Curves: A Functional Approach to Plant Growth Analysis","type":"book"},"uris":["http://www.mendeley.com/documents/?uuid=23d8014e-642e-4341-af14-57cfca2f13ce"]}],"mendeley":{"formattedCitation":"(Hunt, 1982; Poorter and Remkes, 1990)","plainTextFormattedCitation":"(Hunt, 1982; Poorter and Remkes, 1990)","previouslyFormattedCitation":"(Hunt, 1982; Poorter and Remkes, 1990)"},"properties":{"noteIndex":0},"schema":"https://github.com/citation-style-language/schema/raw/master/csl-citation.json"}</w:instrText>
      </w:r>
      <w:r w:rsidRPr="00396DAD">
        <w:rPr>
          <w:bCs/>
        </w:rPr>
        <w:fldChar w:fldCharType="separate"/>
      </w:r>
      <w:r w:rsidRPr="00396DAD">
        <w:rPr>
          <w:bCs/>
          <w:noProof/>
        </w:rPr>
        <w:t>(Hunt, 1982; Poorter and Remkes, 1990)</w:t>
      </w:r>
      <w:r w:rsidRPr="00396DAD">
        <w:rPr>
          <w:bCs/>
        </w:rPr>
        <w:fldChar w:fldCharType="end"/>
      </w:r>
      <w:r w:rsidRPr="00396DAD">
        <w:rPr>
          <w:bCs/>
        </w:rPr>
        <w:t xml:space="preserve">. The apparent increased growth of lateral roots in small soil volumes in early life seen in </w:t>
      </w:r>
      <w:r w:rsidR="00747B29">
        <w:rPr>
          <w:bCs/>
        </w:rPr>
        <w:t xml:space="preserve">section </w:t>
      </w:r>
      <w:r w:rsidRPr="00396DAD">
        <w:rPr>
          <w:bCs/>
        </w:rPr>
        <w:t>3.</w:t>
      </w:r>
      <w:r w:rsidR="00747B29">
        <w:rPr>
          <w:bCs/>
        </w:rPr>
        <w:t>4</w:t>
      </w:r>
      <w:r w:rsidRPr="00396DAD">
        <w:rPr>
          <w:bCs/>
        </w:rPr>
        <w:t xml:space="preserve">.1 could therefore have longer term consequences on overall plant growth and could also contribute directly to the reduced size of their shoot system compared to the plants grown in the larger soil volume. </w:t>
      </w:r>
    </w:p>
    <w:p w14:paraId="28F0B508" w14:textId="77777777" w:rsidR="0051783F" w:rsidRDefault="0051783F" w:rsidP="0051783F">
      <w:pPr>
        <w:numPr>
          <w:ilvl w:val="2"/>
          <w:numId w:val="0"/>
        </w:numPr>
        <w:spacing w:before="160" w:line="480" w:lineRule="auto"/>
        <w:outlineLvl w:val="2"/>
        <w:rPr>
          <w:bCs/>
          <w:color w:val="00B050"/>
        </w:rPr>
      </w:pPr>
    </w:p>
    <w:p w14:paraId="355DB9F7" w14:textId="77777777" w:rsidR="0051783F" w:rsidRPr="0012760A" w:rsidRDefault="0051783F" w:rsidP="0051783F">
      <w:pPr>
        <w:keepNext/>
        <w:numPr>
          <w:ilvl w:val="2"/>
          <w:numId w:val="0"/>
        </w:numPr>
        <w:spacing w:before="160" w:line="480" w:lineRule="auto"/>
        <w:outlineLvl w:val="2"/>
        <w:rPr>
          <w:bCs/>
          <w:color w:val="000000" w:themeColor="text1"/>
          <w:u w:val="single"/>
        </w:rPr>
      </w:pPr>
      <w:r>
        <w:rPr>
          <w:bCs/>
          <w:color w:val="000000" w:themeColor="text1"/>
          <w:u w:val="single"/>
        </w:rPr>
        <w:t>F</w:t>
      </w:r>
      <w:r w:rsidRPr="0012760A">
        <w:rPr>
          <w:bCs/>
          <w:color w:val="000000" w:themeColor="text1"/>
          <w:u w:val="single"/>
        </w:rPr>
        <w:t xml:space="preserve">inal root density is predictive of shoot biomass in wheat but not barley </w:t>
      </w:r>
    </w:p>
    <w:p w14:paraId="67B40C33" w14:textId="36686C6F" w:rsidR="0051783F" w:rsidRPr="007F4B02" w:rsidRDefault="0051783F" w:rsidP="0051783F">
      <w:pPr>
        <w:numPr>
          <w:ilvl w:val="2"/>
          <w:numId w:val="0"/>
        </w:numPr>
        <w:spacing w:before="160" w:line="480" w:lineRule="auto"/>
        <w:outlineLvl w:val="2"/>
        <w:rPr>
          <w:bCs/>
        </w:rPr>
      </w:pPr>
      <w:r w:rsidRPr="00BE0C4F">
        <w:rPr>
          <w:bCs/>
          <w:color w:val="000000" w:themeColor="text1"/>
        </w:rPr>
        <w:t xml:space="preserve">Intriguingly, when comparing </w:t>
      </w:r>
      <w:r>
        <w:rPr>
          <w:bCs/>
          <w:color w:val="000000" w:themeColor="text1"/>
        </w:rPr>
        <w:t xml:space="preserve">final </w:t>
      </w:r>
      <w:r w:rsidRPr="00BE0C4F">
        <w:rPr>
          <w:bCs/>
          <w:color w:val="000000" w:themeColor="text1"/>
        </w:rPr>
        <w:t xml:space="preserve">root density with shoot biomass for the different soil volumes, root density was a </w:t>
      </w:r>
      <w:r>
        <w:rPr>
          <w:bCs/>
          <w:color w:val="000000" w:themeColor="text1"/>
        </w:rPr>
        <w:t xml:space="preserve">very </w:t>
      </w:r>
      <w:r w:rsidRPr="00BE0C4F">
        <w:rPr>
          <w:bCs/>
          <w:color w:val="000000" w:themeColor="text1"/>
        </w:rPr>
        <w:t>strong predictor of final shoot biomass in wheat but not in barley</w:t>
      </w:r>
      <w:r>
        <w:rPr>
          <w:bCs/>
          <w:color w:val="000000" w:themeColor="text1"/>
        </w:rPr>
        <w:t xml:space="preserve"> (Sections 3.</w:t>
      </w:r>
      <w:r w:rsidR="00747B29">
        <w:rPr>
          <w:bCs/>
          <w:color w:val="000000" w:themeColor="text1"/>
        </w:rPr>
        <w:t>4</w:t>
      </w:r>
      <w:r>
        <w:rPr>
          <w:bCs/>
          <w:color w:val="000000" w:themeColor="text1"/>
        </w:rPr>
        <w:t>.3 and 3.</w:t>
      </w:r>
      <w:r w:rsidR="00747B29">
        <w:rPr>
          <w:bCs/>
          <w:color w:val="000000" w:themeColor="text1"/>
        </w:rPr>
        <w:t>4</w:t>
      </w:r>
      <w:r>
        <w:rPr>
          <w:bCs/>
          <w:color w:val="000000" w:themeColor="text1"/>
        </w:rPr>
        <w:t>.4)</w:t>
      </w:r>
      <w:r w:rsidRPr="00BE0C4F">
        <w:rPr>
          <w:bCs/>
          <w:color w:val="000000" w:themeColor="text1"/>
        </w:rPr>
        <w:t xml:space="preserve">. </w:t>
      </w:r>
      <w:r>
        <w:rPr>
          <w:bCs/>
          <w:color w:val="000000" w:themeColor="text1"/>
        </w:rPr>
        <w:t xml:space="preserve">This indicates that </w:t>
      </w:r>
      <w:r w:rsidRPr="00F54D4F">
        <w:rPr>
          <w:bCs/>
          <w:color w:val="000000" w:themeColor="text1"/>
        </w:rPr>
        <w:t>root density cannot fully explain shoot growth responses to soil volume, and that there must be additional factors involved. The differences between wheat and barley</w:t>
      </w:r>
      <w:r w:rsidR="00747B29" w:rsidRPr="00747B29">
        <w:rPr>
          <w:bCs/>
          <w:color w:val="000000" w:themeColor="text1"/>
        </w:rPr>
        <w:t xml:space="preserve"> </w:t>
      </w:r>
      <w:r w:rsidRPr="00BE0C4F">
        <w:rPr>
          <w:bCs/>
          <w:color w:val="000000" w:themeColor="text1"/>
        </w:rPr>
        <w:t xml:space="preserve">highlight differences in </w:t>
      </w:r>
      <w:r>
        <w:rPr>
          <w:bCs/>
          <w:color w:val="000000" w:themeColor="text1"/>
        </w:rPr>
        <w:t xml:space="preserve">their historic </w:t>
      </w:r>
      <w:r w:rsidRPr="00BE0C4F">
        <w:rPr>
          <w:bCs/>
          <w:color w:val="000000" w:themeColor="text1"/>
        </w:rPr>
        <w:t>breeding programmes.</w:t>
      </w:r>
      <w:r>
        <w:rPr>
          <w:bCs/>
          <w:color w:val="000000" w:themeColor="text1"/>
        </w:rPr>
        <w:t xml:space="preserve"> </w:t>
      </w:r>
      <w:r w:rsidRPr="00EF7430">
        <w:rPr>
          <w:bCs/>
        </w:rPr>
        <w:t>In wheat</w:t>
      </w:r>
      <w:r w:rsidR="00D91BA1">
        <w:rPr>
          <w:bCs/>
        </w:rPr>
        <w:t>,</w:t>
      </w:r>
      <w:r w:rsidRPr="00EF7430">
        <w:rPr>
          <w:bCs/>
        </w:rPr>
        <w:t xml:space="preserve"> selection pressures for increased yielding varieties with higher ‘harvest index’ has led to decreased root system size, with the accompanying simplification of root system architecture in Chinese wheats </w:t>
      </w:r>
      <w:r w:rsidRPr="00EF7430">
        <w:rPr>
          <w:bCs/>
        </w:rPr>
        <w:fldChar w:fldCharType="begin" w:fldLock="1"/>
      </w:r>
      <w:r w:rsidRPr="00EF7430">
        <w:rPr>
          <w:bCs/>
        </w:rPr>
        <w:instrText>ADDIN CSL_CITATION {"citationItems":[{"id":"ITEM-1","itemData":{"DOI":"10.1111/EVA.12749","ISSN":"1752-4571","abstract":"Root system characteristics determine soil space exploration and resource acquisition, and these characteristics include competitive traits that increase individual fitness but reduce population performance. We hypothesize that crop breeding for increased yield is often a form of “group selection” that reduces such “selfish” traits to increase population yield. To study trends in root architecture resulting from plant breeding and test the hypothesis that increased yields result in part from group selection on root traits, we investigated root growth and branching behavior in a historical sequence of wheat (Triticum aestivum) cultivars that have been widely grown in northwestern China. Plants were grown in gel-filled chambers to examine growth angles, numbers, and lengths of seminal roots, and in soil-filled chambers under eight soil resource levels for fractal analysis of root system architecture. Yield in field was evaluated at standard and low planting densities. Newer cultivars produced higher yields than older ones only at the higher sowing density, showing that increased yield results from changes in competitive behavior. Seminal root number and growth angles were negatively correlated with yield, while primary seminal root length was positively correlated with yield. Roots of higher-yielding modern varieties were simpler and less branched, grew deeper but spread less laterally than modern varieties. The fractal dimension of root branching was negatively correlated with the yield of cultivars at all resource levels. Root:shoot ratio was negatively correlated with yield under high soil resource levels. The results are consistent with the hypothesis that the success of wheat breeding for higher yields over past 100 years in northwestern China has been in part due to unconscious group selection on root traits, resulting in smaller, less branched, and deeper roots, suggesting a direction for further increases in crop yield in the future.","author":[{"dropping-particle":"","family":"Zhu","given":"Yong He","non-dropping-particle":"","parse-names":false,"suffix":""},{"dropping-particle":"","family":"Weiner","given":"Jacob","non-dropping-particle":"","parse-names":false,"suffix":""},{"dropping-particle":"","family":"Yu","given":"Ming Xi","non-dropping-particle":"","parse-names":false,"suffix":""},{"dropping-particle":"","family":"Li","given":"Feng Min","non-dropping-particle":"","parse-names":false,"suffix":""}],"container-title":"Evolutionary Applications","id":"ITEM-1","issue":"4","issued":{"date-parts":[["2019","4","1"]]},"page":"733-743","publisher":"John Wiley &amp; Sons, Ltd","title":"Evolutionary agroecology: Trends in root architecture during wheat breeding","type":"article-journal","volume":"12"},"uris":["http://www.mendeley.com/documents/?uuid=aa7c269b-8854-3c4e-8d53-ed3ef45c3ab6"]}],"mendeley":{"formattedCitation":"(Zhu et al., 2019)","plainTextFormattedCitation":"(Zhu et al., 2019)","previouslyFormattedCitation":"(Zhu et al., 2019)"},"properties":{"noteIndex":0},"schema":"https://github.com/citation-style-language/schema/raw/master/csl-citation.json"}</w:instrText>
      </w:r>
      <w:r w:rsidRPr="00EF7430">
        <w:rPr>
          <w:bCs/>
        </w:rPr>
        <w:fldChar w:fldCharType="separate"/>
      </w:r>
      <w:r w:rsidRPr="00EF7430">
        <w:rPr>
          <w:bCs/>
          <w:noProof/>
        </w:rPr>
        <w:t>(Zhu et al., 2019)</w:t>
      </w:r>
      <w:r w:rsidRPr="00EF7430">
        <w:rPr>
          <w:bCs/>
        </w:rPr>
        <w:fldChar w:fldCharType="end"/>
      </w:r>
      <w:r w:rsidRPr="00EF7430">
        <w:rPr>
          <w:bCs/>
        </w:rPr>
        <w:t xml:space="preserve"> and also in UK wheats </w:t>
      </w:r>
      <w:r w:rsidRPr="00EF7430">
        <w:rPr>
          <w:bCs/>
        </w:rPr>
        <w:fldChar w:fldCharType="begin" w:fldLock="1"/>
      </w:r>
      <w:r w:rsidRPr="00EF7430">
        <w:rPr>
          <w:bCs/>
        </w:rPr>
        <w:instrText>ADDIN CSL_CITATION {"citationItems":[{"id":"ITEM-1","itemData":{"DOI":"10.1007/s11104-020-04585-2","ISSN":"0032-079X","author":[{"dropping-particle":"","family":"Fradgley","given":"N.","non-dropping-particle":"","parse-names":false,"suffix":""},{"dropping-particle":"","family":"Evans","given":"G.","non-dropping-particle":"","parse-names":false,"suffix":""},{"dropping-particle":"","family":"Biernaskie","given":"J.M.","non-dropping-particle":"","parse-names":false,"suffix":""},{"dropping-particle":"","family":"Cockram","given":"J.","non-dropping-particle":"","parse-names":false,"suffix":""},{"dropping-particle":"","family":"Marr","given":"E.C.","non-dropping-particle":"","parse-names":false,"suffix":""},{"dropping-particle":"","family":"Oliver","given":"A. G.","non-dropping-particle":"","parse-names":false,"suffix":""},{"dropping-particle":"","family":"Ober","given":"E.","non-dropping-particle":"","parse-names":false,"suffix":""},{"dropping-particle":"","family":"Jones","given":"H.","non-dropping-particle":"","parse-names":false,"suffix":""}],"container-title":"Plant and Soil","id":"ITEM-1","issue":"1-2","issued":{"date-parts":[["2020","7","20"]]},"page":"587-600","title":"Effects of breeding history and crop management on the root architecture of wheat","type":"article-journal","volume":"452"},"uris":["http://www.mendeley.com/documents/?uuid=65742e1e-249f-4da8-98d8-5a248885ae0c"]}],"mendeley":{"formattedCitation":"(Fradgley et al., 2020)","plainTextFormattedCitation":"(Fradgley et al., 2020)","previouslyFormattedCitation":"(Fradgley et al., 2020)"},"properties":{"noteIndex":0},"schema":"https://github.com/citation-style-language/schema/raw/master/csl-citation.json"}</w:instrText>
      </w:r>
      <w:r w:rsidRPr="00EF7430">
        <w:rPr>
          <w:bCs/>
        </w:rPr>
        <w:fldChar w:fldCharType="separate"/>
      </w:r>
      <w:r w:rsidRPr="00EF7430">
        <w:rPr>
          <w:bCs/>
          <w:noProof/>
        </w:rPr>
        <w:t>(Fradgley et al., 2020)</w:t>
      </w:r>
      <w:r w:rsidRPr="00EF7430">
        <w:rPr>
          <w:bCs/>
        </w:rPr>
        <w:fldChar w:fldCharType="end"/>
      </w:r>
      <w:r w:rsidRPr="00EF7430">
        <w:rPr>
          <w:bCs/>
        </w:rPr>
        <w:t xml:space="preserve"> suggesting this has occurred independently in many breeding programs. </w:t>
      </w:r>
      <w:r w:rsidRPr="007F4B02">
        <w:rPr>
          <w:bCs/>
        </w:rPr>
        <w:t xml:space="preserve">Additionally, breeding for altered </w:t>
      </w:r>
      <w:r w:rsidRPr="007F4B02">
        <w:rPr>
          <w:bCs/>
        </w:rPr>
        <w:lastRenderedPageBreak/>
        <w:t xml:space="preserve">flowering time traits in wheat has resulted in decreased root biomass of European varieties, suggesting that certain yield traits are genetically linked to root traits </w:t>
      </w:r>
      <w:r w:rsidRPr="007F4B02">
        <w:rPr>
          <w:bCs/>
        </w:rPr>
        <w:fldChar w:fldCharType="begin" w:fldLock="1"/>
      </w:r>
      <w:r w:rsidRPr="007F4B02">
        <w:rPr>
          <w:bCs/>
        </w:rPr>
        <w:instrText>ADDIN CSL_CITATION {"citationItems":[{"id":"ITEM-1","itemData":{"DOI":"10.1111/pce.12888","ISSN":"0140-7791","abstract":"Roots, the hidden half of crop plants, are essential for resource acquisition. However, knowledge about the genetic control of below</w:instrText>
      </w:r>
      <w:r w:rsidRPr="007F4B02">
        <w:rPr>
          <w:rFonts w:ascii="Cambria Math" w:hAnsi="Cambria Math" w:cs="Cambria Math"/>
          <w:bCs/>
        </w:rPr>
        <w:instrText>‐</w:instrText>
      </w:r>
      <w:r w:rsidRPr="007F4B02">
        <w:rPr>
          <w:bCs/>
        </w:rPr>
        <w:instrText>ground plant development in wheat, one of the most important small</w:instrText>
      </w:r>
      <w:r w:rsidRPr="007F4B02">
        <w:rPr>
          <w:rFonts w:ascii="Cambria Math" w:hAnsi="Cambria Math" w:cs="Cambria Math"/>
          <w:bCs/>
        </w:rPr>
        <w:instrText>‐</w:instrText>
      </w:r>
      <w:r w:rsidRPr="007F4B02">
        <w:rPr>
          <w:bCs/>
        </w:rPr>
        <w:instrText>grain crops in the world, is very limited. The molecular interactions connecting root and shoot development and growth, and thus modulating the plant's demand for water and nutrients along with its ability to access them, are largely unexplored. Here, we demonstrate that linkage drag in European bread wheat, driven by strong selection for a haplotype variant controlling heading date, has eliminated a specific combination of two flanking, highly conserved haplotype variants whose interaction confers increased root biomass. Reversing this inadvertent consequence of selection could recover root diversity that may prove essential for future food production in fluctuating environments. Highly conserved synteny to rice across this chromosome segment suggests that adaptive selection has shaped the diversity landscape of this locus across different, globally important cereal crops. By mining wheat gene expression data, we identified root</w:instrText>
      </w:r>
      <w:r w:rsidRPr="007F4B02">
        <w:rPr>
          <w:rFonts w:ascii="Cambria Math" w:hAnsi="Cambria Math" w:cs="Cambria Math"/>
          <w:bCs/>
        </w:rPr>
        <w:instrText>‐</w:instrText>
      </w:r>
      <w:r w:rsidRPr="007F4B02">
        <w:rPr>
          <w:bCs/>
        </w:rPr>
        <w:instrText>expressed genes within the region of interest that could help breeders to select positive variants adapted to specific target soil environments.","author":[{"dropping-particle":"","family":"Voss</w:instrText>
      </w:r>
      <w:r w:rsidRPr="007F4B02">
        <w:rPr>
          <w:rFonts w:ascii="Cambria Math" w:hAnsi="Cambria Math" w:cs="Cambria Math"/>
          <w:bCs/>
        </w:rPr>
        <w:instrText>‐</w:instrText>
      </w:r>
      <w:r w:rsidRPr="007F4B02">
        <w:rPr>
          <w:bCs/>
        </w:rPr>
        <w:instrText>Fels","given":"Kai P.","non-dropping-particle":"","parse-names":false,"suffix":""},{"dropping-particle":"","family":"Qian","given":"Lunwen","non-dropping-particle":"","parse-names":false,"suffix":""},{"dropping-particle":"","family":"Parra</w:instrText>
      </w:r>
      <w:r w:rsidRPr="007F4B02">
        <w:rPr>
          <w:rFonts w:ascii="Cambria Math" w:hAnsi="Cambria Math" w:cs="Cambria Math"/>
          <w:bCs/>
        </w:rPr>
        <w:instrText>‐</w:instrText>
      </w:r>
      <w:r w:rsidRPr="007F4B02">
        <w:rPr>
          <w:bCs/>
        </w:rPr>
        <w:instrText>Londono","given":"Sebastian","non-dropping-particle":"","parse-names":false,"suffix":""},{"dropping-particle":"","family":"Uptmoor","given":"Ralf","non-dropping-particle":"","parse-names":false,"suffix":""},{"dropping-particle":"","family":"Frisch","given":"Matthias","non-dropping-particle":"","parse-names":false,"suffix":""},{"dropping-particle":"","family":"Keeble</w:instrText>
      </w:r>
      <w:r w:rsidRPr="007F4B02">
        <w:rPr>
          <w:rFonts w:ascii="Cambria Math" w:hAnsi="Cambria Math" w:cs="Cambria Math"/>
          <w:bCs/>
        </w:rPr>
        <w:instrText>‐</w:instrText>
      </w:r>
      <w:r w:rsidRPr="007F4B02">
        <w:rPr>
          <w:bCs/>
        </w:rPr>
        <w:instrText>Gagnère","given":"Gabriel","non-dropping-particle":"","parse-names":false,"suffix":""},{"dropping-particle":"","family":"Appels","given":"Rudi","non-dropping-particle":"","parse-names":false,"suffix":""},{"dropping-particle":"","family":"Snowdon","given":"Rod J.","non-dropping-particle":"","parse-names":false,"suffix":""}],"container-title":"Plant, Cell &amp; Environment","id":"ITEM-1","issue":"5","issued":{"date-parts":[["2017","5","18"]]},"page":"717-725","title":"Linkage drag constrains the roots of modern wheat","type":"article-journal","volume":"40"},"uris":["http://www.mendeley.com/documents/?uuid=cd1671a1-c67d-4b58-9718-666e72e03498"]}],"mendeley":{"formattedCitation":"(Voss</w:instrText>
      </w:r>
      <w:r w:rsidRPr="007F4B02">
        <w:rPr>
          <w:rFonts w:ascii="Cambria Math" w:hAnsi="Cambria Math" w:cs="Cambria Math"/>
          <w:bCs/>
        </w:rPr>
        <w:instrText>‐</w:instrText>
      </w:r>
      <w:r w:rsidRPr="007F4B02">
        <w:rPr>
          <w:bCs/>
        </w:rPr>
        <w:instrText>Fels et al., 2017)","plainTextFormattedCitation":"(Voss</w:instrText>
      </w:r>
      <w:r w:rsidRPr="007F4B02">
        <w:rPr>
          <w:rFonts w:ascii="Cambria Math" w:hAnsi="Cambria Math" w:cs="Cambria Math"/>
          <w:bCs/>
        </w:rPr>
        <w:instrText>‐</w:instrText>
      </w:r>
      <w:r w:rsidRPr="007F4B02">
        <w:rPr>
          <w:bCs/>
        </w:rPr>
        <w:instrText>Fels et al., 2017)","previouslyFormattedCitation":"(Voss</w:instrText>
      </w:r>
      <w:r w:rsidRPr="007F4B02">
        <w:rPr>
          <w:rFonts w:ascii="Cambria Math" w:hAnsi="Cambria Math" w:cs="Cambria Math"/>
          <w:bCs/>
        </w:rPr>
        <w:instrText>‐</w:instrText>
      </w:r>
      <w:r w:rsidRPr="007F4B02">
        <w:rPr>
          <w:bCs/>
        </w:rPr>
        <w:instrText>Fels et al., 2017)"},"properties":{"noteIndex":0},"schema":"https://github.com/citation-style-language/schema/raw/master/csl-citation.json"}</w:instrText>
      </w:r>
      <w:r w:rsidRPr="007F4B02">
        <w:rPr>
          <w:bCs/>
        </w:rPr>
        <w:fldChar w:fldCharType="separate"/>
      </w:r>
      <w:r w:rsidRPr="007F4B02">
        <w:rPr>
          <w:bCs/>
          <w:noProof/>
        </w:rPr>
        <w:t>(Voss</w:t>
      </w:r>
      <w:r w:rsidRPr="007F4B02">
        <w:rPr>
          <w:rFonts w:ascii="Cambria Math" w:hAnsi="Cambria Math" w:cs="Cambria Math"/>
          <w:bCs/>
          <w:noProof/>
        </w:rPr>
        <w:t>‐</w:t>
      </w:r>
      <w:r w:rsidRPr="007F4B02">
        <w:rPr>
          <w:bCs/>
          <w:noProof/>
        </w:rPr>
        <w:t>Fels et al., 2017)</w:t>
      </w:r>
      <w:r w:rsidRPr="007F4B02">
        <w:rPr>
          <w:bCs/>
        </w:rPr>
        <w:fldChar w:fldCharType="end"/>
      </w:r>
      <w:r w:rsidRPr="007F4B02">
        <w:rPr>
          <w:bCs/>
        </w:rPr>
        <w:t xml:space="preserve">. In barley the converse appears to have happened, as barley seminal root number in seedlings has increased greatly with breeding overtime, which appears to be associated with increases in yield </w:t>
      </w:r>
      <w:r w:rsidRPr="007F4B02">
        <w:rPr>
          <w:bCs/>
        </w:rPr>
        <w:fldChar w:fldCharType="begin" w:fldLock="1"/>
      </w:r>
      <w:r w:rsidRPr="007F4B02">
        <w:rPr>
          <w:bCs/>
        </w:rPr>
        <w:instrText>ADDIN CSL_CITATION {"citationItems":[{"id":"ITEM-1","itemData":{"DOI":"10.1007/BF00035941","ISSN":"0014-2336","author":[{"dropping-particle":"","family":"Grando","given":"Stefania","non-dropping-particle":"","parse-names":false,"suffix":""},{"dropping-particle":"","family":"Ceccarelli","given":"Salvatore","non-dropping-particle":"","parse-names":false,"suffix":""}],"container-title":"Euphytica","id":"ITEM-1","issue":"1","issued":{"date-parts":[["1995","1"]]},"page":"73-80","title":"Seminal root morphology and coleoptile length in wild (Hordeum vulgare ssp. spontaneum) and cultivated (Hordeum vulgare ssp. vulgare) barley","type":"article-journal","volume":"86"},"uris":["http://www.mendeley.com/documents/?uuid=e3366beb-57b2-41d3-ab82-46fab3f2000b"]}],"mendeley":{"formattedCitation":"(Grando and Ceccarelli, 1995)","plainTextFormattedCitation":"(Grando and Ceccarelli, 1995)","previouslyFormattedCitation":"(Grando and Ceccarelli, 1995)"},"properties":{"noteIndex":0},"schema":"https://github.com/citation-style-language/schema/raw/master/csl-citation.json"}</w:instrText>
      </w:r>
      <w:r w:rsidRPr="007F4B02">
        <w:rPr>
          <w:bCs/>
        </w:rPr>
        <w:fldChar w:fldCharType="separate"/>
      </w:r>
      <w:r w:rsidRPr="007F4B02">
        <w:rPr>
          <w:bCs/>
          <w:noProof/>
        </w:rPr>
        <w:t>(Grando and Ceccarelli, 1995)</w:t>
      </w:r>
      <w:r w:rsidRPr="007F4B02">
        <w:rPr>
          <w:bCs/>
        </w:rPr>
        <w:fldChar w:fldCharType="end"/>
      </w:r>
      <w:r w:rsidRPr="007F4B02">
        <w:rPr>
          <w:bCs/>
        </w:rPr>
        <w:t>. Therefore, considering the data presented in Sections 3.</w:t>
      </w:r>
      <w:r w:rsidR="0058656A">
        <w:rPr>
          <w:bCs/>
        </w:rPr>
        <w:t>4</w:t>
      </w:r>
      <w:r w:rsidRPr="007F4B02">
        <w:rPr>
          <w:bCs/>
        </w:rPr>
        <w:t>.3 and 3.</w:t>
      </w:r>
      <w:r w:rsidR="0058656A">
        <w:rPr>
          <w:bCs/>
        </w:rPr>
        <w:t>4.</w:t>
      </w:r>
      <w:r w:rsidRPr="007F4B02">
        <w:rPr>
          <w:bCs/>
        </w:rPr>
        <w:t>4 it seems likely that in modern wheat, root system size had become a limiting factor on shoot growth, while in modern barley, root system size is not a key limiting factor. The differences in breeding in root system architecture between modern barley and wheat help to explain why root density is predictive of shoot biomass in wheat but not in barley.</w:t>
      </w:r>
    </w:p>
    <w:p w14:paraId="0144E7B5" w14:textId="77777777" w:rsidR="0051783F" w:rsidRDefault="0051783F" w:rsidP="0051783F">
      <w:pPr>
        <w:numPr>
          <w:ilvl w:val="2"/>
          <w:numId w:val="0"/>
        </w:numPr>
        <w:spacing w:before="160" w:line="480" w:lineRule="auto"/>
        <w:outlineLvl w:val="2"/>
        <w:rPr>
          <w:bCs/>
          <w:color w:val="00B050"/>
        </w:rPr>
      </w:pPr>
    </w:p>
    <w:p w14:paraId="4B79C2CD" w14:textId="77777777" w:rsidR="0051783F" w:rsidRPr="00FB33EC" w:rsidRDefault="0051783F" w:rsidP="0051783F">
      <w:pPr>
        <w:keepNext/>
        <w:keepLines/>
        <w:numPr>
          <w:ilvl w:val="2"/>
          <w:numId w:val="0"/>
        </w:numPr>
        <w:spacing w:before="160" w:line="480" w:lineRule="auto"/>
        <w:outlineLvl w:val="2"/>
        <w:rPr>
          <w:bCs/>
          <w:color w:val="000000" w:themeColor="text1"/>
          <w:u w:val="single"/>
        </w:rPr>
      </w:pPr>
      <w:r>
        <w:rPr>
          <w:bCs/>
          <w:color w:val="000000" w:themeColor="text1"/>
          <w:u w:val="single"/>
        </w:rPr>
        <w:t>Natural variation</w:t>
      </w:r>
      <w:r w:rsidRPr="00FB33EC">
        <w:rPr>
          <w:bCs/>
          <w:color w:val="000000" w:themeColor="text1"/>
          <w:u w:val="single"/>
        </w:rPr>
        <w:t xml:space="preserve"> </w:t>
      </w:r>
      <w:r>
        <w:rPr>
          <w:bCs/>
          <w:color w:val="000000" w:themeColor="text1"/>
          <w:u w:val="single"/>
        </w:rPr>
        <w:t xml:space="preserve">indicates other factors controlling </w:t>
      </w:r>
      <w:r w:rsidRPr="00FB33EC">
        <w:rPr>
          <w:bCs/>
          <w:color w:val="000000" w:themeColor="text1"/>
          <w:u w:val="single"/>
        </w:rPr>
        <w:t>soil volume responses</w:t>
      </w:r>
    </w:p>
    <w:p w14:paraId="19330738" w14:textId="5ECF66FB" w:rsidR="0051783F" w:rsidRDefault="0051783F" w:rsidP="0051783F">
      <w:pPr>
        <w:keepNext/>
        <w:numPr>
          <w:ilvl w:val="2"/>
          <w:numId w:val="0"/>
        </w:numPr>
        <w:spacing w:before="160" w:line="480" w:lineRule="auto"/>
        <w:outlineLvl w:val="2"/>
        <w:rPr>
          <w:bCs/>
          <w:color w:val="000000" w:themeColor="text1"/>
        </w:rPr>
      </w:pPr>
      <w:r w:rsidRPr="007D1000">
        <w:rPr>
          <w:bCs/>
          <w:color w:val="000000" w:themeColor="text1"/>
        </w:rPr>
        <w:t xml:space="preserve">Root density assessments in </w:t>
      </w:r>
      <w:r>
        <w:rPr>
          <w:bCs/>
          <w:color w:val="000000" w:themeColor="text1"/>
        </w:rPr>
        <w:t xml:space="preserve">Section </w:t>
      </w:r>
      <w:r w:rsidRPr="007D1000">
        <w:rPr>
          <w:bCs/>
          <w:color w:val="000000" w:themeColor="text1"/>
        </w:rPr>
        <w:t>3.</w:t>
      </w:r>
      <w:r w:rsidR="0058656A">
        <w:rPr>
          <w:bCs/>
          <w:color w:val="000000" w:themeColor="text1"/>
        </w:rPr>
        <w:t>4</w:t>
      </w:r>
      <w:r w:rsidRPr="007D1000">
        <w:rPr>
          <w:bCs/>
          <w:color w:val="000000" w:themeColor="text1"/>
        </w:rPr>
        <w:t xml:space="preserve">.1 suggested that wheat and barley elite lines initially show a higher root density in </w:t>
      </w:r>
      <w:r w:rsidR="00781456">
        <w:rPr>
          <w:bCs/>
          <w:color w:val="000000" w:themeColor="text1"/>
        </w:rPr>
        <w:t xml:space="preserve">the </w:t>
      </w:r>
      <w:r w:rsidRPr="007D1000">
        <w:rPr>
          <w:bCs/>
          <w:color w:val="000000" w:themeColor="text1"/>
        </w:rPr>
        <w:t>small</w:t>
      </w:r>
      <w:r>
        <w:rPr>
          <w:bCs/>
          <w:color w:val="000000" w:themeColor="text1"/>
        </w:rPr>
        <w:t>er</w:t>
      </w:r>
      <w:r w:rsidRPr="007D1000">
        <w:rPr>
          <w:bCs/>
          <w:color w:val="000000" w:themeColor="text1"/>
        </w:rPr>
        <w:t xml:space="preserve"> </w:t>
      </w:r>
      <w:r>
        <w:rPr>
          <w:bCs/>
          <w:color w:val="000000" w:themeColor="text1"/>
        </w:rPr>
        <w:t xml:space="preserve">soil </w:t>
      </w:r>
      <w:r w:rsidRPr="007D1000">
        <w:rPr>
          <w:bCs/>
          <w:color w:val="000000" w:themeColor="text1"/>
        </w:rPr>
        <w:t xml:space="preserve">volume but over time this is matched by the large </w:t>
      </w:r>
      <w:r>
        <w:rPr>
          <w:bCs/>
          <w:color w:val="000000" w:themeColor="text1"/>
        </w:rPr>
        <w:t xml:space="preserve">soil </w:t>
      </w:r>
      <w:r w:rsidRPr="007D1000">
        <w:rPr>
          <w:bCs/>
          <w:color w:val="000000" w:themeColor="text1"/>
        </w:rPr>
        <w:t xml:space="preserve">volume. This suggested that root density could play a part in how plants detect their available space and that perhaps once a </w:t>
      </w:r>
      <w:r>
        <w:rPr>
          <w:bCs/>
          <w:color w:val="000000" w:themeColor="text1"/>
        </w:rPr>
        <w:t xml:space="preserve">critical </w:t>
      </w:r>
      <w:r w:rsidRPr="007D1000">
        <w:rPr>
          <w:bCs/>
          <w:color w:val="000000" w:themeColor="text1"/>
        </w:rPr>
        <w:t xml:space="preserve">threshold of root density is reached this inhibits further </w:t>
      </w:r>
      <w:r>
        <w:rPr>
          <w:bCs/>
          <w:color w:val="000000" w:themeColor="text1"/>
        </w:rPr>
        <w:t>shoot</w:t>
      </w:r>
      <w:r w:rsidRPr="007D1000">
        <w:rPr>
          <w:bCs/>
          <w:color w:val="000000" w:themeColor="text1"/>
        </w:rPr>
        <w:t xml:space="preserve"> growth.</w:t>
      </w:r>
      <w:r w:rsidRPr="00B353EF">
        <w:rPr>
          <w:bCs/>
        </w:rPr>
        <w:t xml:space="preserve"> However, when exploring intraspecific variation in root density over time in multiple wheat and barley lines (landrace and elite) (Sections 3.</w:t>
      </w:r>
      <w:r w:rsidR="0058656A">
        <w:rPr>
          <w:bCs/>
        </w:rPr>
        <w:t>4</w:t>
      </w:r>
      <w:r w:rsidRPr="00B353EF">
        <w:rPr>
          <w:bCs/>
        </w:rPr>
        <w:t>.3 and 3.</w:t>
      </w:r>
      <w:r w:rsidR="0058656A">
        <w:rPr>
          <w:bCs/>
        </w:rPr>
        <w:t>4</w:t>
      </w:r>
      <w:r w:rsidRPr="00B353EF">
        <w:rPr>
          <w:bCs/>
        </w:rPr>
        <w:t xml:space="preserve">.4), I observed significant variability in the way that cultivars respond to increasing root density, and in the ‘threshold’ </w:t>
      </w:r>
      <w:r w:rsidR="00721F50">
        <w:rPr>
          <w:bCs/>
        </w:rPr>
        <w:t xml:space="preserve">root </w:t>
      </w:r>
      <w:r w:rsidRPr="00B353EF">
        <w:rPr>
          <w:bCs/>
        </w:rPr>
        <w:t xml:space="preserve">densities that each line reached. </w:t>
      </w:r>
      <w:r w:rsidRPr="00BE0C4F">
        <w:rPr>
          <w:bCs/>
          <w:color w:val="000000" w:themeColor="text1"/>
        </w:rPr>
        <w:t xml:space="preserve">Consequently, this suggests that </w:t>
      </w:r>
      <w:r>
        <w:rPr>
          <w:bCs/>
          <w:color w:val="000000" w:themeColor="text1"/>
        </w:rPr>
        <w:t xml:space="preserve">absolute </w:t>
      </w:r>
      <w:r w:rsidRPr="00BE0C4F">
        <w:rPr>
          <w:bCs/>
          <w:color w:val="000000" w:themeColor="text1"/>
        </w:rPr>
        <w:t>root density is unlikely to be the only factor controlling soil volume responses in the shoot</w:t>
      </w:r>
      <w:r>
        <w:rPr>
          <w:bCs/>
          <w:color w:val="000000" w:themeColor="text1"/>
        </w:rPr>
        <w:t xml:space="preserve">, </w:t>
      </w:r>
      <w:r>
        <w:rPr>
          <w:bCs/>
          <w:color w:val="000000" w:themeColor="text1"/>
        </w:rPr>
        <w:lastRenderedPageBreak/>
        <w:t>and that genetic factors controlling the sensitivity to root density likely play an important role.</w:t>
      </w:r>
    </w:p>
    <w:p w14:paraId="55A8BEFE" w14:textId="77777777" w:rsidR="0051783F" w:rsidRPr="002E74E7" w:rsidRDefault="0051783F" w:rsidP="0051783F">
      <w:pPr>
        <w:numPr>
          <w:ilvl w:val="2"/>
          <w:numId w:val="0"/>
        </w:numPr>
        <w:spacing w:before="160" w:line="480" w:lineRule="auto"/>
        <w:outlineLvl w:val="2"/>
        <w:rPr>
          <w:bCs/>
          <w:color w:val="000000" w:themeColor="text1"/>
          <w:u w:val="single"/>
        </w:rPr>
      </w:pPr>
    </w:p>
    <w:p w14:paraId="45B3F356" w14:textId="0649DB9E" w:rsidR="0051783F" w:rsidRDefault="0051783F" w:rsidP="0051783F">
      <w:pPr>
        <w:spacing w:line="480" w:lineRule="auto"/>
        <w:rPr>
          <w:color w:val="000000" w:themeColor="text1"/>
        </w:rPr>
      </w:pPr>
      <w:r w:rsidRPr="00697A6C">
        <w:rPr>
          <w:color w:val="000000" w:themeColor="text1"/>
        </w:rPr>
        <w:t xml:space="preserve">In </w:t>
      </w:r>
      <w:r>
        <w:rPr>
          <w:color w:val="000000" w:themeColor="text1"/>
        </w:rPr>
        <w:t xml:space="preserve">modern </w:t>
      </w:r>
      <w:r w:rsidRPr="00697A6C">
        <w:rPr>
          <w:color w:val="000000" w:themeColor="text1"/>
        </w:rPr>
        <w:t>agricultu</w:t>
      </w:r>
      <w:r>
        <w:rPr>
          <w:color w:val="000000" w:themeColor="text1"/>
        </w:rPr>
        <w:t>re</w:t>
      </w:r>
      <w:r w:rsidRPr="00697A6C">
        <w:rPr>
          <w:color w:val="000000" w:themeColor="text1"/>
        </w:rPr>
        <w:t xml:space="preserve">, producing a high amount of yield in a given space is crucial for </w:t>
      </w:r>
      <w:r>
        <w:rPr>
          <w:color w:val="000000" w:themeColor="text1"/>
        </w:rPr>
        <w:t>profitable farming</w:t>
      </w:r>
      <w:r w:rsidRPr="00697A6C">
        <w:rPr>
          <w:color w:val="000000" w:themeColor="text1"/>
        </w:rPr>
        <w:t xml:space="preserve">. Therefore, having a crop which can still produce a high yield when subjected to crowding and consequently limited soil volume in which to grow is highly important. Plant breeding has involved selecting for a set of traits which allow for high yield in a range of conditions </w:t>
      </w:r>
      <w:r w:rsidRPr="00697A6C">
        <w:rPr>
          <w:color w:val="000000" w:themeColor="text1"/>
        </w:rPr>
        <w:fldChar w:fldCharType="begin" w:fldLock="1"/>
      </w:r>
      <w:r w:rsidRPr="00697A6C">
        <w:rPr>
          <w:color w:val="000000" w:themeColor="text1"/>
        </w:rPr>
        <w:instrText>ADDIN CSL_CITATION {"citationItems":[{"id":"ITEM-1","itemData":{"DOI":"10.1201/9781351075718","ISBN":"9781351075718","author":[{"dropping-particle":"","family":"Blum","given":"Abraham","non-dropping-particle":"","parse-names":false,"suffix":""}],"id":"ITEM-1","issued":{"date-parts":[["2018","1","18"]]},"publisher":"CRC Press","title":"Plant Breeding for Stress Environments","type":"book"},"uris":["http://www.mendeley.com/documents/?uuid=72fd70b9-1ad5-4189-b8e4-335fb682a3ae"]},{"id":"ITEM-2","itemData":{"DOI":"10.1111/1365-2745.12792","ISSN":"0022-0477","author":[{"dropping-particle":"","family":"Weiner","given":"Jacob","non-dropping-particle":"","parse-names":false,"suffix":""}],"container-title":"Journal of Ecology","editor":[{"dropping-particle":"","family":"Gibson","given":"David","non-dropping-particle":"","parse-names":false,"suffix":""}],"id":"ITEM-2","issue":"4","issued":{"date-parts":[["2017","7","19"]]},"page":"865-870","title":"Applying plant ecological knowledge to increase agricultural sustainability","type":"article-journal","volume":"105"},"uris":["http://www.mendeley.com/documents/?uuid=4827db9b-bbdf-4441-8875-6686c1b601c1"]}],"mendeley":{"formattedCitation":"(Weiner, 2017; Blum, 2018)","plainTextFormattedCitation":"(Weiner, 2017; Blum, 2018)","previouslyFormattedCitation":"(Weiner, 2017; Blum, 2018)"},"properties":{"noteIndex":0},"schema":"https://github.com/citation-style-language/schema/raw/master/csl-citation.json"}</w:instrText>
      </w:r>
      <w:r w:rsidRPr="00697A6C">
        <w:rPr>
          <w:color w:val="000000" w:themeColor="text1"/>
        </w:rPr>
        <w:fldChar w:fldCharType="separate"/>
      </w:r>
      <w:r w:rsidRPr="00697A6C">
        <w:rPr>
          <w:noProof/>
          <w:color w:val="000000" w:themeColor="text1"/>
        </w:rPr>
        <w:t>(Weiner, 2017; Blum, 2018)</w:t>
      </w:r>
      <w:r w:rsidRPr="00697A6C">
        <w:rPr>
          <w:color w:val="000000" w:themeColor="text1"/>
        </w:rPr>
        <w:fldChar w:fldCharType="end"/>
      </w:r>
      <w:r w:rsidRPr="00697A6C">
        <w:rPr>
          <w:color w:val="000000" w:themeColor="text1"/>
        </w:rPr>
        <w:t xml:space="preserve">. Therefore it would be expected that this has resulted in cultivars which have rather different responses to neighbour density than landrace and wild relatives </w:t>
      </w:r>
      <w:r w:rsidRPr="00697A6C">
        <w:rPr>
          <w:color w:val="000000" w:themeColor="text1"/>
        </w:rPr>
        <w:fldChar w:fldCharType="begin" w:fldLock="1"/>
      </w:r>
      <w:r w:rsidRPr="00697A6C">
        <w:rPr>
          <w:color w:val="000000" w:themeColor="text1"/>
        </w:rPr>
        <w:instrText>ADDIN CSL_CITATION {"citationItems":[{"id":"ITEM-1","itemData":{"DOI":"10.1111/pce.13965","ISSN":"0140-7791","author":[{"dropping-particle":"","family":"Bilas","given":"Roza D.","non-dropping-particle":"","parse-names":false,"suffix":""},{"dropping-particle":"","family":"Bretman","given":"Amanda","non-dropping-particle":"","parse-names":false,"suffix":""},{"dropping-particle":"","family":"Bennett","given":"Tom","non-dropping-particle":"","parse-names":false,"suffix":""}],"container-title":"Plant, Cell &amp; Environment","id":"ITEM-1","issue":"4","issued":{"date-parts":[["2021","4","15"]]},"page":"997-1013","title":"Friends, neighbours and enemies: an overview of the communal and social biology of plants","type":"article-journal","volume":"44"},"uris":["http://www.mendeley.com/documents/?uuid=6f5d77a1-17e6-4994-9d2e-af28f1a99d3c"]}],"mendeley":{"formattedCitation":"(Bilas et al., 2021)","plainTextFormattedCitation":"(Bilas et al., 2021)","previouslyFormattedCitation":"(Bilas et al., 2021)"},"properties":{"noteIndex":0},"schema":"https://github.com/citation-style-language/schema/raw/master/csl-citation.json"}</w:instrText>
      </w:r>
      <w:r w:rsidRPr="00697A6C">
        <w:rPr>
          <w:color w:val="000000" w:themeColor="text1"/>
        </w:rPr>
        <w:fldChar w:fldCharType="separate"/>
      </w:r>
      <w:r w:rsidRPr="00697A6C">
        <w:rPr>
          <w:noProof/>
          <w:color w:val="000000" w:themeColor="text1"/>
        </w:rPr>
        <w:t>(Bilas et al., 2021)</w:t>
      </w:r>
      <w:r w:rsidRPr="00697A6C">
        <w:rPr>
          <w:color w:val="000000" w:themeColor="text1"/>
        </w:rPr>
        <w:fldChar w:fldCharType="end"/>
      </w:r>
      <w:r w:rsidRPr="00697A6C">
        <w:rPr>
          <w:color w:val="000000" w:themeColor="text1"/>
        </w:rPr>
        <w:t xml:space="preserve">. Data presented in this chapter supports this view, although admittedly this </w:t>
      </w:r>
      <w:r>
        <w:rPr>
          <w:color w:val="000000" w:themeColor="text1"/>
        </w:rPr>
        <w:t xml:space="preserve">is </w:t>
      </w:r>
      <w:r w:rsidRPr="00697A6C">
        <w:rPr>
          <w:color w:val="000000" w:themeColor="text1"/>
        </w:rPr>
        <w:t>mainly based on soil volume responses, rather than neighbour density responses themselves. The soil volume screen in 3.</w:t>
      </w:r>
      <w:r w:rsidR="00721F50">
        <w:rPr>
          <w:color w:val="000000" w:themeColor="text1"/>
        </w:rPr>
        <w:t>3</w:t>
      </w:r>
      <w:r w:rsidRPr="00697A6C">
        <w:rPr>
          <w:color w:val="000000" w:themeColor="text1"/>
        </w:rPr>
        <w:t xml:space="preserve"> showed that modern </w:t>
      </w:r>
      <w:r w:rsidR="00721F50">
        <w:rPr>
          <w:color w:val="000000" w:themeColor="text1"/>
        </w:rPr>
        <w:t xml:space="preserve">barley </w:t>
      </w:r>
      <w:r w:rsidRPr="00697A6C">
        <w:rPr>
          <w:color w:val="000000" w:themeColor="text1"/>
        </w:rPr>
        <w:t xml:space="preserve">cultivars appear to be more plastic in their ability to respond to their available space, </w:t>
      </w:r>
      <w:r>
        <w:rPr>
          <w:color w:val="000000" w:themeColor="text1"/>
        </w:rPr>
        <w:t xml:space="preserve">and </w:t>
      </w:r>
      <w:r w:rsidRPr="00697A6C">
        <w:rPr>
          <w:color w:val="000000" w:themeColor="text1"/>
        </w:rPr>
        <w:t>understanding the genetic basis</w:t>
      </w:r>
      <w:r>
        <w:rPr>
          <w:color w:val="000000" w:themeColor="text1"/>
        </w:rPr>
        <w:t xml:space="preserve"> of</w:t>
      </w:r>
      <w:r w:rsidRPr="00697A6C">
        <w:rPr>
          <w:color w:val="000000" w:themeColor="text1"/>
        </w:rPr>
        <w:t xml:space="preserve"> </w:t>
      </w:r>
      <w:r>
        <w:rPr>
          <w:color w:val="000000" w:themeColor="text1"/>
        </w:rPr>
        <w:t>this sensitivity to soil volume (and presumably neighbour density)</w:t>
      </w:r>
      <w:r w:rsidRPr="00697A6C">
        <w:rPr>
          <w:color w:val="000000" w:themeColor="text1"/>
        </w:rPr>
        <w:t xml:space="preserve"> would be highly beneficial for future breeding programs. </w:t>
      </w:r>
    </w:p>
    <w:p w14:paraId="39A0AA43" w14:textId="77777777" w:rsidR="0051783F" w:rsidRPr="0051783F" w:rsidRDefault="0051783F" w:rsidP="0051783F"/>
    <w:p w14:paraId="5BA9E6B1" w14:textId="77777777" w:rsidR="000B1137" w:rsidRDefault="000B1137" w:rsidP="000B1137"/>
    <w:p w14:paraId="03CB1A16" w14:textId="77777777" w:rsidR="00A72715" w:rsidRDefault="00A72715" w:rsidP="000B1137"/>
    <w:p w14:paraId="23C55ECE" w14:textId="77777777" w:rsidR="00A72715" w:rsidRDefault="00A72715" w:rsidP="000B1137"/>
    <w:p w14:paraId="2B04D819" w14:textId="77777777" w:rsidR="00A72715" w:rsidRDefault="00A72715" w:rsidP="000B1137"/>
    <w:p w14:paraId="33A9A5E4" w14:textId="77777777" w:rsidR="00A72715" w:rsidRPr="000B1137" w:rsidRDefault="00A72715" w:rsidP="000B1137"/>
    <w:p w14:paraId="3F42FA2F" w14:textId="7F23E650" w:rsidR="00F3071B" w:rsidRDefault="00434D4F" w:rsidP="00F3071B">
      <w:pPr>
        <w:pStyle w:val="Heading1"/>
      </w:pPr>
      <w:bookmarkStart w:id="182" w:name="_Toc154331485"/>
      <w:r>
        <w:lastRenderedPageBreak/>
        <w:t>Defining mechanisms for plant volume and neighbour perception</w:t>
      </w:r>
      <w:bookmarkEnd w:id="182"/>
    </w:p>
    <w:p w14:paraId="0777569A" w14:textId="77777777" w:rsidR="00706805" w:rsidRPr="00706805" w:rsidRDefault="00706805" w:rsidP="00743E4C">
      <w:pPr>
        <w:pStyle w:val="Heading2"/>
        <w:numPr>
          <w:ilvl w:val="0"/>
          <w:numId w:val="0"/>
        </w:numPr>
        <w:ind w:left="737"/>
      </w:pPr>
    </w:p>
    <w:p w14:paraId="4A3B6DD5" w14:textId="1363AF1D" w:rsidR="006029B8" w:rsidRDefault="00D51301" w:rsidP="00743E4C">
      <w:pPr>
        <w:pStyle w:val="Heading2"/>
      </w:pPr>
      <w:bookmarkStart w:id="183" w:name="_Toc154331486"/>
      <w:r w:rsidRPr="00D51301">
        <w:t>Introduction</w:t>
      </w:r>
      <w:bookmarkEnd w:id="183"/>
    </w:p>
    <w:p w14:paraId="64FCEAF0" w14:textId="664E7A04" w:rsidR="00D51301" w:rsidRPr="002338B2" w:rsidRDefault="00D51301" w:rsidP="00D51301">
      <w:pPr>
        <w:spacing w:line="480" w:lineRule="auto"/>
        <w:rPr>
          <w:rFonts w:eastAsia="Calibri" w:cs="Times New Roman"/>
        </w:rPr>
      </w:pPr>
      <w:r>
        <w:rPr>
          <w:rFonts w:cs="Times New Roman"/>
          <w:bCs/>
        </w:rPr>
        <w:t xml:space="preserve">In chapter 3, I described the shoot and root responses of plants to soil volume and neighbour density, and how these responses likely arise from root-based crowding. </w:t>
      </w:r>
      <w:r>
        <w:rPr>
          <w:rFonts w:eastAsia="Calibri" w:cs="Times New Roman"/>
        </w:rPr>
        <w:t xml:space="preserve">It is clear from the literature that plants can detect and respond to the presence of other plants in their environment </w:t>
      </w:r>
      <w:r w:rsidR="00781456">
        <w:rPr>
          <w:rFonts w:eastAsia="Calibri" w:cs="Times New Roman"/>
        </w:rPr>
        <w:t xml:space="preserve">utilising </w:t>
      </w:r>
      <w:r>
        <w:rPr>
          <w:rFonts w:eastAsia="Calibri" w:cs="Times New Roman"/>
        </w:rPr>
        <w:t xml:space="preserve">a variety of different mechanisms including light, volatiles and root exudates </w:t>
      </w:r>
      <w:r>
        <w:rPr>
          <w:rFonts w:eastAsia="Calibri" w:cs="Times New Roman"/>
        </w:rPr>
        <w:fldChar w:fldCharType="begin" w:fldLock="1"/>
      </w:r>
      <w:r w:rsidR="009E2971">
        <w:rPr>
          <w:rFonts w:eastAsia="Calibri" w:cs="Times New Roman"/>
        </w:rPr>
        <w:instrText>ADDIN CSL_CITATION {"citationItems":[{"id":"ITEM-1","itemData":{"DOI":"10.1098/rsbl.2010.0440","ISSN":"1744-9561","abstract":"Plants respond to attack by herbivores or pathogens with the release of volatile organic compounds. Neighbouring plants can receive these volatiles and consecutively induce their own defence arsenal. This ‘plant communication’, however, appears counterintuitive when it benefits independent and genetically unrelated receivers, which may compete with the emitter. As a solution to this problem, a role for volatile compounds in within-plant signalling has been predicted. We used wild-type lima bean ( Phaseolus lunatus ) to quantify under field conditions the distances over which volatile signals move, and thereby determine whether these cues will mainly trigger resistance in other parts of the same plant or in independent plants. Independent receiver plants exhibited airborne resistance to herbivores or pathogens at maximum distances of 50 cm from a resistance-expressing emitter. In undisturbed clusters of lima bean, over 80 per cent of all leaves that were located around a single leaf at this distance were other leaves of the same plant, whereas this percentage dropped below 50 per cent at larger distances. Under natural conditions, resistance-inducing volatiles of lima bean move over distances at which most leaves that can receive the signal still belong to the same plant.","author":[{"dropping-particle":"","family":"Heil","given":"Martin","non-dropping-particle":"","parse-names":false,"suffix":""},{"dropping-particle":"","family":"Adame-Álvarez","given":"Rosa M.","non-dropping-particle":"","parse-names":false,"suffix":""}],"container-title":"Biology Letters","id":"ITEM-1","issue":"6","issued":{"date-parts":[["2010","12","23"]]},"page":"843-845","title":"Short signalling distances make plant communication a soliloquy","type":"article-journal","volume":"6"},"uris":["http://www.mendeley.com/documents/?uuid=f0a7c61e-3907-464c-bbeb-17ec816a6204"]},{"id":"ITEM-2","itemData":{"DOI":"10.3389/fpls.2016.00236","ISSN":"1664-462X","abstract":"In high density of vegetation, plants detect neighbors by perceiving changes in light quality through phytochrome photoreceptors. Close vegetation proximity might result in competition for resources, such as light. To face this challenge, plants have evolved two alternative strategies: to either tolerate or avoid shade. Shade-avoiding species generally adapt their development by inducing hypocotyl, stem, and petiole elongation, apical dominance and flowering, and decreasing leaf expansion and yield, a set of responses collectively known as the shade avoidance syndrome (SAS). The SAS responses have been mostly studied at the seedling stage, centered on the increase of hypocotyl elongation. After compiling the main findings about SAS responses in seedlings, this review is focused on the response to shade at adult stages of development, such as petioles of adult leaves, and the little information available on the SAS responses in reproductive tissues. We discuss these responses based on the knowledge about the molecular mechanisms and components with a role in regulating the SAS response of the hypocotyls of Arabidopsis thaliana. The transcriptional networks involved in this process, as well as the communication among the tissues that perceive the shade and the ones that respond to this stimulus will also be briefly commented.","author":[{"dropping-particle":"","family":"Roig-Villanova","given":"Irma","non-dropping-particle":"","parse-names":false,"suffix":""},{"dropping-particle":"","family":"Martínez-García","given":"Jaime F","non-dropping-particle":"","parse-names":false,"suffix":""}],"container-title":"Frontiers in Plant Science","id":"ITEM-2","issued":{"date-parts":[["2016","2","29"]]},"page":"236","publisher":"Frontiers Media S.A.","title":"Plant responses to vegetation proximity: A whole life avoiding shade","type":"article-journal","volume":"7"},"uris":["http://www.mendeley.com/documents/?uuid=9d8a4257-0103-30f1-9956-14e27ff422a2"]},{"id":"ITEM-3","itemData":{"DOI":"10.1111/nph.15296","ISSN":"14698137","abstract":"Kin recognition is an important mediator of interactions within individuals of a species. Despite increasing evidence of kin recognition in natural plant populations, relatively little is known about kin recognition in crop species where numerous cultivars have been generated by artificial selection. We identified rice (Oryza sativa) cultivars with the ability for kin recognition from two sets of indica-inbred and indica-hybrid lines at different levels of genetic relatedness. We then assessed this ability among kin and nonkin and tested potential mechanisms in a series of controlled experiments and field trails. Rice cultivars with the ability for kin recognition were capable of detecting the presence of kin and nonkin and responded to them by altering root behavior and biomass allocation, particularly for grain yield. Furthermore, we assessed the role of root exudates and found a root-secreted nitrogen-rich allantoin component to be responsible for kin recognition in rice lines. Kin recognition in rice lines mediated by root exudates occurs in a cultivar-dependent manner. Rice cultivars with the ability for kin recognition may increase grain yield in the presence of kin. Such an improvement of grain yield by kin recognition of cultivar mixtures offers many implications and applications in rice production.","author":[{"dropping-particle":"","family":"Yang","given":"Xue Fang","non-dropping-particle":"","parse-names":false,"suffix":""},{"dropping-particle":"","family":"Li","given":"Lei Lei","non-dropping-particle":"","parse-names":false,"suffix":""},{"dropping-particle":"","family":"Xu","given":"You","non-dropping-particle":"","parse-names":false,"suffix":""},{"dropping-particle":"","family":"Kong","given":"Chui Hua","non-dropping-particle":"","parse-names":false,"suffix":""}],"container-title":"New Phytologist","id":"ITEM-3","issue":"2","issued":{"date-parts":[["2018","10","1"]]},"page":"567-578","publisher":"Blackwell Publishing Ltd","title":"Kin recognition in rice (Oryza sativa) lines","type":"article-journal","volume":"220"},"uris":["http://www.mendeley.com/documents/?uuid=b16268a0-a6bd-378e-905e-ecdd46be0ad4"]},{"id":"ITEM-4","itemData":{"DOI":"10.1038/s41467-018-06429-1","ISSN":"2041-1723","author":[{"dropping-particle":"","family":"Kong","given":"Chui-Hua","non-dropping-particle":"","parse-names":false,"suffix":""},{"dropping-particle":"","family":"Zhang","given":"Song-Zhu","non-dropping-particle":"","parse-names":false,"suffix":""},{"dropping-particle":"","family":"Li","given":"Yong-Hua","non-dropping-particle":"","parse-names":false,"suffix":""},{"dropping-particle":"","family":"Xia","given":"Zhi-Chao","non-dropping-particle":"","parse-names":false,"suffix":""},{"dropping-particle":"","family":"Yang","given":"Xue-Fang","non-dropping-particle":"","parse-names":false,"suffix":""},{"dropping-particle":"","family":"Meiners","given":"Scott J.","non-dropping-particle":"","parse-names":false,"suffix":""},{"dropping-particle":"","family":"Wang","given":"Peng","non-dropping-particle":"","parse-names":false,"suffix":""}],"container-title":"Nature Communications","id":"ITEM-4","issue":"1","issued":{"date-parts":[["2018","12","24"]]},"page":"3867","title":"Plant neighbor detection and allelochemical response are driven by root-secreted signaling chemicals","type":"article-journal","volume":"9"},"uris":["http://www.mendeley.com/documents/?uuid=ed434030-e65c-3266-bb4f-d2cb579ec9ea"]}],"mendeley":{"formattedCitation":"(Heil and Adame-Álvarez, 2010; Roig-Villanova and Martínez-García, 2016; Yang et al., 2018; Kong et al., 2018)","plainTextFormattedCitation":"(Heil and Adame-Álvarez, 2010; Roig-Villanova and Martínez-García, 2016; Yang et al., 2018; Kong et al., 2018)","previouslyFormattedCitation":"(Heil and Adame-Álvarez, 2010; Roig-Villanova and Martínez-García, 2016; Yang et al., 2018; Kong et al., 2018)"},"properties":{"noteIndex":0},"schema":"https://github.com/citation-style-language/schema/raw/master/csl-citation.json"}</w:instrText>
      </w:r>
      <w:r>
        <w:rPr>
          <w:rFonts w:eastAsia="Calibri" w:cs="Times New Roman"/>
        </w:rPr>
        <w:fldChar w:fldCharType="separate"/>
      </w:r>
      <w:r w:rsidRPr="002F6AA1">
        <w:rPr>
          <w:rFonts w:eastAsia="Calibri" w:cs="Times New Roman"/>
          <w:noProof/>
        </w:rPr>
        <w:t>(Heil and Adame-Álvarez, 2010; Roig-Villanova and Martínez-García, 2016; Yang et al., 2018; Kong et al., 2018)</w:t>
      </w:r>
      <w:r>
        <w:rPr>
          <w:rFonts w:eastAsia="Calibri" w:cs="Times New Roman"/>
        </w:rPr>
        <w:fldChar w:fldCharType="end"/>
      </w:r>
      <w:r>
        <w:rPr>
          <w:rFonts w:eastAsia="Calibri" w:cs="Times New Roman"/>
        </w:rPr>
        <w:t xml:space="preserve"> (discussed in chapter 1)</w:t>
      </w:r>
      <w:r w:rsidR="00781456">
        <w:rPr>
          <w:rFonts w:eastAsia="Calibri" w:cs="Times New Roman"/>
        </w:rPr>
        <w:t>,</w:t>
      </w:r>
      <w:r>
        <w:rPr>
          <w:rFonts w:eastAsia="Calibri" w:cs="Times New Roman"/>
        </w:rPr>
        <w:t xml:space="preserve"> however it is unknown how quickly plants can detect neighbours through their root systems. I hypothesised that this must occur within a short timeframe given the necessity of understanding the limits of available resources, and the potential need to compete for them. Therefore, I aimed to explore how soon plants detect their neighbours, specifically through their root systems. As the roles of the root system in neighbour detection have been unclear </w:t>
      </w:r>
      <w:r>
        <w:rPr>
          <w:rFonts w:eastAsia="Calibri" w:cs="Times New Roman"/>
        </w:rPr>
        <w:fldChar w:fldCharType="begin" w:fldLock="1"/>
      </w:r>
      <w:r>
        <w:rPr>
          <w:rFonts w:eastAsia="Calibri" w:cs="Times New Roman"/>
        </w:rPr>
        <w:instrText>ADDIN CSL_CITATION {"citationItems":[{"id":"ITEM-1","itemData":{"DOI":"10.1111/pce.13892","ISSN":"0140-7791","author":[{"dropping-particle":"","family":"Wang","given":"Nan</w:instrText>
      </w:r>
      <w:r>
        <w:rPr>
          <w:rFonts w:ascii="Cambria Math" w:eastAsia="Calibri" w:hAnsi="Cambria Math" w:cs="Cambria Math"/>
        </w:rPr>
        <w:instrText>‐</w:instrText>
      </w:r>
      <w:r>
        <w:rPr>
          <w:rFonts w:eastAsia="Calibri" w:cs="Times New Roman"/>
        </w:rPr>
        <w:instrText>Qi","non-dropping-particle":"","parse-names":false,"suffix":""},{"dropping-particle":"","family":"Kong","given":"Chui</w:instrText>
      </w:r>
      <w:r>
        <w:rPr>
          <w:rFonts w:ascii="Cambria Math" w:eastAsia="Calibri" w:hAnsi="Cambria Math" w:cs="Cambria Math"/>
        </w:rPr>
        <w:instrText>‐</w:instrText>
      </w:r>
      <w:r>
        <w:rPr>
          <w:rFonts w:eastAsia="Calibri" w:cs="Times New Roman"/>
        </w:rPr>
        <w:instrText>Hua","non-dropping-particle":"","parse-names":false,"suffix":""},{"dropping-particle":"","family":"Wang","given":"Peng","non-dropping-particle":"","parse-names":false,"suffix":""},{"dropping-particle":"","family":"Meiners","given":"Scott J.","non-dropping-particle":"","parse-names":false,"suffix":""}],"container-title":"Plant, Cell &amp; Environment","id":"ITEM-1","issue":"4","issued":{"date-parts":[["2021","4","7"]]},"page":"1044-1058","title":"Root exudate signals in plant–plant interactions","type":"article-journal","volume":"44"},"uris":["http://www.mendeley.com/documents/?uuid=ded10ba8-49ef-4767-9b7d-9b5253ad6db1"]}],"mendeley":{"formattedCitation":"(Wang et al., 2021)","plainTextFormattedCitation":"(Wang et al., 2021)","previouslyFormattedCitation":"(Wang et al., 2021)"},"properties":{"noteIndex":0},"schema":"https://github.com/citation-style-language/schema/raw/master/csl-citation.json"}</w:instrText>
      </w:r>
      <w:r>
        <w:rPr>
          <w:rFonts w:eastAsia="Calibri" w:cs="Times New Roman"/>
        </w:rPr>
        <w:fldChar w:fldCharType="separate"/>
      </w:r>
      <w:r w:rsidRPr="002055D5">
        <w:rPr>
          <w:rFonts w:eastAsia="Calibri" w:cs="Times New Roman"/>
          <w:noProof/>
        </w:rPr>
        <w:t>(Wang et al., 2021)</w:t>
      </w:r>
      <w:r>
        <w:rPr>
          <w:rFonts w:eastAsia="Calibri" w:cs="Times New Roman"/>
        </w:rPr>
        <w:fldChar w:fldCharType="end"/>
      </w:r>
      <w:r>
        <w:rPr>
          <w:rFonts w:eastAsia="Calibri" w:cs="Times New Roman"/>
        </w:rPr>
        <w:t xml:space="preserve">, I aimed to identify root transcriptional changes in response to neighbour presence, and gather new leads to explore for future research. </w:t>
      </w:r>
    </w:p>
    <w:p w14:paraId="0B9C92D7" w14:textId="77777777" w:rsidR="00D51301" w:rsidRDefault="00D51301" w:rsidP="00D51301">
      <w:pPr>
        <w:numPr>
          <w:ilvl w:val="1"/>
          <w:numId w:val="0"/>
        </w:numPr>
        <w:spacing w:before="160" w:line="480" w:lineRule="auto"/>
        <w:outlineLvl w:val="1"/>
        <w:rPr>
          <w:rFonts w:cs="Times New Roman"/>
          <w:bCs/>
        </w:rPr>
      </w:pPr>
      <w:r>
        <w:rPr>
          <w:rFonts w:cs="Times New Roman"/>
          <w:bCs/>
        </w:rPr>
        <w:t xml:space="preserve">There have been a few attempts to explain plant responses to soil volume at a mechanistic level, however none have been particularly detailed. Poorter et al (2012) discussed the possible role of mechanical stress associated with root systems colliding with the walls of pots as one mechanism, and also small pots being warmer than larger pots. Others have proposed plants use a root exudate-based mechanism which causes root growth inhibition when </w:t>
      </w:r>
      <w:r>
        <w:rPr>
          <w:rFonts w:cs="Times New Roman"/>
          <w:bCs/>
        </w:rPr>
        <w:lastRenderedPageBreak/>
        <w:t xml:space="preserve">subjected to small soil volumes or obstacles in their available soil environment </w:t>
      </w:r>
      <w:r>
        <w:rPr>
          <w:rFonts w:cs="Times New Roman"/>
          <w:bCs/>
        </w:rPr>
        <w:fldChar w:fldCharType="begin" w:fldLock="1"/>
      </w:r>
      <w:r>
        <w:rPr>
          <w:rFonts w:cs="Times New Roman"/>
          <w:bCs/>
        </w:rPr>
        <w:instrText>ADDIN CSL_CITATION {"citationItems":[{"id":"ITEM-1","itemData":{"DOI":"10.1111/j.1365-3040.2005.01304.x","ISSN":"0140-7791","author":[{"dropping-particle":"","family":"Falik","given":"OMER","non-dropping-particle":"","parse-names":false,"suffix":""},{"dropping-particle":"","family":"Reides","given":"PERLA","non-dropping-particle":"","parse-names":false,"suffix":""},{"dropping-particle":"","family":"Gersani","given":"MORDECHAI","non-dropping-particle":"","parse-names":false,"suffix":""},{"dropping-particle":"","family":"Novoplansky","given":"ARIEL","non-dropping-particle":"","parse-names":false,"suffix":""}],"container-title":"Plant, Cell and Environment","id":"ITEM-1","issue":"4","issued":{"date-parts":[["2005","4"]]},"page":"562-569","title":"Root navigation by self inhibition","type":"article-journal","volume":"28"},"uris":["http://www.mendeley.com/documents/?uuid=043d6547-05a1-318a-9d09-471ab03850e3"]},{"id":"ITEM-2","itemData":{"DOI":"10.1111/j.1365-2745.2007.01210.x","ISSN":"00220477","author":[{"dropping-particle":"","family":"Semchenko","given":"Marina","non-dropping-particle":"","parse-names":false,"suffix":""},{"dropping-particle":"","family":"Hutchings","given":"Michael J.","non-dropping-particle":"","parse-names":false,"suffix":""},{"dropping-particle":"","family":"John","given":"Elizabeth A.","non-dropping-particle":"","parse-names":false,"suffix":""}],"container-title":"Journal of Ecology","id":"ITEM-2","issue":"2","issued":{"date-parts":[["2007","3","1"]]},"page":"252-260","publisher":"John Wiley &amp; Sons, Ltd (10.1111)","title":"Challenging the tragedy of the commons in root competition: confounding effects of neighbour presence and substrate volume","type":"article-journal","volume":"95"},"uris":["http://www.mendeley.com/documents/?uuid=1946910d-5607-3724-afcf-b4a59cdcaea6"]}],"mendeley":{"formattedCitation":"(Falik et al., 2005; Semchenko et al., 2007)","plainTextFormattedCitation":"(Falik et al., 2005; Semchenko et al., 2007)","previouslyFormattedCitation":"(Falik et al., 2005; Semchenko et al., 2007)"},"properties":{"noteIndex":0},"schema":"https://github.com/citation-style-language/schema/raw/master/csl-citation.json"}</w:instrText>
      </w:r>
      <w:r>
        <w:rPr>
          <w:rFonts w:cs="Times New Roman"/>
          <w:bCs/>
        </w:rPr>
        <w:fldChar w:fldCharType="separate"/>
      </w:r>
      <w:r w:rsidRPr="005D2E4E">
        <w:rPr>
          <w:rFonts w:cs="Times New Roman"/>
          <w:bCs/>
          <w:noProof/>
        </w:rPr>
        <w:t>(Falik et al., 2005; Semchenko et al., 2007)</w:t>
      </w:r>
      <w:r>
        <w:rPr>
          <w:rFonts w:cs="Times New Roman"/>
          <w:bCs/>
        </w:rPr>
        <w:fldChar w:fldCharType="end"/>
      </w:r>
      <w:r>
        <w:rPr>
          <w:rFonts w:cs="Times New Roman"/>
          <w:bCs/>
        </w:rPr>
        <w:t xml:space="preserve">. Despite attempts to define the mechanism for soil volume detection and response, the details have remained elusive. </w:t>
      </w:r>
    </w:p>
    <w:p w14:paraId="284CDA59" w14:textId="4BE7916D" w:rsidR="00D51301" w:rsidRDefault="00D51301" w:rsidP="00D51301">
      <w:pPr>
        <w:spacing w:line="480" w:lineRule="auto"/>
        <w:rPr>
          <w:rFonts w:eastAsia="Calibri" w:cs="Times New Roman"/>
        </w:rPr>
      </w:pPr>
      <w:r>
        <w:rPr>
          <w:rFonts w:eastAsia="Calibri" w:cs="Times New Roman"/>
        </w:rPr>
        <w:t xml:space="preserve">A pot is not a natural environment for plants, indeed plants are rarely found growing alone in the wild. Hence, it is likely the response to limited soil volumes is an artifact of the way plants respond to sharing soil with neighbouring plants. This was seen in Chapter 3.2 where plants which had access to the same average soil volume (with or without neighbours) produced the same shoot system size. Given the general interchangeability of soil volume and neighbour density responses, I hypothesised that plants use the same mechanism to sense their soil volume and to detect the presence of neighbours in their root environment. </w:t>
      </w:r>
    </w:p>
    <w:p w14:paraId="3DC4BDFC" w14:textId="77777777" w:rsidR="00D51301" w:rsidRDefault="00D51301" w:rsidP="00D51301">
      <w:pPr>
        <w:spacing w:line="480" w:lineRule="auto"/>
        <w:rPr>
          <w:rFonts w:eastAsia="Calibri" w:cs="Times New Roman"/>
        </w:rPr>
      </w:pPr>
      <w:r>
        <w:rPr>
          <w:rFonts w:eastAsia="Calibri" w:cs="Times New Roman"/>
        </w:rPr>
        <w:t>In this chapter, I aimed to determine how soon plants detect the presence of neighbours and to determine the mechanisms for how plants both detect and respond to their available soil volume and the presence of neighbouring plants.</w:t>
      </w:r>
    </w:p>
    <w:p w14:paraId="475929BD" w14:textId="6B5EC809" w:rsidR="00D51301" w:rsidRDefault="00D51301" w:rsidP="00743E4C">
      <w:pPr>
        <w:pStyle w:val="Heading2"/>
      </w:pPr>
      <w:bookmarkStart w:id="184" w:name="_Toc154331487"/>
      <w:r w:rsidRPr="00D51301">
        <w:t>Detection of neighbours occurs less than 24 hours after crowding</w:t>
      </w:r>
      <w:bookmarkEnd w:id="184"/>
    </w:p>
    <w:p w14:paraId="0DDDE4E2" w14:textId="77777777" w:rsidR="00D51301" w:rsidRDefault="00D51301" w:rsidP="00D51301"/>
    <w:p w14:paraId="34B55539" w14:textId="583D3D28" w:rsidR="00D51301" w:rsidRDefault="00D51301" w:rsidP="00743E4C">
      <w:pPr>
        <w:pStyle w:val="Heading3"/>
      </w:pPr>
      <w:bookmarkStart w:id="185" w:name="_Toc154331488"/>
      <w:r w:rsidRPr="00D51301">
        <w:t>Barley plants respond to crowding within 4 hours</w:t>
      </w:r>
      <w:bookmarkEnd w:id="185"/>
    </w:p>
    <w:p w14:paraId="4068F0EE" w14:textId="7CBDC881" w:rsidR="00D51301" w:rsidRDefault="00D51301" w:rsidP="00D51301">
      <w:pPr>
        <w:spacing w:line="480" w:lineRule="auto"/>
      </w:pPr>
      <w:r w:rsidRPr="00D51301">
        <w:t>It is clear from data presented in section 3.2 and in the wider literature that plants are able to detect and respond to other plants in their environment</w:t>
      </w:r>
      <w:r w:rsidR="00AF6279">
        <w:t xml:space="preserve"> </w:t>
      </w:r>
      <w:r w:rsidR="00FE2C0E">
        <w:fldChar w:fldCharType="begin" w:fldLock="1"/>
      </w:r>
      <w:r w:rsidR="009E2971">
        <w:instrText>ADDIN CSL_CITATION {"citationItems":[{"id":"ITEM-1","itemData":{"DOI":"10.3389/fpls.2016.00236","ISSN":"1664-462X","abstract":"In high density of vegetation, plants detect neighbors by perceiving changes in light quality through phytochrome photoreceptors. Close vegetation proximity might result in competition for resources, such as light. To face this challenge, plants have evolved two alternative strategies: to either tolerate or avoid shade. Shade-avoiding species generally adapt their development by inducing hypocotyl, stem, and petiole elongation, apical dominance and flowering, and decreasing leaf expansion and yield, a set of responses collectively known as the shade avoidance syndrome (SAS). The SAS responses have been mostly studied at the seedling stage, centered on the increase of hypocotyl elongation. After compiling the main findings about SAS responses in seedlings, this review is focused on the response to shade at adult stages of development, such as petioles of adult leaves, and the little information available on the SAS responses in reproductive tissues. We discuss these responses based on the knowledge about the molecular mechanisms and components with a role in regulating the SAS response of the hypocotyls of Arabidopsis thaliana. The transcriptional networks involved in this process, as well as the communication among the tissues that perceive the shade and the ones that respond to this stimulus will also be briefly commented.","author":[{"dropping-particle":"","family":"Roig-Villanova","given":"Irma","non-dropping-particle":"","parse-names":false,"suffix":""},{"dropping-particle":"","family":"Martínez-García","given":"Jaime F","non-dropping-particle":"","parse-names":false,"suffix":""}],"container-title":"Frontiers in Plant Science","id":"ITEM-1","issued":{"date-parts":[["2016","2","29"]]},"page":"236","publisher":"Frontiers Media S.A.","title":"Plant responses to vegetation proximity: A whole life avoiding shade","type":"article-journal","volume":"7"},"uris":["http://www.mendeley.com/documents/?uuid=9d8a4257-0103-30f1-9956-14e27ff422a2"]},{"id":"ITEM-2","itemData":{"DOI":"10.1111/nph.15296","ISSN":"14698137","abstract":"Kin recognition is an important mediator of interactions within individuals of a species. Despite increasing evidence of kin recognition in natural plant populations, relatively little is known about kin recognition in crop species where numerous cultivars have been generated by artificial selection. We identified rice (Oryza sativa) cultivars with the ability for kin recognition from two sets of indica-inbred and indica-hybrid lines at different levels of genetic relatedness. We then assessed this ability among kin and nonkin and tested potential mechanisms in a series of controlled experiments and field trails. Rice cultivars with the ability for kin recognition were capable of detecting the presence of kin and nonkin and responded to them by altering root behavior and biomass allocation, particularly for grain yield. Furthermore, we assessed the role of root exudates and found a root-secreted nitrogen-rich allantoin component to be responsible for kin recognition in rice lines. Kin recognition in rice lines mediated by root exudates occurs in a cultivar-dependent manner. Rice cultivars with the ability for kin recognition may increase grain yield in the presence of kin. Such an improvement of grain yield by kin recognition of cultivar mixtures offers many implications and applications in rice production.","author":[{"dropping-particle":"","family":"Yang","given":"Xue Fang","non-dropping-particle":"","parse-names":false,"suffix":""},{"dropping-particle":"","family":"Li","given":"Lei Lei","non-dropping-particle":"","parse-names":false,"suffix":""},{"dropping-particle":"","family":"Xu","given":"You","non-dropping-particle":"","parse-names":false,"suffix":""},{"dropping-particle":"","family":"Kong","given":"Chui Hua","non-dropping-particle":"","parse-names":false,"suffix":""}],"container-title":"New Phytologist","id":"ITEM-2","issue":"2","issued":{"date-parts":[["2018","10","1"]]},"page":"567-578","publisher":"Blackwell Publishing Ltd","title":"Kin recognition in rice (Oryza sativa) lines","type":"article-journal","volume":"220"},"uris":["http://www.mendeley.com/documents/?uuid=b16268a0-a6bd-378e-905e-ecdd46be0ad4"]},{"id":"ITEM-3","itemData":{"DOI":"10.1073/pnas.1222821110","ISSN":"00278424","PMID":"23362379","abstract":"Root system growth and development is highly plastic and is influenced by the surrounding environment. Roots frequently grow in heterogeneous environments that include interactions from neighboring plants and physical impediments in the rhizosphere. To investigate how planting density and physical objects affect root system growth, we grew rice in a transparent gel system in close proximity with another plant or a physical object. Root systems were imaged and reconstructed in three dimensions. Root-root interaction strength was calculated using quantitative metrics that characterize the extent towhich the reconstructed root systems overlap each other. Surprisingly, we found the overlap of root systems of the same genotype was significantly higher than that of root systems of different genotypes. Root systems of the same genotype tended to grow toward each other but those of different genotypes appeared to avoid each other. Shoot separation experiments excluded the possibility of aerial interactions, suggesting root communication. Staggered plantings indicated that interactions likely occur at root tips in close proximity. Recognition of obstacles also occurred through root tips, but through physical contact in a size-dependent manner. These results indicate that root systems use two different forms of communication to recognize objects and alter root architecture: root-root recognition, possibly mediated through root exudates, and root-object recognition mediated by physical contact at the root tips. This finding suggests that root tips act as local sensors that integrate rhizosphere information into global root architectural changes.","author":[{"dropping-particle":"","family":"Fang","given":"Suqin","non-dropping-particle":"","parse-names":false,"suffix":""},{"dropping-particle":"","family":"Clark","given":"Randy T.","non-dropping-particle":"","parse-names":false,"suffix":""},{"dropping-particle":"","family":"Zheng","given":"Ying","non-dropping-particle":"","parse-names":false,"suffix":""},{"dropping-particle":"","family":"Iyer-Pascuzzi","given":"Anjali S.","non-dropping-particle":"","parse-names":false,"suffix":""},{"dropping-particle":"","family":"Weitz","given":"Joshua S.","non-dropping-particle":"","parse-names":false,"suffix":""},{"dropping-particle":"V.","family":"Kochian","given":"Leon","non-dropping-particle":"","parse-names":false,"suffix":""},{"dropping-particle":"","family":"Edelsbrunner","given":"Herbert","non-dropping-particle":"","parse-names":false,"suffix":""},{"dropping-particle":"","family":"Liao","given":"Hong","non-dropping-particle":"","parse-names":false,"suffix":""},{"dropping-particle":"","family":"Benfey","given":"Philip N.","non-dropping-particle":"","parse-names":false,"suffix":""}],"container-title":"Proceedings of the National Academy of Sciences of the United States of America","id":"ITEM-3","issue":"7","issued":{"date-parts":[["2013","2","12"]]},"page":"2670-2675","publisher":"National Academy of Sciences","title":"Genotypic recognition and spatial responses by rice roots","type":"article-journal","volume":"110"},"uris":["http://www.mendeley.com/documents/?uuid=1af83ed3-6e5b-362a-8d87-2d58151feb40"]},{"id":"ITEM-4","itemData":{"DOI":"10.2134/agronj14.0522","ISSN":"0002-1962","abstract":"Modern maize ( Zea mays L.) hybrids are generally regarded as strongly population dependent because maximum grain yields (GYs) per area are achieved primarily in high</w:instrText>
      </w:r>
      <w:r w:rsidR="009E2971">
        <w:rPr>
          <w:rFonts w:ascii="Cambria Math" w:hAnsi="Cambria Math" w:cs="Cambria Math"/>
        </w:rPr>
        <w:instrText>‐</w:instrText>
      </w:r>
      <w:r w:rsidR="009E2971">
        <w:instrText>density populations. This study was conducted to analyze changes in density independence with plant density based on the response of GY, dry matter (DM) accumulation, and the harvest index (HI) to changes in plant density. Two modern cultivars, ZhengDan958 and ZhongDan909, were planted at 12 densities ranging from 1.5 to 18 plants m −2 . The experiment was conducted for 3 yr, with drip irrigation and plastic mulching, at the 71 Group and Qitai Farms located in Xinjiang, China. With increased plant density, DM accumulation per area increased logarithmically, the HI decreased according to a cubic curve, and GY per area increased quadratically; the optimum density was 10.57 plants m −2 . Further analysis showed that the response of GY per area, DM per area, and the HI to changes in plant density could be divided into four density ranges: Range I (≤4.7 plants m −2 ), in which DM per area, the HI, and GY per area were significantly affected by density; Range II (4.7–8.3 plants m −2 ), in which the HI was unaffected by density but DM per area and GY per area were significantly affected; Range III (8.3–10.75 plants m −2 ), in which GY per area was unaffected by density but DM per area and the HI were significantly affected; and Range IV (≥10.7 plants m −2 ), in which DM per area was unaffected by density but the HI and GY per area were significantly affected. These results indicated that Range II is a density</w:instrText>
      </w:r>
      <w:r w:rsidR="009E2971">
        <w:rPr>
          <w:rFonts w:ascii="Cambria Math" w:hAnsi="Cambria Math" w:cs="Cambria Math"/>
        </w:rPr>
        <w:instrText>‐</w:instrText>
      </w:r>
      <w:r w:rsidR="009E2971">
        <w:instrText>independent range and Range III is a GY</w:instrText>
      </w:r>
      <w:r w:rsidR="009E2971">
        <w:rPr>
          <w:rFonts w:ascii="Cambria Math" w:hAnsi="Cambria Math" w:cs="Cambria Math"/>
        </w:rPr>
        <w:instrText>‐</w:instrText>
      </w:r>
      <w:r w:rsidR="009E2971">
        <w:instrText>stable range.","author":[{"dropping-particle":"","family":"Li","given":"J.","non-dropping-particle":"","parse-names":false,"suffix":""},{"dropping-particle":"","family":"Xie","given":"R. Z.","non-dropping-particle":"","parse-names":false,"suffix":""},{"dropping-particle":"","family":"Wang","given":"K. R.","non-dropping-particle":"","parse-names":false,"suffix":""},{"dropping-particle":"","family":"Ming","given":"B.","non-dropping-particle":"","parse-names":false,"suffix":""},{"dropping-particle":"","family":"Guo","given":"Y. Q.","non-dropping-particle":"","parse-names":false,"suffix":""},{"dropping-particle":"","family":"Zhang","given":"G. Q.","non-dropping-particle":"","parse-names":false,"suffix":""},{"dropping-particle":"","family":"Li","given":"S. K.","non-dropping-particle":"","parse-names":false,"suffix":""}],"container-title":"Agronomy Journal","id":"ITEM-4","issue":"3","issued":{"date-parts":[["2015","5"]]},"page":"829-834","title":"Variations in maize dry matter, harvest index, and grain yield with plant density","type":"article-journal","volume":"107"},"uris":["http://www.mendeley.com/documents/?uuid=9f7a23e4-a771-4c4e-ad33-27fc70eb0667"]}],"mendeley":{"formattedCitation":"(Fang et al., 2013; Li et al., 2015; Roig-Villanova and Martínez-García, 2016; Yang et al., 2018)","plainTextFormattedCitation":"(Fang et al., 2013; Li et al., 2015; Roig-Villanova and Martínez-García, 2016; Yang et al., 2018)","previouslyFormattedCitation":"(Fang et al., 2013; Li et al., 2015; Roig-Villanova and Martínez-García, 2016; Yang et al., 2018)"},"properties":{"noteIndex":0},"schema":"https://github.com/citation-style-language/schema/raw/master/csl-citation.json"}</w:instrText>
      </w:r>
      <w:r w:rsidR="00FE2C0E">
        <w:fldChar w:fldCharType="separate"/>
      </w:r>
      <w:r w:rsidR="00FE2C0E" w:rsidRPr="00FE2C0E">
        <w:rPr>
          <w:noProof/>
        </w:rPr>
        <w:t>(Fang et al., 2013; Li et al., 2015; Roig-Villanova and Martínez-García, 2016; Yang et al., 2018)</w:t>
      </w:r>
      <w:r w:rsidR="00FE2C0E">
        <w:fldChar w:fldCharType="end"/>
      </w:r>
      <w:r w:rsidRPr="00D51301">
        <w:t xml:space="preserve">. However, it is unclear how quickly root-based neighbour </w:t>
      </w:r>
      <w:r w:rsidRPr="00D51301">
        <w:lastRenderedPageBreak/>
        <w:t xml:space="preserve">perception occurs, and what the earliest transcriptional changes are. As I was particularly interested in understanding how root-based sensing of soil volume/neighbour density occurs, I aimed to understand the transcriptional changes that occur in the root after neighbour detection. Initial changes seen in the root system upon the induction of crowding should open new lines of inquiry for </w:t>
      </w:r>
      <w:r w:rsidR="00E024D8">
        <w:t xml:space="preserve">understanding </w:t>
      </w:r>
      <w:r w:rsidRPr="00D51301">
        <w:t xml:space="preserve">the biological response of plants to their neighbours. I hypothesised, based on the knowledge of well-defined mechanisms for plant-to-plant signalling, that transcriptional responses would likely arise quickly after exposure to neighbouring plants. Additionally, previous work by our collaborator Kaori Yoneyama has identified that there are changes in strigolactone biosynthesis gene expression 24 hours post crowding in </w:t>
      </w:r>
      <w:r w:rsidR="00A813AF">
        <w:t xml:space="preserve">the roots of </w:t>
      </w:r>
      <w:r w:rsidRPr="00D51301">
        <w:t>rice plants (Yoneyama et al., 2022).</w:t>
      </w:r>
    </w:p>
    <w:p w14:paraId="63AB3879" w14:textId="1D8EFFFC" w:rsidR="00D51301" w:rsidRPr="00D43203" w:rsidRDefault="00D51301" w:rsidP="00D51301">
      <w:pPr>
        <w:keepNext/>
        <w:spacing w:before="160" w:line="480" w:lineRule="auto"/>
        <w:outlineLvl w:val="1"/>
        <w:rPr>
          <w:rFonts w:cs="Times New Roman"/>
          <w:bCs/>
        </w:rPr>
      </w:pPr>
      <w:r w:rsidRPr="00D43203">
        <w:rPr>
          <w:rFonts w:cs="Times New Roman"/>
          <w:bCs/>
        </w:rPr>
        <w:t>To explore this, barley plants were grown 1 plant per pot (1/pot) in perlite for 1 week. At 1 week post germination plants were transferred into hydroponic pots 1/pot and grown for 3 weeks</w:t>
      </w:r>
      <w:r>
        <w:rPr>
          <w:rFonts w:cs="Times New Roman"/>
          <w:bCs/>
        </w:rPr>
        <w:t xml:space="preserve"> (hydroponic system described in Chapter 2)</w:t>
      </w:r>
      <w:r w:rsidRPr="00D43203">
        <w:rPr>
          <w:rFonts w:cs="Times New Roman"/>
          <w:bCs/>
        </w:rPr>
        <w:t xml:space="preserve">. At </w:t>
      </w:r>
      <w:r>
        <w:rPr>
          <w:rFonts w:cs="Times New Roman"/>
          <w:bCs/>
        </w:rPr>
        <w:t xml:space="preserve">3 and </w:t>
      </w:r>
      <w:r w:rsidRPr="00D43203">
        <w:rPr>
          <w:rFonts w:cs="Times New Roman"/>
          <w:bCs/>
        </w:rPr>
        <w:t>4 weeks post germination, all hydroponate was replenished with fresh water and nutrients</w:t>
      </w:r>
      <w:r w:rsidR="00B0365F">
        <w:rPr>
          <w:rFonts w:cs="Times New Roman"/>
          <w:bCs/>
        </w:rPr>
        <w:t>. At 4 weeks post germination</w:t>
      </w:r>
      <w:r w:rsidR="00631896">
        <w:rPr>
          <w:rFonts w:cs="Times New Roman"/>
          <w:bCs/>
        </w:rPr>
        <w:t xml:space="preserve">, </w:t>
      </w:r>
      <w:r w:rsidRPr="00D43203">
        <w:rPr>
          <w:rFonts w:cs="Times New Roman"/>
          <w:bCs/>
        </w:rPr>
        <w:t>plants either remained 1/pot or were transferred into 4 plants per pot</w:t>
      </w:r>
      <w:r>
        <w:rPr>
          <w:rFonts w:cs="Times New Roman"/>
          <w:bCs/>
        </w:rPr>
        <w:t xml:space="preserve"> (4/pot)</w:t>
      </w:r>
      <w:r w:rsidRPr="00D43203">
        <w:rPr>
          <w:rFonts w:cs="Times New Roman"/>
          <w:bCs/>
        </w:rPr>
        <w:t>. By replenishing the nutrients frequently,</w:t>
      </w:r>
      <w:r>
        <w:rPr>
          <w:rFonts w:cs="Times New Roman"/>
          <w:bCs/>
        </w:rPr>
        <w:t xml:space="preserve"> and most importantly immediately before crowding,</w:t>
      </w:r>
      <w:r w:rsidRPr="00D43203">
        <w:rPr>
          <w:rFonts w:cs="Times New Roman"/>
          <w:bCs/>
        </w:rPr>
        <w:t xml:space="preserve"> I could be confident that any gene expression changes seen were a result of recognition of neighbours not nutrient depletion. Root tissue was harvested from both treatments at 4- and 8-hours (hrs) post crowding</w:t>
      </w:r>
      <w:r w:rsidR="00411020">
        <w:rPr>
          <w:rFonts w:cs="Times New Roman"/>
          <w:bCs/>
        </w:rPr>
        <w:t xml:space="preserve"> (</w:t>
      </w:r>
      <w:r w:rsidR="00E46821" w:rsidRPr="00631896">
        <w:rPr>
          <w:rFonts w:cs="Times New Roman"/>
          <w:bCs/>
        </w:rPr>
        <w:t>3 biological replicates per crowding regime and timepoint)</w:t>
      </w:r>
      <w:r w:rsidRPr="00631896">
        <w:rPr>
          <w:rFonts w:cs="Times New Roman"/>
          <w:bCs/>
        </w:rPr>
        <w:t>. RNA was</w:t>
      </w:r>
      <w:r w:rsidRPr="00D43203">
        <w:rPr>
          <w:rFonts w:cs="Times New Roman"/>
          <w:bCs/>
        </w:rPr>
        <w:t xml:space="preserve"> extracted and purified before being sent to Genewiz for RNA seq</w:t>
      </w:r>
      <w:r>
        <w:rPr>
          <w:rFonts w:cs="Times New Roman"/>
          <w:bCs/>
        </w:rPr>
        <w:t>uencing</w:t>
      </w:r>
      <w:r w:rsidRPr="00D43203">
        <w:rPr>
          <w:rFonts w:cs="Times New Roman"/>
          <w:bCs/>
        </w:rPr>
        <w:t xml:space="preserve"> </w:t>
      </w:r>
      <w:r>
        <w:rPr>
          <w:rFonts w:cs="Times New Roman"/>
          <w:bCs/>
        </w:rPr>
        <w:t xml:space="preserve">(RNAseq) </w:t>
      </w:r>
      <w:r w:rsidRPr="00D43203">
        <w:rPr>
          <w:rFonts w:cs="Times New Roman"/>
          <w:bCs/>
        </w:rPr>
        <w:t>analysis</w:t>
      </w:r>
      <w:r>
        <w:rPr>
          <w:rFonts w:cs="Times New Roman"/>
          <w:bCs/>
        </w:rPr>
        <w:t xml:space="preserve"> (as described in Section 2.6). I then compared gene expression </w:t>
      </w:r>
      <w:r w:rsidRPr="00D43203">
        <w:rPr>
          <w:rFonts w:cs="Times New Roman"/>
          <w:bCs/>
        </w:rPr>
        <w:t xml:space="preserve">between 1/pot and 4/pot plants at 4- and 8-hours (hrs) post crowding. This should allow the </w:t>
      </w:r>
      <w:r w:rsidRPr="00D43203">
        <w:rPr>
          <w:rFonts w:cs="Times New Roman"/>
          <w:bCs/>
        </w:rPr>
        <w:lastRenderedPageBreak/>
        <w:t>identification of candidate</w:t>
      </w:r>
      <w:r>
        <w:rPr>
          <w:rFonts w:cs="Times New Roman"/>
          <w:bCs/>
        </w:rPr>
        <w:t xml:space="preserve"> genes</w:t>
      </w:r>
      <w:r w:rsidRPr="00D43203">
        <w:rPr>
          <w:rFonts w:cs="Times New Roman"/>
          <w:bCs/>
        </w:rPr>
        <w:t xml:space="preserve"> involved in the </w:t>
      </w:r>
      <w:r>
        <w:rPr>
          <w:rFonts w:cs="Times New Roman"/>
          <w:bCs/>
        </w:rPr>
        <w:t>perception of neighbours and the initial response to</w:t>
      </w:r>
      <w:r w:rsidRPr="00D43203">
        <w:rPr>
          <w:rFonts w:cs="Times New Roman"/>
          <w:bCs/>
        </w:rPr>
        <w:t xml:space="preserve"> crowding</w:t>
      </w:r>
      <w:r>
        <w:rPr>
          <w:rFonts w:cs="Times New Roman"/>
          <w:bCs/>
        </w:rPr>
        <w:t>.</w:t>
      </w:r>
      <w:r w:rsidRPr="00D43203">
        <w:rPr>
          <w:rFonts w:cs="Times New Roman"/>
          <w:bCs/>
        </w:rPr>
        <w:t xml:space="preserve"> </w:t>
      </w:r>
    </w:p>
    <w:p w14:paraId="08FCF5FD" w14:textId="11FF2C02" w:rsidR="00D51301" w:rsidRDefault="00D51301" w:rsidP="00D51301">
      <w:pPr>
        <w:spacing w:line="480" w:lineRule="auto"/>
      </w:pPr>
      <w:r w:rsidRPr="00D51301">
        <w:t xml:space="preserve">A high number of reads were </w:t>
      </w:r>
      <w:r w:rsidR="00880D54" w:rsidRPr="00631896">
        <w:t>detected</w:t>
      </w:r>
      <w:r w:rsidRPr="00D51301">
        <w:t>, with 18790 genes at 4 hours and 19110 genes at 8 hours. When only focussing on significantly differentially expressed genes (DEGs)</w:t>
      </w:r>
      <w:r w:rsidR="00232689">
        <w:t xml:space="preserve"> </w:t>
      </w:r>
      <w:r w:rsidR="00232689" w:rsidRPr="00631896">
        <w:t xml:space="preserve">between </w:t>
      </w:r>
      <w:r w:rsidR="004106FA" w:rsidRPr="00631896">
        <w:t>1/pot and 4/pot for each timepoint (4 and 8 hours)</w:t>
      </w:r>
      <w:r w:rsidRPr="00631896">
        <w:t>, where any genes with</w:t>
      </w:r>
      <w:r w:rsidRPr="00D51301">
        <w:t xml:space="preserve"> a log</w:t>
      </w:r>
      <w:r w:rsidRPr="00D244A7">
        <w:rPr>
          <w:vertAlign w:val="subscript"/>
        </w:rPr>
        <w:t>2</w:t>
      </w:r>
      <w:r w:rsidRPr="00D51301">
        <w:t xml:space="preserve"> fold change (log</w:t>
      </w:r>
      <w:r w:rsidRPr="00D244A7">
        <w:rPr>
          <w:vertAlign w:val="subscript"/>
        </w:rPr>
        <w:t>2</w:t>
      </w:r>
      <w:r w:rsidRPr="00D51301">
        <w:t xml:space="preserve"> FC) between 1 and -1 were excluded, there were a total of 3049 DEGs at 4 hours and 3165 </w:t>
      </w:r>
      <w:r w:rsidR="008441FD">
        <w:t>DEGS</w:t>
      </w:r>
      <w:r w:rsidR="008441FD" w:rsidRPr="00D51301">
        <w:t xml:space="preserve"> </w:t>
      </w:r>
      <w:r w:rsidRPr="00D51301">
        <w:t>at 8 hours (Fig. 4.1).</w:t>
      </w:r>
      <w:r w:rsidR="00F5662A">
        <w:t xml:space="preserve"> </w:t>
      </w:r>
      <w:r w:rsidR="00F5662A" w:rsidRPr="0018192B">
        <w:t>By focussing on the DEGs</w:t>
      </w:r>
      <w:r w:rsidR="00544CF9" w:rsidRPr="0018192B">
        <w:t>,</w:t>
      </w:r>
      <w:r w:rsidR="00F5662A" w:rsidRPr="0018192B">
        <w:t xml:space="preserve"> this allows</w:t>
      </w:r>
      <w:r w:rsidR="004C4BED" w:rsidRPr="0018192B">
        <w:t xml:space="preserve"> identification of genes which differ in their expression level between the </w:t>
      </w:r>
      <w:r w:rsidR="008D61D7" w:rsidRPr="0018192B">
        <w:t>crowded and uncrowded treatment at the two timepoints assessed.</w:t>
      </w:r>
    </w:p>
    <w:p w14:paraId="3025630B" w14:textId="77777777" w:rsidR="0009642C" w:rsidRDefault="0009642C" w:rsidP="00D51301">
      <w:pPr>
        <w:spacing w:line="480" w:lineRule="auto"/>
      </w:pPr>
    </w:p>
    <w:p w14:paraId="1EA3B276" w14:textId="77777777" w:rsidR="0009642C" w:rsidRDefault="0009642C" w:rsidP="00D51301">
      <w:pPr>
        <w:spacing w:line="480" w:lineRule="auto"/>
      </w:pPr>
    </w:p>
    <w:p w14:paraId="2E4181E9" w14:textId="77777777" w:rsidR="0009642C" w:rsidRDefault="0009642C" w:rsidP="00D51301">
      <w:pPr>
        <w:spacing w:line="480" w:lineRule="auto"/>
      </w:pPr>
    </w:p>
    <w:p w14:paraId="7C8DE2A0" w14:textId="77777777" w:rsidR="0009642C" w:rsidRDefault="0009642C" w:rsidP="00D51301">
      <w:pPr>
        <w:spacing w:line="480" w:lineRule="auto"/>
      </w:pPr>
    </w:p>
    <w:p w14:paraId="1BF362B7" w14:textId="77777777" w:rsidR="0009642C" w:rsidRDefault="0009642C" w:rsidP="00D51301">
      <w:pPr>
        <w:spacing w:line="480" w:lineRule="auto"/>
      </w:pPr>
    </w:p>
    <w:p w14:paraId="2C71E1F2" w14:textId="77777777" w:rsidR="0009642C" w:rsidRDefault="0009642C" w:rsidP="00D51301">
      <w:pPr>
        <w:spacing w:line="480" w:lineRule="auto"/>
      </w:pPr>
    </w:p>
    <w:p w14:paraId="1B26EEB2" w14:textId="77777777" w:rsidR="0009642C" w:rsidRDefault="0009642C" w:rsidP="00D51301">
      <w:pPr>
        <w:spacing w:line="480" w:lineRule="auto"/>
      </w:pPr>
    </w:p>
    <w:p w14:paraId="44436E99" w14:textId="5A6A267D" w:rsidR="00D51301" w:rsidRDefault="00D51301" w:rsidP="00D51301">
      <w:pPr>
        <w:spacing w:line="480" w:lineRule="auto"/>
      </w:pPr>
      <w:r>
        <w:rPr>
          <w:rFonts w:cs="Times New Roman"/>
          <w:bCs/>
          <w:noProof/>
        </w:rPr>
        <w:lastRenderedPageBreak/>
        <w:drawing>
          <wp:inline distT="0" distB="0" distL="0" distR="0" wp14:anchorId="35535FF4" wp14:editId="514E511A">
            <wp:extent cx="5182870" cy="2772573"/>
            <wp:effectExtent l="0" t="0" r="0" b="8890"/>
            <wp:docPr id="21340225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022520" name="Picture 2134022520"/>
                    <pic:cNvPicPr/>
                  </pic:nvPicPr>
                  <pic:blipFill rotWithShape="1">
                    <a:blip r:embed="rId58" cstate="print">
                      <a:extLst>
                        <a:ext uri="{28A0092B-C50C-407E-A947-70E740481C1C}">
                          <a14:useLocalDpi xmlns:a14="http://schemas.microsoft.com/office/drawing/2010/main" val="0"/>
                        </a:ext>
                      </a:extLst>
                    </a:blip>
                    <a:srcRect r="1924"/>
                    <a:stretch/>
                  </pic:blipFill>
                  <pic:spPr bwMode="auto">
                    <a:xfrm>
                      <a:off x="0" y="0"/>
                      <a:ext cx="5182870" cy="2772573"/>
                    </a:xfrm>
                    <a:prstGeom prst="rect">
                      <a:avLst/>
                    </a:prstGeom>
                    <a:ln>
                      <a:noFill/>
                    </a:ln>
                    <a:extLst>
                      <a:ext uri="{53640926-AAD7-44D8-BBD7-CCE9431645EC}">
                        <a14:shadowObscured xmlns:a14="http://schemas.microsoft.com/office/drawing/2010/main"/>
                      </a:ext>
                    </a:extLst>
                  </pic:spPr>
                </pic:pic>
              </a:graphicData>
            </a:graphic>
          </wp:inline>
        </w:drawing>
      </w:r>
    </w:p>
    <w:p w14:paraId="358687CB" w14:textId="75F6856D" w:rsidR="00D51301" w:rsidRDefault="00D51301" w:rsidP="00D51301">
      <w:pPr>
        <w:pStyle w:val="Caption"/>
      </w:pPr>
      <w:bookmarkStart w:id="186" w:name="_Toc154331569"/>
      <w:r>
        <w:t xml:space="preserve">Figure </w:t>
      </w:r>
      <w:fldSimple w:instr=" STYLEREF 1 \s ">
        <w:r w:rsidR="004B7F70">
          <w:rPr>
            <w:noProof/>
          </w:rPr>
          <w:t>4</w:t>
        </w:r>
      </w:fldSimple>
      <w:r w:rsidR="00C97D34">
        <w:t>.</w:t>
      </w:r>
      <w:fldSimple w:instr=" SEQ Figure \* ARABIC \s 1 ">
        <w:r w:rsidR="004B7F70">
          <w:rPr>
            <w:noProof/>
          </w:rPr>
          <w:t>1</w:t>
        </w:r>
      </w:fldSimple>
      <w:r>
        <w:t xml:space="preserve"> </w:t>
      </w:r>
      <w:r w:rsidRPr="00DC6A61">
        <w:t xml:space="preserve">Volcano plots of differentially expressed genes </w:t>
      </w:r>
      <w:r w:rsidR="000D07DF">
        <w:t>at</w:t>
      </w:r>
      <w:r w:rsidR="000D07DF" w:rsidRPr="00DC6A61">
        <w:t xml:space="preserve"> </w:t>
      </w:r>
      <w:r w:rsidRPr="00DC6A61">
        <w:t>4- and 8- hours post crowding</w:t>
      </w:r>
      <w:bookmarkEnd w:id="186"/>
    </w:p>
    <w:p w14:paraId="1C630AAB" w14:textId="77777777" w:rsidR="00D51301" w:rsidRDefault="00D51301" w:rsidP="00D51301">
      <w:pPr>
        <w:pStyle w:val="Description"/>
      </w:pPr>
      <w:r>
        <w:t xml:space="preserve">Graphs showing barley (cv. Charon) grown hydroponically in 1 plant per pot (1/pot) and 4 plants per pot (4/pot) RNAseq data, 4 and 8 hours post crowding initiation. </w:t>
      </w:r>
    </w:p>
    <w:p w14:paraId="1E9D1359" w14:textId="4315D36A" w:rsidR="00D51301" w:rsidRDefault="00D51301" w:rsidP="00D51301">
      <w:pPr>
        <w:pStyle w:val="Description"/>
      </w:pPr>
      <w:r>
        <w:t xml:space="preserve">A) Volcano plot for 4 hours post crowding initiation. Each dot represents 1 gene. P values </w:t>
      </w:r>
      <w:r w:rsidR="000D07DF">
        <w:t xml:space="preserve">were </w:t>
      </w:r>
      <w:r>
        <w:t>adjusted using Benjamini and Hochberg’s approach converted to -log</w:t>
      </w:r>
      <w:r w:rsidRPr="00D51301">
        <w:rPr>
          <w:vertAlign w:val="subscript"/>
        </w:rPr>
        <w:t>10</w:t>
      </w:r>
      <w:r>
        <w:t>(P-value). Genes shown in grey fall below the p&lt;0.05 threshold level and are hence seen below the solid black horizontal line. Genes between log</w:t>
      </w:r>
      <w:r w:rsidRPr="00D51301">
        <w:rPr>
          <w:vertAlign w:val="subscript"/>
        </w:rPr>
        <w:t>2</w:t>
      </w:r>
      <w:r>
        <w:t xml:space="preserve"> fold change -1 and 1 are shown in black between vertical dashed lines. Genes where the log</w:t>
      </w:r>
      <w:r w:rsidRPr="00D51301">
        <w:rPr>
          <w:vertAlign w:val="subscript"/>
        </w:rPr>
        <w:t>2</w:t>
      </w:r>
      <w:r>
        <w:t xml:space="preserve"> fold change is below -1 are shown in peach, genes where the fold change is above 1 are shown in burgundy.</w:t>
      </w:r>
    </w:p>
    <w:p w14:paraId="0AFC03EB" w14:textId="70C90311" w:rsidR="00D51301" w:rsidRDefault="00D51301" w:rsidP="00D51301">
      <w:pPr>
        <w:pStyle w:val="Description"/>
      </w:pPr>
      <w:r>
        <w:t xml:space="preserve">B) Volcano plot for 8 hours post crowding initiation. Each dot represents 1 gene. P values </w:t>
      </w:r>
      <w:r w:rsidR="00880C3B">
        <w:t>were</w:t>
      </w:r>
      <w:r w:rsidR="0009642C">
        <w:t xml:space="preserve"> </w:t>
      </w:r>
      <w:r>
        <w:t>adjusted using Benjamini and Hochberg’s approach converted to -log</w:t>
      </w:r>
      <w:r w:rsidRPr="00D51301">
        <w:rPr>
          <w:vertAlign w:val="subscript"/>
        </w:rPr>
        <w:t>10</w:t>
      </w:r>
      <w:r>
        <w:t>(P-value). Genes shown in grey fall below the p&lt;0.05 threshold level and are hence seen below the solid black horizontal line. Genes between log</w:t>
      </w:r>
      <w:r w:rsidRPr="00D51301">
        <w:rPr>
          <w:vertAlign w:val="subscript"/>
        </w:rPr>
        <w:t>2</w:t>
      </w:r>
      <w:r>
        <w:t xml:space="preserve"> fold change -1 and 1 are shown in black between vertical dashed lines. Genes where the log</w:t>
      </w:r>
      <w:r w:rsidRPr="00D51301">
        <w:rPr>
          <w:vertAlign w:val="subscript"/>
        </w:rPr>
        <w:t>2</w:t>
      </w:r>
      <w:r>
        <w:t xml:space="preserve"> fold change is below -1 are shown in light blue, genes where the fold change is above 1 are shown in dark blue.</w:t>
      </w:r>
    </w:p>
    <w:p w14:paraId="1EB0E35D" w14:textId="77777777" w:rsidR="00D51301" w:rsidRDefault="00D51301" w:rsidP="00D51301">
      <w:pPr>
        <w:pStyle w:val="Description"/>
      </w:pPr>
    </w:p>
    <w:p w14:paraId="103426E3" w14:textId="6A879B22" w:rsidR="00D51301" w:rsidRDefault="00D51301" w:rsidP="00D51301">
      <w:pPr>
        <w:spacing w:before="160" w:line="480" w:lineRule="auto"/>
        <w:outlineLvl w:val="1"/>
        <w:rPr>
          <w:rFonts w:cs="Times New Roman"/>
          <w:bCs/>
        </w:rPr>
      </w:pPr>
      <w:r>
        <w:rPr>
          <w:rFonts w:cs="Times New Roman"/>
          <w:bCs/>
        </w:rPr>
        <w:t xml:space="preserve">Gene Ontology (GO) analysis was carried out for all the DEGs in both timepoints separately to provide a simplified overview of biological processes that were enriched at these timepoints. At both timepoints, cellular catabolic processes were enriched (Fig. 4.2 A+B). At 4 hours post crowding, 4 of the 5 GO terms are related to oxidative stress, whereas by 8 hours oxidative stress terms </w:t>
      </w:r>
      <w:r w:rsidR="00880C3B">
        <w:rPr>
          <w:rFonts w:cs="Times New Roman"/>
          <w:bCs/>
        </w:rPr>
        <w:t xml:space="preserve">were </w:t>
      </w:r>
      <w:r>
        <w:rPr>
          <w:rFonts w:cs="Times New Roman"/>
          <w:bCs/>
        </w:rPr>
        <w:t xml:space="preserve">not in the top 5 terms, instead terms such as cell wall organisation </w:t>
      </w:r>
      <w:r>
        <w:rPr>
          <w:rFonts w:cs="Times New Roman"/>
          <w:bCs/>
        </w:rPr>
        <w:lastRenderedPageBreak/>
        <w:t xml:space="preserve">or biogenesis are enriched which could suggest a shift to future </w:t>
      </w:r>
      <w:r w:rsidR="0009642C">
        <w:rPr>
          <w:rFonts w:cs="Times New Roman"/>
          <w:bCs/>
          <w:noProof/>
        </w:rPr>
        <w:drawing>
          <wp:anchor distT="0" distB="0" distL="114300" distR="114300" simplePos="0" relativeHeight="251749888" behindDoc="0" locked="0" layoutInCell="1" allowOverlap="1" wp14:anchorId="3BC47FB9" wp14:editId="3918DC1E">
            <wp:simplePos x="0" y="0"/>
            <wp:positionH relativeFrom="margin">
              <wp:align>left</wp:align>
            </wp:positionH>
            <wp:positionV relativeFrom="paragraph">
              <wp:posOffset>776801</wp:posOffset>
            </wp:positionV>
            <wp:extent cx="3765600" cy="4636800"/>
            <wp:effectExtent l="0" t="0" r="6350" b="0"/>
            <wp:wrapTopAndBottom/>
            <wp:docPr id="10207729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72900" name="Picture 102077290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765600" cy="463680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bCs/>
        </w:rPr>
        <w:t>growth strategies (Fig. 4.2 A+B).</w:t>
      </w:r>
    </w:p>
    <w:p w14:paraId="3DCD9837" w14:textId="0CA81986" w:rsidR="00D51301" w:rsidRDefault="00D51301" w:rsidP="00D51301">
      <w:pPr>
        <w:spacing w:before="160" w:line="480" w:lineRule="auto"/>
        <w:outlineLvl w:val="1"/>
        <w:rPr>
          <w:rFonts w:cs="Times New Roman"/>
          <w:bCs/>
        </w:rPr>
      </w:pPr>
    </w:p>
    <w:p w14:paraId="348326D7" w14:textId="08F57605" w:rsidR="00D51301" w:rsidRDefault="00D51301" w:rsidP="00D51301">
      <w:pPr>
        <w:pStyle w:val="Caption"/>
      </w:pPr>
      <w:bookmarkStart w:id="187" w:name="_Toc154331570"/>
      <w:r>
        <w:t xml:space="preserve">Figure </w:t>
      </w:r>
      <w:fldSimple w:instr=" STYLEREF 1 \s ">
        <w:r w:rsidR="004B7F70">
          <w:rPr>
            <w:noProof/>
          </w:rPr>
          <w:t>4</w:t>
        </w:r>
      </w:fldSimple>
      <w:r w:rsidR="00C97D34">
        <w:t>.</w:t>
      </w:r>
      <w:fldSimple w:instr=" SEQ Figure \* ARABIC \s 1 ">
        <w:r w:rsidR="004B7F70">
          <w:rPr>
            <w:noProof/>
          </w:rPr>
          <w:t>2</w:t>
        </w:r>
      </w:fldSimple>
      <w:r>
        <w:t xml:space="preserve"> </w:t>
      </w:r>
      <w:r w:rsidRPr="00FE4877">
        <w:t>Biological process GO terms at 4 and 8 hours post crowding</w:t>
      </w:r>
      <w:bookmarkEnd w:id="187"/>
    </w:p>
    <w:p w14:paraId="538AD73F" w14:textId="77777777" w:rsidR="00D51301" w:rsidRPr="00D51301" w:rsidRDefault="00D51301" w:rsidP="005C3E97">
      <w:pPr>
        <w:pStyle w:val="Description"/>
        <w:rPr>
          <w:lang w:eastAsia="en-US"/>
        </w:rPr>
      </w:pPr>
      <w:r w:rsidRPr="00D51301">
        <w:rPr>
          <w:lang w:eastAsia="en-US"/>
        </w:rPr>
        <w:t>Graphs showing barley (cv. Charon) grown hydroponically in 1 plant per pot (1/pot) and 4 plants per pot (4/pot) RNAseq data, 4 and 8 hours post crowding initiation.</w:t>
      </w:r>
      <w:r w:rsidRPr="00D51301">
        <w:rPr>
          <w:rFonts w:ascii="Calibri" w:eastAsia="Calibri" w:hAnsi="Calibri"/>
          <w:szCs w:val="22"/>
          <w:lang w:eastAsia="en-US"/>
        </w:rPr>
        <w:t xml:space="preserve"> </w:t>
      </w:r>
    </w:p>
    <w:p w14:paraId="1070667A" w14:textId="1A93AACC" w:rsidR="00D51301" w:rsidRDefault="00D51301" w:rsidP="005C3E97">
      <w:pPr>
        <w:pStyle w:val="Description"/>
        <w:rPr>
          <w:lang w:eastAsia="en-US"/>
        </w:rPr>
      </w:pPr>
      <w:r w:rsidRPr="00D51301">
        <w:rPr>
          <w:lang w:eastAsia="en-US"/>
        </w:rPr>
        <w:t xml:space="preserve">A-B) Go terms associated with biological process that are differentially expressed (−1.0 &lt; FC &gt; 1.0, Benjamini–Hochberg FDR-corrected, p&lt;0.05) in 4 plant per pot (4/pot) compared to 1 plant per pot (1/pot) hydroponically grown barley (cv. Charon) at 4 hours (A) and 8 hours (B) post crowding.  Go enrichment was achieved using the gProfiler website </w:t>
      </w:r>
      <w:r w:rsidRPr="00D51301">
        <w:rPr>
          <w:lang w:eastAsia="en-US"/>
        </w:rPr>
        <w:fldChar w:fldCharType="begin" w:fldLock="1"/>
      </w:r>
      <w:r w:rsidRPr="00D51301">
        <w:rPr>
          <w:lang w:eastAsia="en-US"/>
        </w:rPr>
        <w:instrText>ADDIN CSL_CITATION {"citationItems":[{"id":"ITEM-1","itemData":{"DOI":"10.1093/nar/gkz369","ISSN":"0305-1048","abstract":"Biological data analysis often deals with lists of genes arising from various studies. The g:Profiler toolset is widely used for finding biological categories enriched in gene lists, conversions between gene identifiers and mappings to their orthologs. The mission of g:Profiler is to provide a reliable service based on up-to-date high quality data in a convenient manner across many evidence types, identifier spaces and organisms. g:Profiler relies on Ensembl as a primary data source and follows their quarterly release cycle while updating the other data sources simultaneously. The current update provides a better user experience due to a modern responsive web interface, standardised API and libraries. The results are delivered through an interactive and configurable web design. Results can be downloaded as publication ready visualisations or delimited text files. In the current update we have extended the support to 467 species and strains, including vertebrates, plants, fungi, insects and parasites. By supporting user uploaded custom GMT files, g:Profiler is now capable of analysing data from any organism. All past releases are maintained for reproducibility and transparency. The 2019 update introduces an extensive technical rewrite making the services faster and more flexible. g:Profiler is freely available at https://biit.cs.ut.ee/gprofiler.","author":[{"dropping-particle":"","family":"Raudvere","given":"Uku","non-dropping-particle":"","parse-names":false,"suffix":""},{"dropping-particle":"","family":"Kolberg","given":"Liis","non-dropping-particle":"","parse-names":false,"suffix":""},{"dropping-particle":"","family":"Kuzmin","given":"Ivan","non-dropping-particle":"","parse-names":false,"suffix":""},{"dropping-particle":"","family":"Arak","given":"Tambet","non-dropping-particle":"","parse-names":false,"suffix":""},{"dropping-particle":"","family":"Adler","given":"Priit","non-dropping-particle":"","parse-names":false,"suffix":""},{"dropping-particle":"","family":"Peterson","given":"Hedi","non-dropping-particle":"","parse-names":false,"suffix":""},{"dropping-particle":"","family":"Vilo","given":"Jaak","non-dropping-particle":"","parse-names":false,"suffix":""}],"container-title":"Nucleic Acids Research","id":"ITEM-1","issue":"W1","issued":{"date-parts":[["2019","7","2"]]},"page":"W191-W198","title":"g:Profiler: a web server for functional enrichment analysis and conversions of gene lists (2019 update)","type":"article-journal","volume":"47"},"uris":["http://www.mendeley.com/documents/?uuid=a983292d-4d00-40f3-b40e-36ae6096a540"]}],"mendeley":{"formattedCitation":"(Raudvere et al., 2019)","plainTextFormattedCitation":"(Raudvere et al., 2019)","previouslyFormattedCitation":"(Raudvere et al., 2019)"},"properties":{"noteIndex":0},"schema":"https://github.com/citation-style-language/schema/raw/master/csl-citation.json"}</w:instrText>
      </w:r>
      <w:r w:rsidRPr="00D51301">
        <w:rPr>
          <w:lang w:eastAsia="en-US"/>
        </w:rPr>
        <w:fldChar w:fldCharType="separate"/>
      </w:r>
      <w:r w:rsidRPr="00D51301">
        <w:rPr>
          <w:noProof/>
          <w:lang w:eastAsia="en-US"/>
        </w:rPr>
        <w:t>(Raudvere et al., 2019)</w:t>
      </w:r>
      <w:r w:rsidRPr="00D51301">
        <w:rPr>
          <w:lang w:eastAsia="en-US"/>
        </w:rPr>
        <w:fldChar w:fldCharType="end"/>
      </w:r>
      <w:r w:rsidRPr="00D51301">
        <w:rPr>
          <w:lang w:eastAsia="en-US"/>
        </w:rPr>
        <w:t>, P value of GO terms from gprofiler was converted using -log</w:t>
      </w:r>
      <w:r w:rsidRPr="00D51301">
        <w:rPr>
          <w:vertAlign w:val="subscript"/>
          <w:lang w:eastAsia="en-US"/>
        </w:rPr>
        <w:t>2</w:t>
      </w:r>
      <w:r w:rsidRPr="00D51301">
        <w:rPr>
          <w:lang w:eastAsia="en-US"/>
        </w:rPr>
        <w:t xml:space="preserve">(pvalue) after revigo removed redundant GO terms </w:t>
      </w:r>
      <w:r w:rsidRPr="00D51301">
        <w:rPr>
          <w:lang w:eastAsia="en-US"/>
        </w:rPr>
        <w:fldChar w:fldCharType="begin" w:fldLock="1"/>
      </w:r>
      <w:r w:rsidR="008B5DE6">
        <w:rPr>
          <w:lang w:eastAsia="en-US"/>
        </w:rPr>
        <w:instrText>ADDIN CSL_CITATION {"citationItems":[{"id":"ITEM-1","itemData":{"DOI":"10.1371/journal.pone.0021800","ISSN":"1932-6203","author":[{"dropping-particle":"","family":"Supek","given":"Fran","non-dropping-particle":"","parse-names":false,"suffix":""},{"dropping-particle":"","family":"Bošnjak","given":"Matko","non-dropping-particle":"","parse-names":false,"suffix":""},{"dropping-particle":"","family":"Škunca","given":"Nives","non-dropping-particle":"","parse-names":false,"suffix":""},{"dropping-particle":"","family":"Šmuc","given":"Tomislav","non-dropping-particle":"","parse-names":false,"suffix":""}],"container-title":"PLoS ONE","id":"ITEM-1","issue":"7","issued":{"date-parts":[["2011","7","18"]]},"page":"e21800","title":"REVIGO summarizes and visualizes long lists of gene ontology terms","type":"article-journal","volume":"6"},"uris":["http://www.mendeley.com/documents/?uuid=fcf58930-de12-4725-a43d-714eb324f011"]}],"mendeley":{"formattedCitation":"(Supek et al., 2011)","plainTextFormattedCitation":"(Supek et al., 2011)","previouslyFormattedCitation":"(Supek et al., 2011)"},"properties":{"noteIndex":0},"schema":"https://github.com/citation-style-language/schema/raw/master/csl-citation.json"}</w:instrText>
      </w:r>
      <w:r w:rsidRPr="00D51301">
        <w:rPr>
          <w:lang w:eastAsia="en-US"/>
        </w:rPr>
        <w:fldChar w:fldCharType="separate"/>
      </w:r>
      <w:r w:rsidRPr="00D51301">
        <w:rPr>
          <w:noProof/>
          <w:lang w:eastAsia="en-US"/>
        </w:rPr>
        <w:t>(Supek et al., 2011)</w:t>
      </w:r>
      <w:r w:rsidRPr="00D51301">
        <w:rPr>
          <w:lang w:eastAsia="en-US"/>
        </w:rPr>
        <w:fldChar w:fldCharType="end"/>
      </w:r>
      <w:r w:rsidRPr="00D51301">
        <w:rPr>
          <w:lang w:eastAsia="en-US"/>
        </w:rPr>
        <w:t>. The 5 most significant categories were plotted.</w:t>
      </w:r>
    </w:p>
    <w:p w14:paraId="734C6B82" w14:textId="77777777" w:rsidR="005C3E97" w:rsidRDefault="005C3E97" w:rsidP="005C3E97">
      <w:pPr>
        <w:rPr>
          <w:lang w:eastAsia="en-US"/>
        </w:rPr>
      </w:pPr>
    </w:p>
    <w:p w14:paraId="306D7FB3" w14:textId="77777777" w:rsidR="00FD2443" w:rsidRDefault="00FD2443" w:rsidP="005C3E97">
      <w:pPr>
        <w:rPr>
          <w:lang w:eastAsia="en-US"/>
        </w:rPr>
      </w:pPr>
    </w:p>
    <w:p w14:paraId="0F8CBB50" w14:textId="52825B2C" w:rsidR="005C3E97" w:rsidRDefault="005C3E97" w:rsidP="00743E4C">
      <w:pPr>
        <w:pStyle w:val="Heading3"/>
        <w:rPr>
          <w:lang w:eastAsia="en-US"/>
        </w:rPr>
      </w:pPr>
      <w:bookmarkStart w:id="188" w:name="_Toc154331489"/>
      <w:r w:rsidRPr="005C3E97">
        <w:rPr>
          <w:lang w:eastAsia="en-US"/>
        </w:rPr>
        <w:lastRenderedPageBreak/>
        <w:t>Barley responses to crowding are partially overlapping at 4- and 8-hour timepoints</w:t>
      </w:r>
      <w:bookmarkEnd w:id="188"/>
    </w:p>
    <w:p w14:paraId="409618CA" w14:textId="77777777" w:rsidR="005C3E97" w:rsidRPr="005C3E97" w:rsidRDefault="005C3E97" w:rsidP="005C3E97">
      <w:pPr>
        <w:rPr>
          <w:lang w:eastAsia="en-US"/>
        </w:rPr>
      </w:pPr>
    </w:p>
    <w:p w14:paraId="16602929" w14:textId="5EFB3A97" w:rsidR="00D51301" w:rsidRDefault="005C3E97" w:rsidP="005C3E97">
      <w:pPr>
        <w:pStyle w:val="Description"/>
        <w:spacing w:line="480" w:lineRule="auto"/>
        <w:ind w:left="0"/>
        <w:rPr>
          <w:sz w:val="24"/>
          <w:szCs w:val="22"/>
        </w:rPr>
      </w:pPr>
      <w:r w:rsidRPr="005C3E97">
        <w:rPr>
          <w:sz w:val="24"/>
          <w:szCs w:val="22"/>
        </w:rPr>
        <w:t>At 4 hours there were 1248 upregulated genes and 1801 downregulated genes and at 8 hours there were 1369 upregulated genes and 1796 downregulated genes. From herein, only DEGs will be discussed.</w:t>
      </w:r>
    </w:p>
    <w:p w14:paraId="5C138105" w14:textId="77777777" w:rsidR="005C3E97" w:rsidRDefault="005C3E97" w:rsidP="005C3E97">
      <w:pPr>
        <w:spacing w:before="160" w:line="480" w:lineRule="auto"/>
        <w:outlineLvl w:val="1"/>
        <w:rPr>
          <w:rFonts w:cs="Times New Roman"/>
          <w:bCs/>
        </w:rPr>
      </w:pPr>
      <w:r>
        <w:rPr>
          <w:rFonts w:cs="Times New Roman"/>
          <w:bCs/>
          <w:noProof/>
        </w:rPr>
        <w:drawing>
          <wp:anchor distT="0" distB="0" distL="114300" distR="114300" simplePos="0" relativeHeight="251755008" behindDoc="0" locked="0" layoutInCell="1" allowOverlap="1" wp14:anchorId="734994C6" wp14:editId="68DD68B6">
            <wp:simplePos x="0" y="0"/>
            <wp:positionH relativeFrom="margin">
              <wp:align>right</wp:align>
            </wp:positionH>
            <wp:positionV relativeFrom="paragraph">
              <wp:posOffset>2319424</wp:posOffset>
            </wp:positionV>
            <wp:extent cx="5398135" cy="2205990"/>
            <wp:effectExtent l="0" t="0" r="0" b="3810"/>
            <wp:wrapSquare wrapText="bothSides"/>
            <wp:docPr id="529305166" name="Picture 4" descr="A comparison of circle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305166" name="Picture 4" descr="A comparison of circles with tex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98135" cy="2205990"/>
                    </a:xfrm>
                    <a:prstGeom prst="rect">
                      <a:avLst/>
                    </a:prstGeom>
                  </pic:spPr>
                </pic:pic>
              </a:graphicData>
            </a:graphic>
            <wp14:sizeRelH relativeFrom="margin">
              <wp14:pctWidth>0</wp14:pctWidth>
            </wp14:sizeRelH>
            <wp14:sizeRelV relativeFrom="margin">
              <wp14:pctHeight>0</wp14:pctHeight>
            </wp14:sizeRelV>
          </wp:anchor>
        </w:drawing>
      </w:r>
      <w:r w:rsidRPr="00D43203">
        <w:rPr>
          <w:rFonts w:cs="Times New Roman"/>
          <w:bCs/>
        </w:rPr>
        <w:t xml:space="preserve">To uncover if any genes were upregulated or downregulated across </w:t>
      </w:r>
      <w:r>
        <w:rPr>
          <w:rFonts w:cs="Times New Roman"/>
          <w:bCs/>
        </w:rPr>
        <w:t xml:space="preserve">both </w:t>
      </w:r>
      <w:r w:rsidRPr="00D43203">
        <w:rPr>
          <w:rFonts w:cs="Times New Roman"/>
          <w:bCs/>
        </w:rPr>
        <w:t xml:space="preserve">the timepoints, gene lists were compared using Venny2.1 </w:t>
      </w:r>
      <w:r w:rsidRPr="00D43203">
        <w:rPr>
          <w:rFonts w:cs="Times New Roman"/>
          <w:bCs/>
        </w:rPr>
        <w:fldChar w:fldCharType="begin" w:fldLock="1"/>
      </w:r>
      <w:r w:rsidRPr="00D43203">
        <w:rPr>
          <w:rFonts w:cs="Times New Roman"/>
          <w:bCs/>
        </w:rPr>
        <w:instrText>ADDIN CSL_CITATION {"citationItems":[{"id":"ITEM-1","itemData":{"URL":"https://bioinfogp.cnb.csic.es/tools/venny/index.html","author":[{"dropping-particle":"","family":"Oliveros","given":"Juan Carlos","non-dropping-particle":"","parse-names":false,"suffix":""}],"id":"ITEM-1","issued":{"date-parts":[["2007"]]},"title":"Venny. An interactive tool for comparing lists with Venn's diagrams.","type":"webpage"},"uris":["http://www.mendeley.com/documents/?uuid=c1bb4b53-e969-40b6-932d-c59b299ebc9a"]}],"mendeley":{"formattedCitation":"(Oliveros, 2007)","plainTextFormattedCitation":"(Oliveros, 2007)","previouslyFormattedCitation":"(Oliveros, 2007)"},"properties":{"noteIndex":0},"schema":"https://github.com/citation-style-language/schema/raw/master/csl-citation.json"}</w:instrText>
      </w:r>
      <w:r w:rsidRPr="00D43203">
        <w:rPr>
          <w:rFonts w:cs="Times New Roman"/>
          <w:bCs/>
        </w:rPr>
        <w:fldChar w:fldCharType="separate"/>
      </w:r>
      <w:r w:rsidRPr="00D43203">
        <w:rPr>
          <w:rFonts w:cs="Times New Roman"/>
          <w:bCs/>
          <w:noProof/>
        </w:rPr>
        <w:t>(Oliveros, 2007)</w:t>
      </w:r>
      <w:r w:rsidRPr="00D43203">
        <w:rPr>
          <w:rFonts w:cs="Times New Roman"/>
          <w:bCs/>
        </w:rPr>
        <w:fldChar w:fldCharType="end"/>
      </w:r>
      <w:r w:rsidRPr="00D43203">
        <w:rPr>
          <w:rFonts w:cs="Times New Roman"/>
          <w:bCs/>
        </w:rPr>
        <w:t>. Comparing upregulated DEG</w:t>
      </w:r>
      <w:r>
        <w:rPr>
          <w:rFonts w:cs="Times New Roman"/>
          <w:bCs/>
        </w:rPr>
        <w:t>s</w:t>
      </w:r>
      <w:r w:rsidRPr="00D43203">
        <w:rPr>
          <w:rFonts w:cs="Times New Roman"/>
          <w:bCs/>
        </w:rPr>
        <w:t xml:space="preserve"> for 4- and 8-h</w:t>
      </w:r>
      <w:r>
        <w:rPr>
          <w:rFonts w:cs="Times New Roman"/>
          <w:bCs/>
        </w:rPr>
        <w:t>ou</w:t>
      </w:r>
      <w:r w:rsidRPr="00D43203">
        <w:rPr>
          <w:rFonts w:cs="Times New Roman"/>
          <w:bCs/>
        </w:rPr>
        <w:t xml:space="preserve">rs </w:t>
      </w:r>
      <w:r>
        <w:rPr>
          <w:rFonts w:cs="Times New Roman"/>
          <w:bCs/>
        </w:rPr>
        <w:t>post crowding initiation identified</w:t>
      </w:r>
      <w:r w:rsidRPr="00D43203">
        <w:rPr>
          <w:rFonts w:cs="Times New Roman"/>
          <w:bCs/>
        </w:rPr>
        <w:t xml:space="preserve"> 674 (34.7%) overlapping genes</w:t>
      </w:r>
      <w:r>
        <w:rPr>
          <w:rFonts w:cs="Times New Roman"/>
          <w:bCs/>
        </w:rPr>
        <w:t xml:space="preserve"> (Fig. 4.3A)</w:t>
      </w:r>
      <w:r w:rsidRPr="00D43203">
        <w:rPr>
          <w:rFonts w:cs="Times New Roman"/>
          <w:bCs/>
        </w:rPr>
        <w:t xml:space="preserve">. </w:t>
      </w:r>
      <w:r>
        <w:rPr>
          <w:rFonts w:cs="Times New Roman"/>
          <w:bCs/>
        </w:rPr>
        <w:t>Whereas f</w:t>
      </w:r>
      <w:r w:rsidRPr="00D43203">
        <w:rPr>
          <w:rFonts w:cs="Times New Roman"/>
          <w:bCs/>
        </w:rPr>
        <w:t>or the comparison of downregulated</w:t>
      </w:r>
      <w:r>
        <w:rPr>
          <w:rFonts w:cs="Times New Roman"/>
          <w:bCs/>
        </w:rPr>
        <w:t xml:space="preserve"> genes</w:t>
      </w:r>
      <w:r w:rsidRPr="00D43203">
        <w:rPr>
          <w:rFonts w:cs="Times New Roman"/>
          <w:bCs/>
        </w:rPr>
        <w:t xml:space="preserve"> 4- and 8-h</w:t>
      </w:r>
      <w:r>
        <w:rPr>
          <w:rFonts w:cs="Times New Roman"/>
          <w:bCs/>
        </w:rPr>
        <w:t>ou</w:t>
      </w:r>
      <w:r w:rsidRPr="00D43203">
        <w:rPr>
          <w:rFonts w:cs="Times New Roman"/>
          <w:bCs/>
        </w:rPr>
        <w:t>rs</w:t>
      </w:r>
      <w:r>
        <w:rPr>
          <w:rFonts w:cs="Times New Roman"/>
          <w:bCs/>
        </w:rPr>
        <w:t xml:space="preserve"> post crowding initiation,</w:t>
      </w:r>
      <w:r w:rsidRPr="00D43203">
        <w:rPr>
          <w:rFonts w:cs="Times New Roman"/>
          <w:bCs/>
        </w:rPr>
        <w:t xml:space="preserve"> there is an overlap of 1037 (40.5%) genes</w:t>
      </w:r>
      <w:r>
        <w:rPr>
          <w:rFonts w:cs="Times New Roman"/>
          <w:bCs/>
        </w:rPr>
        <w:t xml:space="preserve"> (Fig. 4.3B)</w:t>
      </w:r>
      <w:r w:rsidRPr="00D43203">
        <w:rPr>
          <w:rFonts w:cs="Times New Roman"/>
          <w:bCs/>
        </w:rPr>
        <w:t xml:space="preserve">. </w:t>
      </w:r>
    </w:p>
    <w:p w14:paraId="03D6A20D" w14:textId="77777777" w:rsidR="005C3E97" w:rsidRPr="005C3E97" w:rsidRDefault="005C3E97" w:rsidP="005C3E97"/>
    <w:p w14:paraId="0399F135" w14:textId="7E32517E" w:rsidR="00D51301" w:rsidRDefault="005C3E97" w:rsidP="005C3E97">
      <w:pPr>
        <w:pStyle w:val="Caption"/>
      </w:pPr>
      <w:bookmarkStart w:id="189" w:name="_Toc154331571"/>
      <w:r>
        <w:t xml:space="preserve">Figure </w:t>
      </w:r>
      <w:fldSimple w:instr=" STYLEREF 1 \s ">
        <w:r w:rsidR="004B7F70">
          <w:rPr>
            <w:noProof/>
          </w:rPr>
          <w:t>4</w:t>
        </w:r>
      </w:fldSimple>
      <w:r w:rsidR="00C97D34">
        <w:t>.</w:t>
      </w:r>
      <w:fldSimple w:instr=" SEQ Figure \* ARABIC \s 1 ">
        <w:r w:rsidR="004B7F70">
          <w:rPr>
            <w:noProof/>
          </w:rPr>
          <w:t>3</w:t>
        </w:r>
      </w:fldSimple>
      <w:r>
        <w:t xml:space="preserve"> </w:t>
      </w:r>
      <w:r w:rsidRPr="00EF4BBA">
        <w:t>Overlap of differentially expressed genes at 4- and 8-hours post crowding</w:t>
      </w:r>
      <w:bookmarkEnd w:id="189"/>
    </w:p>
    <w:p w14:paraId="2BC4899B" w14:textId="77777777" w:rsidR="005C3E97" w:rsidRPr="00F92DDA" w:rsidRDefault="005C3E97" w:rsidP="005C3E97">
      <w:pPr>
        <w:pStyle w:val="Description"/>
      </w:pPr>
      <w:r w:rsidRPr="00F92DDA">
        <w:t xml:space="preserve">Barley (cv. Charon) were grown hydroponically in 1 plant per pot (1/pot) and 4 plants per pot (4/pot). Lists of differentially expressed genes (DEGs) at </w:t>
      </w:r>
      <w:bookmarkStart w:id="190" w:name="_Hlk144406955"/>
      <w:r w:rsidRPr="00F92DDA">
        <w:t>4- and 8-hours</w:t>
      </w:r>
      <w:bookmarkEnd w:id="190"/>
      <w:r w:rsidRPr="00F92DDA">
        <w:t xml:space="preserve"> post crowding were compared. </w:t>
      </w:r>
    </w:p>
    <w:p w14:paraId="2DDFCC7C" w14:textId="77777777" w:rsidR="005C3E97" w:rsidRPr="00F92DDA" w:rsidRDefault="005C3E97" w:rsidP="005C3E97">
      <w:pPr>
        <w:pStyle w:val="Description"/>
      </w:pPr>
      <w:r w:rsidRPr="00F92DDA">
        <w:t>A) Venn diagram of DEGs with a log</w:t>
      </w:r>
      <w:r w:rsidRPr="007E23BA">
        <w:rPr>
          <w:vertAlign w:val="subscript"/>
        </w:rPr>
        <w:t>2</w:t>
      </w:r>
      <w:r w:rsidRPr="00F92DDA">
        <w:t xml:space="preserve"> fold change greater than +1 (upregulated in crowded treatment) for each time point 4- and 8 hours post crowding were compared. Outer numbers represent the number and percentage of genes exclusively found in 4 hours upregulated (left) and 8 hours upregulated (right). The centre of the </w:t>
      </w:r>
      <w:r>
        <w:t xml:space="preserve">venn </w:t>
      </w:r>
      <w:r w:rsidRPr="00F92DDA">
        <w:t>diagram represents genes present at both timepoints.</w:t>
      </w:r>
      <w:r>
        <w:t xml:space="preserve"> Venn diagram created using </w:t>
      </w:r>
      <w:r>
        <w:fldChar w:fldCharType="begin" w:fldLock="1"/>
      </w:r>
      <w:r>
        <w:instrText>ADDIN CSL_CITATION {"citationItems":[{"id":"ITEM-1","itemData":{"URL":"https://bioinfogp.cnb.csic.es/tools/venny/index.html","author":[{"dropping-particle":"","family":"Oliveros","given":"Juan Carlos","non-dropping-particle":"","parse-names":false,"suffix":""}],"id":"ITEM-1","issued":{"date-parts":[["2007"]]},"title":"Venny. An interactive tool for comparing lists with Venn's diagrams.","type":"webpage"},"uris":["http://www.mendeley.com/documents/?uuid=c1bb4b53-e969-40b6-932d-c59b299ebc9a"]}],"mendeley":{"formattedCitation":"(Oliveros, 2007)","plainTextFormattedCitation":"(Oliveros, 2007)","previouslyFormattedCitation":"(Oliveros, 2007)"},"properties":{"noteIndex":0},"schema":"https://github.com/citation-style-language/schema/raw/master/csl-citation.json"}</w:instrText>
      </w:r>
      <w:r>
        <w:fldChar w:fldCharType="separate"/>
      </w:r>
      <w:r w:rsidRPr="000A7109">
        <w:rPr>
          <w:noProof/>
        </w:rPr>
        <w:t>(Oliveros, 2007)</w:t>
      </w:r>
      <w:r>
        <w:fldChar w:fldCharType="end"/>
      </w:r>
      <w:r>
        <w:t>.</w:t>
      </w:r>
    </w:p>
    <w:p w14:paraId="7DB48E54" w14:textId="77777777" w:rsidR="005C3E97" w:rsidRDefault="005C3E97" w:rsidP="005C3E97">
      <w:pPr>
        <w:pStyle w:val="Description"/>
      </w:pPr>
      <w:r w:rsidRPr="00F92DDA">
        <w:lastRenderedPageBreak/>
        <w:t>B) Venn diagram of DEGs with a log</w:t>
      </w:r>
      <w:r w:rsidRPr="007E23BA">
        <w:rPr>
          <w:vertAlign w:val="subscript"/>
        </w:rPr>
        <w:t>2</w:t>
      </w:r>
      <w:r w:rsidRPr="00F92DDA">
        <w:t xml:space="preserve"> fold change less than -1 (downregulated in crowded treatment) for each time point 4- and 8 hours post crowding were compared. Outer numbers represent the number and percentage of genes exclusively found in 4 hours </w:t>
      </w:r>
      <w:r>
        <w:t>down</w:t>
      </w:r>
      <w:r w:rsidRPr="00F92DDA">
        <w:t xml:space="preserve">regulated (left) and 8 hours </w:t>
      </w:r>
      <w:r>
        <w:t>down</w:t>
      </w:r>
      <w:r w:rsidRPr="00F92DDA">
        <w:t xml:space="preserve">regulated (right). The centre of the diagram represents genes present at both timepoints. </w:t>
      </w:r>
      <w:r>
        <w:t xml:space="preserve">Venn diagram created using </w:t>
      </w:r>
      <w:r>
        <w:fldChar w:fldCharType="begin" w:fldLock="1"/>
      </w:r>
      <w:r>
        <w:instrText>ADDIN CSL_CITATION {"citationItems":[{"id":"ITEM-1","itemData":{"URL":"https://bioinfogp.cnb.csic.es/tools/venny/index.html","author":[{"dropping-particle":"","family":"Oliveros","given":"Juan Carlos","non-dropping-particle":"","parse-names":false,"suffix":""}],"id":"ITEM-1","issued":{"date-parts":[["2007"]]},"title":"Venny. An interactive tool for comparing lists with Venn's diagrams.","type":"webpage"},"uris":["http://www.mendeley.com/documents/?uuid=c1bb4b53-e969-40b6-932d-c59b299ebc9a"]}],"mendeley":{"formattedCitation":"(Oliveros, 2007)","plainTextFormattedCitation":"(Oliveros, 2007)","previouslyFormattedCitation":"(Oliveros, 2007)"},"properties":{"noteIndex":0},"schema":"https://github.com/citation-style-language/schema/raw/master/csl-citation.json"}</w:instrText>
      </w:r>
      <w:r>
        <w:fldChar w:fldCharType="separate"/>
      </w:r>
      <w:r w:rsidRPr="000A7109">
        <w:rPr>
          <w:noProof/>
        </w:rPr>
        <w:t>(Oliveros, 2007)</w:t>
      </w:r>
      <w:r>
        <w:fldChar w:fldCharType="end"/>
      </w:r>
      <w:r>
        <w:t>.</w:t>
      </w:r>
    </w:p>
    <w:p w14:paraId="0872FD74" w14:textId="77777777" w:rsidR="00D2515E" w:rsidRPr="00D2515E" w:rsidRDefault="00D2515E" w:rsidP="00D2515E"/>
    <w:p w14:paraId="67CD2155" w14:textId="4D4AD2E4" w:rsidR="005C3E97" w:rsidRDefault="005C3E97" w:rsidP="005C3E97">
      <w:pPr>
        <w:spacing w:before="160" w:line="480" w:lineRule="auto"/>
        <w:outlineLvl w:val="1"/>
        <w:rPr>
          <w:rFonts w:cs="Times New Roman"/>
          <w:bCs/>
        </w:rPr>
      </w:pPr>
      <w:r w:rsidRPr="00D43203">
        <w:rPr>
          <w:rFonts w:cs="Times New Roman"/>
          <w:bCs/>
        </w:rPr>
        <w:t xml:space="preserve">This </w:t>
      </w:r>
      <w:r>
        <w:rPr>
          <w:rFonts w:cs="Times New Roman"/>
          <w:bCs/>
        </w:rPr>
        <w:t>data suggests</w:t>
      </w:r>
      <w:r w:rsidRPr="00D43203">
        <w:rPr>
          <w:rFonts w:cs="Times New Roman"/>
          <w:bCs/>
        </w:rPr>
        <w:t xml:space="preserve"> that within 4 hours there is a fast and substantial number of transcriptional changes that occur in the root.</w:t>
      </w:r>
      <w:r>
        <w:rPr>
          <w:rFonts w:cs="Times New Roman"/>
          <w:bCs/>
        </w:rPr>
        <w:t xml:space="preserve"> </w:t>
      </w:r>
      <w:r w:rsidRPr="00395670">
        <w:rPr>
          <w:rFonts w:cs="Times New Roman"/>
          <w:bCs/>
        </w:rPr>
        <w:t>The design of the experiment allowed the root systems of the other plants in the crowded treatment to interact</w:t>
      </w:r>
      <w:r w:rsidR="00756FEB">
        <w:rPr>
          <w:rFonts w:cs="Times New Roman"/>
          <w:bCs/>
        </w:rPr>
        <w:t>,</w:t>
      </w:r>
      <w:r w:rsidRPr="00395670">
        <w:rPr>
          <w:rFonts w:cs="Times New Roman"/>
          <w:bCs/>
        </w:rPr>
        <w:t xml:space="preserve"> whether that be by the exchange of root exudates or roots touching. As only root tissue was sampled, this dataset shows responses likely driven by root-based crowding, rather than shoot based shading effects. However, in this experimental design I did not explicitly control for shoot based shading effects, therefore there is a possibility that mutual shading of the shoot systems has occurred, and such information has been communicated to the root </w:t>
      </w:r>
      <w:r w:rsidRPr="00395670">
        <w:rPr>
          <w:rFonts w:cs="Times New Roman"/>
          <w:bCs/>
        </w:rPr>
        <w:fldChar w:fldCharType="begin" w:fldLock="1"/>
      </w:r>
      <w:r w:rsidRPr="00395670">
        <w:rPr>
          <w:rFonts w:cs="Times New Roman"/>
          <w:bCs/>
        </w:rPr>
        <w:instrText>ADDIN CSL_CITATION {"citationItems":[{"id":"ITEM-1","itemData":{"DOI":"10.1016/j.molp.2021.06.002","ISSN":"16742052","author":[{"dropping-particle":"","family":"Gao","given":"Yi-Qun","non-dropping-particle":"","parse-names":false,"suffix":""},{"dropping-particle":"","family":"Bu","given":"Ling-Hua","non-dropping-particle":"","parse-names":false,"suffix":""},{"dropping-particle":"","family":"Han","given":"Mei-Ling","non-dropping-particle":"","parse-names":false,"suffix":""},{"dropping-particle":"","family":"Wang","given":"Ya-Ling","non-dropping-particle":"","parse-names":false,"suffix":""},{"dropping-particle":"","family":"Li","given":"Zong-Yun","non-dropping-particle":"","parse-names":false,"suffix":""},{"dropping-particle":"","family":"Liu","given":"Hong-Tao","non-dropping-particle":"","parse-names":false,"suffix":""},{"dropping-particle":"","family":"Chao","given":"Dai-Yin","non-dropping-particle":"","parse-names":false,"suffix":""}],"container-title":"Molecular Plant","id":"ITEM-1","issue":"9","issued":{"date-parts":[["2021","9"]]},"page":"1539-1553","title":"Long-distance blue light signalling regulates phosphate deficiency-induced primary root growth inhibition","type":"article-journal","volume":"14"},"uris":["http://www.mendeley.com/documents/?uuid=06ca954c-f339-447e-9edd-75a78d6e88ab"]}],"mendeley":{"formattedCitation":"(Gao et al., 2021)","plainTextFormattedCitation":"(Gao et al., 2021)","previouslyFormattedCitation":"(Gao et al., 2021)"},"properties":{"noteIndex":0},"schema":"https://github.com/citation-style-language/schema/raw/master/csl-citation.json"}</w:instrText>
      </w:r>
      <w:r w:rsidRPr="00395670">
        <w:rPr>
          <w:rFonts w:cs="Times New Roman"/>
          <w:bCs/>
        </w:rPr>
        <w:fldChar w:fldCharType="separate"/>
      </w:r>
      <w:r w:rsidRPr="00395670">
        <w:rPr>
          <w:rFonts w:cs="Times New Roman"/>
          <w:bCs/>
          <w:noProof/>
        </w:rPr>
        <w:t>(Gao et al., 2021)</w:t>
      </w:r>
      <w:r w:rsidRPr="00395670">
        <w:rPr>
          <w:rFonts w:cs="Times New Roman"/>
          <w:bCs/>
        </w:rPr>
        <w:fldChar w:fldCharType="end"/>
      </w:r>
      <w:r w:rsidRPr="00395670">
        <w:rPr>
          <w:rFonts w:cs="Times New Roman"/>
          <w:bCs/>
        </w:rPr>
        <w:t xml:space="preserve"> within the first 4 hours. </w:t>
      </w:r>
    </w:p>
    <w:p w14:paraId="59AA8C13" w14:textId="77777777" w:rsidR="005C3E97" w:rsidRDefault="005C3E97" w:rsidP="005C3E97">
      <w:pPr>
        <w:spacing w:before="160" w:line="480" w:lineRule="auto"/>
        <w:outlineLvl w:val="1"/>
        <w:rPr>
          <w:rFonts w:cs="Times New Roman"/>
          <w:bCs/>
        </w:rPr>
      </w:pPr>
    </w:p>
    <w:p w14:paraId="0A8F698D" w14:textId="2295399E" w:rsidR="005C3E97" w:rsidRDefault="005C3E97" w:rsidP="00743E4C">
      <w:pPr>
        <w:pStyle w:val="Heading3"/>
      </w:pPr>
      <w:bookmarkStart w:id="191" w:name="_Toc154331490"/>
      <w:r w:rsidRPr="005C3E97">
        <w:t>Barley plants initiate a competitive response after neighbour detection</w:t>
      </w:r>
      <w:bookmarkEnd w:id="191"/>
    </w:p>
    <w:p w14:paraId="5A959B74" w14:textId="77777777" w:rsidR="005C3E97" w:rsidRDefault="005C3E97" w:rsidP="005C3E97">
      <w:pPr>
        <w:spacing w:before="160" w:line="480" w:lineRule="auto"/>
        <w:outlineLvl w:val="1"/>
        <w:rPr>
          <w:rFonts w:cs="Times New Roman"/>
          <w:bCs/>
        </w:rPr>
      </w:pPr>
    </w:p>
    <w:p w14:paraId="3EA193DB" w14:textId="46905289" w:rsidR="005C3E97" w:rsidRDefault="005C3E97" w:rsidP="005C3E97">
      <w:pPr>
        <w:spacing w:before="160" w:line="480" w:lineRule="auto"/>
        <w:outlineLvl w:val="1"/>
        <w:rPr>
          <w:rFonts w:cs="Times New Roman"/>
          <w:bCs/>
        </w:rPr>
      </w:pPr>
      <w:r w:rsidRPr="00D43203">
        <w:rPr>
          <w:rFonts w:cs="Times New Roman"/>
          <w:bCs/>
        </w:rPr>
        <w:t>Each timepoint was separately investigated and DEGs lists were ordered by their log</w:t>
      </w:r>
      <w:r w:rsidRPr="0060719E">
        <w:rPr>
          <w:rFonts w:cs="Times New Roman"/>
          <w:bCs/>
          <w:vertAlign w:val="subscript"/>
        </w:rPr>
        <w:t>2</w:t>
      </w:r>
      <w:r w:rsidRPr="00D43203">
        <w:rPr>
          <w:rFonts w:cs="Times New Roman"/>
          <w:bCs/>
        </w:rPr>
        <w:t xml:space="preserve"> fold change. </w:t>
      </w:r>
      <w:r>
        <w:rPr>
          <w:rFonts w:cs="Times New Roman"/>
          <w:bCs/>
        </w:rPr>
        <w:t>Unfortunately, Genewiz were unable to provide annotations for the barley transcriptome, so I hand-annotated the data set, by comparing the sequenced transcripts to the Arabidopsis genome (as discussed in section 2.6).</w:t>
      </w:r>
      <w:r w:rsidR="00016220">
        <w:rPr>
          <w:rFonts w:cs="Times New Roman"/>
          <w:bCs/>
        </w:rPr>
        <w:t xml:space="preserve"> </w:t>
      </w:r>
      <w:r w:rsidR="00016220" w:rsidRPr="00881122">
        <w:rPr>
          <w:rFonts w:cs="Times New Roman"/>
          <w:bCs/>
        </w:rPr>
        <w:t xml:space="preserve">Comparisons were made to the Arabidopsis genome </w:t>
      </w:r>
      <w:r w:rsidR="00BD7DD1" w:rsidRPr="00881122">
        <w:rPr>
          <w:rFonts w:cs="Times New Roman"/>
          <w:bCs/>
        </w:rPr>
        <w:t xml:space="preserve">as this is </w:t>
      </w:r>
      <w:r w:rsidR="000538C3" w:rsidRPr="00881122">
        <w:rPr>
          <w:rFonts w:cs="Times New Roman"/>
          <w:bCs/>
        </w:rPr>
        <w:t>a well annotated genome</w:t>
      </w:r>
      <w:r w:rsidR="007B2966" w:rsidRPr="00881122">
        <w:rPr>
          <w:rFonts w:cs="Times New Roman"/>
          <w:bCs/>
        </w:rPr>
        <w:t xml:space="preserve"> </w:t>
      </w:r>
      <w:r w:rsidR="00093006" w:rsidRPr="00881122">
        <w:rPr>
          <w:rFonts w:cs="Times New Roman"/>
          <w:bCs/>
        </w:rPr>
        <w:t xml:space="preserve">providing </w:t>
      </w:r>
      <w:r w:rsidR="007B2966" w:rsidRPr="00881122">
        <w:rPr>
          <w:rFonts w:cs="Times New Roman"/>
          <w:bCs/>
        </w:rPr>
        <w:t xml:space="preserve">a large number of genes with functional </w:t>
      </w:r>
      <w:r w:rsidR="00EE3F7E" w:rsidRPr="00881122">
        <w:rPr>
          <w:rFonts w:cs="Times New Roman"/>
          <w:bCs/>
        </w:rPr>
        <w:t>descriptions</w:t>
      </w:r>
      <w:r w:rsidR="00BC719D" w:rsidRPr="00881122">
        <w:rPr>
          <w:rFonts w:cs="Times New Roman"/>
          <w:bCs/>
        </w:rPr>
        <w:t xml:space="preserve"> </w:t>
      </w:r>
      <w:r w:rsidR="00BC719D" w:rsidRPr="00881122">
        <w:rPr>
          <w:rFonts w:cs="Times New Roman"/>
          <w:bCs/>
        </w:rPr>
        <w:fldChar w:fldCharType="begin" w:fldLock="1"/>
      </w:r>
      <w:r w:rsidR="00741871" w:rsidRPr="00881122">
        <w:rPr>
          <w:rFonts w:cs="Times New Roman"/>
          <w:bCs/>
        </w:rPr>
        <w:instrText>ADDIN CSL_CITATION {"citationItems":[{"id":"ITEM-1","itemData":{"DOI":"10.1111/tpj.13415","ISSN":"0960-7412","abstract":"The flowering plant Arabidopsis thaliana is a dicot model organism for research in many aspects of plant biology. A comprehensive annotation of its genome paves the way for understanding the functions and activities of all types of transcripts, including mRNA , the various classes of non</w:instrText>
      </w:r>
      <w:r w:rsidR="00741871" w:rsidRPr="00881122">
        <w:rPr>
          <w:rFonts w:ascii="Cambria Math" w:hAnsi="Cambria Math" w:cs="Cambria Math"/>
          <w:bCs/>
        </w:rPr>
        <w:instrText>‐</w:instrText>
      </w:r>
      <w:r w:rsidR="00741871" w:rsidRPr="00881122">
        <w:rPr>
          <w:rFonts w:cs="Times New Roman"/>
          <w:bCs/>
        </w:rPr>
        <w:instrText>coding RNA , and small RNA . The TAIR 10 annotation update had a profound impact on Arabidopsis research but was released more than 5 years ago. Maintaining the accuracy of the annotation continues to be a prerequisite for future progress. Using an integrative annotation pipeline, we assembled tissue</w:instrText>
      </w:r>
      <w:r w:rsidR="00741871" w:rsidRPr="00881122">
        <w:rPr>
          <w:rFonts w:ascii="Cambria Math" w:hAnsi="Cambria Math" w:cs="Cambria Math"/>
          <w:bCs/>
        </w:rPr>
        <w:instrText>‐</w:instrText>
      </w:r>
      <w:r w:rsidR="00741871" w:rsidRPr="00881122">
        <w:rPr>
          <w:rFonts w:cs="Times New Roman"/>
          <w:bCs/>
        </w:rPr>
        <w:instrText xml:space="preserve">specific RNA </w:instrText>
      </w:r>
      <w:r w:rsidR="00741871" w:rsidRPr="00881122">
        <w:rPr>
          <w:rFonts w:ascii="Cambria Math" w:hAnsi="Cambria Math" w:cs="Cambria Math"/>
          <w:bCs/>
        </w:rPr>
        <w:instrText>‐</w:instrText>
      </w:r>
      <w:r w:rsidR="00741871" w:rsidRPr="00881122">
        <w:rPr>
          <w:rFonts w:cs="Times New Roman"/>
          <w:bCs/>
        </w:rPr>
        <w:instrText>Seq libraries from 113 datasets and constructed 48 359 transcript models of protein</w:instrText>
      </w:r>
      <w:r w:rsidR="00741871" w:rsidRPr="00881122">
        <w:rPr>
          <w:rFonts w:ascii="Cambria Math" w:hAnsi="Cambria Math" w:cs="Cambria Math"/>
          <w:bCs/>
        </w:rPr>
        <w:instrText>‐</w:instrText>
      </w:r>
      <w:r w:rsidR="00741871" w:rsidRPr="00881122">
        <w:rPr>
          <w:rFonts w:cs="Times New Roman"/>
          <w:bCs/>
        </w:rPr>
        <w:instrText>coding genes in eleven tissues. In addition, we annotated various classes of non</w:instrText>
      </w:r>
      <w:r w:rsidR="00741871" w:rsidRPr="00881122">
        <w:rPr>
          <w:rFonts w:ascii="Cambria Math" w:hAnsi="Cambria Math" w:cs="Cambria Math"/>
          <w:bCs/>
        </w:rPr>
        <w:instrText>‐</w:instrText>
      </w:r>
      <w:r w:rsidR="00741871" w:rsidRPr="00881122">
        <w:rPr>
          <w:rFonts w:cs="Times New Roman"/>
          <w:bCs/>
        </w:rPr>
        <w:instrText>coding RNA including micro RNA , long intergenic RNA , small nucleolar RNA , natural antisense transcript, small nuclear RNA , and small RNA using published datasets and in</w:instrText>
      </w:r>
      <w:r w:rsidR="00741871" w:rsidRPr="00881122">
        <w:rPr>
          <w:rFonts w:ascii="Cambria Math" w:hAnsi="Cambria Math" w:cs="Cambria Math"/>
          <w:bCs/>
        </w:rPr>
        <w:instrText>‐</w:instrText>
      </w:r>
      <w:r w:rsidR="00741871" w:rsidRPr="00881122">
        <w:rPr>
          <w:rFonts w:cs="Times New Roman"/>
          <w:bCs/>
        </w:rPr>
        <w:instrText>house analytic results. Altogether, we identified 635 novel protein</w:instrText>
      </w:r>
      <w:r w:rsidR="00741871" w:rsidRPr="00881122">
        <w:rPr>
          <w:rFonts w:ascii="Cambria Math" w:hAnsi="Cambria Math" w:cs="Cambria Math"/>
          <w:bCs/>
        </w:rPr>
        <w:instrText>‐</w:instrText>
      </w:r>
      <w:r w:rsidR="00741871" w:rsidRPr="00881122">
        <w:rPr>
          <w:rFonts w:cs="Times New Roman"/>
          <w:bCs/>
        </w:rPr>
        <w:instrText>coding genes, 508 novel transcribed regions, 5178 non</w:instrText>
      </w:r>
      <w:r w:rsidR="00741871" w:rsidRPr="00881122">
        <w:rPr>
          <w:rFonts w:ascii="Cambria Math" w:hAnsi="Cambria Math" w:cs="Cambria Math"/>
          <w:bCs/>
        </w:rPr>
        <w:instrText>‐</w:instrText>
      </w:r>
      <w:r w:rsidR="00741871" w:rsidRPr="00881122">
        <w:rPr>
          <w:rFonts w:cs="Times New Roman"/>
          <w:bCs/>
        </w:rPr>
        <w:instrText xml:space="preserve">coding RNA s, and 35 846 small RNA loci that were formerly unannotated. Analysis of the splicing events and RNA </w:instrText>
      </w:r>
      <w:r w:rsidR="00741871" w:rsidRPr="00881122">
        <w:rPr>
          <w:rFonts w:ascii="Cambria Math" w:hAnsi="Cambria Math" w:cs="Cambria Math"/>
          <w:bCs/>
        </w:rPr>
        <w:instrText>‐</w:instrText>
      </w:r>
      <w:r w:rsidR="00741871" w:rsidRPr="00881122">
        <w:rPr>
          <w:rFonts w:cs="Times New Roman"/>
          <w:bCs/>
        </w:rPr>
        <w:instrText>Seq based expression profiles revealed the landscapes of gene structures, untranslated regions, and splicing activities to be more intricate than previously appreciated. Furthermore, we present 692 uniformly expressed housekeeping genes, 43% of whose human orthologs are also housekeeping genes. This updated Arabidopsis genome annotation with a substantially increased resolution of gene models will not only further our understanding of the biological processes of this plant model but also of other species.","author":[{"dropping-particle":"","family":"Cheng","given":"Chia</w:instrText>
      </w:r>
      <w:r w:rsidR="00741871" w:rsidRPr="00881122">
        <w:rPr>
          <w:rFonts w:ascii="Cambria Math" w:hAnsi="Cambria Math" w:cs="Cambria Math"/>
          <w:bCs/>
        </w:rPr>
        <w:instrText>‐</w:instrText>
      </w:r>
      <w:r w:rsidR="00741871" w:rsidRPr="00881122">
        <w:rPr>
          <w:rFonts w:cs="Times New Roman"/>
          <w:bCs/>
        </w:rPr>
        <w:instrText>Yi","non-dropping-particle":"","parse-names":false,"suffix":""},{"dropping-particle":"","family":"Krishnakumar","given":"Vivek","non-dropping-particle":"","parse-names":false,"suffix":""},{"dropping-particle":"","family":"Chan","given":"Agnes P.","non-dropping-particle":"","parse-names":false,"suffix":""},{"dropping-particle":"","family":"Thibaud</w:instrText>
      </w:r>
      <w:r w:rsidR="00741871" w:rsidRPr="00881122">
        <w:rPr>
          <w:rFonts w:ascii="Cambria Math" w:hAnsi="Cambria Math" w:cs="Cambria Math"/>
          <w:bCs/>
        </w:rPr>
        <w:instrText>‐</w:instrText>
      </w:r>
      <w:r w:rsidR="00741871" w:rsidRPr="00881122">
        <w:rPr>
          <w:rFonts w:cs="Times New Roman"/>
          <w:bCs/>
        </w:rPr>
        <w:instrText>Nissen","given":"Fran</w:instrText>
      </w:r>
      <w:r w:rsidR="00741871" w:rsidRPr="00881122">
        <w:rPr>
          <w:bCs/>
        </w:rPr>
        <w:instrText>ç</w:instrText>
      </w:r>
      <w:r w:rsidR="00741871" w:rsidRPr="00881122">
        <w:rPr>
          <w:rFonts w:cs="Times New Roman"/>
          <w:bCs/>
        </w:rPr>
        <w:instrText>oise","non-dropping-particle":"","parse-names":false,"suffix":""},{"dropping-particle":"","family":"Schobel","given":"Seth","non-dropping-particle":"","parse-names":false,"suffix":""},{"dropping-particle":"","family":"Town","given":"Christopher D.","non-dropping-particle":"","parse-names":false,"suffix":""}],"container-title":"The Plant Journal","id":"ITEM-1","issue":"4","issued":{"date-parts":[["2017","2","10"]]},"page":"789-804","title":"Araport11: a complete reannotation of the Arabidopsis thaliana reference genome","type":"article-journal","volume":"89"},"uris":["http://www.mendeley.com/documents/?uuid=12e1fd1d-5308-43d8-8eb2-48acc300ed7d"]}],"mendeley":{"formattedCitation":"(Cheng et al., 2017)","plainTextFormattedCitation":"(Cheng et al., 2017)","previouslyFormattedCitation":"(Cheng et al., 2017)"},"properties":{"noteIndex":0},"schema":"https://github.com/citation-style-language/schema/raw/master/csl-citation.json"}</w:instrText>
      </w:r>
      <w:r w:rsidR="00BC719D" w:rsidRPr="00881122">
        <w:rPr>
          <w:rFonts w:cs="Times New Roman"/>
          <w:bCs/>
        </w:rPr>
        <w:fldChar w:fldCharType="separate"/>
      </w:r>
      <w:r w:rsidR="00BC719D" w:rsidRPr="00881122">
        <w:rPr>
          <w:rFonts w:cs="Times New Roman"/>
          <w:bCs/>
          <w:noProof/>
        </w:rPr>
        <w:t>(Cheng et al., 2017)</w:t>
      </w:r>
      <w:r w:rsidR="00BC719D" w:rsidRPr="00881122">
        <w:rPr>
          <w:rFonts w:cs="Times New Roman"/>
          <w:bCs/>
        </w:rPr>
        <w:fldChar w:fldCharType="end"/>
      </w:r>
      <w:r w:rsidR="000538C3" w:rsidRPr="00BC719D">
        <w:rPr>
          <w:rFonts w:cs="Times New Roman"/>
          <w:bCs/>
        </w:rPr>
        <w:t>.</w:t>
      </w:r>
      <w:r>
        <w:rPr>
          <w:rFonts w:cs="Times New Roman"/>
          <w:bCs/>
        </w:rPr>
        <w:t xml:space="preserve"> Due to the RNAseq </w:t>
      </w:r>
      <w:r>
        <w:rPr>
          <w:rFonts w:cs="Times New Roman"/>
          <w:bCs/>
        </w:rPr>
        <w:lastRenderedPageBreak/>
        <w:t>experiment taking place in the last few months of my PhD</w:t>
      </w:r>
      <w:r w:rsidRPr="00D43203">
        <w:rPr>
          <w:rFonts w:cs="Times New Roman"/>
          <w:bCs/>
        </w:rPr>
        <w:t xml:space="preserve">, only ~100-150 of the highest upregulated and downregulated barley genes were </w:t>
      </w:r>
      <w:r>
        <w:rPr>
          <w:rFonts w:cs="Times New Roman"/>
          <w:bCs/>
        </w:rPr>
        <w:t>annotated in this way</w:t>
      </w:r>
      <w:r w:rsidRPr="00D43203">
        <w:rPr>
          <w:rFonts w:cs="Times New Roman"/>
          <w:bCs/>
        </w:rPr>
        <w:t xml:space="preserve">. </w:t>
      </w:r>
      <w:r>
        <w:rPr>
          <w:rFonts w:cs="Times New Roman"/>
          <w:bCs/>
        </w:rPr>
        <w:t xml:space="preserve">Nevertheless, despite this relatively small snapshot of the data, a number of interesting patterns were observed. </w:t>
      </w:r>
    </w:p>
    <w:p w14:paraId="2C36F571" w14:textId="77777777" w:rsidR="005C3E97" w:rsidRDefault="005C3E97" w:rsidP="005C3E97">
      <w:pPr>
        <w:spacing w:before="160" w:line="480" w:lineRule="auto"/>
        <w:outlineLvl w:val="1"/>
        <w:rPr>
          <w:rFonts w:cs="Times New Roman"/>
          <w:bCs/>
        </w:rPr>
      </w:pPr>
    </w:p>
    <w:p w14:paraId="16368B60" w14:textId="3CF15344" w:rsidR="005C3E97" w:rsidRPr="00CB3C8B" w:rsidRDefault="005C3E97" w:rsidP="005C3E97">
      <w:pPr>
        <w:spacing w:before="160" w:line="480" w:lineRule="auto"/>
        <w:outlineLvl w:val="1"/>
        <w:rPr>
          <w:rFonts w:cs="Times New Roman"/>
          <w:bCs/>
          <w:u w:val="single"/>
        </w:rPr>
      </w:pPr>
      <w:r w:rsidRPr="00201ADF">
        <w:rPr>
          <w:rFonts w:cs="Times New Roman"/>
          <w:bCs/>
          <w:i/>
          <w:iCs/>
          <w:u w:val="single"/>
        </w:rPr>
        <w:t>NRT2</w:t>
      </w:r>
      <w:r w:rsidRPr="009567E4">
        <w:rPr>
          <w:rFonts w:cs="Times New Roman"/>
          <w:bCs/>
          <w:u w:val="single"/>
        </w:rPr>
        <w:t xml:space="preserve"> transporters</w:t>
      </w:r>
      <w:r w:rsidR="00A83732">
        <w:rPr>
          <w:rFonts w:cs="Times New Roman"/>
          <w:bCs/>
          <w:u w:val="single"/>
        </w:rPr>
        <w:t xml:space="preserve"> </w:t>
      </w:r>
      <w:r w:rsidR="00A83732" w:rsidRPr="00CB3C8B">
        <w:rPr>
          <w:rFonts w:cs="Times New Roman"/>
          <w:bCs/>
          <w:u w:val="single"/>
        </w:rPr>
        <w:t>are upregulated</w:t>
      </w:r>
      <w:r w:rsidR="005C3A3C" w:rsidRPr="00CB3C8B">
        <w:rPr>
          <w:rFonts w:cs="Times New Roman"/>
          <w:bCs/>
          <w:u w:val="single"/>
        </w:rPr>
        <w:t xml:space="preserve"> when crowded</w:t>
      </w:r>
    </w:p>
    <w:p w14:paraId="458DA696" w14:textId="71AE16AE" w:rsidR="005C3E97" w:rsidRDefault="00391B83" w:rsidP="005C3E97">
      <w:pPr>
        <w:spacing w:before="160" w:line="480" w:lineRule="auto"/>
        <w:outlineLvl w:val="1"/>
        <w:rPr>
          <w:szCs w:val="24"/>
        </w:rPr>
      </w:pPr>
      <w:r w:rsidRPr="00CB3C8B">
        <w:rPr>
          <w:rFonts w:cs="Times New Roman"/>
          <w:bCs/>
        </w:rPr>
        <w:t>To begin to determine which DEGs may be of biological importance</w:t>
      </w:r>
      <w:r w:rsidR="00AD68AD" w:rsidRPr="00CB3C8B">
        <w:rPr>
          <w:rFonts w:cs="Times New Roman"/>
          <w:bCs/>
        </w:rPr>
        <w:t xml:space="preserve"> for the recognition of crowding, DEGs were ordered by their </w:t>
      </w:r>
      <w:r w:rsidR="0065601E" w:rsidRPr="00CB3C8B">
        <w:rPr>
          <w:rFonts w:cs="Times New Roman"/>
          <w:bCs/>
        </w:rPr>
        <w:t>log</w:t>
      </w:r>
      <w:r w:rsidR="0065601E" w:rsidRPr="00CB3C8B">
        <w:rPr>
          <w:rFonts w:cs="Times New Roman"/>
          <w:bCs/>
          <w:vertAlign w:val="subscript"/>
        </w:rPr>
        <w:t>2</w:t>
      </w:r>
      <w:r w:rsidR="0065601E" w:rsidRPr="00CB3C8B">
        <w:rPr>
          <w:rFonts w:cs="Times New Roman"/>
          <w:bCs/>
        </w:rPr>
        <w:t xml:space="preserve"> </w:t>
      </w:r>
      <w:r w:rsidR="00AD68AD" w:rsidRPr="00CB3C8B">
        <w:rPr>
          <w:rFonts w:cs="Times New Roman"/>
          <w:bCs/>
        </w:rPr>
        <w:t>FC</w:t>
      </w:r>
      <w:r w:rsidR="00AD0104" w:rsidRPr="00CB3C8B">
        <w:rPr>
          <w:rFonts w:cs="Times New Roman"/>
          <w:bCs/>
        </w:rPr>
        <w:t>.</w:t>
      </w:r>
      <w:r w:rsidR="00AD68AD" w:rsidRPr="00CB3C8B">
        <w:rPr>
          <w:rFonts w:cs="Times New Roman"/>
          <w:bCs/>
        </w:rPr>
        <w:t xml:space="preserve"> </w:t>
      </w:r>
      <w:r w:rsidR="00AD0104" w:rsidRPr="00CB3C8B">
        <w:rPr>
          <w:rFonts w:cs="Times New Roman"/>
          <w:bCs/>
        </w:rPr>
        <w:t>P</w:t>
      </w:r>
      <w:r w:rsidR="0065601E" w:rsidRPr="00CB3C8B">
        <w:rPr>
          <w:rFonts w:cs="Times New Roman"/>
          <w:bCs/>
        </w:rPr>
        <w:t xml:space="preserve">otential genes of interest </w:t>
      </w:r>
      <w:r w:rsidR="00AD0104" w:rsidRPr="00CB3C8B">
        <w:rPr>
          <w:rFonts w:cs="Times New Roman"/>
          <w:bCs/>
        </w:rPr>
        <w:t>with a high or low</w:t>
      </w:r>
      <w:r w:rsidR="00677C0B" w:rsidRPr="00CB3C8B">
        <w:rPr>
          <w:rFonts w:cs="Times New Roman"/>
          <w:bCs/>
        </w:rPr>
        <w:t xml:space="preserve"> log</w:t>
      </w:r>
      <w:r w:rsidR="00677C0B" w:rsidRPr="00CB3C8B">
        <w:rPr>
          <w:rFonts w:cs="Times New Roman"/>
          <w:bCs/>
          <w:vertAlign w:val="subscript"/>
        </w:rPr>
        <w:t>2</w:t>
      </w:r>
      <w:r w:rsidR="00392FA6" w:rsidRPr="00CB3C8B">
        <w:rPr>
          <w:rFonts w:cs="Times New Roman"/>
          <w:bCs/>
          <w:vertAlign w:val="subscript"/>
        </w:rPr>
        <w:t xml:space="preserve"> </w:t>
      </w:r>
      <w:r w:rsidR="00677C0B" w:rsidRPr="00CB3C8B">
        <w:rPr>
          <w:rFonts w:cs="Times New Roman"/>
          <w:bCs/>
        </w:rPr>
        <w:t xml:space="preserve">FC were identified. </w:t>
      </w:r>
      <w:r w:rsidR="00AD68AD" w:rsidRPr="00CB3C8B">
        <w:rPr>
          <w:rFonts w:cs="Times New Roman"/>
          <w:bCs/>
        </w:rPr>
        <w:t xml:space="preserve"> </w:t>
      </w:r>
      <w:r w:rsidR="005C3E97" w:rsidRPr="00CB3C8B">
        <w:rPr>
          <w:rFonts w:cs="Times New Roman"/>
          <w:bCs/>
        </w:rPr>
        <w:t xml:space="preserve">At 4 hours post crowding </w:t>
      </w:r>
      <w:r w:rsidR="005C3E97" w:rsidRPr="00CB3C8B">
        <w:rPr>
          <w:rFonts w:cs="Times New Roman"/>
          <w:bCs/>
          <w:i/>
          <w:iCs/>
        </w:rPr>
        <w:t>HORVU.MOREX.r3.6HG0543580</w:t>
      </w:r>
      <w:r w:rsidR="005C3E97" w:rsidRPr="00CB3C8B">
        <w:rPr>
          <w:rFonts w:cs="Times New Roman"/>
          <w:bCs/>
        </w:rPr>
        <w:t xml:space="preserve"> was upregulated by a log</w:t>
      </w:r>
      <w:r w:rsidR="005C3E97" w:rsidRPr="00CB3C8B">
        <w:rPr>
          <w:rFonts w:cs="Times New Roman"/>
          <w:bCs/>
          <w:vertAlign w:val="subscript"/>
        </w:rPr>
        <w:t>2</w:t>
      </w:r>
      <w:r w:rsidR="005C3E97" w:rsidRPr="00CB3C8B">
        <w:rPr>
          <w:rFonts w:cs="Times New Roman"/>
          <w:bCs/>
        </w:rPr>
        <w:t xml:space="preserve"> FC of 2.34 </w:t>
      </w:r>
      <w:r w:rsidR="005C3E97" w:rsidRPr="00CB3C8B">
        <w:rPr>
          <w:szCs w:val="24"/>
        </w:rPr>
        <w:t>(Fig. 4.4 A)</w:t>
      </w:r>
      <w:r w:rsidR="008D71A1" w:rsidRPr="00CB3C8B">
        <w:rPr>
          <w:szCs w:val="24"/>
        </w:rPr>
        <w:t>, this was among the highest log</w:t>
      </w:r>
      <w:r w:rsidR="008D71A1" w:rsidRPr="00CB3C8B">
        <w:rPr>
          <w:szCs w:val="24"/>
          <w:vertAlign w:val="subscript"/>
        </w:rPr>
        <w:t>2</w:t>
      </w:r>
      <w:r w:rsidR="008D71A1" w:rsidRPr="00CB3C8B">
        <w:rPr>
          <w:szCs w:val="24"/>
        </w:rPr>
        <w:t xml:space="preserve"> fold changes in the data set for 4 hours</w:t>
      </w:r>
      <w:r w:rsidR="005C3E97" w:rsidRPr="00CB3C8B">
        <w:rPr>
          <w:rFonts w:cs="Times New Roman"/>
          <w:bCs/>
        </w:rPr>
        <w:t>.</w:t>
      </w:r>
      <w:r w:rsidR="005C3E97">
        <w:rPr>
          <w:rFonts w:cs="Times New Roman"/>
          <w:bCs/>
        </w:rPr>
        <w:t xml:space="preserve"> The paralogous genes in Arabidopsis are the high affinity nitrate transporters </w:t>
      </w:r>
      <w:r w:rsidR="005C3E97" w:rsidRPr="007E23BA">
        <w:rPr>
          <w:rFonts w:cs="Times New Roman"/>
          <w:bCs/>
          <w:i/>
          <w:iCs/>
        </w:rPr>
        <w:t>NRT2.1</w:t>
      </w:r>
      <w:r w:rsidR="005C3E97" w:rsidRPr="006F25D1">
        <w:rPr>
          <w:rFonts w:cs="Times New Roman"/>
          <w:bCs/>
        </w:rPr>
        <w:t xml:space="preserve"> (AT1G08090), </w:t>
      </w:r>
      <w:r w:rsidR="005C3E97" w:rsidRPr="007E23BA">
        <w:rPr>
          <w:rFonts w:cs="Times New Roman"/>
          <w:bCs/>
          <w:i/>
          <w:iCs/>
        </w:rPr>
        <w:t>NRT2.2</w:t>
      </w:r>
      <w:r w:rsidR="005C3E97" w:rsidRPr="006F25D1">
        <w:rPr>
          <w:rFonts w:cs="Times New Roman"/>
          <w:bCs/>
        </w:rPr>
        <w:t xml:space="preserve"> (AT1G08100), </w:t>
      </w:r>
      <w:r w:rsidR="005C3E97" w:rsidRPr="007E23BA">
        <w:rPr>
          <w:rFonts w:cs="Times New Roman"/>
          <w:bCs/>
          <w:i/>
          <w:iCs/>
        </w:rPr>
        <w:t>NRT2.4</w:t>
      </w:r>
      <w:r w:rsidR="005C3E97" w:rsidRPr="006F25D1">
        <w:rPr>
          <w:rFonts w:cs="Times New Roman"/>
          <w:bCs/>
        </w:rPr>
        <w:t xml:space="preserve"> (AT5G60770)</w:t>
      </w:r>
      <w:r w:rsidR="005C3E97" w:rsidRPr="00D8580D">
        <w:rPr>
          <w:szCs w:val="24"/>
        </w:rPr>
        <w:t xml:space="preserve"> </w:t>
      </w:r>
      <w:r w:rsidR="005C3E97" w:rsidRPr="00D8580D">
        <w:rPr>
          <w:szCs w:val="24"/>
        </w:rPr>
        <w:fldChar w:fldCharType="begin" w:fldLock="1"/>
      </w:r>
      <w:r w:rsidR="006E3F59">
        <w:rPr>
          <w:szCs w:val="24"/>
        </w:rPr>
        <w:instrText>ADDIN CSL_CITATION {"citationItems":[{"id":"ITEM-1","itemData":{"DOI":"10.1105/tpc.111.092221","ISSN":"1532-298X","abstract":"Plants have evolved a variety of mechanisms to adapt to N starvation. NITRATE TRANSPORTER2.4 (NRT2.4) is one of seven NRT2 family genes in Arabidopsis thaliana, and NRT2.4 expression is induced under N starvation. Green fluorescent protein and β-glucuronidase reporter analyses revealed that NRT2.4 is a plasma membrane transporter expressed in the epidermis of lateral roots and in or close to the shoot phloem. The spatiotemporal expression pattern of NRT2.4 in roots is complementary with that of the major high-affinity nitrate transporter NTR2.1. Functional analysis in Xenopus laevis oocytes and in planta showed that NRT2.4 is a nitrate transporter functioning in the high-affinity range. In N-starved nrt2.4 mutants, nitrate uptake under low external supply and nitrate content in shoot phloem exudates was decreased. In the absence of NRT2.1 and NRT2.2, loss of function of NRT2.4 (triple mutants) has an impact on biomass production under low nitrate supply. Together, our results demonstrate that NRT2.4 is a nitrate transporter that has a role in both roots and shoots under N starvation.","author":[{"dropping-particle":"","family":"Kiba","given":"Takatoshi","non-dropping-particle":"","parse-names":false,"suffix":""},{"dropping-particle":"","family":"Feria-Bourrellier","given":"Ana-Belen","non-dropping-particle":"","parse-names":false,"suffix":""},{"dropping-particle":"","family":"Lafouge","given":"Florence","non-dropping-particle":"","parse-names":false,"suffix":""},{"dropping-particle":"","family":"Lezhneva","given":"Lina","non-dropping-particle":"","parse-names":false,"suffix":""},{"dropping-particle":"","family":"Boutet-Mercey","given":"Stéphanie","non-dropping-particle":"","parse-names":false,"suffix":""},{"dropping-particle":"","family":"Orsel","given":"Mathilde","non-dropping-particle":"","parse-names":false,"suffix":""},{"dropping-particle":"","family":"Bréhaut","given":"Virginie","non-dropping-particle":"","parse-names":false,"suffix":""},{"dropping-particle":"","family":"Miller","given":"Anthony","non-dropping-particle":"","parse-names":false,"suffix":""},{"dropping-particle":"","family":"Daniel-Vedele","given":"Françoise","non-dropping-particle":"","parse-names":false,"suffix":""},{"dropping-particle":"","family":"Sakakibara","given":"Hitoshi","non-dropping-particle":"","parse-names":false,"suffix":""},{"dropping-particle":"","family":"Krapp","given":"Anne","non-dropping-particle":"","parse-names":false,"suffix":""}],"container-title":"The Plant Cell","id":"ITEM-1","issue":"1","issued":{"date-parts":[["2012","2","28"]]},"page":"245-258","title":"The Arabidopsis nitrate transporter NRT2.4 plays a double role in roots and shoots of nitrogen-starved plants","type":"article-journal","volume":"24"},"uris":["http://www.mendeley.com/documents/?uuid=ed795ed1-fe6e-444f-b523-fac009db37ea"]},{"id":"ITEM-2","itemData":{"DOI":"10.1104/pp.127.1.262","ISSN":"1532-2548","abstract":"The role of AtNrt2.1 and AtNrt2.2genes, encoding putative NO3 − transporters in Arabidopsis, in the regulation of high-affinity NO3 − uptake has been investigated in theatnrt2 mutant, where these two genes are deleted. Our initial analysis of the atnrt2 mutant (S. Filleur, M.F. Dorbe, M. Cerezo, M. Orsel, F. Granier, A. Gojon, F. Daniel-Vedele [2001] FEBS Lett 489: 220–224) demonstrated that root NO3 − uptake is affected in this mutant due to the alteration of the high-affinity transport system (HATS), but not of the low-affinity transport system. In the present work, we show that the residual HATS activity in atnrt2 plants is not inducible by NO3 −, indicating that the mutant is more specifically impaired in the inducible component of the HATS. Thus, high-affinity NO3 − uptake in this genotype is likely to be due to the constitutive HATS. Root15NO3 − influx in theatnrt2 mutant is no more derepressed by nitrogen starvation or decrease in the external NO3 −availability. Moreover, the mutant also lacks the usual compensatory up-regulation of NO3 − uptake in NO3 −-fed roots, in response to nitrogen deprivation of another portion of the root system. Finally, exogenous supply of NH4 + in the nutrient solution fails to inhibit 15NO3 − influx in the mutant, whereas it strongly decreases that in the wild type. This is not explained by a reduced activity of NH4 +uptake systems in the mutant. These results collectively indicate thatAtNrt2.1 and/or AtNrt2.2 genes play a key role in the regulation of the high-affinity NO3 − uptake, and in the adaptative responses of the plant to both spatial and temporal changes in nitrogen availability in the environment.","author":[{"dropping-particle":"","family":"Cerezo","given":"Miguel","non-dropping-particle":"","parse-names":false,"suffix":""},{"dropping-particle":"","family":"Tillard","given":"Pascal","non-dropping-particle":"","parse-names":false,"suffix":""},{"dropping-particle":"","family":"Filleur","given":"Sophie","non-dropping-particle":"","parse-names":false,"suffix":""},{"dropping-particle":"","family":"Muños","given":"Stéphane","non-dropping-particle":"","parse-names":false,"suffix":""},{"dropping-particle":"","family":"Daniel-Vedele","given":"Françoise","non-dropping-particle":"","parse-names":false,"suffix":""},{"dropping-particle":"","family":"Gojon","given":"Alain","non-dropping-particle":"","parse-names":false,"suffix":""}],"container-title":"Plant Physiology","id":"ITEM-2","issue":"1","issued":{"date-parts":[["2001","9","1"]]},"page":"262-271","title":"Major alterations of the regulation of Root NO3 − uptake are associated with the mutation of Nrt2.1 and Nrt2.2 genes in Arabidopsis","type":"article-journal","volume":"127"},"uris":["http://www.mendeley.com/documents/?uuid=2d399cd4-6558-4573-bf0d-ee9b83c10a4b"]},{"id":"ITEM-3","itemData":{"DOI":"10.1104/pp.106.091223","ISSN":"0032-0889","author":[{"dropping-particle":"","family":"Li","given":"Wenbin","non-dropping-particle":"","parse-names":false,"suffix":""},{"dropping-particle":"","family":"Wang","given":"Ye","non-dropping-particle":"","parse-names":false,"suffix":""},{"dropping-particle":"","family":"Okamoto","given":"Mamoru","non-dropping-particle":"","parse-names":false,"suffix":""},{"dropping-particle":"","family":"Crawford","given":"Nigel M.","non-dropping-particle":"","parse-names":false,"suffix":""},{"dropping-particle":"","family":"Siddiqi","given":"M. Yaeesh","non-dropping-particle":"","parse-names":false,"suffix":""},{"dropping-particle":"","family":"Glass","given":"Anthony D.M.","non-dropping-particle":"","parse-names":false,"suffix":""}],"container-title":"Plant Physiology","id":"ITEM-3","issue":"1","issued":{"date-parts":[["2007","1"]]},"page":"425-433","title":"Dissection of the AtNRT2.1 : AtNRT2.2 inducible high-affinity nitrate transporter gene cluster","type":"article-journal","volume":"143"},"uris":["http://www.mendeley.com/documents/?uuid=9fb733e8-2849-47b0-b1a9-4ec90d76933b"]}],"mendeley":{"formattedCitation":"(Cerezo et al., 2001; Li et al., 2007; Kiba et al., 2012)","plainTextFormattedCitation":"(Cerezo et al., 2001; Li et al., 2007; Kiba et al., 2012)","previouslyFormattedCitation":"(Cerezo et al., 2001; Li et al., 2007; Kiba et al., 2012)"},"properties":{"noteIndex":0},"schema":"https://github.com/citation-style-language/schema/raw/master/csl-citation.json"}</w:instrText>
      </w:r>
      <w:r w:rsidR="005C3E97" w:rsidRPr="00D8580D">
        <w:rPr>
          <w:szCs w:val="24"/>
        </w:rPr>
        <w:fldChar w:fldCharType="separate"/>
      </w:r>
      <w:r w:rsidR="005C3E97" w:rsidRPr="00A914FB">
        <w:rPr>
          <w:noProof/>
          <w:szCs w:val="24"/>
        </w:rPr>
        <w:t>(Cerezo et al., 2001; Li et al., 2007; Kiba et al., 2012)</w:t>
      </w:r>
      <w:r w:rsidR="005C3E97" w:rsidRPr="00D8580D">
        <w:rPr>
          <w:szCs w:val="24"/>
        </w:rPr>
        <w:fldChar w:fldCharType="end"/>
      </w:r>
      <w:r w:rsidR="005C3E97">
        <w:rPr>
          <w:szCs w:val="24"/>
        </w:rPr>
        <w:t xml:space="preserve">. All of these genes function to uptake nitrate from the soil </w:t>
      </w:r>
      <w:r w:rsidR="005C3E97">
        <w:rPr>
          <w:szCs w:val="24"/>
        </w:rPr>
        <w:fldChar w:fldCharType="begin" w:fldLock="1"/>
      </w:r>
      <w:r w:rsidR="005C3E97">
        <w:rPr>
          <w:szCs w:val="24"/>
        </w:rPr>
        <w:instrText>ADDIN CSL_CITATION {"citationItems":[{"id":"ITEM-1","itemData":{"DOI":"10.1016/j.tplants.2012.04.006","ISSN":"13601385","author":[{"dropping-particle":"","family":"Wang","given":"Ya-Yun","non-dropping-particle":"","parse-names":false,"suffix":""},{"dropping-particle":"","family":"Hsu","given":"Po-Kai","non-dropping-particle":"","parse-names":false,"suffix":""},{"dropping-particle":"","family":"Tsay","given":"Yi-Fang","non-dropping-particle":"","parse-names":false,"suffix":""}],"container-title":"Trends in Plant Science","id":"ITEM-1","issue":"8","issued":{"date-parts":[["2012","8"]]},"page":"458-467","title":"Uptake, allocation and signaling of nitrate","type":"article-journal","volume":"17"},"uris":["http://www.mendeley.com/documents/?uuid=06eb00d0-198c-4ba6-8eb6-1210de980d56"]}],"mendeley":{"formattedCitation":"(Wang et al., 2012)","plainTextFormattedCitation":"(Wang et al., 2012)","previouslyFormattedCitation":"(Wang et al., 2012)"},"properties":{"noteIndex":0},"schema":"https://github.com/citation-style-language/schema/raw/master/csl-citation.json"}</w:instrText>
      </w:r>
      <w:r w:rsidR="005C3E97">
        <w:rPr>
          <w:szCs w:val="24"/>
        </w:rPr>
        <w:fldChar w:fldCharType="separate"/>
      </w:r>
      <w:r w:rsidR="005C3E97" w:rsidRPr="00530FC2">
        <w:rPr>
          <w:noProof/>
          <w:szCs w:val="24"/>
        </w:rPr>
        <w:t>(Wang et al., 2012)</w:t>
      </w:r>
      <w:r w:rsidR="005C3E97">
        <w:rPr>
          <w:szCs w:val="24"/>
        </w:rPr>
        <w:fldChar w:fldCharType="end"/>
      </w:r>
      <w:r w:rsidR="005C3E97">
        <w:rPr>
          <w:szCs w:val="24"/>
        </w:rPr>
        <w:t xml:space="preserve"> but </w:t>
      </w:r>
      <w:r w:rsidR="005C3E97" w:rsidRPr="007E23BA">
        <w:rPr>
          <w:i/>
          <w:iCs/>
          <w:szCs w:val="24"/>
        </w:rPr>
        <w:t>NRT2.4</w:t>
      </w:r>
      <w:r w:rsidR="005C3E97">
        <w:rPr>
          <w:szCs w:val="24"/>
        </w:rPr>
        <w:t xml:space="preserve"> has been shown to be particularly upregulated in nitrate deficient environments </w:t>
      </w:r>
      <w:r w:rsidR="005C3E97">
        <w:rPr>
          <w:szCs w:val="24"/>
        </w:rPr>
        <w:fldChar w:fldCharType="begin" w:fldLock="1"/>
      </w:r>
      <w:r w:rsidR="00925045">
        <w:rPr>
          <w:szCs w:val="24"/>
        </w:rPr>
        <w:instrText>ADDIN CSL_CITATION {"citationItems":[{"id":"ITEM-1","itemData":{"DOI":"10.1093/pcp/pcg036","ISSN":"1471-9053","author":[{"dropping-particle":"","family":"Okamoto","given":"Mamoru","non-dropping-particle":"","parse-names":false,"suffix":""},{"dropping-particle":"","family":"Vidmar","given":"J. John","non-dropping-particle":"","parse-names":false,"suffix":""},{"dropping-particle":"","family":"Glass","given":"Anthony D. M.","non-dropping-particle":"","parse-names":false,"suffix":""}],"container-title":"Plant and Cell Physiology","id":"ITEM-1","issue":"3","issued":{"date-parts":[["2003","3","15"]]},"page":"304-317","title":"Regulation of NRT1 and NRT2 gene families of Arabidopsis thaliana: Responses to nitrate provision","type":"article-journal","volume":"44"},"uris":["http://www.mendeley.com/documents/?uuid=36c8cac2-8b3b-465e-a27a-0f8814ad1cd2"]}],"mendeley":{"formattedCitation":"(Okamoto et al., 2003)","plainTextFormattedCitation":"(Okamoto et al., 2003)","previouslyFormattedCitation":"(Okamoto et al., 2003)"},"properties":{"noteIndex":0},"schema":"https://github.com/citation-style-language/schema/raw/master/csl-citation.json"}</w:instrText>
      </w:r>
      <w:r w:rsidR="005C3E97">
        <w:rPr>
          <w:szCs w:val="24"/>
        </w:rPr>
        <w:fldChar w:fldCharType="separate"/>
      </w:r>
      <w:r w:rsidR="005C3E97" w:rsidRPr="00045A10">
        <w:rPr>
          <w:noProof/>
          <w:szCs w:val="24"/>
        </w:rPr>
        <w:t>(Okamoto et al., 2003)</w:t>
      </w:r>
      <w:r w:rsidR="005C3E97">
        <w:rPr>
          <w:szCs w:val="24"/>
        </w:rPr>
        <w:fldChar w:fldCharType="end"/>
      </w:r>
      <w:r w:rsidR="005C3E97">
        <w:rPr>
          <w:szCs w:val="24"/>
        </w:rPr>
        <w:t xml:space="preserve">. At 8 hours post crowding there is a sustained upregulation of these </w:t>
      </w:r>
      <w:r w:rsidR="005C3E97" w:rsidRPr="007E23BA">
        <w:rPr>
          <w:i/>
          <w:iCs/>
          <w:szCs w:val="24"/>
        </w:rPr>
        <w:t>NRT2</w:t>
      </w:r>
      <w:r w:rsidR="005C3E97">
        <w:rPr>
          <w:szCs w:val="24"/>
        </w:rPr>
        <w:t xml:space="preserve"> genes including the </w:t>
      </w:r>
      <w:r w:rsidR="005C3E97" w:rsidRPr="007E23BA">
        <w:rPr>
          <w:i/>
          <w:iCs/>
          <w:szCs w:val="24"/>
        </w:rPr>
        <w:t>HORVU.MOREX.r3.6HG0543580</w:t>
      </w:r>
      <w:r w:rsidR="005C3E97">
        <w:rPr>
          <w:i/>
          <w:iCs/>
          <w:szCs w:val="24"/>
        </w:rPr>
        <w:t xml:space="preserve"> </w:t>
      </w:r>
      <w:r w:rsidR="005C3E97" w:rsidRPr="001D2FE2">
        <w:rPr>
          <w:szCs w:val="24"/>
        </w:rPr>
        <w:t>transcript identified at 4 hours</w:t>
      </w:r>
      <w:r w:rsidR="005C3E97">
        <w:rPr>
          <w:szCs w:val="24"/>
        </w:rPr>
        <w:t xml:space="preserve"> (log</w:t>
      </w:r>
      <w:r w:rsidR="005C3E97" w:rsidRPr="007E23BA">
        <w:rPr>
          <w:szCs w:val="24"/>
          <w:vertAlign w:val="subscript"/>
        </w:rPr>
        <w:t>2</w:t>
      </w:r>
      <w:r w:rsidR="005C3E97">
        <w:rPr>
          <w:szCs w:val="24"/>
          <w:vertAlign w:val="subscript"/>
        </w:rPr>
        <w:t xml:space="preserve"> </w:t>
      </w:r>
      <w:r w:rsidR="005C3E97">
        <w:rPr>
          <w:szCs w:val="24"/>
        </w:rPr>
        <w:t xml:space="preserve">FC 5.72), in addition to the </w:t>
      </w:r>
      <w:r w:rsidR="006D53C1">
        <w:rPr>
          <w:szCs w:val="24"/>
        </w:rPr>
        <w:t xml:space="preserve">paralogous </w:t>
      </w:r>
      <w:r w:rsidR="005C3E97">
        <w:rPr>
          <w:szCs w:val="24"/>
        </w:rPr>
        <w:t xml:space="preserve">sequences </w:t>
      </w:r>
      <w:r w:rsidR="005C3E97" w:rsidRPr="007E23BA">
        <w:rPr>
          <w:i/>
          <w:iCs/>
          <w:szCs w:val="24"/>
        </w:rPr>
        <w:t>HORVU.MOREX.r3.6HG0543560</w:t>
      </w:r>
      <w:r w:rsidR="005C3E97">
        <w:rPr>
          <w:szCs w:val="24"/>
        </w:rPr>
        <w:t xml:space="preserve">, </w:t>
      </w:r>
      <w:r w:rsidR="005C3E97" w:rsidRPr="007E23BA">
        <w:rPr>
          <w:i/>
          <w:iCs/>
          <w:szCs w:val="24"/>
        </w:rPr>
        <w:t>HORVU.MOREX.r3.6HG0543590</w:t>
      </w:r>
      <w:r w:rsidR="005C3E97">
        <w:rPr>
          <w:szCs w:val="24"/>
        </w:rPr>
        <w:t xml:space="preserve">, </w:t>
      </w:r>
      <w:r w:rsidR="005C3E97" w:rsidRPr="007E23BA">
        <w:rPr>
          <w:i/>
          <w:iCs/>
          <w:szCs w:val="24"/>
        </w:rPr>
        <w:t>HORVU.MOREX.r3.6HG0543390</w:t>
      </w:r>
      <w:r w:rsidR="005C3E97" w:rsidRPr="00AD0520">
        <w:rPr>
          <w:szCs w:val="24"/>
        </w:rPr>
        <w:t xml:space="preserve"> </w:t>
      </w:r>
      <w:r w:rsidR="005C3E97">
        <w:rPr>
          <w:szCs w:val="24"/>
        </w:rPr>
        <w:t xml:space="preserve">and </w:t>
      </w:r>
      <w:r w:rsidR="005C3E97" w:rsidRPr="007E23BA">
        <w:rPr>
          <w:i/>
          <w:iCs/>
          <w:szCs w:val="24"/>
        </w:rPr>
        <w:t>HORVU.MOREX.r3.6HG0543380</w:t>
      </w:r>
      <w:r w:rsidR="005C3E97" w:rsidRPr="00A716CC">
        <w:rPr>
          <w:szCs w:val="24"/>
        </w:rPr>
        <w:t xml:space="preserve"> </w:t>
      </w:r>
      <w:r w:rsidR="005C3E97">
        <w:rPr>
          <w:szCs w:val="24"/>
        </w:rPr>
        <w:t>(log</w:t>
      </w:r>
      <w:r w:rsidR="005C3E97" w:rsidRPr="007E23BA">
        <w:rPr>
          <w:szCs w:val="24"/>
          <w:vertAlign w:val="subscript"/>
        </w:rPr>
        <w:t>2</w:t>
      </w:r>
      <w:r w:rsidR="005C3E97">
        <w:rPr>
          <w:szCs w:val="24"/>
          <w:vertAlign w:val="subscript"/>
        </w:rPr>
        <w:t xml:space="preserve"> </w:t>
      </w:r>
      <w:r w:rsidR="005C3E97">
        <w:rPr>
          <w:szCs w:val="24"/>
        </w:rPr>
        <w:t xml:space="preserve">FC 7.36, 4.88, 2.29 and 1.38 respectively) (Fig. 4.4 A). </w:t>
      </w:r>
    </w:p>
    <w:p w14:paraId="06987998" w14:textId="77777777" w:rsidR="005C3E97" w:rsidRPr="00D51459" w:rsidRDefault="005C3E97" w:rsidP="005C3E97">
      <w:pPr>
        <w:spacing w:before="160" w:line="480" w:lineRule="auto"/>
        <w:outlineLvl w:val="1"/>
        <w:rPr>
          <w:szCs w:val="24"/>
        </w:rPr>
      </w:pPr>
      <w:r w:rsidRPr="00D51459">
        <w:rPr>
          <w:szCs w:val="24"/>
        </w:rPr>
        <w:t xml:space="preserve">This is intriguing as the experimental design ensured that plants were supplied with sufficient nutrients and the hydroponic media was changed immediately </w:t>
      </w:r>
      <w:r w:rsidRPr="00D51459">
        <w:rPr>
          <w:szCs w:val="24"/>
        </w:rPr>
        <w:lastRenderedPageBreak/>
        <w:t xml:space="preserve">before the crowding treatment, ensuring the plants were not nutrient deficient, and could not become nutrient deficient within the 4-8 hour timeframe of the experiment. Therefore, this suggests that although the plants were not experiencing nutrient limitation, they may be forecasting this as a possibility for their future given the sudden presence of neighbouring plants. Consequently, this upregulation of nitrate transporters could suggest that crowded plants initiate a competitive response on recognition of neighbours to rapidly uptake nitrate from the environment to prevent future resource limitation caused by neighbours. </w:t>
      </w:r>
    </w:p>
    <w:p w14:paraId="6A60C63C" w14:textId="77777777" w:rsidR="005C3E97" w:rsidRDefault="005C3E97" w:rsidP="005C3E97">
      <w:pPr>
        <w:spacing w:before="160" w:line="480" w:lineRule="auto"/>
        <w:outlineLvl w:val="1"/>
        <w:rPr>
          <w:rFonts w:cs="Times New Roman"/>
          <w:bCs/>
        </w:rPr>
      </w:pPr>
    </w:p>
    <w:p w14:paraId="7E3B7B2C" w14:textId="56CCC3B7" w:rsidR="005C3E97" w:rsidRPr="00F953D5" w:rsidRDefault="005C3E97" w:rsidP="005C3E97">
      <w:pPr>
        <w:keepNext/>
        <w:keepLines/>
        <w:spacing w:before="160" w:line="480" w:lineRule="auto"/>
        <w:outlineLvl w:val="1"/>
        <w:rPr>
          <w:rFonts w:cs="Times New Roman"/>
          <w:bCs/>
          <w:u w:val="single"/>
        </w:rPr>
      </w:pPr>
      <w:r w:rsidRPr="007E23BA">
        <w:rPr>
          <w:rFonts w:cs="Times New Roman"/>
          <w:bCs/>
          <w:i/>
          <w:iCs/>
          <w:u w:val="single"/>
        </w:rPr>
        <w:t>NRT1.5</w:t>
      </w:r>
      <w:r w:rsidRPr="00F953D5">
        <w:rPr>
          <w:rFonts w:cs="Times New Roman"/>
          <w:bCs/>
          <w:u w:val="single"/>
        </w:rPr>
        <w:t xml:space="preserve"> and </w:t>
      </w:r>
      <w:r w:rsidRPr="007E23BA">
        <w:rPr>
          <w:rFonts w:cs="Times New Roman"/>
          <w:bCs/>
          <w:i/>
          <w:iCs/>
          <w:u w:val="single"/>
        </w:rPr>
        <w:t>NRT1.8</w:t>
      </w:r>
      <w:r>
        <w:rPr>
          <w:rFonts w:cs="Times New Roman"/>
          <w:bCs/>
          <w:u w:val="single"/>
        </w:rPr>
        <w:t xml:space="preserve"> transporters</w:t>
      </w:r>
      <w:r w:rsidR="00A02AB7">
        <w:rPr>
          <w:rFonts w:cs="Times New Roman"/>
          <w:bCs/>
          <w:u w:val="single"/>
        </w:rPr>
        <w:t xml:space="preserve"> </w:t>
      </w:r>
      <w:r w:rsidR="00A02AB7" w:rsidRPr="008D3DAA">
        <w:rPr>
          <w:rFonts w:cs="Times New Roman"/>
          <w:bCs/>
          <w:u w:val="single"/>
        </w:rPr>
        <w:t>are downregulated when crowded</w:t>
      </w:r>
    </w:p>
    <w:p w14:paraId="4AF1405E" w14:textId="76FEC4C2" w:rsidR="005C3E97" w:rsidRDefault="005C3E97" w:rsidP="005C3E97">
      <w:pPr>
        <w:keepNext/>
        <w:spacing w:before="160" w:line="480" w:lineRule="auto"/>
        <w:outlineLvl w:val="1"/>
        <w:rPr>
          <w:rFonts w:cs="Times New Roman"/>
          <w:bCs/>
        </w:rPr>
      </w:pPr>
      <w:r w:rsidRPr="00317137">
        <w:rPr>
          <w:rFonts w:cs="Times New Roman"/>
          <w:bCs/>
          <w:i/>
          <w:iCs/>
        </w:rPr>
        <w:t>HORVU.MOREX.r3.6HG0605270</w:t>
      </w:r>
      <w:r>
        <w:rPr>
          <w:rFonts w:cs="Times New Roman"/>
          <w:bCs/>
        </w:rPr>
        <w:t xml:space="preserve"> was downregulated at 4 hours post crowding by a log</w:t>
      </w:r>
      <w:r w:rsidRPr="00317137">
        <w:rPr>
          <w:rFonts w:cs="Times New Roman"/>
          <w:bCs/>
          <w:vertAlign w:val="subscript"/>
        </w:rPr>
        <w:t>2</w:t>
      </w:r>
      <w:r>
        <w:rPr>
          <w:rFonts w:cs="Times New Roman"/>
          <w:bCs/>
          <w:vertAlign w:val="subscript"/>
        </w:rPr>
        <w:t xml:space="preserve"> </w:t>
      </w:r>
      <w:r>
        <w:rPr>
          <w:rFonts w:cs="Times New Roman"/>
          <w:bCs/>
        </w:rPr>
        <w:t xml:space="preserve">FC of -5.66 </w:t>
      </w:r>
      <w:r>
        <w:rPr>
          <w:szCs w:val="24"/>
        </w:rPr>
        <w:t>(Fig 4.4B)</w:t>
      </w:r>
      <w:r>
        <w:rPr>
          <w:rFonts w:cs="Times New Roman"/>
          <w:bCs/>
        </w:rPr>
        <w:t xml:space="preserve">. The paralogous genes in Arabidopsis are </w:t>
      </w:r>
      <w:r w:rsidRPr="00317137">
        <w:rPr>
          <w:rFonts w:cs="Times New Roman"/>
          <w:bCs/>
          <w:i/>
          <w:iCs/>
        </w:rPr>
        <w:t>NRT1.5</w:t>
      </w:r>
      <w:r>
        <w:rPr>
          <w:rFonts w:cs="Times New Roman"/>
          <w:bCs/>
        </w:rPr>
        <w:t xml:space="preserve"> and </w:t>
      </w:r>
      <w:r w:rsidRPr="00317137">
        <w:rPr>
          <w:rFonts w:cs="Times New Roman"/>
          <w:bCs/>
          <w:i/>
          <w:iCs/>
        </w:rPr>
        <w:t>NRT1.8</w:t>
      </w:r>
      <w:r>
        <w:rPr>
          <w:rFonts w:cs="Times New Roman"/>
          <w:bCs/>
        </w:rPr>
        <w:t xml:space="preserve"> which are low affinity nitrate transporters involved in the root to shoot translocation of nitrate </w:t>
      </w:r>
      <w:r>
        <w:rPr>
          <w:rFonts w:cs="Times New Roman"/>
          <w:bCs/>
        </w:rPr>
        <w:fldChar w:fldCharType="begin" w:fldLock="1"/>
      </w:r>
      <w:r>
        <w:rPr>
          <w:rFonts w:cs="Times New Roman"/>
          <w:bCs/>
        </w:rPr>
        <w:instrText>ADDIN CSL_CITATION {"citationItems":[{"id":"ITEM-1","itemData":{"DOI":"10.1016/j.tplants.2012.04.006","ISSN":"13601385","author":[{"dropping-particle":"","family":"Wang","given":"Ya-Yun","non-dropping-particle":"","parse-names":false,"suffix":""},{"dropping-particle":"","family":"Hsu","given":"Po-Kai","non-dropping-particle":"","parse-names":false,"suffix":""},{"dropping-particle":"","family":"Tsay","given":"Yi-Fang","non-dropping-particle":"","parse-names":false,"suffix":""}],"container-title":"Trends in Plant Science","id":"ITEM-1","issue":"8","issued":{"date-parts":[["2012","8"]]},"page":"458-467","title":"Uptake, allocation and signaling of nitrate","type":"article-journal","volume":"17"},"uris":["http://www.mendeley.com/documents/?uuid=06eb00d0-198c-4ba6-8eb6-1210de980d56"]}],"mendeley":{"formattedCitation":"(Wang et al., 2012)","plainTextFormattedCitation":"(Wang et al., 2012)","previouslyFormattedCitation":"(Wang et al., 2012)"},"properties":{"noteIndex":0},"schema":"https://github.com/citation-style-language/schema/raw/master/csl-citation.json"}</w:instrText>
      </w:r>
      <w:r>
        <w:rPr>
          <w:rFonts w:cs="Times New Roman"/>
          <w:bCs/>
        </w:rPr>
        <w:fldChar w:fldCharType="separate"/>
      </w:r>
      <w:r w:rsidRPr="008B0C12">
        <w:rPr>
          <w:rFonts w:cs="Times New Roman"/>
          <w:bCs/>
          <w:noProof/>
        </w:rPr>
        <w:t>(Wang et al., 2012)</w:t>
      </w:r>
      <w:r>
        <w:rPr>
          <w:rFonts w:cs="Times New Roman"/>
          <w:bCs/>
        </w:rPr>
        <w:fldChar w:fldCharType="end"/>
      </w:r>
      <w:r>
        <w:rPr>
          <w:rFonts w:cs="Times New Roman"/>
          <w:bCs/>
        </w:rPr>
        <w:t xml:space="preserve">. First, </w:t>
      </w:r>
      <w:r w:rsidRPr="00317137">
        <w:rPr>
          <w:rFonts w:cs="Times New Roman"/>
          <w:bCs/>
          <w:i/>
          <w:iCs/>
        </w:rPr>
        <w:t>NRT1.5</w:t>
      </w:r>
      <w:r>
        <w:rPr>
          <w:rFonts w:cs="Times New Roman"/>
          <w:bCs/>
        </w:rPr>
        <w:t xml:space="preserve"> in the root loads nitrate into the xylem </w:t>
      </w:r>
      <w:r>
        <w:rPr>
          <w:rFonts w:cs="Times New Roman"/>
          <w:bCs/>
        </w:rPr>
        <w:fldChar w:fldCharType="begin" w:fldLock="1"/>
      </w:r>
      <w:r w:rsidR="00901F08">
        <w:rPr>
          <w:rFonts w:cs="Times New Roman"/>
          <w:bCs/>
        </w:rPr>
        <w:instrText>ADDIN CSL_CITATION {"citationItems":[{"id":"ITEM-1","itemData":{"DOI":"10.1105/tpc.108.060244","ISSN":"1532-298X","abstract":"Little is known about the molecular and regulatory mechanisms of long-distance nitrate transport in higher plants. NRT1.5 is one of the 53 Arabidopsis thaliana nitrate transporter NRT1 (Peptide Transporter PTR) genes, of which two members, NRT1.1 (CHL1 for Chlorate resistant 1) and NRT1.2, have been shown to be involved in nitrate uptake. Functional analysis of cRNA-injected Xenopus laevis oocytes showed that NRT1.5 is a low-affinity, pH-dependent bidirectional nitrate transporter. Subcellular localization in plant protoplasts and in planta promoter-β-glucuronidase analysis, as well as in situ hybridization, showed that NRT1.5 is located in the plasma membrane and is expressed in root pericycle cells close to the xylem. Knockdown or knockout mutations of NRT1.5 reduced the amount of nitrate transported from the root to the shoot, suggesting that NRT1.5 participates in root xylem loading of nitrate. However, root-to-shoot nitrate transport was not completely eliminated in the NRT1.5 knockout mutant, and reduction of NRT1.5 in the nrt1.1 background did not affect root-to-shoot nitrate transport. These data suggest that, in addition to that involving NRT1.5, another mechanism is responsible for xylem loading of nitrate. Further analyses of the nrt1.5 mutants revealed a regulatory loop between nitrate and potassium at the xylem transport step.","author":[{"dropping-particle":"","family":"Lin","given":"Shan-Hua","non-dropping-particle":"","parse-names":false,"suffix":""},{"dropping-particle":"","family":"Kuo","given":"Hui-Fen","non-dropping-particle":"","parse-names":false,"suffix":""},{"dropping-particle":"","family":"Canivenc","given":"Geneviève","non-dropping-particle":"","parse-names":false,"suffix":""},{"dropping-particle":"","family":"Lin","given":"Choun-Sea","non-dropping-particle":"","parse-names":false,"suffix":""},{"dropping-particle":"","family":"Lepetit","given":"Marc","non-dropping-particle":"","parse-names":false,"suffix":""},{"dropping-particle":"","family":"Hsu","given":"Po-Kai","non-dropping-particle":"","parse-names":false,"suffix":""},{"dropping-particle":"","family":"Tillard","given":"Pascal","non-dropping-particle":"","parse-names":false,"suffix":""},{"dropping-particle":"","family":"Lin","given":"Huey-Ling","non-dropping-particle":"","parse-names":false,"suffix":""},{"dropping-particle":"","family":"Wang","given":"Ya-Yun","non-dropping-particle":"","parse-names":false,"suffix":""},{"dropping-particle":"","family":"Tsai","given":"Chyn-Bey","non-dropping-particle":"","parse-names":false,"suffix":""},{"dropping-particle":"","family":"Gojon","given":"Alain","non-dropping-particle":"","parse-names":false,"suffix":""},{"dropping-particle":"","family":"Tsay","given":"Yi-Fang","non-dropping-particle":"","parse-names":false,"suffix":""}],"container-title":"The Plant Cell","id":"ITEM-1","issue":"9","issued":{"date-parts":[["2008","10","27"]]},"page":"2514-2528","title":"Mutation of the Arabidopsis NRT1.5 nitrate transporter causes defective root-to-shoot nitrate transport","type":"article-journal","volume":"20"},"uris":["http://www.mendeley.com/documents/?uuid=78ab9f7d-01ea-4c9c-a9f1-b491464b0db4"]}],"mendeley":{"formattedCitation":"(Lin et al., 2008)","plainTextFormattedCitation":"(Lin et al., 2008)","previouslyFormattedCitation":"(Lin et al., 2008)"},"properties":{"noteIndex":0},"schema":"https://github.com/citation-style-language/schema/raw/master/csl-citation.json"}</w:instrText>
      </w:r>
      <w:r>
        <w:rPr>
          <w:rFonts w:cs="Times New Roman"/>
          <w:bCs/>
        </w:rPr>
        <w:fldChar w:fldCharType="separate"/>
      </w:r>
      <w:r w:rsidRPr="003222FA">
        <w:rPr>
          <w:rFonts w:cs="Times New Roman"/>
          <w:bCs/>
          <w:noProof/>
        </w:rPr>
        <w:t>(Lin et al., 2008)</w:t>
      </w:r>
      <w:r>
        <w:rPr>
          <w:rFonts w:cs="Times New Roman"/>
          <w:bCs/>
        </w:rPr>
        <w:fldChar w:fldCharType="end"/>
      </w:r>
      <w:r>
        <w:rPr>
          <w:rFonts w:cs="Times New Roman"/>
          <w:bCs/>
        </w:rPr>
        <w:t xml:space="preserve"> and </w:t>
      </w:r>
      <w:r w:rsidRPr="00317137">
        <w:rPr>
          <w:rFonts w:cs="Times New Roman"/>
          <w:bCs/>
          <w:i/>
          <w:iCs/>
        </w:rPr>
        <w:t>NRT1.8</w:t>
      </w:r>
      <w:r>
        <w:rPr>
          <w:rFonts w:cs="Times New Roman"/>
          <w:bCs/>
        </w:rPr>
        <w:t xml:space="preserve"> regulates the transport of nitrate to the shoot by transporting nitrate out the xylem, returning it to the root cells </w:t>
      </w:r>
      <w:r>
        <w:rPr>
          <w:rFonts w:cs="Times New Roman"/>
          <w:bCs/>
        </w:rPr>
        <w:fldChar w:fldCharType="begin" w:fldLock="1"/>
      </w:r>
      <w:r w:rsidR="00F401FF">
        <w:rPr>
          <w:rFonts w:cs="Times New Roman"/>
          <w:bCs/>
        </w:rPr>
        <w:instrText>ADDIN CSL_CITATION {"citationItems":[{"id":"ITEM-1","itemData":{"DOI":"10.1105/tpc.110.075242","ISSN":"1532-298X","abstract":"Long-distance transport of nitrate requires xylem loading and unloading, a successive process that determines nitrate distribution and subsequent assimilation efficiency. Here, we report the functional characterization of NRT1.8, a member of the nitrate transporter (NRT1) family in Arabidopsis thaliana. NRT1.8 is upregulated by nitrate. Histochemical analysis using promoter-β-glucuronidase fusions, as well as in situ hybridization, showed that NRT1.8 is expressed predominantly in xylem parenchyma cells within the vasculature. Transient expression of the NRT1.8:enhanced green fluorescent protein fusion in onion epidermal cells and Arabidopsis protoplasts indicated that NRT1.8 is plasma membrane localized. Electrophysiological and nitrate uptake analyses using Xenopus laevis oocytes showed that NRT1.8 mediates low-affinity nitrate uptake. Functional disruption of NRT1.8 significantly increased the nitrate concentration in xylem sap. These data together suggest that NRT1.8 functions to remove nitrate from xylem vessels. Interestingly, NRT1.8 was the only nitrate assimilatory pathway gene that was strongly upregulated by cadmium (Cd2+) stress in roots, and the nrt1.8-1 mutant showed a nitrate-dependent Cd2+-sensitive phenotype. Further analyses showed that Cd2+ stress increases the proportion of nitrate allocated to wild-type roots compared with the nrt1.8-1 mutant. These data suggest that NRT1.8-regulated nitrate distribution plays an important role in Cd2+ tolerance.","author":[{"dropping-particle":"","family":"Li","given":"Jian-Yong","non-dropping-particle":"","parse-names":false,"suffix":""},{"dropping-particle":"","family":"Fu","given":"Yan-Lei","non-dropping-particle":"","parse-names":false,"suffix":""},{"dropping-particle":"","family":"Pike","given":"Sharon M.","non-dropping-particle":"","parse-names":false,"suffix":""},{"dropping-particle":"","family":"Bao","given":"Juan","non-dropping-particle":"","parse-names":false,"suffix":""},{"dropping-particle":"","family":"Tian","given":"Wang","non-dropping-particle":"","parse-names":false,"suffix":""},{"dropping-particle":"","family":"Zhang","given":"Yu","non-dropping-particle":"","parse-names":false,"suffix":""},{"dropping-particle":"","family":"Chen","given":"Chun-Zhu","non-dropping-particle":"","parse-names":false,"suffix":""},{"dropping-particle":"","family":"Zhang","given":"Yi","non-dropping-particle":"","parse-names":false,"suffix":""},{"dropping-particle":"","family":"Li","given":"Hong-Mei","non-dropping-particle":"","parse-names":false,"suffix":""},{"dropping-particle":"","family":"Huang","given":"Jing","non-dropping-particle":"","parse-names":false,"suffix":""},{"dropping-particle":"","family":"Li","given":"Le-Gong","non-dropping-particle":"","parse-names":false,"suffix":""},{"dropping-particle":"","family":"Schroeder","given":"Julian I.","non-dropping-particle":"","parse-names":false,"suffix":""},{"dropping-particle":"","family":"Gassmann","given":"Walter","non-dropping-particle":"","parse-names":false,"suffix":""},{"dropping-particle":"","family":"Gong","given":"Ji-Ming","non-dropping-particle":"","parse-names":false,"suffix":""}],"container-title":"The Plant Cell","id":"ITEM-1","issue":"5","issued":{"date-parts":[["2010","6","28"]]},"page":"1633-1646","title":"The Arabidopsis nitrate transporter NRT1.8 functions in nitrate removal from the xylem sap and mediates cadmium tolerance","type":"article-journal","volume":"22"},"uris":["http://www.mendeley.com/documents/?uuid=5ad1938b-5ce2-4be9-9d8e-debd9046b4b8"]}],"mendeley":{"formattedCitation":"(Li et al., 2010)","plainTextFormattedCitation":"(Li et al., 2010)","previouslyFormattedCitation":"(Li et al., 2010)"},"properties":{"noteIndex":0},"schema":"https://github.com/citation-style-language/schema/raw/master/csl-citation.json"}</w:instrText>
      </w:r>
      <w:r>
        <w:rPr>
          <w:rFonts w:cs="Times New Roman"/>
          <w:bCs/>
        </w:rPr>
        <w:fldChar w:fldCharType="separate"/>
      </w:r>
      <w:r w:rsidRPr="00E85B43">
        <w:rPr>
          <w:rFonts w:cs="Times New Roman"/>
          <w:bCs/>
          <w:noProof/>
        </w:rPr>
        <w:t>(Li et al., 2010)</w:t>
      </w:r>
      <w:r>
        <w:rPr>
          <w:rFonts w:cs="Times New Roman"/>
          <w:bCs/>
        </w:rPr>
        <w:fldChar w:fldCharType="end"/>
      </w:r>
      <w:r>
        <w:rPr>
          <w:rFonts w:cs="Times New Roman"/>
          <w:bCs/>
        </w:rPr>
        <w:t xml:space="preserve">. Therefore, when viewing this in the context of this experiment, as there is a downregulation of these genes, less nitrate would move shootward, </w:t>
      </w:r>
      <w:r w:rsidRPr="008D3DAA">
        <w:rPr>
          <w:rFonts w:cs="Times New Roman"/>
          <w:bCs/>
        </w:rPr>
        <w:t xml:space="preserve">hence </w:t>
      </w:r>
      <w:r w:rsidR="003F77FA" w:rsidRPr="008D3DAA">
        <w:rPr>
          <w:rFonts w:cs="Times New Roman"/>
          <w:bCs/>
        </w:rPr>
        <w:t>this could result in</w:t>
      </w:r>
      <w:r w:rsidR="003F77FA">
        <w:rPr>
          <w:rFonts w:cs="Times New Roman"/>
          <w:bCs/>
        </w:rPr>
        <w:t xml:space="preserve"> </w:t>
      </w:r>
      <w:r>
        <w:rPr>
          <w:rFonts w:cs="Times New Roman"/>
          <w:bCs/>
        </w:rPr>
        <w:t>nitrate stay</w:t>
      </w:r>
      <w:r w:rsidR="003F77FA">
        <w:rPr>
          <w:rFonts w:cs="Times New Roman"/>
          <w:bCs/>
        </w:rPr>
        <w:t>ing</w:t>
      </w:r>
      <w:r>
        <w:rPr>
          <w:rFonts w:cs="Times New Roman"/>
          <w:bCs/>
        </w:rPr>
        <w:t xml:space="preserve"> within the root system potentially resulting in enhanced root growth for resource competition with neighbouring plants. This supports the upregulation of </w:t>
      </w:r>
      <w:r w:rsidRPr="00317137">
        <w:rPr>
          <w:rFonts w:cs="Times New Roman"/>
          <w:bCs/>
          <w:i/>
          <w:iCs/>
        </w:rPr>
        <w:t>NRT2</w:t>
      </w:r>
      <w:r>
        <w:rPr>
          <w:rFonts w:cs="Times New Roman"/>
          <w:bCs/>
        </w:rPr>
        <w:t xml:space="preserve"> genes as this would provide the root-based nitrate that would remain in the roots rather than being moved to the shoot. </w:t>
      </w:r>
    </w:p>
    <w:p w14:paraId="2BA2EA80" w14:textId="77777777" w:rsidR="005C3E97" w:rsidRDefault="005C3E97" w:rsidP="005C3E97">
      <w:pPr>
        <w:spacing w:before="160" w:line="480" w:lineRule="auto"/>
        <w:outlineLvl w:val="1"/>
        <w:rPr>
          <w:rFonts w:cs="Times New Roman"/>
          <w:bCs/>
        </w:rPr>
      </w:pPr>
    </w:p>
    <w:p w14:paraId="500C130A" w14:textId="744478BB" w:rsidR="005C3E97" w:rsidRDefault="005C3E97" w:rsidP="005C3E97">
      <w:pPr>
        <w:keepNext/>
        <w:spacing w:before="160" w:line="480" w:lineRule="auto"/>
        <w:outlineLvl w:val="1"/>
        <w:rPr>
          <w:szCs w:val="24"/>
          <w:u w:val="single"/>
        </w:rPr>
      </w:pPr>
      <w:r w:rsidRPr="003A46C4">
        <w:rPr>
          <w:i/>
          <w:iCs/>
          <w:szCs w:val="24"/>
          <w:u w:val="single"/>
        </w:rPr>
        <w:lastRenderedPageBreak/>
        <w:t>RHD6</w:t>
      </w:r>
      <w:r>
        <w:rPr>
          <w:szCs w:val="24"/>
          <w:u w:val="single"/>
        </w:rPr>
        <w:t xml:space="preserve"> and </w:t>
      </w:r>
      <w:r w:rsidRPr="003A46C4">
        <w:rPr>
          <w:i/>
          <w:iCs/>
          <w:szCs w:val="24"/>
          <w:u w:val="single"/>
        </w:rPr>
        <w:t>RHL1</w:t>
      </w:r>
      <w:r w:rsidRPr="007925E8">
        <w:rPr>
          <w:szCs w:val="24"/>
          <w:u w:val="single"/>
        </w:rPr>
        <w:t xml:space="preserve"> transporter</w:t>
      </w:r>
      <w:r w:rsidR="007E0582">
        <w:rPr>
          <w:szCs w:val="24"/>
          <w:u w:val="single"/>
        </w:rPr>
        <w:t xml:space="preserve">s </w:t>
      </w:r>
      <w:r w:rsidR="007E0582" w:rsidRPr="008D3DAA">
        <w:rPr>
          <w:szCs w:val="24"/>
          <w:u w:val="single"/>
        </w:rPr>
        <w:t>are upregulated when crowded</w:t>
      </w:r>
    </w:p>
    <w:p w14:paraId="7A434AF5" w14:textId="6FB94185" w:rsidR="005C3E97" w:rsidRPr="00BF5AE5" w:rsidRDefault="005C3E97" w:rsidP="005C3E97">
      <w:pPr>
        <w:spacing w:before="160" w:line="480" w:lineRule="auto"/>
        <w:outlineLvl w:val="1"/>
        <w:rPr>
          <w:color w:val="00B050"/>
          <w:szCs w:val="24"/>
        </w:rPr>
      </w:pPr>
      <w:r w:rsidRPr="00D51459">
        <w:rPr>
          <w:szCs w:val="24"/>
        </w:rPr>
        <w:t xml:space="preserve">Root hairs dramatically increase the surface area of the root system to elevate absorption of nutrients and water from the environment </w:t>
      </w:r>
      <w:r w:rsidRPr="00D51459">
        <w:rPr>
          <w:szCs w:val="24"/>
        </w:rPr>
        <w:fldChar w:fldCharType="begin" w:fldLock="1"/>
      </w:r>
      <w:r w:rsidRPr="00D51459">
        <w:rPr>
          <w:szCs w:val="24"/>
        </w:rPr>
        <w:instrText>ADDIN CSL_CITATION {"citationItems":[{"id":"ITEM-1","itemData":{"DOI":"10.1111/jipb.12663","ISSN":"16729072","author":[{"dropping-particle":"","family":"Wei","given":"Zhuoyun","non-dropping-particle":"","parse-names":false,"suffix":""},{"dropping-particle":"","family":"Li","given":"Jia","non-dropping-particle":"","parse-names":false,"suffix":""}],"container-title":"Journal of Integrative Plant Biology","id":"ITEM-1","issue":"9","issued":{"date-parts":[["2018","9"]]},"page":"841-850","title":"Receptor-like protein kinases: Key regulators controlling root hair development in Arabidopsis thaliana","type":"article-journal","volume":"60"},"uris":["http://www.mendeley.com/documents/?uuid=051764df-bda3-4fe9-84c2-399d15da9a9c"]}],"mendeley":{"formattedCitation":"(Wei and Li, 2018)","plainTextFormattedCitation":"(Wei and Li, 2018)","previouslyFormattedCitation":"(Wei and Li, 2018)"},"properties":{"noteIndex":0},"schema":"https://github.com/citation-style-language/schema/raw/master/csl-citation.json"}</w:instrText>
      </w:r>
      <w:r w:rsidRPr="00D51459">
        <w:rPr>
          <w:szCs w:val="24"/>
        </w:rPr>
        <w:fldChar w:fldCharType="separate"/>
      </w:r>
      <w:r w:rsidRPr="00D51459">
        <w:rPr>
          <w:noProof/>
          <w:szCs w:val="24"/>
        </w:rPr>
        <w:t>(Wei and Li, 2018)</w:t>
      </w:r>
      <w:r w:rsidRPr="00D51459">
        <w:rPr>
          <w:szCs w:val="24"/>
        </w:rPr>
        <w:fldChar w:fldCharType="end"/>
      </w:r>
      <w:r w:rsidRPr="00D51459">
        <w:rPr>
          <w:szCs w:val="24"/>
        </w:rPr>
        <w:t xml:space="preserve">. The development of root hairs is highly dependent on the environment and can be modulated quickly to increase resource uptake and optimize the root system in challenging environments </w:t>
      </w:r>
      <w:r w:rsidRPr="00D51459">
        <w:rPr>
          <w:szCs w:val="24"/>
        </w:rPr>
        <w:fldChar w:fldCharType="begin" w:fldLock="1"/>
      </w:r>
      <w:r w:rsidR="00533AE7">
        <w:rPr>
          <w:szCs w:val="24"/>
        </w:rPr>
        <w:instrText>ADDIN CSL_CITATION {"citationItems":[{"id":"ITEM-1","itemData":{"DOI":"10.1093/jxb/eraa048","ISSN":"0022-0957","abstract":"The main functions of plant roots are water and nutrient uptake, soil anchorage, and interaction with soil-living biota. Root hairs, single cell tubular extensions of root epidermal cells, facilitate or enhance these functions by drastically enlarging the absorptive surface. Root hair development is constantly adapted to changes in the root’s surroundings, allowing for optimization of root functionality in heterogeneous soil environments. The underlying molecular pathway is the result of a complex interplay between position-dependent signalling and feedback loops. Phytohormone signalling interconnects this root hair signalling cascade with biotic and abiotic changes in the rhizosphere, enabling dynamic hormone-driven changes in root hair growth, density, length, and morphology. This review critically discusses the influence of the major plant hormones on root hair development, and how changes in rhizosphere properties impact on the latter.","author":[{"dropping-particle":"","family":"Vissenberg","given":"Kris","non-dropping-particle":"","parse-names":false,"suffix":""},{"dropping-particle":"","family":"Claeijs","given":"Naomi","non-dropping-particle":"","parse-names":false,"suffix":""},{"dropping-particle":"","family":"Balcerowicz","given":"Daria","non-dropping-particle":"","parse-names":false,"suffix":""},{"dropping-particle":"","family":"Schoenaers","given":"Sébastjen","non-dropping-particle":"","parse-names":false,"suffix":""}],"container-title":"Journal of Experimental Botany","id":"ITEM-1","issue":"8","issued":{"date-parts":[["2020","4","23"]]},"page":"2412-2427","title":"Hormonal regulation of root hair growth and responses to the environment in Arabidopsis","type":"article-journal","volume":"71"},"uris":["http://www.mendeley.com/documents/?uuid=c2d2bee6-bdae-4545-baa3-536a86773902"]}],"mendeley":{"formattedCitation":"(Vissenberg et al., 2020)","plainTextFormattedCitation":"(Vissenberg et al., 2020)","previouslyFormattedCitation":"(Vissenberg et al., 2020)"},"properties":{"noteIndex":0},"schema":"https://github.com/citation-style-language/schema/raw/master/csl-citation.json"}</w:instrText>
      </w:r>
      <w:r w:rsidRPr="00D51459">
        <w:rPr>
          <w:szCs w:val="24"/>
        </w:rPr>
        <w:fldChar w:fldCharType="separate"/>
      </w:r>
      <w:r w:rsidRPr="00D51459">
        <w:rPr>
          <w:noProof/>
          <w:szCs w:val="24"/>
        </w:rPr>
        <w:t>(Vissenberg et al., 2020)</w:t>
      </w:r>
      <w:r w:rsidRPr="00D51459">
        <w:rPr>
          <w:szCs w:val="24"/>
        </w:rPr>
        <w:fldChar w:fldCharType="end"/>
      </w:r>
      <w:r w:rsidRPr="00D51459">
        <w:rPr>
          <w:szCs w:val="24"/>
        </w:rPr>
        <w:t xml:space="preserve">. Root hair development is regulated by numerous signals including auxin, ethylene and cytokinin </w:t>
      </w:r>
      <w:r w:rsidRPr="00D51459">
        <w:rPr>
          <w:szCs w:val="24"/>
        </w:rPr>
        <w:fldChar w:fldCharType="begin" w:fldLock="1"/>
      </w:r>
      <w:r w:rsidR="00EE28AB">
        <w:rPr>
          <w:szCs w:val="24"/>
        </w:rPr>
        <w:instrText>ADDIN CSL_CITATION {"citationItems":[{"id":"ITEM-1","itemData":{"DOI":"10.1093/jxb/erw400","ISSN":"0022-0957","author":[{"dropping-particle":"","family":"Zhang","given":"Shan","non-dropping-particle":"","parse-names":false,"suffix":""},{"dropping-particle":"","family":"Huang","given":"Linli","non-dropping-particle":"","parse-names":false,"suffix":""},{"dropping-particle":"","family":"Yan","given":"An","non-dropping-particle":"","parse-names":false,"suffix":""},{"dropping-particle":"","family":"Liu","given":"Yihua","non-dropping-particle":"","parse-names":false,"suffix":""},{"dropping-particle":"","family":"Liu","given":"Bohan","non-dropping-particle":"","parse-names":false,"suffix":""},{"dropping-particle":"","family":"Yu","given":"Chunyan","non-dropping-particle":"","parse-names":false,"suffix":""},{"dropping-particle":"","family":"Zhang","given":"Aidong","non-dropping-particle":"","parse-names":false,"suffix":""},{"dropping-particle":"","family":"Schiefelbein","given":"John","non-dropping-particle":"","parse-names":false,"suffix":""},{"dropping-particle":"","family":"Gan","given":"Yinbo","non-dropping-particle":"","parse-names":false,"suffix":""}],"container-title":"Journal of Experimental Botany","id":"ITEM-1","issue":"22","issued":{"date-parts":[["2016","12"]]},"page":"6363-6372","title":"Multiple phytohormones promote root hair elongation by regulating a similar set of genes in the root epidermis in Arabidopsis","type":"article-journal","volume":"67"},"uris":["http://www.mendeley.com/documents/?uuid=2bb8dd45-6546-4269-ba94-01ab1d7a8210"]}],"mendeley":{"formattedCitation":"(S. Zhang et al., 2016)","plainTextFormattedCitation":"(S. Zhang et al., 2016)","previouslyFormattedCitation":"(S. Zhang et al., 2016)"},"properties":{"noteIndex":0},"schema":"https://github.com/citation-style-language/schema/raw/master/csl-citation.json"}</w:instrText>
      </w:r>
      <w:r w:rsidRPr="00D51459">
        <w:rPr>
          <w:szCs w:val="24"/>
        </w:rPr>
        <w:fldChar w:fldCharType="separate"/>
      </w:r>
      <w:r w:rsidR="0008677B" w:rsidRPr="0008677B">
        <w:rPr>
          <w:noProof/>
          <w:szCs w:val="24"/>
        </w:rPr>
        <w:t>(S. Zhang et al., 2016)</w:t>
      </w:r>
      <w:r w:rsidRPr="00D51459">
        <w:rPr>
          <w:szCs w:val="24"/>
        </w:rPr>
        <w:fldChar w:fldCharType="end"/>
      </w:r>
      <w:r w:rsidRPr="008D3DAA">
        <w:rPr>
          <w:szCs w:val="24"/>
        </w:rPr>
        <w:t>.</w:t>
      </w:r>
      <w:r w:rsidRPr="00BF5AE5">
        <w:rPr>
          <w:color w:val="00B050"/>
          <w:szCs w:val="24"/>
        </w:rPr>
        <w:t xml:space="preserve"> </w:t>
      </w:r>
      <w:r>
        <w:rPr>
          <w:szCs w:val="24"/>
        </w:rPr>
        <w:t xml:space="preserve">A key regulator of root hair development is  </w:t>
      </w:r>
      <w:r w:rsidRPr="00317137">
        <w:rPr>
          <w:i/>
          <w:iCs/>
          <w:szCs w:val="24"/>
        </w:rPr>
        <w:t xml:space="preserve">ROOT HAIR DEFECTIVE </w:t>
      </w:r>
      <w:r>
        <w:rPr>
          <w:i/>
          <w:iCs/>
          <w:szCs w:val="24"/>
        </w:rPr>
        <w:t xml:space="preserve">6 </w:t>
      </w:r>
      <w:r w:rsidRPr="00317137">
        <w:rPr>
          <w:i/>
          <w:iCs/>
          <w:szCs w:val="24"/>
        </w:rPr>
        <w:t>(RHD6)</w:t>
      </w:r>
      <w:r>
        <w:rPr>
          <w:szCs w:val="24"/>
        </w:rPr>
        <w:t xml:space="preserve">, </w:t>
      </w:r>
      <w:r w:rsidRPr="006A23AE">
        <w:rPr>
          <w:szCs w:val="24"/>
        </w:rPr>
        <w:t>a bHLH transcription factor</w:t>
      </w:r>
      <w:r>
        <w:rPr>
          <w:szCs w:val="24"/>
        </w:rPr>
        <w:t xml:space="preserve"> and its close ortholog </w:t>
      </w:r>
      <w:r w:rsidRPr="00EF3B2E">
        <w:rPr>
          <w:i/>
          <w:iCs/>
          <w:szCs w:val="24"/>
        </w:rPr>
        <w:t>ROOT HAIR DEFECTIVE6 LIKE1 (RSL1)</w:t>
      </w:r>
      <w:r>
        <w:rPr>
          <w:szCs w:val="24"/>
        </w:rPr>
        <w:t xml:space="preserve"> which is partially redundant </w:t>
      </w:r>
      <w:r>
        <w:rPr>
          <w:szCs w:val="24"/>
        </w:rPr>
        <w:fldChar w:fldCharType="begin" w:fldLock="1"/>
      </w:r>
      <w:r w:rsidR="002F5DB8">
        <w:rPr>
          <w:szCs w:val="24"/>
        </w:rPr>
        <w:instrText>ADDIN CSL_CITATION {"citationItems":[{"id":"ITEM-1","itemData":{"DOI":"10.1104/pp.106.4.1335","ISSN":"0032-0889","author":[{"dropping-particle":"","family":"Masucci","given":"J. D.","non-dropping-particle":"","parse-names":false,"suffix":""},{"dropping-particle":"","family":"Schiefelbein","given":"J. W.","non-dropping-particle":"","parse-names":false,"suffix":""}],"container-title":"Plant Physiology","id":"ITEM-1","issue":"4","issued":{"date-parts":[["1994","12","1"]]},"page":"1335-1346","title":"The rhd6 Mutation of Arabidopsis thaliana Alters Root-Hair Initiation through an Auxin- and Ethylene-Associated Process","type":"article-journal","volume":"106"},"uris":["http://www.mendeley.com/documents/?uuid=6ff558d6-638a-4f41-8ebc-b5ebf9d6eab0"]},{"id":"ITEM-2","itemData":{"DOI":"10.1126/science.1142618","ISSN":"0036-8075","abstract":"Root hairs and rhizoids are cells with rooting functions in land plants. We describe two basic helix-loop-helix transcription factors that control root hair development in the sporophyte (2 n ) of the angiosperm Arabidopsis thaliana and rhizoid development in the gametophytes ( n ) of the bryophyte Physcomitrella patens . The phylogeny of land plants supports the hypothesis that early land plants were bryophyte-like and possessed a dominant gametophyte and later the sporophyte rose to dominance. If this hypothesis is correct, our data suggest that the increase in morphological complexity of the sporophyte body in the Paleozoic resulted at least in part from the recruitment of regulatory genes from gametophyte to sporophyte.","author":[{"dropping-particle":"","family":"Menand","given":"Benoît","non-dropping-particle":"","parse-names":false,"suffix":""},{"dropping-particle":"","family":"Yi","given":"Keke","non-dropping-particle":"","parse-names":false,"suffix":""},{"dropping-particle":"","family":"Jouannic","given":"Stefan","non-dropping-particle":"","parse-names":false,"suffix":""},{"dropping-particle":"","family":"Hoffmann","given":"Laurent","non-dropping-particle":"","parse-names":false,"suffix":""},{"dropping-particle":"","family":"Ryan","given":"Eoin","non-dropping-particle":"","parse-names":false,"suffix":""},{"dropping-particle":"","family":"Linstead","given":"Paul","non-dropping-particle":"","parse-names":false,"suffix":""},{"dropping-particle":"","family":"Schaefer","given":"Didier G.","non-dropping-particle":"","parse-names":false,"suffix":""},{"dropping-particle":"","family":"Dolan","given":"Liam","non-dropping-particle":"","parse-names":false,"suffix":""}],"container-title":"Science","id":"ITEM-2","issue":"5830","issued":{"date-parts":[["2007","6","8"]]},"page":"1477-1480","title":"An ancient mechanism controls the development of cells with a rooting function in land plants","type":"article-journal","volume":"316"},"uris":["http://www.mendeley.com/documents/?uuid=e203c5ae-295b-4f65-8499-cdfcc88f8139"]}],"mendeley":{"formattedCitation":"(Masucci and Schiefelbein, 1994; Menand et al., 2007)","plainTextFormattedCitation":"(Masucci and Schiefelbein, 1994; Menand et al., 2007)","previouslyFormattedCitation":"(Masucci and Schiefelbein, 1994; Menand et al., 2007)"},"properties":{"noteIndex":0},"schema":"https://github.com/citation-style-language/schema/raw/master/csl-citation.json"}</w:instrText>
      </w:r>
      <w:r>
        <w:rPr>
          <w:szCs w:val="24"/>
        </w:rPr>
        <w:fldChar w:fldCharType="separate"/>
      </w:r>
      <w:r w:rsidRPr="00AD3D87">
        <w:rPr>
          <w:noProof/>
          <w:szCs w:val="24"/>
        </w:rPr>
        <w:t>(Masucci and Schiefelbein, 1994; Menand et al., 2007)</w:t>
      </w:r>
      <w:r>
        <w:rPr>
          <w:szCs w:val="24"/>
        </w:rPr>
        <w:fldChar w:fldCharType="end"/>
      </w:r>
      <w:r>
        <w:rPr>
          <w:szCs w:val="24"/>
        </w:rPr>
        <w:t xml:space="preserve">. </w:t>
      </w:r>
      <w:r w:rsidRPr="007B5970">
        <w:rPr>
          <w:i/>
          <w:iCs/>
          <w:szCs w:val="24"/>
        </w:rPr>
        <w:t>RHD6</w:t>
      </w:r>
      <w:r w:rsidRPr="007E7274">
        <w:rPr>
          <w:szCs w:val="24"/>
        </w:rPr>
        <w:t xml:space="preserve"> functions to control where root hairs are initiated and </w:t>
      </w:r>
      <w:r>
        <w:rPr>
          <w:szCs w:val="24"/>
        </w:rPr>
        <w:t xml:space="preserve">subsequently promotes their development </w:t>
      </w:r>
      <w:r>
        <w:rPr>
          <w:szCs w:val="24"/>
        </w:rPr>
        <w:fldChar w:fldCharType="begin" w:fldLock="1"/>
      </w:r>
      <w:r w:rsidR="002F5DB8">
        <w:rPr>
          <w:szCs w:val="24"/>
        </w:rPr>
        <w:instrText>ADDIN CSL_CITATION {"citationItems":[{"id":"ITEM-1","itemData":{"DOI":"10.1104/pp.106.4.1335","ISSN":"0032-0889","author":[{"dropping-particle":"","family":"Masucci","given":"J. D.","non-dropping-particle":"","parse-names":false,"suffix":""},{"dropping-particle":"","family":"Schiefelbein","given":"J. W.","non-dropping-particle":"","parse-names":false,"suffix":""}],"container-title":"Plant Physiology","id":"ITEM-1","issue":"4","issued":{"date-parts":[["1994","12","1"]]},"page":"1335-1346","title":"The rhd6 Mutation of Arabidopsis thaliana Alters Root-Hair Initiation through an Auxin- and Ethylene-Associated Process","type":"article-journal","volume":"106"},"uris":["http://www.mendeley.com/documents/?uuid=6ff558d6-638a-4f41-8ebc-b5ebf9d6eab0"]},{"id":"ITEM-2","itemData":{"DOI":"10.1126/science.1142618","ISSN":"0036-8075","abstract":"Root hairs and rhizoids are cells with rooting functions in land plants. We describe two basic helix-loop-helix transcription factors that control root hair development in the sporophyte (2 n ) of the angiosperm Arabidopsis thaliana and rhizoid development in the gametophytes ( n ) of the bryophyte Physcomitrella patens . The phylogeny of land plants supports the hypothesis that early land plants were bryophyte-like and possessed a dominant gametophyte and later the sporophyte rose to dominance. If this hypothesis is correct, our data suggest that the increase in morphological complexity of the sporophyte body in the Paleozoic resulted at least in part from the recruitment of regulatory genes from gametophyte to sporophyte.","author":[{"dropping-particle":"","family":"Menand","given":"Benoît","non-dropping-particle":"","parse-names":false,"suffix":""},{"dropping-particle":"","family":"Yi","given":"Keke","non-dropping-particle":"","parse-names":false,"suffix":""},{"dropping-particle":"","family":"Jouannic","given":"Stefan","non-dropping-particle":"","parse-names":false,"suffix":""},{"dropping-particle":"","family":"Hoffmann","given":"Laurent","non-dropping-particle":"","parse-names":false,"suffix":""},{"dropping-particle":"","family":"Ryan","given":"Eoin","non-dropping-particle":"","parse-names":false,"suffix":""},{"dropping-particle":"","family":"Linstead","given":"Paul","non-dropping-particle":"","parse-names":false,"suffix":""},{"dropping-particle":"","family":"Schaefer","given":"Didier G.","non-dropping-particle":"","parse-names":false,"suffix":""},{"dropping-particle":"","family":"Dolan","given":"Liam","non-dropping-particle":"","parse-names":false,"suffix":""}],"container-title":"Science","id":"ITEM-2","issue":"5830","issued":{"date-parts":[["2007","6","8"]]},"page":"1477-1480","title":"An ancient mechanism controls the development of cells with a rooting function in land plants","type":"article-journal","volume":"316"},"uris":["http://www.mendeley.com/documents/?uuid=e203c5ae-295b-4f65-8499-cdfcc88f8139"]},{"id":"ITEM-3","itemData":{"DOI":"10.1371/journal.pgen.1002446","ISSN":"1553-7404","author":[{"dropping-particle":"","family":"Bruex","given":"Angela","non-dropping-particle":"","parse-names":false,"suffix":""},{"dropping-particle":"","family":"Kainkaryam","given":"Raghunandan M.","non-dropping-particle":"","parse-names":false,"suffix":""},{"dropping-particle":"","family":"Wieckowski","given":"Yana","non-dropping-particle":"","parse-names":false,"suffix":""},{"dropping-particle":"","family":"Kang","given":"Yeon Hee","non-dropping-particle":"","parse-names":false,"suffix":""},{"dropping-particle":"","family":"Bernhardt","given":"Christine","non-dropping-particle":"","parse-names":false,"suffix":""},{"dropping-particle":"","family":"Xia","given":"Yang","non-dropping-particle":"","parse-names":false,"suffix":""},{"dropping-particle":"","family":"Zheng","given":"Xiaohua","non-dropping-particle":"","parse-names":false,"suffix":""},{"dropping-particle":"","family":"Wang","given":"Jean Y.","non-dropping-particle":"","parse-names":false,"suffix":""},{"dropping-particle":"","family":"Lee","given":"Myeong Min","non-dropping-particle":"","parse-names":false,"suffix":""},{"dropping-particle":"","family":"Benfey","given":"Philip","non-dropping-particle":"","parse-names":false,"suffix":""},{"dropping-particle":"","family":"Woolf","given":"Peter J.","non-dropping-particle":"","parse-names":false,"suffix":""},{"dropping-particle":"","family":"Schiefelbein","given":"John","non-dropping-particle":"","parse-names":false,"suffix":""}],"container-title":"PLoS Genetics","id":"ITEM-3","issue":"1","issued":{"date-parts":[["2012","1","12"]]},"page":"e1002446","title":"A gene regulatory network for root epidermis cell differentiation in Arabidopsis","type":"article-journal","volume":"8"},"uris":["http://www.mendeley.com/documents/?uuid=e5b6ba13-7a5b-4f00-8d92-94898dcb5faa"]}],"mendeley":{"formattedCitation":"(Masucci and Schiefelbein, 1994; Menand et al., 2007; Bruex et al., 2012)","plainTextFormattedCitation":"(Masucci and Schiefelbein, 1994; Menand et al., 2007; Bruex et al., 2012)","previouslyFormattedCitation":"(Masucci and Schiefelbein, 1994; Menand et al., 2007; Bruex et al., 2012)"},"properties":{"noteIndex":0},"schema":"https://github.com/citation-style-language/schema/raw/master/csl-citation.json"}</w:instrText>
      </w:r>
      <w:r>
        <w:rPr>
          <w:szCs w:val="24"/>
        </w:rPr>
        <w:fldChar w:fldCharType="separate"/>
      </w:r>
      <w:r w:rsidRPr="00E02944">
        <w:rPr>
          <w:noProof/>
          <w:szCs w:val="24"/>
        </w:rPr>
        <w:t>(Masucci and Schiefelbein, 1994; Menand et al., 2007; Bruex et al., 2012)</w:t>
      </w:r>
      <w:r>
        <w:rPr>
          <w:szCs w:val="24"/>
        </w:rPr>
        <w:fldChar w:fldCharType="end"/>
      </w:r>
      <w:r>
        <w:rPr>
          <w:szCs w:val="24"/>
        </w:rPr>
        <w:t xml:space="preserve">. </w:t>
      </w:r>
      <w:r w:rsidRPr="00354E65">
        <w:rPr>
          <w:i/>
          <w:iCs/>
          <w:szCs w:val="24"/>
        </w:rPr>
        <w:t>rhd6</w:t>
      </w:r>
      <w:r>
        <w:rPr>
          <w:szCs w:val="24"/>
        </w:rPr>
        <w:t xml:space="preserve"> mutant Arabidopsis plants have very few root hairs compared to WT plants </w:t>
      </w:r>
      <w:r>
        <w:rPr>
          <w:szCs w:val="24"/>
        </w:rPr>
        <w:fldChar w:fldCharType="begin" w:fldLock="1"/>
      </w:r>
      <w:r>
        <w:rPr>
          <w:szCs w:val="24"/>
        </w:rPr>
        <w:instrText>ADDIN CSL_CITATION {"citationItems":[{"id":"ITEM-1","itemData":{"DOI":"10.1104/pp.106.4.1335","ISSN":"0032-0889","author":[{"dropping-particle":"","family":"Masucci","given":"J. D.","non-dropping-particle":"","parse-names":false,"suffix":""},{"dropping-particle":"","family":"Schiefelbein","given":"J. W.","non-dropping-particle":"","parse-names":false,"suffix":""}],"container-title":"Plant Physiology","id":"ITEM-1","issue":"4","issued":{"date-parts":[["1994","12","1"]]},"page":"1335-1346","title":"The rhd6 Mutation of Arabidopsis thaliana Alters Root-Hair Initiation through an Auxin- and Ethylene-Associated Process","type":"article-journal","volume":"106"},"uris":["http://www.mendeley.com/documents/?uuid=6ff558d6-638a-4f41-8ebc-b5ebf9d6eab0"]}],"mendeley":{"formattedCitation":"(Masucci and Schiefelbein, 1994)","plainTextFormattedCitation":"(Masucci and Schiefelbein, 1994)","previouslyFormattedCitation":"(Masucci and Schiefelbein, 1994)"},"properties":{"noteIndex":0},"schema":"https://github.com/citation-style-language/schema/raw/master/csl-citation.json"}</w:instrText>
      </w:r>
      <w:r>
        <w:rPr>
          <w:szCs w:val="24"/>
        </w:rPr>
        <w:fldChar w:fldCharType="separate"/>
      </w:r>
      <w:r w:rsidRPr="00354E65">
        <w:rPr>
          <w:noProof/>
          <w:szCs w:val="24"/>
        </w:rPr>
        <w:t>(Masucci and Schiefelbein, 1994)</w:t>
      </w:r>
      <w:r>
        <w:rPr>
          <w:szCs w:val="24"/>
        </w:rPr>
        <w:fldChar w:fldCharType="end"/>
      </w:r>
      <w:r>
        <w:rPr>
          <w:szCs w:val="24"/>
        </w:rPr>
        <w:t>.</w:t>
      </w:r>
    </w:p>
    <w:p w14:paraId="6135A649" w14:textId="2E248DB6" w:rsidR="005C3E97" w:rsidRPr="004B0CE8" w:rsidRDefault="005C3E97" w:rsidP="005C3E97">
      <w:pPr>
        <w:spacing w:before="160" w:line="480" w:lineRule="auto"/>
        <w:outlineLvl w:val="1"/>
        <w:rPr>
          <w:szCs w:val="24"/>
        </w:rPr>
      </w:pPr>
      <w:r>
        <w:rPr>
          <w:szCs w:val="24"/>
        </w:rPr>
        <w:t xml:space="preserve">At 8 hours </w:t>
      </w:r>
      <w:r w:rsidRPr="00EF3B2E">
        <w:rPr>
          <w:i/>
          <w:iCs/>
          <w:szCs w:val="24"/>
        </w:rPr>
        <w:t>HORVU.MOREX.r3.6HG0608460</w:t>
      </w:r>
      <w:r>
        <w:rPr>
          <w:szCs w:val="24"/>
        </w:rPr>
        <w:t xml:space="preserve"> which is co-orthologous to </w:t>
      </w:r>
      <w:r w:rsidRPr="003620B4">
        <w:rPr>
          <w:i/>
          <w:iCs/>
          <w:szCs w:val="24"/>
        </w:rPr>
        <w:t xml:space="preserve">RHD6 </w:t>
      </w:r>
      <w:r>
        <w:rPr>
          <w:szCs w:val="24"/>
        </w:rPr>
        <w:t xml:space="preserve">and </w:t>
      </w:r>
      <w:r w:rsidRPr="003620B4">
        <w:rPr>
          <w:i/>
          <w:iCs/>
          <w:szCs w:val="24"/>
        </w:rPr>
        <w:t>RSL1</w:t>
      </w:r>
      <w:r>
        <w:rPr>
          <w:szCs w:val="24"/>
        </w:rPr>
        <w:t xml:space="preserve"> is upregulated by 3.53 log</w:t>
      </w:r>
      <w:r w:rsidRPr="003620B4">
        <w:rPr>
          <w:szCs w:val="24"/>
          <w:vertAlign w:val="subscript"/>
        </w:rPr>
        <w:t>2</w:t>
      </w:r>
      <w:r>
        <w:rPr>
          <w:szCs w:val="24"/>
          <w:vertAlign w:val="subscript"/>
        </w:rPr>
        <w:t xml:space="preserve"> </w:t>
      </w:r>
      <w:r>
        <w:rPr>
          <w:szCs w:val="24"/>
        </w:rPr>
        <w:t xml:space="preserve">FC (Fig 4.3C). </w:t>
      </w:r>
      <w:r w:rsidRPr="004B0CE8">
        <w:rPr>
          <w:szCs w:val="24"/>
        </w:rPr>
        <w:t xml:space="preserve">By upregulating </w:t>
      </w:r>
      <w:r w:rsidRPr="004B0CE8">
        <w:rPr>
          <w:i/>
          <w:iCs/>
          <w:szCs w:val="24"/>
        </w:rPr>
        <w:t>RHD6 / RSL1</w:t>
      </w:r>
      <w:r w:rsidRPr="004B0CE8">
        <w:rPr>
          <w:szCs w:val="24"/>
        </w:rPr>
        <w:t xml:space="preserve"> this would result in the growth of more root hairs which increases the surface area of the root system consequently allowing increased nutrient uptake from the environment. </w:t>
      </w:r>
      <w:r w:rsidRPr="004B0CE8">
        <w:rPr>
          <w:i/>
          <w:iCs/>
          <w:szCs w:val="24"/>
        </w:rPr>
        <w:t>NRT2.1</w:t>
      </w:r>
      <w:r w:rsidRPr="004B0CE8">
        <w:rPr>
          <w:szCs w:val="24"/>
        </w:rPr>
        <w:t xml:space="preserve"> has been shown to be expressed in the root hairs as well the cortex and epidermal cells </w:t>
      </w:r>
      <w:r w:rsidRPr="004B0CE8">
        <w:rPr>
          <w:szCs w:val="24"/>
        </w:rPr>
        <w:fldChar w:fldCharType="begin" w:fldLock="1"/>
      </w:r>
      <w:r w:rsidR="0037745A">
        <w:rPr>
          <w:szCs w:val="24"/>
        </w:rPr>
        <w:instrText>ADDIN CSL_CITATION {"citationItems":[{"id":"ITEM-1","itemData":{"DOI":"10.1074/jbc.M700901200","ISSN":"00219258","author":[{"dropping-particle":"","family":"Wirth","given":"Judith","non-dropping-particle":"","parse-names":false,"suffix":""},{"dropping-particle":"","family":"Chopin","given":"Franck","non-dropping-particle":"","parse-names":false,"suffix":""},{"dropping-particle":"","family":"Santoni","given":"Véronique","non-dropping-particle":"","parse-names":false,"suffix":""},{"dropping-particle":"","family":"Viennois","given":"Gaeölle","non-dropping-particle":"","parse-names":false,"suffix":""},{"dropping-particle":"","family":"Tillard","given":"Pascal","non-dropping-particle":"","parse-names":false,"suffix":""},{"dropping-particle":"","family":"Krapp","given":"Anne","non-dropping-particle":"","parse-names":false,"suffix":""},{"dropping-particle":"","family":"Lejay","given":"Laurence","non-dropping-particle":"","parse-names":false,"suffix":""},{"dropping-particle":"","family":"Daniel-Vedele","given":"Françoise","non-dropping-particle":"","parse-names":false,"suffix":""},{"dropping-particle":"","family":"Gojon","given":"Alain","non-dropping-particle":"","parse-names":false,"suffix":""}],"container-title":"Journal of Biological Chemistry","id":"ITEM-1","issue":"32","issued":{"date-parts":[["2007","8"]]},"page":"23541-23552","title":"Regulation of root nitrate uptake at the NRT2.1 protein level in Arabidopsis thaliana","type":"article-journal","volume":"282"},"uris":["http://www.mendeley.com/documents/?uuid=9f2abdfb-ffcc-4432-b8a9-46777d88dcf0"]}],"mendeley":{"formattedCitation":"(Wirth et al., 2007)","plainTextFormattedCitation":"(Wirth et al., 2007)","previouslyFormattedCitation":"(Wirth et al., 2007)"},"properties":{"noteIndex":0},"schema":"https://github.com/citation-style-language/schema/raw/master/csl-citation.json"}</w:instrText>
      </w:r>
      <w:r w:rsidRPr="004B0CE8">
        <w:rPr>
          <w:szCs w:val="24"/>
        </w:rPr>
        <w:fldChar w:fldCharType="separate"/>
      </w:r>
      <w:r w:rsidRPr="004B0CE8">
        <w:rPr>
          <w:noProof/>
          <w:szCs w:val="24"/>
        </w:rPr>
        <w:t>(Wirth et al., 2007)</w:t>
      </w:r>
      <w:r w:rsidRPr="004B0CE8">
        <w:rPr>
          <w:szCs w:val="24"/>
        </w:rPr>
        <w:fldChar w:fldCharType="end"/>
      </w:r>
      <w:r w:rsidRPr="004B0CE8">
        <w:rPr>
          <w:szCs w:val="24"/>
        </w:rPr>
        <w:t xml:space="preserve">. Therefore, </w:t>
      </w:r>
      <w:r w:rsidRPr="004B0CE8">
        <w:rPr>
          <w:i/>
          <w:iCs/>
          <w:szCs w:val="24"/>
        </w:rPr>
        <w:t>RHD6</w:t>
      </w:r>
      <w:r w:rsidRPr="004B0CE8">
        <w:rPr>
          <w:szCs w:val="24"/>
        </w:rPr>
        <w:t xml:space="preserve"> provides the root hairs in which </w:t>
      </w:r>
      <w:r w:rsidRPr="004B0CE8">
        <w:rPr>
          <w:i/>
          <w:iCs/>
          <w:szCs w:val="24"/>
        </w:rPr>
        <w:t>NRT2</w:t>
      </w:r>
      <w:r w:rsidRPr="004B0CE8">
        <w:rPr>
          <w:szCs w:val="24"/>
        </w:rPr>
        <w:t xml:space="preserve"> transporters can be expressed. </w:t>
      </w:r>
    </w:p>
    <w:p w14:paraId="62392A44" w14:textId="0196C9D5" w:rsidR="005C3E97" w:rsidRPr="004B0CE8" w:rsidRDefault="005C3E97" w:rsidP="005C3E97">
      <w:pPr>
        <w:spacing w:before="160" w:line="480" w:lineRule="auto"/>
        <w:outlineLvl w:val="1"/>
        <w:rPr>
          <w:szCs w:val="24"/>
          <w:u w:val="single"/>
        </w:rPr>
      </w:pPr>
      <w:r w:rsidRPr="004B0CE8">
        <w:rPr>
          <w:szCs w:val="24"/>
        </w:rPr>
        <w:t xml:space="preserve">Taking together the upregulation of </w:t>
      </w:r>
      <w:r w:rsidRPr="004B0CE8">
        <w:rPr>
          <w:i/>
          <w:iCs/>
          <w:szCs w:val="24"/>
        </w:rPr>
        <w:t>RHD6</w:t>
      </w:r>
      <w:r w:rsidRPr="004B0CE8">
        <w:rPr>
          <w:szCs w:val="24"/>
        </w:rPr>
        <w:t xml:space="preserve"> with the upregulation of </w:t>
      </w:r>
      <w:r w:rsidRPr="004B0CE8">
        <w:rPr>
          <w:i/>
          <w:iCs/>
          <w:szCs w:val="24"/>
        </w:rPr>
        <w:t xml:space="preserve">NRT2 </w:t>
      </w:r>
      <w:r w:rsidRPr="004B0CE8">
        <w:rPr>
          <w:szCs w:val="24"/>
        </w:rPr>
        <w:t xml:space="preserve">genes, this </w:t>
      </w:r>
      <w:r w:rsidR="00915C09" w:rsidRPr="00F10E08">
        <w:rPr>
          <w:szCs w:val="24"/>
        </w:rPr>
        <w:t>suggests</w:t>
      </w:r>
      <w:r w:rsidRPr="004B0CE8">
        <w:rPr>
          <w:szCs w:val="24"/>
        </w:rPr>
        <w:t xml:space="preserve"> that the barley plants are initiating a competitive </w:t>
      </w:r>
      <w:r w:rsidRPr="004B0CE8">
        <w:rPr>
          <w:szCs w:val="24"/>
        </w:rPr>
        <w:lastRenderedPageBreak/>
        <w:t xml:space="preserve">response to uptake as much nitrate from the environment in preparation for </w:t>
      </w:r>
      <w:r w:rsidR="00D2515E">
        <w:rPr>
          <w:noProof/>
          <w:szCs w:val="24"/>
        </w:rPr>
        <w:drawing>
          <wp:anchor distT="0" distB="0" distL="114300" distR="114300" simplePos="0" relativeHeight="251760128" behindDoc="0" locked="0" layoutInCell="1" allowOverlap="1" wp14:anchorId="658EBB20" wp14:editId="24D56687">
            <wp:simplePos x="0" y="0"/>
            <wp:positionH relativeFrom="margin">
              <wp:posOffset>46111</wp:posOffset>
            </wp:positionH>
            <wp:positionV relativeFrom="paragraph">
              <wp:posOffset>694788</wp:posOffset>
            </wp:positionV>
            <wp:extent cx="3776749" cy="4926676"/>
            <wp:effectExtent l="0" t="0" r="0" b="7620"/>
            <wp:wrapSquare wrapText="bothSides"/>
            <wp:docPr id="16812468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46837" name="Picture 1681246837"/>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776749" cy="4926676"/>
                    </a:xfrm>
                    <a:prstGeom prst="rect">
                      <a:avLst/>
                    </a:prstGeom>
                  </pic:spPr>
                </pic:pic>
              </a:graphicData>
            </a:graphic>
          </wp:anchor>
        </w:drawing>
      </w:r>
      <w:r w:rsidRPr="004B0CE8">
        <w:rPr>
          <w:szCs w:val="24"/>
        </w:rPr>
        <w:t xml:space="preserve">nutrient depletion in the future. </w:t>
      </w:r>
    </w:p>
    <w:p w14:paraId="54E5A828" w14:textId="7A1E02FE" w:rsidR="005C3E97" w:rsidRDefault="005C3E97" w:rsidP="005C3E97">
      <w:pPr>
        <w:spacing w:before="160" w:line="480" w:lineRule="auto"/>
        <w:outlineLvl w:val="1"/>
        <w:rPr>
          <w:rFonts w:cs="Times New Roman"/>
          <w:bCs/>
        </w:rPr>
      </w:pPr>
    </w:p>
    <w:p w14:paraId="374B7F64" w14:textId="683F0D5C" w:rsidR="005C3E97" w:rsidRPr="005C3E97" w:rsidRDefault="005C3E97" w:rsidP="005C3E97"/>
    <w:p w14:paraId="4EAD11D7" w14:textId="47D64160" w:rsidR="005C3E97" w:rsidRPr="005C3E97" w:rsidRDefault="005C3E97" w:rsidP="005C3E97"/>
    <w:p w14:paraId="3459B656" w14:textId="1E528B03" w:rsidR="005C3E97" w:rsidRDefault="005C3E97" w:rsidP="005C3E97">
      <w:pPr>
        <w:pStyle w:val="Description"/>
      </w:pPr>
    </w:p>
    <w:p w14:paraId="536AC231" w14:textId="77777777" w:rsidR="005C3E97" w:rsidRPr="005C3E97" w:rsidRDefault="005C3E97" w:rsidP="005C3E97"/>
    <w:p w14:paraId="024B7C09" w14:textId="77777777" w:rsidR="005C3E97" w:rsidRPr="005C3E97" w:rsidRDefault="005C3E97" w:rsidP="005C3E97"/>
    <w:p w14:paraId="0E7224DF" w14:textId="77777777" w:rsidR="005C3E97" w:rsidRPr="005C3E97" w:rsidRDefault="005C3E97" w:rsidP="005C3E97"/>
    <w:p w14:paraId="49B50C08" w14:textId="77777777" w:rsidR="005C3E97" w:rsidRPr="005C3E97" w:rsidRDefault="005C3E97" w:rsidP="005C3E97"/>
    <w:p w14:paraId="044D1F33" w14:textId="77777777" w:rsidR="005C3E97" w:rsidRPr="005C3E97" w:rsidRDefault="005C3E97" w:rsidP="005C3E97"/>
    <w:p w14:paraId="651727E2" w14:textId="77777777" w:rsidR="005C3E97" w:rsidRPr="005C3E97" w:rsidRDefault="005C3E97" w:rsidP="005C3E97"/>
    <w:p w14:paraId="7BDE771D" w14:textId="77777777" w:rsidR="005C3E97" w:rsidRPr="005C3E97" w:rsidRDefault="005C3E97" w:rsidP="005C3E97"/>
    <w:p w14:paraId="4BC1CEC5" w14:textId="77777777" w:rsidR="005C3E97" w:rsidRPr="005C3E97" w:rsidRDefault="005C3E97" w:rsidP="005C3E97"/>
    <w:p w14:paraId="05A50AEA" w14:textId="77777777" w:rsidR="005C3E97" w:rsidRPr="005C3E97" w:rsidRDefault="005C3E97" w:rsidP="005C3E97"/>
    <w:p w14:paraId="4FB392C7" w14:textId="77777777" w:rsidR="005C3E97" w:rsidRPr="005C3E97" w:rsidRDefault="005C3E97" w:rsidP="005C3E97"/>
    <w:p w14:paraId="660CCF10" w14:textId="77777777" w:rsidR="005C3E97" w:rsidRPr="005C3E97" w:rsidRDefault="005C3E97" w:rsidP="005C3E97"/>
    <w:p w14:paraId="3A63D166" w14:textId="77777777" w:rsidR="005C3E97" w:rsidRPr="005C3E97" w:rsidRDefault="005C3E97" w:rsidP="005C3E97"/>
    <w:p w14:paraId="0C92B70E" w14:textId="36EBB403" w:rsidR="005C3E97" w:rsidRDefault="005C3E97" w:rsidP="005C3E97">
      <w:pPr>
        <w:pStyle w:val="Caption"/>
      </w:pPr>
      <w:bookmarkStart w:id="192" w:name="_Toc154331572"/>
      <w:r>
        <w:t xml:space="preserve">Figure </w:t>
      </w:r>
      <w:fldSimple w:instr=" STYLEREF 1 \s ">
        <w:r w:rsidR="004B7F70">
          <w:rPr>
            <w:noProof/>
          </w:rPr>
          <w:t>4</w:t>
        </w:r>
      </w:fldSimple>
      <w:r w:rsidR="00C97D34">
        <w:t>.</w:t>
      </w:r>
      <w:fldSimple w:instr=" SEQ Figure \* ARABIC \s 1 ">
        <w:r w:rsidR="004B7F70">
          <w:rPr>
            <w:noProof/>
          </w:rPr>
          <w:t>4</w:t>
        </w:r>
      </w:fldSimple>
      <w:r>
        <w:t xml:space="preserve"> </w:t>
      </w:r>
      <w:r w:rsidRPr="00EB7BA5">
        <w:t xml:space="preserve">Root based plant crowding affects </w:t>
      </w:r>
      <w:r w:rsidRPr="00EB7BA5">
        <w:rPr>
          <w:i/>
          <w:iCs/>
        </w:rPr>
        <w:t>NRT</w:t>
      </w:r>
      <w:r>
        <w:rPr>
          <w:i/>
          <w:iCs/>
        </w:rPr>
        <w:t>1/2</w:t>
      </w:r>
      <w:r w:rsidRPr="00EB7BA5">
        <w:t xml:space="preserve"> and </w:t>
      </w:r>
      <w:r w:rsidRPr="00EB7BA5">
        <w:rPr>
          <w:i/>
          <w:iCs/>
        </w:rPr>
        <w:t>RHD6</w:t>
      </w:r>
      <w:r w:rsidRPr="00EB7BA5">
        <w:t xml:space="preserve"> expression in the root</w:t>
      </w:r>
      <w:bookmarkEnd w:id="192"/>
    </w:p>
    <w:p w14:paraId="7EDB0721" w14:textId="77777777" w:rsidR="005C3E97" w:rsidRPr="00FE3F1C" w:rsidRDefault="005C3E97" w:rsidP="005C3E97">
      <w:pPr>
        <w:pStyle w:val="Description"/>
      </w:pPr>
      <w:r w:rsidRPr="00FE3F1C">
        <w:t>Barley (cv. Charon) were grown hydroponically in 1 plant per pot (1/pot) and 4 plants per pot (4/pot). Figures show the log</w:t>
      </w:r>
      <w:r w:rsidRPr="00B105AC">
        <w:rPr>
          <w:vertAlign w:val="subscript"/>
        </w:rPr>
        <w:t>2</w:t>
      </w:r>
      <w:r w:rsidRPr="00FE3F1C">
        <w:t xml:space="preserve"> fold change of differentially expressed genes (DEGs) of interest.</w:t>
      </w:r>
      <w:r>
        <w:t xml:space="preserve"> </w:t>
      </w:r>
    </w:p>
    <w:p w14:paraId="33AD88F5" w14:textId="02C4BBE4" w:rsidR="005C3E97" w:rsidRPr="00F10E08" w:rsidRDefault="005C3E97" w:rsidP="005C3E97">
      <w:pPr>
        <w:pStyle w:val="Description"/>
      </w:pPr>
      <w:r w:rsidRPr="00FE3F1C">
        <w:t>A) Bar chart showing the positive log</w:t>
      </w:r>
      <w:r w:rsidRPr="00FE3F1C">
        <w:rPr>
          <w:vertAlign w:val="subscript"/>
        </w:rPr>
        <w:t>2</w:t>
      </w:r>
      <w:r w:rsidRPr="00FE3F1C">
        <w:t xml:space="preserve"> fold change of barley </w:t>
      </w:r>
      <w:r w:rsidRPr="004C5D48">
        <w:t>paralogues</w:t>
      </w:r>
      <w:r>
        <w:rPr>
          <w:sz w:val="24"/>
        </w:rPr>
        <w:t xml:space="preserve"> </w:t>
      </w:r>
      <w:r w:rsidRPr="00FE3F1C">
        <w:t xml:space="preserve">of the Arabidopsis genes </w:t>
      </w:r>
      <w:r w:rsidRPr="00FE3F1C">
        <w:rPr>
          <w:i/>
          <w:iCs/>
        </w:rPr>
        <w:t>NRT2.1, NRT2.2</w:t>
      </w:r>
      <w:r w:rsidRPr="00FE3F1C">
        <w:t xml:space="preserve"> and </w:t>
      </w:r>
      <w:r w:rsidRPr="00FE3F1C">
        <w:rPr>
          <w:i/>
          <w:iCs/>
        </w:rPr>
        <w:t>NRT2.4</w:t>
      </w:r>
      <w:r w:rsidRPr="00FE3F1C">
        <w:t xml:space="preserve"> at 4- (burgundy) and 8- hours post crowding</w:t>
      </w:r>
      <w:r w:rsidR="001640E7" w:rsidRPr="00F10E08">
        <w:t>, n=3</w:t>
      </w:r>
      <w:r w:rsidRPr="00F10E08">
        <w:t>.</w:t>
      </w:r>
    </w:p>
    <w:p w14:paraId="236BDE2C" w14:textId="6181CBED" w:rsidR="005C3E97" w:rsidRPr="00D03174" w:rsidRDefault="005C3E97" w:rsidP="005C3E97">
      <w:pPr>
        <w:pStyle w:val="Description"/>
      </w:pPr>
      <w:r w:rsidRPr="00F10E08">
        <w:t>B) Bar chart showing the negative log</w:t>
      </w:r>
      <w:r w:rsidRPr="00F10E08">
        <w:rPr>
          <w:vertAlign w:val="subscript"/>
        </w:rPr>
        <w:t>2</w:t>
      </w:r>
      <w:r w:rsidRPr="00F10E08">
        <w:t xml:space="preserve"> fold change of a barley gene paralogous to Arabidopsis </w:t>
      </w:r>
      <w:r w:rsidRPr="00F10E08">
        <w:rPr>
          <w:i/>
          <w:iCs/>
        </w:rPr>
        <w:t>NRT1.5</w:t>
      </w:r>
      <w:r w:rsidRPr="00F10E08">
        <w:t xml:space="preserve"> and </w:t>
      </w:r>
      <w:r w:rsidRPr="00F10E08">
        <w:rPr>
          <w:i/>
          <w:iCs/>
        </w:rPr>
        <w:t xml:space="preserve">NRT1.8 </w:t>
      </w:r>
      <w:r w:rsidRPr="00F10E08">
        <w:t>at 4- hours (burgundy) post crowding</w:t>
      </w:r>
      <w:r w:rsidR="001640E7" w:rsidRPr="00F10E08">
        <w:t>, n=3</w:t>
      </w:r>
      <w:r w:rsidRPr="00FE3F1C">
        <w:t>.</w:t>
      </w:r>
    </w:p>
    <w:p w14:paraId="7C36F62D" w14:textId="77777777" w:rsidR="005C3E97" w:rsidRDefault="005C3E97" w:rsidP="005C3E97">
      <w:pPr>
        <w:pStyle w:val="Description"/>
      </w:pPr>
      <w:r>
        <w:t xml:space="preserve">C) </w:t>
      </w:r>
      <w:r w:rsidRPr="00FE3F1C">
        <w:t>Bar chart showing the positive log</w:t>
      </w:r>
      <w:r w:rsidRPr="003620B4">
        <w:rPr>
          <w:vertAlign w:val="subscript"/>
        </w:rPr>
        <w:t>2</w:t>
      </w:r>
      <w:r w:rsidRPr="00FE3F1C">
        <w:t xml:space="preserve"> fold change of barley </w:t>
      </w:r>
      <w:r>
        <w:t>co-</w:t>
      </w:r>
      <w:r w:rsidRPr="00FE3F1C">
        <w:t xml:space="preserve">orthologues of the Arabidopsis genes </w:t>
      </w:r>
      <w:r w:rsidRPr="0002064E">
        <w:rPr>
          <w:i/>
          <w:iCs/>
        </w:rPr>
        <w:t>RHD6</w:t>
      </w:r>
      <w:r w:rsidRPr="00FE3F1C">
        <w:t xml:space="preserve"> and </w:t>
      </w:r>
      <w:r w:rsidRPr="0002064E">
        <w:rPr>
          <w:i/>
          <w:iCs/>
        </w:rPr>
        <w:t xml:space="preserve">RSL1 </w:t>
      </w:r>
      <w:r w:rsidRPr="00FE3F1C">
        <w:t>at 8- hours</w:t>
      </w:r>
      <w:r>
        <w:t xml:space="preserve"> (blue)</w:t>
      </w:r>
      <w:r w:rsidRPr="00FE3F1C">
        <w:t xml:space="preserve"> post crowding.</w:t>
      </w:r>
    </w:p>
    <w:p w14:paraId="68ACFF30" w14:textId="77777777" w:rsidR="005C3E97" w:rsidRDefault="005C3E97" w:rsidP="005C3E97"/>
    <w:p w14:paraId="47C7DD11" w14:textId="77777777" w:rsidR="0080672E" w:rsidRDefault="0080672E" w:rsidP="005C3E97"/>
    <w:p w14:paraId="07C32459" w14:textId="77777777" w:rsidR="0080672E" w:rsidRDefault="0080672E" w:rsidP="005C3E97"/>
    <w:p w14:paraId="14778733" w14:textId="070189B8" w:rsidR="005C3E97" w:rsidRDefault="005C3E97" w:rsidP="00743E4C">
      <w:pPr>
        <w:pStyle w:val="Heading3"/>
      </w:pPr>
      <w:bookmarkStart w:id="193" w:name="_Toc154331491"/>
      <w:r w:rsidRPr="005C3E97">
        <w:lastRenderedPageBreak/>
        <w:t>Other DEGs of potential interest</w:t>
      </w:r>
      <w:bookmarkEnd w:id="193"/>
    </w:p>
    <w:p w14:paraId="48FFB9F1" w14:textId="53E90647" w:rsidR="005C3E97" w:rsidRPr="00967681" w:rsidRDefault="005C3E97" w:rsidP="005C3E97">
      <w:pPr>
        <w:spacing w:before="160" w:line="480" w:lineRule="auto"/>
        <w:outlineLvl w:val="1"/>
        <w:rPr>
          <w:rFonts w:cs="Times New Roman"/>
          <w:bCs/>
          <w:u w:val="single"/>
        </w:rPr>
      </w:pPr>
      <w:r w:rsidRPr="000B70BB">
        <w:rPr>
          <w:rFonts w:cs="Times New Roman"/>
          <w:bCs/>
          <w:i/>
          <w:iCs/>
          <w:u w:val="single"/>
        </w:rPr>
        <w:t>CEP1</w:t>
      </w:r>
      <w:r w:rsidRPr="00AF4138">
        <w:rPr>
          <w:rFonts w:cs="Times New Roman"/>
          <w:bCs/>
          <w:u w:val="single"/>
        </w:rPr>
        <w:t xml:space="preserve">, </w:t>
      </w:r>
      <w:r w:rsidRPr="000B70BB">
        <w:rPr>
          <w:rFonts w:cs="Times New Roman"/>
          <w:bCs/>
          <w:i/>
          <w:iCs/>
          <w:u w:val="single"/>
        </w:rPr>
        <w:t>CEP2</w:t>
      </w:r>
      <w:r w:rsidRPr="00AF4138">
        <w:rPr>
          <w:rFonts w:cs="Times New Roman"/>
          <w:bCs/>
          <w:u w:val="single"/>
        </w:rPr>
        <w:t xml:space="preserve"> and </w:t>
      </w:r>
      <w:r w:rsidRPr="000B70BB">
        <w:rPr>
          <w:rFonts w:cs="Times New Roman"/>
          <w:bCs/>
          <w:i/>
          <w:iCs/>
          <w:u w:val="single"/>
        </w:rPr>
        <w:t>CEP3</w:t>
      </w:r>
      <w:r w:rsidRPr="00AF4138">
        <w:rPr>
          <w:rFonts w:cs="Times New Roman"/>
          <w:bCs/>
          <w:u w:val="single"/>
        </w:rPr>
        <w:t xml:space="preserve"> peptides</w:t>
      </w:r>
      <w:r w:rsidR="00B1184D">
        <w:rPr>
          <w:rFonts w:cs="Times New Roman"/>
          <w:bCs/>
          <w:u w:val="single"/>
        </w:rPr>
        <w:t xml:space="preserve"> </w:t>
      </w:r>
      <w:r w:rsidR="00B1184D" w:rsidRPr="00967681">
        <w:rPr>
          <w:rFonts w:cs="Times New Roman"/>
          <w:bCs/>
          <w:u w:val="single"/>
        </w:rPr>
        <w:t>are downregulated when crowded</w:t>
      </w:r>
    </w:p>
    <w:p w14:paraId="158D2234" w14:textId="4A975672" w:rsidR="005C3E97" w:rsidRDefault="007A4664" w:rsidP="005C3E97">
      <w:pPr>
        <w:spacing w:before="160" w:line="480" w:lineRule="auto"/>
        <w:outlineLvl w:val="1"/>
        <w:rPr>
          <w:rFonts w:cs="Times New Roman"/>
          <w:bCs/>
        </w:rPr>
      </w:pPr>
      <w:r w:rsidRPr="00967681">
        <w:rPr>
          <w:rFonts w:cs="Times New Roman"/>
          <w:bCs/>
        </w:rPr>
        <w:t xml:space="preserve">As other nitrate related genes were identified in this </w:t>
      </w:r>
      <w:r w:rsidR="00720CDC" w:rsidRPr="00967681">
        <w:rPr>
          <w:rFonts w:cs="Times New Roman"/>
          <w:bCs/>
        </w:rPr>
        <w:t>RNAseq dataset</w:t>
      </w:r>
      <w:r w:rsidR="00FD32E2" w:rsidRPr="00967681">
        <w:rPr>
          <w:rFonts w:cs="Times New Roman"/>
          <w:bCs/>
        </w:rPr>
        <w:t>,</w:t>
      </w:r>
      <w:r w:rsidR="00720CDC" w:rsidRPr="00967681">
        <w:rPr>
          <w:rFonts w:cs="Times New Roman"/>
          <w:bCs/>
        </w:rPr>
        <w:t xml:space="preserve"> as discussed above</w:t>
      </w:r>
      <w:r w:rsidR="00FD32E2" w:rsidRPr="00967681">
        <w:rPr>
          <w:rFonts w:cs="Times New Roman"/>
          <w:bCs/>
        </w:rPr>
        <w:t>,</w:t>
      </w:r>
      <w:r w:rsidR="00720CDC" w:rsidRPr="00967681">
        <w:rPr>
          <w:rFonts w:cs="Times New Roman"/>
          <w:bCs/>
        </w:rPr>
        <w:t xml:space="preserve"> I </w:t>
      </w:r>
      <w:r w:rsidR="007D0C6C" w:rsidRPr="00967681">
        <w:rPr>
          <w:rFonts w:cs="Times New Roman"/>
          <w:bCs/>
        </w:rPr>
        <w:t xml:space="preserve">was intrigued to see </w:t>
      </w:r>
      <w:r w:rsidR="00304EAB" w:rsidRPr="00967681">
        <w:rPr>
          <w:rFonts w:cs="Times New Roman"/>
          <w:bCs/>
        </w:rPr>
        <w:t>CEP genes also present.</w:t>
      </w:r>
      <w:r w:rsidR="00304EAB">
        <w:rPr>
          <w:rFonts w:cs="Times New Roman"/>
          <w:bCs/>
        </w:rPr>
        <w:t xml:space="preserve"> </w:t>
      </w:r>
      <w:r w:rsidR="005C3E97" w:rsidRPr="0002064E">
        <w:rPr>
          <w:rFonts w:cs="Times New Roman"/>
          <w:bCs/>
          <w:i/>
          <w:iCs/>
        </w:rPr>
        <w:t>HORVU.MOREX.r3.3HG0304230</w:t>
      </w:r>
      <w:r w:rsidR="005C3E97">
        <w:rPr>
          <w:rFonts w:cs="Times New Roman"/>
          <w:bCs/>
        </w:rPr>
        <w:t xml:space="preserve"> and </w:t>
      </w:r>
      <w:r w:rsidR="005C3E97" w:rsidRPr="0002064E">
        <w:rPr>
          <w:rFonts w:cs="Times New Roman"/>
          <w:bCs/>
          <w:i/>
          <w:iCs/>
        </w:rPr>
        <w:t>HORVU.MOREX.r3.3HG0304500</w:t>
      </w:r>
      <w:r w:rsidR="005C3E97">
        <w:rPr>
          <w:rFonts w:cs="Times New Roman"/>
          <w:bCs/>
        </w:rPr>
        <w:t xml:space="preserve"> were downregulated at 4 hours (log</w:t>
      </w:r>
      <w:r w:rsidR="005C3E97" w:rsidRPr="007D1AC4">
        <w:rPr>
          <w:rFonts w:cs="Times New Roman"/>
          <w:bCs/>
          <w:vertAlign w:val="subscript"/>
        </w:rPr>
        <w:t>2</w:t>
      </w:r>
      <w:r w:rsidR="005C3E97">
        <w:rPr>
          <w:rFonts w:cs="Times New Roman"/>
          <w:bCs/>
        </w:rPr>
        <w:t xml:space="preserve"> FC -2.18) and 8 hours (log</w:t>
      </w:r>
      <w:r w:rsidR="005C3E97" w:rsidRPr="007D1AC4">
        <w:rPr>
          <w:rFonts w:cs="Times New Roman"/>
          <w:bCs/>
          <w:vertAlign w:val="subscript"/>
        </w:rPr>
        <w:t>2</w:t>
      </w:r>
      <w:r w:rsidR="005C3E97">
        <w:rPr>
          <w:rFonts w:cs="Times New Roman"/>
          <w:bCs/>
        </w:rPr>
        <w:t xml:space="preserve"> FC -3.82) respectively, both these genes are paralogous to the </w:t>
      </w:r>
      <w:r w:rsidR="005C3E97" w:rsidRPr="00FD5032">
        <w:rPr>
          <w:rFonts w:cs="Times New Roman"/>
          <w:bCs/>
          <w:i/>
          <w:iCs/>
        </w:rPr>
        <w:t>C-TERMINALLY ENCODED PEPTIDEs (CEPs)</w:t>
      </w:r>
      <w:r w:rsidR="005C3E97">
        <w:rPr>
          <w:rFonts w:cs="Times New Roman"/>
          <w:bCs/>
        </w:rPr>
        <w:t xml:space="preserve"> </w:t>
      </w:r>
      <w:r w:rsidR="005C3E97" w:rsidRPr="00FD5032">
        <w:rPr>
          <w:rFonts w:cs="Times New Roman"/>
          <w:bCs/>
          <w:i/>
          <w:iCs/>
        </w:rPr>
        <w:t>CEP1, CEP2</w:t>
      </w:r>
      <w:r w:rsidR="005C3E97">
        <w:rPr>
          <w:rFonts w:cs="Times New Roman"/>
          <w:bCs/>
        </w:rPr>
        <w:t xml:space="preserve"> and </w:t>
      </w:r>
      <w:r w:rsidR="005C3E97" w:rsidRPr="00FD5032">
        <w:rPr>
          <w:rFonts w:cs="Times New Roman"/>
          <w:bCs/>
          <w:i/>
          <w:iCs/>
        </w:rPr>
        <w:t>CEP3</w:t>
      </w:r>
      <w:r w:rsidR="005C3E97">
        <w:rPr>
          <w:rFonts w:cs="Times New Roman"/>
          <w:bCs/>
        </w:rPr>
        <w:t xml:space="preserve">. CEPs are produced in the roots and move from the root to the shoot to communicate nitrate deficiency in the environment </w:t>
      </w:r>
      <w:r w:rsidR="005C3E97">
        <w:rPr>
          <w:rFonts w:cs="Times New Roman"/>
          <w:bCs/>
        </w:rPr>
        <w:fldChar w:fldCharType="begin" w:fldLock="1"/>
      </w:r>
      <w:r w:rsidR="005C3E97">
        <w:rPr>
          <w:rFonts w:cs="Times New Roman"/>
          <w:bCs/>
        </w:rPr>
        <w:instrText>ADDIN CSL_CITATION {"citationItems":[{"id":"ITEM-1","itemData":{"DOI":"10.1126/science.1257800","ISSN":"0036-8075","abstract":"Nitrogen (N) is a critical nutrient for plants but is often distributed unevenly in the soil. Plants therefore have evolved a systemic mechanism by which N starvation on one side of the root system leads to a compensatory and increased nitrate uptake on the other side. Here, we study the molecular systems that support perception of N and the long-distance signaling needed to alter root development. Rootlets starved of N secrete small peptides that are translocated to the shoot and received by two leucine-rich repeat receptor kinases (LRR-RKs). Arabidopsis plants deficient in this pathway show growth retardation accompanied with N-deficiency symptoms. Thus, signaling from the root to the shoot helps the plant adapt to fluctuations in local N availability.","author":[{"dropping-particle":"","family":"Tabata","given":"Ryo","non-dropping-particle":"","parse-names":false,"suffix":""},{"dropping-particle":"","family":"Sumida","given":"Kumiko","non-dropping-particle":"","parse-names":false,"suffix":""},{"dropping-particle":"","family":"Yoshii","given":"Tomoaki","non-dropping-particle":"","parse-names":false,"suffix":""},{"dropping-particle":"","family":"Ohyama","given":"Kentaro","non-dropping-particle":"","parse-names":false,"suffix":""},{"dropping-particle":"","family":"Shinohara","given":"Hidefumi","non-dropping-particle":"","parse-names":false,"suffix":""},{"dropping-particle":"","family":"Matsubayashi","given":"Yoshikatsu","non-dropping-particle":"","parse-names":false,"suffix":""}],"container-title":"Science","id":"ITEM-1","issue":"6207","issued":{"date-parts":[["2014","10","17"]]},"page":"343-346","publisher":"American Association for the Advancement of Science","title":"Perception of root-derived peptides by shoot LRR-RKs mediates systemic N-demand signaling","type":"article-journal","volume":"346"},"uris":["http://www.mendeley.com/documents/?uuid=e39cbb55-7a58-44b3-8ee4-6d0935c32c1a"]}],"mendeley":{"formattedCitation":"(Tabata et al., 2014)","plainTextFormattedCitation":"(Tabata et al., 2014)","previouslyFormattedCitation":"(Tabata et al., 2014)"},"properties":{"noteIndex":0},"schema":"https://github.com/citation-style-language/schema/raw/master/csl-citation.json"}</w:instrText>
      </w:r>
      <w:r w:rsidR="005C3E97">
        <w:rPr>
          <w:rFonts w:cs="Times New Roman"/>
          <w:bCs/>
        </w:rPr>
        <w:fldChar w:fldCharType="separate"/>
      </w:r>
      <w:r w:rsidR="005C3E97" w:rsidRPr="00D6685F">
        <w:rPr>
          <w:rFonts w:cs="Times New Roman"/>
          <w:bCs/>
          <w:noProof/>
        </w:rPr>
        <w:t>(Tabata et al., 2014)</w:t>
      </w:r>
      <w:r w:rsidR="005C3E97">
        <w:rPr>
          <w:rFonts w:cs="Times New Roman"/>
          <w:bCs/>
        </w:rPr>
        <w:fldChar w:fldCharType="end"/>
      </w:r>
      <w:r w:rsidR="005C3E97">
        <w:rPr>
          <w:rFonts w:cs="Times New Roman"/>
          <w:bCs/>
        </w:rPr>
        <w:t xml:space="preserve">. These small signalling peptides are perceived by </w:t>
      </w:r>
      <w:r w:rsidR="005C3E97" w:rsidRPr="00FD5032">
        <w:rPr>
          <w:rFonts w:cs="Times New Roman"/>
          <w:bCs/>
          <w:i/>
          <w:iCs/>
        </w:rPr>
        <w:t>CEP RECEPTORS (CEPRs)</w:t>
      </w:r>
      <w:r w:rsidR="005C3E97">
        <w:rPr>
          <w:rFonts w:cs="Times New Roman"/>
          <w:bCs/>
        </w:rPr>
        <w:t xml:space="preserve">, and when in the leaves </w:t>
      </w:r>
      <w:r w:rsidR="005C3E97" w:rsidRPr="00FD5032">
        <w:rPr>
          <w:rFonts w:cs="Times New Roman"/>
          <w:bCs/>
          <w:i/>
          <w:iCs/>
        </w:rPr>
        <w:t>CEP-DOWNSTREAM PEPTIDES</w:t>
      </w:r>
      <w:r w:rsidR="005C3E97">
        <w:rPr>
          <w:rFonts w:cs="Times New Roman"/>
          <w:bCs/>
        </w:rPr>
        <w:t xml:space="preserve"> move shoot to root to influence nitrate uptake </w:t>
      </w:r>
      <w:r w:rsidR="005C3E97">
        <w:rPr>
          <w:rFonts w:cs="Times New Roman"/>
          <w:bCs/>
        </w:rPr>
        <w:fldChar w:fldCharType="begin" w:fldLock="1"/>
      </w:r>
      <w:r w:rsidR="005C3E97">
        <w:rPr>
          <w:rFonts w:cs="Times New Roman"/>
          <w:bCs/>
        </w:rPr>
        <w:instrText>ADDIN CSL_CITATION {"citationItems":[{"id":"ITEM-1","itemData":{"DOI":"10.1038/nplants.2017.29","ISSN":"20550278","abstract":"Plants uptake nitrogen (N) from the soil mainly in the form of nitrate. However, nitrate is often distributed heterogeneously in natural soil. Plants, therefore, have a systemic long-distance signalling mechanism by which N starvation on one side of the root leads to a compensatory N uptake on the other N-rich side 1,2. This systemic N acquisition response is triggered by a root-to-shoot mobile peptide hormone, C-TERMINALLY ENCODED PEPTIDE (CEP), originating from the N-starved roots 3,4, but the molecular nature of the descending shoot-to-root signal remains elusive. Here, we show that phloem-specific polypeptides that are induced in leaves upon perception of root-derived CEP act as descending long-distance mobile signals translocated to each root. These shoot-derived polypeptides, which we named CEP DOWNSTREAM 1 (CEPD1) and CEPD2, upregulate the expression of the nitrate transporter gene NRT2.1 in roots specifically when nitrate is present in the rhizosphere. Arabidopsis plants deficient in this pathway show impaired systemic N acquisition response accompanied with N-deficiency symptoms. These fundamental mechanistic insights should provide a conceptual framework for understanding systemic nutrient acquisition responses in plants.","author":[{"dropping-particle":"","family":"Ohkubo","given":"Yuri","non-dropping-particle":"","parse-names":false,"suffix":""},{"dropping-particle":"","family":"Tanaka","given":"Mina","non-dropping-particle":"","parse-names":false,"suffix":""},{"dropping-particle":"","family":"Tabata","given":"Ryo","non-dropping-particle":"","parse-names":false,"suffix":""},{"dropping-particle":"","family":"Ogawa-Ohnishi","given":"Mari","non-dropping-particle":"","parse-names":false,"suffix":""},{"dropping-particle":"","family":"Matsubayashi","given":"Yoshikatsu","non-dropping-particle":"","parse-names":false,"suffix":""}],"container-title":"Nature Plants","id":"ITEM-1","issue":"4","issued":{"date-parts":[["2017","3","20"]]},"page":"1-6","publisher":"Palgrave Macmillan Ltd.","title":"Shoot-to-root mobile polypeptides involved in systemic regulation of nitrogen acquisition","type":"article-journal","volume":"3"},"uris":["http://www.mendeley.com/documents/?uuid=c4eac449-f9d3-4199-bc8f-5aa47caf7c4f"]}],"mendeley":{"formattedCitation":"(Ohkubo et al., 2017)","plainTextFormattedCitation":"(Ohkubo et al., 2017)","previouslyFormattedCitation":"(Ohkubo et al., 2017)"},"properties":{"noteIndex":0},"schema":"https://github.com/citation-style-language/schema/raw/master/csl-citation.json"}</w:instrText>
      </w:r>
      <w:r w:rsidR="005C3E97">
        <w:rPr>
          <w:rFonts w:cs="Times New Roman"/>
          <w:bCs/>
        </w:rPr>
        <w:fldChar w:fldCharType="separate"/>
      </w:r>
      <w:r w:rsidR="005C3E97" w:rsidRPr="00E1469F">
        <w:rPr>
          <w:rFonts w:cs="Times New Roman"/>
          <w:bCs/>
          <w:noProof/>
        </w:rPr>
        <w:t>(Ohkubo et al., 2017)</w:t>
      </w:r>
      <w:r w:rsidR="005C3E97">
        <w:rPr>
          <w:rFonts w:cs="Times New Roman"/>
          <w:bCs/>
        </w:rPr>
        <w:fldChar w:fldCharType="end"/>
      </w:r>
      <w:r w:rsidR="005C3E97">
        <w:rPr>
          <w:rFonts w:cs="Times New Roman"/>
          <w:bCs/>
        </w:rPr>
        <w:t xml:space="preserve">. Bringing this together with the down regulation of </w:t>
      </w:r>
      <w:r w:rsidR="005C3E97" w:rsidRPr="00FD5032">
        <w:rPr>
          <w:rFonts w:cs="Times New Roman"/>
          <w:bCs/>
          <w:i/>
          <w:iCs/>
        </w:rPr>
        <w:t>NRT1.5</w:t>
      </w:r>
      <w:r w:rsidR="005C3E97">
        <w:rPr>
          <w:rFonts w:cs="Times New Roman"/>
          <w:bCs/>
        </w:rPr>
        <w:t xml:space="preserve"> and </w:t>
      </w:r>
      <w:r w:rsidR="005C3E97" w:rsidRPr="00FD5032">
        <w:rPr>
          <w:rFonts w:cs="Times New Roman"/>
          <w:bCs/>
          <w:i/>
          <w:iCs/>
        </w:rPr>
        <w:t>NRT1.8</w:t>
      </w:r>
      <w:r w:rsidR="005C3E97">
        <w:rPr>
          <w:rFonts w:cs="Times New Roman"/>
          <w:bCs/>
        </w:rPr>
        <w:t xml:space="preserve"> and a down regulation in </w:t>
      </w:r>
      <w:r w:rsidR="005C3E97" w:rsidRPr="00FD5032">
        <w:rPr>
          <w:rFonts w:cs="Times New Roman"/>
          <w:bCs/>
          <w:i/>
          <w:iCs/>
        </w:rPr>
        <w:t>CEPs</w:t>
      </w:r>
      <w:r w:rsidR="005C3E97">
        <w:rPr>
          <w:rFonts w:cs="Times New Roman"/>
          <w:bCs/>
        </w:rPr>
        <w:t xml:space="preserve"> this suggests that as more nitrate is present in the roots, </w:t>
      </w:r>
      <w:r w:rsidR="005C3E97" w:rsidRPr="00FD5032">
        <w:rPr>
          <w:rFonts w:cs="Times New Roman"/>
          <w:bCs/>
          <w:i/>
          <w:iCs/>
        </w:rPr>
        <w:t>CEPs</w:t>
      </w:r>
      <w:r w:rsidR="005C3E97">
        <w:rPr>
          <w:rFonts w:cs="Times New Roman"/>
          <w:bCs/>
        </w:rPr>
        <w:t xml:space="preserve"> are not required to signal to the shoot as there is adequate nitrate availability. </w:t>
      </w:r>
    </w:p>
    <w:p w14:paraId="4A10F623" w14:textId="77777777" w:rsidR="005C3E97" w:rsidRDefault="005C3E97" w:rsidP="005C3E97"/>
    <w:p w14:paraId="483F7073" w14:textId="02997293" w:rsidR="005C3E97" w:rsidRPr="007A4664" w:rsidRDefault="005C3E97" w:rsidP="005C3E97">
      <w:pPr>
        <w:keepNext/>
        <w:keepLines/>
        <w:spacing w:before="160" w:line="480" w:lineRule="auto"/>
        <w:outlineLvl w:val="1"/>
        <w:rPr>
          <w:rFonts w:cs="Times New Roman"/>
          <w:bCs/>
          <w:u w:val="single"/>
        </w:rPr>
      </w:pPr>
      <w:r w:rsidRPr="000B70BB">
        <w:rPr>
          <w:rFonts w:cs="Times New Roman"/>
          <w:bCs/>
          <w:i/>
          <w:iCs/>
          <w:u w:val="single"/>
        </w:rPr>
        <w:t>UGT85A1</w:t>
      </w:r>
      <w:r w:rsidR="00241FE2">
        <w:rPr>
          <w:rFonts w:cs="Times New Roman"/>
          <w:bCs/>
          <w:i/>
          <w:iCs/>
          <w:u w:val="single"/>
        </w:rPr>
        <w:t xml:space="preserve"> </w:t>
      </w:r>
      <w:r w:rsidR="007A4664">
        <w:rPr>
          <w:rFonts w:cs="Times New Roman"/>
          <w:bCs/>
          <w:u w:val="single"/>
        </w:rPr>
        <w:t>are upregulated and downregulated when crowded</w:t>
      </w:r>
    </w:p>
    <w:p w14:paraId="44C9D3ED" w14:textId="6770FD71" w:rsidR="005C3E97" w:rsidRDefault="005C3E97" w:rsidP="005C3E97">
      <w:pPr>
        <w:keepNext/>
        <w:spacing w:before="160" w:line="480" w:lineRule="auto"/>
        <w:outlineLvl w:val="1"/>
        <w:rPr>
          <w:rFonts w:cs="Times New Roman"/>
          <w:bCs/>
        </w:rPr>
      </w:pPr>
      <w:r>
        <w:rPr>
          <w:rFonts w:cs="Times New Roman"/>
          <w:bCs/>
        </w:rPr>
        <w:t>At</w:t>
      </w:r>
      <w:r w:rsidRPr="00D43203">
        <w:rPr>
          <w:rFonts w:cs="Times New Roman"/>
          <w:bCs/>
        </w:rPr>
        <w:t xml:space="preserve"> 4- hours</w:t>
      </w:r>
      <w:r>
        <w:rPr>
          <w:rFonts w:cs="Times New Roman"/>
          <w:bCs/>
        </w:rPr>
        <w:t xml:space="preserve"> post crowding</w:t>
      </w:r>
      <w:r w:rsidRPr="00D43203">
        <w:rPr>
          <w:rFonts w:cs="Times New Roman"/>
          <w:bCs/>
        </w:rPr>
        <w:t>, the 11</w:t>
      </w:r>
      <w:r w:rsidRPr="00D43203">
        <w:rPr>
          <w:rFonts w:cs="Times New Roman"/>
          <w:bCs/>
          <w:vertAlign w:val="superscript"/>
        </w:rPr>
        <w:t>th</w:t>
      </w:r>
      <w:r w:rsidRPr="00D43203">
        <w:rPr>
          <w:rFonts w:cs="Times New Roman"/>
          <w:bCs/>
        </w:rPr>
        <w:t xml:space="preserve"> most highly upregulated gene with a log</w:t>
      </w:r>
      <w:r w:rsidRPr="000B70BB">
        <w:rPr>
          <w:rFonts w:cs="Times New Roman"/>
          <w:bCs/>
          <w:vertAlign w:val="subscript"/>
        </w:rPr>
        <w:t>2</w:t>
      </w:r>
      <w:r w:rsidRPr="00D43203">
        <w:rPr>
          <w:rFonts w:cs="Times New Roman"/>
          <w:bCs/>
        </w:rPr>
        <w:t xml:space="preserve"> </w:t>
      </w:r>
      <w:r>
        <w:rPr>
          <w:rFonts w:cs="Times New Roman"/>
          <w:bCs/>
        </w:rPr>
        <w:t>FC</w:t>
      </w:r>
      <w:r w:rsidRPr="00D43203">
        <w:rPr>
          <w:rFonts w:cs="Times New Roman"/>
          <w:bCs/>
        </w:rPr>
        <w:t xml:space="preserve"> of 4.76 was </w:t>
      </w:r>
      <w:r w:rsidRPr="00C90E31">
        <w:rPr>
          <w:rFonts w:cs="Times New Roman"/>
          <w:bCs/>
          <w:i/>
          <w:iCs/>
        </w:rPr>
        <w:t>HORVU.MOREX.r3.1HG0008140</w:t>
      </w:r>
      <w:r w:rsidRPr="00D43203">
        <w:rPr>
          <w:rFonts w:cs="Times New Roman"/>
          <w:bCs/>
        </w:rPr>
        <w:t xml:space="preserve"> </w:t>
      </w:r>
      <w:r>
        <w:rPr>
          <w:rFonts w:cs="Times New Roman"/>
          <w:bCs/>
        </w:rPr>
        <w:t xml:space="preserve">(Fig 4.5B) </w:t>
      </w:r>
      <w:r w:rsidRPr="00D43203">
        <w:rPr>
          <w:rFonts w:cs="Times New Roman"/>
          <w:bCs/>
        </w:rPr>
        <w:t xml:space="preserve">which when </w:t>
      </w:r>
      <w:r>
        <w:rPr>
          <w:rFonts w:cs="Times New Roman"/>
          <w:bCs/>
        </w:rPr>
        <w:t>BLAST</w:t>
      </w:r>
      <w:r w:rsidRPr="00D43203">
        <w:rPr>
          <w:rFonts w:cs="Times New Roman"/>
          <w:bCs/>
        </w:rPr>
        <w:t xml:space="preserve">ed against the Arabidopsis genome resulted in several UDP-Glycosyltransferase superfamily protein hits. One of which was </w:t>
      </w:r>
      <w:r w:rsidRPr="00C90E31">
        <w:rPr>
          <w:rFonts w:cs="Times New Roman"/>
          <w:bCs/>
          <w:i/>
          <w:iCs/>
        </w:rPr>
        <w:t>UGT85A1</w:t>
      </w:r>
      <w:r w:rsidRPr="00D43203">
        <w:rPr>
          <w:rFonts w:cs="Times New Roman"/>
          <w:bCs/>
        </w:rPr>
        <w:t xml:space="preserve"> (</w:t>
      </w:r>
      <w:r w:rsidRPr="00C13EAC">
        <w:rPr>
          <w:rFonts w:cs="Times New Roman"/>
          <w:bCs/>
          <w:i/>
          <w:iCs/>
        </w:rPr>
        <w:t>AT1G22400</w:t>
      </w:r>
      <w:r w:rsidRPr="00D43203">
        <w:rPr>
          <w:rFonts w:cs="Times New Roman"/>
          <w:bCs/>
        </w:rPr>
        <w:t xml:space="preserve">), which when overexpressed has been found to influence the homeostasis of the root-to-shoot cytokinin </w:t>
      </w:r>
      <w:r w:rsidRPr="00D43203">
        <w:rPr>
          <w:rFonts w:cs="Times New Roman"/>
          <w:bCs/>
          <w:i/>
          <w:iCs/>
        </w:rPr>
        <w:t>trans</w:t>
      </w:r>
      <w:r w:rsidRPr="00D43203">
        <w:rPr>
          <w:rFonts w:cs="Times New Roman"/>
          <w:bCs/>
        </w:rPr>
        <w:t>-zeatin (</w:t>
      </w:r>
      <w:r w:rsidRPr="00D43203">
        <w:rPr>
          <w:rFonts w:cs="Times New Roman"/>
          <w:bCs/>
          <w:i/>
          <w:iCs/>
        </w:rPr>
        <w:t>t</w:t>
      </w:r>
      <w:r>
        <w:rPr>
          <w:rFonts w:cs="Times New Roman"/>
          <w:bCs/>
        </w:rPr>
        <w:t>Z</w:t>
      </w:r>
      <w:r w:rsidR="00A21381" w:rsidRPr="00D43203">
        <w:rPr>
          <w:rFonts w:cs="Times New Roman"/>
          <w:bCs/>
        </w:rPr>
        <w:t>)</w:t>
      </w:r>
      <w:r w:rsidR="00A21381">
        <w:rPr>
          <w:rFonts w:cs="Times New Roman"/>
          <w:bCs/>
        </w:rPr>
        <w:t xml:space="preserve">. The </w:t>
      </w:r>
      <w:r w:rsidR="00887B29">
        <w:rPr>
          <w:rFonts w:cs="Times New Roman"/>
          <w:bCs/>
        </w:rPr>
        <w:t>authors suggested that this</w:t>
      </w:r>
      <w:r>
        <w:rPr>
          <w:rFonts w:cs="Times New Roman"/>
          <w:bCs/>
        </w:rPr>
        <w:t xml:space="preserve"> </w:t>
      </w:r>
      <w:r w:rsidRPr="00D43203">
        <w:rPr>
          <w:rFonts w:cs="Times New Roman"/>
          <w:bCs/>
        </w:rPr>
        <w:t xml:space="preserve">occurs </w:t>
      </w:r>
      <w:r w:rsidR="00887B29">
        <w:rPr>
          <w:rFonts w:cs="Times New Roman"/>
          <w:bCs/>
        </w:rPr>
        <w:t>as a result of the</w:t>
      </w:r>
      <w:r w:rsidRPr="00D43203">
        <w:rPr>
          <w:rFonts w:cs="Times New Roman"/>
          <w:bCs/>
        </w:rPr>
        <w:t xml:space="preserve"> </w:t>
      </w:r>
      <w:r w:rsidRPr="00D43203">
        <w:rPr>
          <w:rFonts w:cs="Times New Roman"/>
          <w:bCs/>
          <w:i/>
          <w:iCs/>
        </w:rPr>
        <w:t>O</w:t>
      </w:r>
      <w:r w:rsidRPr="00D43203">
        <w:rPr>
          <w:rFonts w:cs="Times New Roman"/>
          <w:bCs/>
        </w:rPr>
        <w:t xml:space="preserve">-glycosylation of </w:t>
      </w:r>
      <w:r w:rsidRPr="00D43203">
        <w:rPr>
          <w:rFonts w:cs="Times New Roman"/>
          <w:bCs/>
          <w:i/>
          <w:iCs/>
        </w:rPr>
        <w:t>t</w:t>
      </w:r>
      <w:r>
        <w:rPr>
          <w:rFonts w:cs="Times New Roman"/>
          <w:bCs/>
        </w:rPr>
        <w:t>Z</w:t>
      </w:r>
      <w:r w:rsidR="00887B29">
        <w:rPr>
          <w:rFonts w:cs="Times New Roman"/>
          <w:bCs/>
        </w:rPr>
        <w:t xml:space="preserve"> </w:t>
      </w:r>
      <w:r w:rsidR="00887B29">
        <w:rPr>
          <w:rFonts w:cs="Times New Roman"/>
          <w:bCs/>
        </w:rPr>
        <w:fldChar w:fldCharType="begin" w:fldLock="1"/>
      </w:r>
      <w:r w:rsidR="0096482D">
        <w:rPr>
          <w:rFonts w:cs="Times New Roman"/>
          <w:bCs/>
        </w:rPr>
        <w:instrText>ADDIN CSL_CITATION {"citationItems":[{"id":"ITEM-1","itemData":{"DOI":"10.1007/s00425-012-1818-4","ISSN":"0032-0935","author":[{"dropping-particle":"","family":"Jin","given":"Shang-Hui","non-dropping-particle":"","parse-names":false,"suffix":""},{"dropping-particle":"","family":"Ma","given":"Xin-Mei","non-dropping-particle":"","parse-names":false,"suffix":""},{"dropping-particle":"","family":"Kojima","given":"Mikiko","non-dropping-particle":"","parse-names":false,"suffix":""},{"dropping-particle":"","family":"Sakakibara","given":"Hitoshi","non-dropping-particle":"","parse-names":false,"suffix":""},{"dropping-particle":"","family":"Wang","given":"Yan-Wen","non-dropping-particle":"","parse-names":false,"suffix":""},{"dropping-particle":"","family":"Hou","given":"Bing-Kai","non-dropping-particle":"","parse-names":false,"suffix":""}],"container-title":"Planta","id":"ITEM-1","issue":"4","issued":{"date-parts":[["2013","4","28"]]},"page":"991-999","title":"Overexpression of glucosyltransferase UGT85A1 influences trans-zeatin homeostasis and trans-zeatin responses likely through O-glucosylation","type":"article-journal","volume":"237"},"uris":["http://www.mendeley.com/documents/?uuid=7429d170-767e-4404-ac03-16c5fd5ff0a8"]}],"mendeley":{"formattedCitation":"(Jin et al., 2013)","plainTextFormattedCitation":"(Jin et al., 2013)","previouslyFormattedCitation":"(Jin et al., 2013)"},"properties":{"noteIndex":0},"schema":"https://github.com/citation-style-language/schema/raw/master/csl-citation.json"}</w:instrText>
      </w:r>
      <w:r w:rsidR="00887B29">
        <w:rPr>
          <w:rFonts w:cs="Times New Roman"/>
          <w:bCs/>
        </w:rPr>
        <w:fldChar w:fldCharType="separate"/>
      </w:r>
      <w:r w:rsidR="00887B29" w:rsidRPr="00887B29">
        <w:rPr>
          <w:rFonts w:cs="Times New Roman"/>
          <w:bCs/>
          <w:noProof/>
        </w:rPr>
        <w:t xml:space="preserve">(Jin et al., </w:t>
      </w:r>
      <w:r w:rsidR="00887B29" w:rsidRPr="00887B29">
        <w:rPr>
          <w:rFonts w:cs="Times New Roman"/>
          <w:bCs/>
          <w:noProof/>
        </w:rPr>
        <w:lastRenderedPageBreak/>
        <w:t>2013)</w:t>
      </w:r>
      <w:r w:rsidR="00887B29">
        <w:rPr>
          <w:rFonts w:cs="Times New Roman"/>
          <w:bCs/>
        </w:rPr>
        <w:fldChar w:fldCharType="end"/>
      </w:r>
      <w:r w:rsidR="00CF6E7A">
        <w:rPr>
          <w:rFonts w:cs="Times New Roman"/>
          <w:bCs/>
        </w:rPr>
        <w:t>, which</w:t>
      </w:r>
      <w:r w:rsidRPr="00D43203">
        <w:rPr>
          <w:rFonts w:cs="Times New Roman"/>
          <w:bCs/>
        </w:rPr>
        <w:t xml:space="preserve"> is the process of attaching a glucose molecule to</w:t>
      </w:r>
      <w:r w:rsidR="00CF6E7A">
        <w:rPr>
          <w:rFonts w:cs="Times New Roman"/>
          <w:bCs/>
        </w:rPr>
        <w:t xml:space="preserve"> an</w:t>
      </w:r>
      <w:r w:rsidRPr="00D43203">
        <w:rPr>
          <w:rFonts w:cs="Times New Roman"/>
          <w:bCs/>
        </w:rPr>
        <w:t xml:space="preserve"> isoprenoid N6-side chain </w:t>
      </w:r>
      <w:r w:rsidR="00CF6E7A" w:rsidRPr="00D43203">
        <w:rPr>
          <w:rFonts w:cs="Times New Roman"/>
          <w:bCs/>
        </w:rPr>
        <w:t>hydroxyl</w:t>
      </w:r>
      <w:r w:rsidR="00CF6E7A">
        <w:rPr>
          <w:rFonts w:cs="Times New Roman"/>
          <w:bCs/>
        </w:rPr>
        <w:t xml:space="preserve"> group</w:t>
      </w:r>
      <w:r w:rsidR="00CF6E7A" w:rsidRPr="00D43203">
        <w:rPr>
          <w:rFonts w:cs="Times New Roman"/>
          <w:bCs/>
        </w:rPr>
        <w:t xml:space="preserve"> </w:t>
      </w:r>
      <w:r w:rsidRPr="00D43203">
        <w:rPr>
          <w:rFonts w:cs="Times New Roman"/>
          <w:bCs/>
        </w:rPr>
        <w:fldChar w:fldCharType="begin" w:fldLock="1"/>
      </w:r>
      <w:r w:rsidR="00DB6755">
        <w:rPr>
          <w:rFonts w:cs="Times New Roman"/>
          <w:bCs/>
        </w:rPr>
        <w:instrText>ADDIN CSL_CITATION {"citationItems":[{"id":"ITEM-1","itemData":{"author":[{"dropping-particle":"","family":"Jameson","given":"Paula E","non-dropping-particle":"","parse-names":false,"suffix":""}],"container-title":"Cytokinins: chemistry, activity and function","id":"ITEM-1","issued":{"date-parts":[["1994"]]},"page":"113–128","publisher":"CRC Press","title":"Cytokinin metabolism and compartmentation","type":"chapter"},"uris":["http://www.mendeley.com/documents/?uuid=042248f3-87af-452a-9f02-4739cb90bd64"]}],"mendeley":{"formattedCitation":"(Jameson, 1994)","plainTextFormattedCitation":"(Jameson, 1994)","previouslyFormattedCitation":"(Jameson, 1994)"},"properties":{"noteIndex":0},"schema":"https://github.com/citation-style-language/schema/raw/master/csl-citation.json"}</w:instrText>
      </w:r>
      <w:r w:rsidRPr="00D43203">
        <w:rPr>
          <w:rFonts w:cs="Times New Roman"/>
          <w:bCs/>
        </w:rPr>
        <w:fldChar w:fldCharType="separate"/>
      </w:r>
      <w:r w:rsidRPr="00D43203">
        <w:rPr>
          <w:rFonts w:cs="Times New Roman"/>
          <w:bCs/>
          <w:noProof/>
        </w:rPr>
        <w:t>(Jameson, 1994)</w:t>
      </w:r>
      <w:r w:rsidRPr="00D43203">
        <w:rPr>
          <w:rFonts w:cs="Times New Roman"/>
          <w:bCs/>
        </w:rPr>
        <w:fldChar w:fldCharType="end"/>
      </w:r>
      <w:r w:rsidRPr="00D43203">
        <w:rPr>
          <w:rFonts w:cs="Times New Roman"/>
          <w:bCs/>
        </w:rPr>
        <w:t xml:space="preserve">. When </w:t>
      </w:r>
      <w:r w:rsidRPr="00C90E31">
        <w:rPr>
          <w:rFonts w:cs="Times New Roman"/>
          <w:bCs/>
          <w:i/>
          <w:iCs/>
        </w:rPr>
        <w:t>UGT85A1</w:t>
      </w:r>
      <w:r w:rsidRPr="00D43203">
        <w:rPr>
          <w:rFonts w:cs="Times New Roman"/>
          <w:bCs/>
        </w:rPr>
        <w:t xml:space="preserve"> is highly expressed, it has been suggested that this results in the deactivation and storage of </w:t>
      </w:r>
      <w:r w:rsidRPr="00D43203">
        <w:rPr>
          <w:rFonts w:cs="Times New Roman"/>
          <w:bCs/>
          <w:i/>
          <w:iCs/>
        </w:rPr>
        <w:t>t</w:t>
      </w:r>
      <w:r>
        <w:rPr>
          <w:rFonts w:cs="Times New Roman"/>
          <w:bCs/>
        </w:rPr>
        <w:t>Z</w:t>
      </w:r>
      <w:r w:rsidRPr="00D43203">
        <w:rPr>
          <w:rFonts w:cs="Times New Roman"/>
          <w:bCs/>
        </w:rPr>
        <w:t xml:space="preserve"> type cytokinins </w:t>
      </w:r>
      <w:r w:rsidRPr="00D43203">
        <w:rPr>
          <w:rFonts w:cs="Times New Roman"/>
          <w:bCs/>
        </w:rPr>
        <w:fldChar w:fldCharType="begin" w:fldLock="1"/>
      </w:r>
      <w:r w:rsidRPr="00D43203">
        <w:rPr>
          <w:rFonts w:cs="Times New Roman"/>
          <w:bCs/>
        </w:rPr>
        <w:instrText>ADDIN CSL_CITATION {"citationItems":[{"id":"ITEM-1","itemData":{"DOI":"10.1007/s00425-012-1818-4","ISSN":"0032-0935","author":[{"dropping-particle":"","family":"Jin","given":"Shang-Hui","non-dropping-particle":"","parse-names":false,"suffix":""},{"dropping-particle":"","family":"Ma","given":"Xin-Mei","non-dropping-particle":"","parse-names":false,"suffix":""},{"dropping-particle":"","family":"Kojima","given":"Mikiko","non-dropping-particle":"","parse-names":false,"suffix":""},{"dropping-particle":"","family":"Sakakibara","given":"Hitoshi","non-dropping-particle":"","parse-names":false,"suffix":""},{"dropping-particle":"","family":"Wang","given":"Yan-Wen","non-dropping-particle":"","parse-names":false,"suffix":""},{"dropping-particle":"","family":"Hou","given":"Bing-Kai","non-dropping-particle":"","parse-names":false,"suffix":""}],"container-title":"Planta","id":"ITEM-1","issue":"4","issued":{"date-parts":[["2013","4","28"]]},"page":"991-999","title":"Overexpression of glucosyltransferase UGT85A1 influences trans-zeatin homeostasis and trans-zeatin responses likely through O-glucosylation","type":"article-journal","volume":"237"},"uris":["http://www.mendeley.com/documents/?uuid=7429d170-767e-4404-ac03-16c5fd5ff0a8"]}],"mendeley":{"formattedCitation":"(Jin et al., 2013)","plainTextFormattedCitation":"(Jin et al., 2013)","previouslyFormattedCitation":"(Jin et al., 2013)"},"properties":{"noteIndex":0},"schema":"https://github.com/citation-style-language/schema/raw/master/csl-citation.json"}</w:instrText>
      </w:r>
      <w:r w:rsidRPr="00D43203">
        <w:rPr>
          <w:rFonts w:cs="Times New Roman"/>
          <w:bCs/>
        </w:rPr>
        <w:fldChar w:fldCharType="separate"/>
      </w:r>
      <w:r w:rsidRPr="00D43203">
        <w:rPr>
          <w:rFonts w:cs="Times New Roman"/>
          <w:bCs/>
          <w:noProof/>
        </w:rPr>
        <w:t>(Jin et al., 2013)</w:t>
      </w:r>
      <w:r w:rsidRPr="00D43203">
        <w:rPr>
          <w:rFonts w:cs="Times New Roman"/>
          <w:bCs/>
        </w:rPr>
        <w:fldChar w:fldCharType="end"/>
      </w:r>
      <w:r w:rsidRPr="00D43203">
        <w:rPr>
          <w:rFonts w:cs="Times New Roman"/>
          <w:bCs/>
        </w:rPr>
        <w:t>. Therefore, in the context of crowded plants this could suggest that on the recognition of neighbour</w:t>
      </w:r>
      <w:r>
        <w:rPr>
          <w:rFonts w:cs="Times New Roman"/>
          <w:bCs/>
        </w:rPr>
        <w:t>s,</w:t>
      </w:r>
      <w:r w:rsidRPr="00D43203">
        <w:rPr>
          <w:rFonts w:cs="Times New Roman"/>
          <w:bCs/>
        </w:rPr>
        <w:t xml:space="preserve"> plants rapidly store </w:t>
      </w:r>
      <w:r w:rsidRPr="00D43203">
        <w:rPr>
          <w:rFonts w:cs="Times New Roman"/>
          <w:bCs/>
          <w:i/>
          <w:iCs/>
        </w:rPr>
        <w:t>t</w:t>
      </w:r>
      <w:r>
        <w:rPr>
          <w:rFonts w:cs="Times New Roman"/>
          <w:bCs/>
        </w:rPr>
        <w:t>Z</w:t>
      </w:r>
      <w:r w:rsidRPr="00D43203">
        <w:rPr>
          <w:rFonts w:cs="Times New Roman"/>
          <w:bCs/>
        </w:rPr>
        <w:t xml:space="preserve"> type cytokinins to prevent the </w:t>
      </w:r>
      <w:r>
        <w:rPr>
          <w:rFonts w:cs="Times New Roman"/>
          <w:bCs/>
        </w:rPr>
        <w:t>shoots</w:t>
      </w:r>
      <w:r w:rsidRPr="00D43203">
        <w:rPr>
          <w:rFonts w:cs="Times New Roman"/>
          <w:bCs/>
        </w:rPr>
        <w:t xml:space="preserve"> from becoming too large to sustain. It is </w:t>
      </w:r>
      <w:r>
        <w:rPr>
          <w:rFonts w:cs="Times New Roman"/>
          <w:bCs/>
        </w:rPr>
        <w:t xml:space="preserve">also </w:t>
      </w:r>
      <w:r w:rsidRPr="00D43203">
        <w:rPr>
          <w:rFonts w:cs="Times New Roman"/>
          <w:bCs/>
        </w:rPr>
        <w:t xml:space="preserve">possible to convert the stored cytokinin </w:t>
      </w:r>
      <w:r w:rsidRPr="00C13EAC">
        <w:rPr>
          <w:rFonts w:cs="Times New Roman"/>
          <w:bCs/>
          <w:i/>
          <w:iCs/>
        </w:rPr>
        <w:t>O</w:t>
      </w:r>
      <w:r w:rsidRPr="00D43203">
        <w:rPr>
          <w:rFonts w:cs="Times New Roman"/>
          <w:bCs/>
        </w:rPr>
        <w:t xml:space="preserve">-glycosides into active, useable forms </w:t>
      </w:r>
      <w:r w:rsidRPr="00D43203">
        <w:rPr>
          <w:rFonts w:cs="Times New Roman"/>
          <w:bCs/>
        </w:rPr>
        <w:fldChar w:fldCharType="begin" w:fldLock="1"/>
      </w:r>
      <w:r w:rsidR="00EB5A25">
        <w:rPr>
          <w:rFonts w:cs="Times New Roman"/>
          <w:bCs/>
        </w:rPr>
        <w:instrText>ADDIN CSL_CITATION {"citationItems":[{"id":"ITEM-1","itemData":{"DOI":"10.1126/science.8235622","ISSN":"0036-8075","author":[{"dropping-particle":"","family":"Brzobohatý","given":"Břetislav","non-dropping-particle":"","parse-names":false,"suffix":""},{"dropping-particle":"","family":"Moore","given":"Ian","non-dropping-particle":"","parse-names":false,"suffix":""},{"dropping-particle":"","family":"Kristoffersen","given":"Peter","non-dropping-particle":"","parse-names":false,"suffix":""},{"dropping-particle":"","family":"Bako","given":"Laszlo","non-dropping-particle":"","parse-names":false,"suffix":""},{"dropping-particle":"","family":"Campos","given":"Narciso","non-dropping-particle":"","parse-names":false,"suffix":""},{"dropping-particle":"","family":"Schell","given":"Jeff","non-dropping-particle":"","parse-names":false,"suffix":""},{"dropping-particle":"","family":"Palme","given":"Klaus","non-dropping-particle":"","parse-names":false,"suffix":""}],"container-title":"Science","id":"ITEM-1","issue":"5136","issued":{"date-parts":[["1993","11","12"]]},"page":"1051-1054","title":"Release of active cytokinin by a β-Glucosidase localized to the maize root meristem","type":"article-journal","volume":"262"},"uris":["http://www.mendeley.com/documents/?uuid=072bd538-fbd9-4114-8e60-8acdf0b09792"]},{"id":"ITEM-2","itemData":{"DOI":"10.1146/annurev.arplant.52.1.89","ISSN":"1040-2519","abstract":"▪ Abstract Cytokinins are structurally diverse and biologically versatile. The chemistry and physiology of cytokinin have been studied extensively, but the regulation of cytokinin biosynthesis, metabolism, and signal transduction is still largely undefined. Recent advances in cloning metabolic genes and identifying putative receptors portend more rapid progress based on molecular techniques. This review centers on cytokinin metabolism with connecting discussions on biosynthesis and signal transduction. Important findings are summarized with emphasis on metabolic enzymes and genes. Based on the information generated to date, implications and future research directions are presented.","author":[{"dropping-particle":"","family":"Mok","given":"David WS","non-dropping-particle":"","parse-names":false,"suffix":""},{"dropping-particle":"","family":"Mok","given":"Machteld C","non-dropping-particle":"","parse-names":false,"suffix":""}],"container-title":"Annual Review of Plant Physiology and Plant Molecular Biology","id":"ITEM-2","issue":"1","issued":{"date-parts":[["2001","6"]]},"page":"89-118","title":"Cytokinin metabolism and action","type":"article-journal","volume":"52"},"uris":["http://www.mendeley.com/documents/?uuid=75853093-8374-483d-8d4b-6b7b3e552e36"]}],"mendeley":{"formattedCitation":"(Brzobohatý et al., 1993; Mok and Mok, 2001)","plainTextFormattedCitation":"(Brzobohatý et al., 1993; Mok and Mok, 2001)","previouslyFormattedCitation":"(Brzobohatý et al., 1993; Mok and Mok, 2001)"},"properties":{"noteIndex":0},"schema":"https://github.com/citation-style-language/schema/raw/master/csl-citation.json"}</w:instrText>
      </w:r>
      <w:r w:rsidRPr="00D43203">
        <w:rPr>
          <w:rFonts w:cs="Times New Roman"/>
          <w:bCs/>
        </w:rPr>
        <w:fldChar w:fldCharType="separate"/>
      </w:r>
      <w:r w:rsidRPr="00D43203">
        <w:rPr>
          <w:rFonts w:cs="Times New Roman"/>
          <w:bCs/>
          <w:noProof/>
        </w:rPr>
        <w:t>(Brzobohatý et al., 1993; Mok and Mok, 2001)</w:t>
      </w:r>
      <w:r w:rsidRPr="00D43203">
        <w:rPr>
          <w:rFonts w:cs="Times New Roman"/>
          <w:bCs/>
        </w:rPr>
        <w:fldChar w:fldCharType="end"/>
      </w:r>
      <w:r w:rsidRPr="00D43203">
        <w:rPr>
          <w:rFonts w:cs="Times New Roman"/>
          <w:bCs/>
        </w:rPr>
        <w:t xml:space="preserve">. </w:t>
      </w:r>
    </w:p>
    <w:p w14:paraId="5A297C2B" w14:textId="77777777" w:rsidR="005C3E97" w:rsidRDefault="005C3E97" w:rsidP="005C3E97">
      <w:pPr>
        <w:keepNext/>
        <w:spacing w:before="160" w:line="480" w:lineRule="auto"/>
        <w:outlineLvl w:val="1"/>
        <w:rPr>
          <w:rFonts w:cs="Times New Roman"/>
          <w:bCs/>
        </w:rPr>
      </w:pPr>
      <w:r>
        <w:rPr>
          <w:rFonts w:cs="Times New Roman"/>
          <w:bCs/>
        </w:rPr>
        <w:t xml:space="preserve">Other barley genes were also identified to be orthologous to </w:t>
      </w:r>
      <w:r w:rsidRPr="00C90E31">
        <w:rPr>
          <w:rFonts w:cs="Times New Roman"/>
          <w:bCs/>
          <w:i/>
          <w:iCs/>
        </w:rPr>
        <w:t>UGT85A1</w:t>
      </w:r>
      <w:r>
        <w:rPr>
          <w:rFonts w:cs="Times New Roman"/>
          <w:bCs/>
        </w:rPr>
        <w:t>. These however are seen to be downregulated at 4 hours (</w:t>
      </w:r>
      <w:r w:rsidRPr="00C90E31">
        <w:rPr>
          <w:rFonts w:cs="Times New Roman"/>
          <w:bCs/>
          <w:i/>
          <w:iCs/>
        </w:rPr>
        <w:t>HORVU.MOREX.r3.6HG0617190</w:t>
      </w:r>
      <w:r>
        <w:rPr>
          <w:rFonts w:cs="Times New Roman"/>
          <w:bCs/>
        </w:rPr>
        <w:t xml:space="preserve">, </w:t>
      </w:r>
      <w:r w:rsidRPr="00C90E31">
        <w:rPr>
          <w:rFonts w:cs="Times New Roman"/>
          <w:bCs/>
          <w:i/>
          <w:iCs/>
        </w:rPr>
        <w:t>HORVU.MOREX.r3.4HG0408060</w:t>
      </w:r>
      <w:r>
        <w:rPr>
          <w:rFonts w:cs="Times New Roman"/>
          <w:bCs/>
        </w:rPr>
        <w:t>:</w:t>
      </w:r>
      <w:r w:rsidRPr="003849D2">
        <w:rPr>
          <w:rFonts w:cs="Times New Roman"/>
          <w:bCs/>
        </w:rPr>
        <w:t xml:space="preserve"> </w:t>
      </w:r>
      <w:r>
        <w:rPr>
          <w:rFonts w:cs="Times New Roman"/>
          <w:bCs/>
        </w:rPr>
        <w:t>log</w:t>
      </w:r>
      <w:r w:rsidRPr="003849D2">
        <w:rPr>
          <w:rFonts w:cs="Times New Roman"/>
          <w:bCs/>
          <w:vertAlign w:val="subscript"/>
        </w:rPr>
        <w:t>2</w:t>
      </w:r>
      <w:r>
        <w:rPr>
          <w:rFonts w:cs="Times New Roman"/>
          <w:bCs/>
        </w:rPr>
        <w:t xml:space="preserve"> FC -3.66 and -4.93 respectively) and 8 hours (</w:t>
      </w:r>
      <w:r w:rsidRPr="00C90E31">
        <w:rPr>
          <w:rFonts w:cs="Times New Roman"/>
          <w:bCs/>
          <w:i/>
          <w:iCs/>
        </w:rPr>
        <w:t>HORVU.MOREX.r3.4HG0408060</w:t>
      </w:r>
      <w:r>
        <w:rPr>
          <w:rFonts w:cs="Times New Roman"/>
          <w:bCs/>
        </w:rPr>
        <w:t xml:space="preserve">, </w:t>
      </w:r>
      <w:r w:rsidRPr="00C90E31">
        <w:rPr>
          <w:rFonts w:cs="Times New Roman"/>
          <w:bCs/>
          <w:i/>
          <w:iCs/>
        </w:rPr>
        <w:t>HORVU.MOREX.r3.6HG0617100</w:t>
      </w:r>
      <w:r>
        <w:rPr>
          <w:rFonts w:cs="Times New Roman"/>
          <w:bCs/>
        </w:rPr>
        <w:t xml:space="preserve">, </w:t>
      </w:r>
      <w:r w:rsidRPr="00C90E31">
        <w:rPr>
          <w:rFonts w:cs="Times New Roman"/>
          <w:bCs/>
          <w:i/>
          <w:iCs/>
        </w:rPr>
        <w:t>HORVU.MOREX.r3.6HG0617130</w:t>
      </w:r>
      <w:r>
        <w:rPr>
          <w:rFonts w:cs="Times New Roman"/>
          <w:bCs/>
        </w:rPr>
        <w:t xml:space="preserve"> and </w:t>
      </w:r>
      <w:r w:rsidRPr="00C90E31">
        <w:rPr>
          <w:rFonts w:cs="Times New Roman"/>
          <w:bCs/>
          <w:i/>
          <w:iCs/>
        </w:rPr>
        <w:t>HORVU.MOREX.r3.6HG0617190</w:t>
      </w:r>
      <w:r>
        <w:rPr>
          <w:rFonts w:cs="Times New Roman"/>
          <w:bCs/>
          <w:i/>
          <w:iCs/>
        </w:rPr>
        <w:t>:</w:t>
      </w:r>
      <w:r>
        <w:rPr>
          <w:rFonts w:cs="Times New Roman"/>
          <w:bCs/>
        </w:rPr>
        <w:t xml:space="preserve"> log</w:t>
      </w:r>
      <w:r w:rsidRPr="00C87A1F">
        <w:rPr>
          <w:rFonts w:cs="Times New Roman"/>
          <w:bCs/>
          <w:vertAlign w:val="subscript"/>
        </w:rPr>
        <w:t>2</w:t>
      </w:r>
      <w:r>
        <w:rPr>
          <w:rFonts w:cs="Times New Roman"/>
          <w:bCs/>
        </w:rPr>
        <w:t xml:space="preserve"> FC-5.48,-3.86,</w:t>
      </w:r>
      <w:r w:rsidRPr="00C87A1F">
        <w:rPr>
          <w:rFonts w:cs="Times New Roman"/>
          <w:bCs/>
        </w:rPr>
        <w:t xml:space="preserve"> </w:t>
      </w:r>
      <w:r>
        <w:rPr>
          <w:rFonts w:cs="Times New Roman"/>
          <w:bCs/>
        </w:rPr>
        <w:t xml:space="preserve">-3.70 and -2.46 respectively) (Fig 4.4B). This would suggest that </w:t>
      </w:r>
      <w:r w:rsidRPr="00C90E31">
        <w:rPr>
          <w:rFonts w:cs="Times New Roman"/>
          <w:bCs/>
          <w:i/>
          <w:iCs/>
        </w:rPr>
        <w:t>t</w:t>
      </w:r>
      <w:r>
        <w:rPr>
          <w:rFonts w:cs="Times New Roman"/>
          <w:bCs/>
        </w:rPr>
        <w:t xml:space="preserve">Z is not being converted into its storage form and therefore is potentially being transported to the shoot system. </w:t>
      </w:r>
    </w:p>
    <w:p w14:paraId="048D67E0" w14:textId="77777777" w:rsidR="005C3E97" w:rsidRDefault="005C3E97" w:rsidP="005C3E97">
      <w:pPr>
        <w:spacing w:before="160" w:line="480" w:lineRule="auto"/>
        <w:outlineLvl w:val="1"/>
        <w:rPr>
          <w:rFonts w:cs="Times New Roman"/>
          <w:bCs/>
        </w:rPr>
      </w:pPr>
      <w:r>
        <w:rPr>
          <w:rFonts w:cs="Times New Roman"/>
          <w:bCs/>
        </w:rPr>
        <w:t xml:space="preserve">This apparent up and down regulation of genes of the same function is confusing and calls into question whether this is biologically relevant. More investigation would be required to see if all these paralogues encode </w:t>
      </w:r>
      <w:r w:rsidRPr="00C90E31">
        <w:rPr>
          <w:rFonts w:cs="Times New Roman"/>
          <w:bCs/>
          <w:i/>
          <w:iCs/>
        </w:rPr>
        <w:t>UGT85A1</w:t>
      </w:r>
      <w:r>
        <w:rPr>
          <w:rFonts w:cs="Times New Roman"/>
          <w:bCs/>
          <w:i/>
          <w:iCs/>
        </w:rPr>
        <w:t xml:space="preserve"> </w:t>
      </w:r>
      <w:r w:rsidRPr="005669A3">
        <w:rPr>
          <w:rFonts w:cs="Times New Roman"/>
          <w:bCs/>
        </w:rPr>
        <w:t>proteins</w:t>
      </w:r>
      <w:r>
        <w:rPr>
          <w:rFonts w:cs="Times New Roman"/>
          <w:bCs/>
        </w:rPr>
        <w:t xml:space="preserve">, but regardless this provides a new avenue to investigate. </w:t>
      </w:r>
    </w:p>
    <w:p w14:paraId="1FAE24F3" w14:textId="528F693F" w:rsidR="005C3E97" w:rsidRPr="005C3E97" w:rsidRDefault="005C3E97" w:rsidP="005C3E97">
      <w:r>
        <w:rPr>
          <w:rFonts w:cs="Times New Roman"/>
          <w:bCs/>
          <w:noProof/>
        </w:rPr>
        <w:lastRenderedPageBreak/>
        <w:drawing>
          <wp:anchor distT="0" distB="0" distL="114300" distR="114300" simplePos="0" relativeHeight="251765248" behindDoc="0" locked="0" layoutInCell="1" allowOverlap="1" wp14:anchorId="62C57844" wp14:editId="1B26E303">
            <wp:simplePos x="0" y="0"/>
            <wp:positionH relativeFrom="margin">
              <wp:align>left</wp:align>
            </wp:positionH>
            <wp:positionV relativeFrom="paragraph">
              <wp:posOffset>61680</wp:posOffset>
            </wp:positionV>
            <wp:extent cx="4149090" cy="5109210"/>
            <wp:effectExtent l="0" t="0" r="3810" b="0"/>
            <wp:wrapSquare wrapText="bothSides"/>
            <wp:docPr id="5446437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643724" name="Picture 54464372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149090" cy="5109210"/>
                    </a:xfrm>
                    <a:prstGeom prst="rect">
                      <a:avLst/>
                    </a:prstGeom>
                  </pic:spPr>
                </pic:pic>
              </a:graphicData>
            </a:graphic>
            <wp14:sizeRelH relativeFrom="margin">
              <wp14:pctWidth>0</wp14:pctWidth>
            </wp14:sizeRelH>
            <wp14:sizeRelV relativeFrom="margin">
              <wp14:pctHeight>0</wp14:pctHeight>
            </wp14:sizeRelV>
          </wp:anchor>
        </w:drawing>
      </w:r>
    </w:p>
    <w:p w14:paraId="76F67AFF" w14:textId="77777777" w:rsidR="005C3E97" w:rsidRDefault="005C3E97" w:rsidP="005C3E97">
      <w:pPr>
        <w:pStyle w:val="Description"/>
      </w:pPr>
    </w:p>
    <w:p w14:paraId="3CBD8E73" w14:textId="77777777" w:rsidR="00F63A03" w:rsidRPr="00F63A03" w:rsidRDefault="00F63A03" w:rsidP="00F63A03"/>
    <w:p w14:paraId="7DCCC13E" w14:textId="77777777" w:rsidR="00F63A03" w:rsidRPr="00F63A03" w:rsidRDefault="00F63A03" w:rsidP="00F63A03"/>
    <w:p w14:paraId="31AECE9C" w14:textId="77777777" w:rsidR="00F63A03" w:rsidRPr="00F63A03" w:rsidRDefault="00F63A03" w:rsidP="00F63A03"/>
    <w:p w14:paraId="18FC319F" w14:textId="77777777" w:rsidR="00F63A03" w:rsidRPr="00F63A03" w:rsidRDefault="00F63A03" w:rsidP="00F63A03"/>
    <w:p w14:paraId="40131FA7" w14:textId="77777777" w:rsidR="00F63A03" w:rsidRPr="00F63A03" w:rsidRDefault="00F63A03" w:rsidP="00F63A03"/>
    <w:p w14:paraId="24036FAB" w14:textId="77777777" w:rsidR="00F63A03" w:rsidRPr="00F63A03" w:rsidRDefault="00F63A03" w:rsidP="00F63A03"/>
    <w:p w14:paraId="4D6AFAB0" w14:textId="77777777" w:rsidR="00F63A03" w:rsidRPr="00F63A03" w:rsidRDefault="00F63A03" w:rsidP="00F63A03"/>
    <w:p w14:paraId="145C83E0" w14:textId="77777777" w:rsidR="00F63A03" w:rsidRPr="00F63A03" w:rsidRDefault="00F63A03" w:rsidP="00F63A03"/>
    <w:p w14:paraId="5DEFBD11" w14:textId="77777777" w:rsidR="00F63A03" w:rsidRPr="00F63A03" w:rsidRDefault="00F63A03" w:rsidP="00F63A03"/>
    <w:p w14:paraId="7D232BE3" w14:textId="77777777" w:rsidR="00F63A03" w:rsidRPr="00F63A03" w:rsidRDefault="00F63A03" w:rsidP="00F63A03"/>
    <w:p w14:paraId="4145D36B" w14:textId="77777777" w:rsidR="00F63A03" w:rsidRPr="00F63A03" w:rsidRDefault="00F63A03" w:rsidP="00F63A03"/>
    <w:p w14:paraId="7819794B" w14:textId="77777777" w:rsidR="00F63A03" w:rsidRPr="00F63A03" w:rsidRDefault="00F63A03" w:rsidP="00F63A03"/>
    <w:p w14:paraId="6DD091A1" w14:textId="77777777" w:rsidR="00F63A03" w:rsidRPr="00F63A03" w:rsidRDefault="00F63A03" w:rsidP="00F63A03"/>
    <w:p w14:paraId="5856291F" w14:textId="77777777" w:rsidR="00F63A03" w:rsidRPr="00F63A03" w:rsidRDefault="00F63A03" w:rsidP="00F63A03"/>
    <w:p w14:paraId="176D93EA" w14:textId="77777777" w:rsidR="00F63A03" w:rsidRPr="00F63A03" w:rsidRDefault="00F63A03" w:rsidP="00F63A03"/>
    <w:p w14:paraId="0BD5F211" w14:textId="77777777" w:rsidR="00F63A03" w:rsidRDefault="00F63A03" w:rsidP="00F63A03">
      <w:pPr>
        <w:rPr>
          <w:sz w:val="22"/>
        </w:rPr>
      </w:pPr>
    </w:p>
    <w:p w14:paraId="7DBA93D7" w14:textId="65E75A1B" w:rsidR="00F63A03" w:rsidRDefault="00F63A03" w:rsidP="00F63A03">
      <w:pPr>
        <w:pStyle w:val="Caption"/>
      </w:pPr>
      <w:bookmarkStart w:id="194" w:name="_Toc154331573"/>
      <w:r>
        <w:t xml:space="preserve">Figure </w:t>
      </w:r>
      <w:fldSimple w:instr=" STYLEREF 1 \s ">
        <w:r w:rsidR="004B7F70">
          <w:rPr>
            <w:noProof/>
          </w:rPr>
          <w:t>4</w:t>
        </w:r>
      </w:fldSimple>
      <w:r w:rsidR="00C97D34">
        <w:t>.</w:t>
      </w:r>
      <w:fldSimple w:instr=" SEQ Figure \* ARABIC \s 1 ">
        <w:r w:rsidR="004B7F70">
          <w:rPr>
            <w:noProof/>
          </w:rPr>
          <w:t>5</w:t>
        </w:r>
      </w:fldSimple>
      <w:r>
        <w:t xml:space="preserve"> </w:t>
      </w:r>
      <w:r w:rsidRPr="000A3241">
        <w:t xml:space="preserve">Root based plant crowding affects </w:t>
      </w:r>
      <w:r w:rsidRPr="000A3241">
        <w:rPr>
          <w:i/>
          <w:iCs/>
        </w:rPr>
        <w:t>CEP</w:t>
      </w:r>
      <w:r w:rsidRPr="000A3241">
        <w:t xml:space="preserve"> and </w:t>
      </w:r>
      <w:r w:rsidRPr="000A3241">
        <w:rPr>
          <w:i/>
          <w:iCs/>
        </w:rPr>
        <w:t>UGT85A1</w:t>
      </w:r>
      <w:r w:rsidRPr="000A3241">
        <w:t xml:space="preserve"> expression in the root</w:t>
      </w:r>
      <w:bookmarkEnd w:id="194"/>
    </w:p>
    <w:p w14:paraId="70962088" w14:textId="77777777" w:rsidR="00F63A03" w:rsidRPr="006808AD" w:rsidRDefault="00F63A03" w:rsidP="00F63A03">
      <w:pPr>
        <w:pStyle w:val="Description"/>
      </w:pPr>
      <w:r w:rsidRPr="006808AD">
        <w:t>Barley (cv. Charon) were grown hydroponically in 1 plant per pot (1/pot) and 4 plants per pot (4/pot). Figures show the log</w:t>
      </w:r>
      <w:r w:rsidRPr="006808AD">
        <w:rPr>
          <w:vertAlign w:val="subscript"/>
        </w:rPr>
        <w:t>2</w:t>
      </w:r>
      <w:r w:rsidRPr="006808AD">
        <w:t xml:space="preserve"> fold change of differentially expressed genes (DEGs) of interest.</w:t>
      </w:r>
    </w:p>
    <w:p w14:paraId="4A6B026F" w14:textId="2CC9581A" w:rsidR="00F63A03" w:rsidRPr="00967681" w:rsidRDefault="00F63A03" w:rsidP="00F63A03">
      <w:pPr>
        <w:pStyle w:val="Description"/>
      </w:pPr>
      <w:r w:rsidRPr="006808AD">
        <w:t>A) Bar chart showing the negative log</w:t>
      </w:r>
      <w:r w:rsidRPr="006808AD">
        <w:rPr>
          <w:vertAlign w:val="subscript"/>
        </w:rPr>
        <w:t>2</w:t>
      </w:r>
      <w:r w:rsidRPr="006808AD">
        <w:t xml:space="preserve"> fold change of barley orthologues of the Arabidopsis genes </w:t>
      </w:r>
      <w:r w:rsidRPr="006808AD">
        <w:rPr>
          <w:i/>
          <w:iCs/>
        </w:rPr>
        <w:t>CEP1</w:t>
      </w:r>
      <w:r w:rsidRPr="006808AD">
        <w:t xml:space="preserve">, </w:t>
      </w:r>
      <w:r w:rsidRPr="006808AD">
        <w:rPr>
          <w:i/>
          <w:iCs/>
        </w:rPr>
        <w:t>CEP2</w:t>
      </w:r>
      <w:r w:rsidRPr="006808AD">
        <w:t xml:space="preserve"> and </w:t>
      </w:r>
      <w:r w:rsidRPr="006808AD">
        <w:rPr>
          <w:i/>
          <w:iCs/>
        </w:rPr>
        <w:t>CEP3</w:t>
      </w:r>
      <w:r w:rsidRPr="006808AD">
        <w:t xml:space="preserve"> at 4- (burgundy) and 8- hours post crowding</w:t>
      </w:r>
      <w:r w:rsidR="00301319">
        <w:t xml:space="preserve">, </w:t>
      </w:r>
      <w:r w:rsidR="00301319" w:rsidRPr="00967681">
        <w:t>n=3</w:t>
      </w:r>
      <w:r w:rsidRPr="00967681">
        <w:t xml:space="preserve">. </w:t>
      </w:r>
    </w:p>
    <w:p w14:paraId="06492E13" w14:textId="2DC0D5AA" w:rsidR="00F63A03" w:rsidRDefault="00F63A03" w:rsidP="00F63A03">
      <w:pPr>
        <w:pStyle w:val="Description"/>
      </w:pPr>
      <w:r w:rsidRPr="00967681">
        <w:t>B) Bar chart showing the log</w:t>
      </w:r>
      <w:r w:rsidRPr="00967681">
        <w:rPr>
          <w:vertAlign w:val="subscript"/>
        </w:rPr>
        <w:t>2</w:t>
      </w:r>
      <w:r w:rsidRPr="00967681">
        <w:t xml:space="preserve"> fold change of barley orthologues of the Arabidopsis gene </w:t>
      </w:r>
      <w:r w:rsidRPr="00967681">
        <w:rPr>
          <w:i/>
          <w:iCs/>
        </w:rPr>
        <w:t>UGT85A1</w:t>
      </w:r>
      <w:r w:rsidRPr="00967681">
        <w:t xml:space="preserve"> (or closely related genes) at 4- (burgundy) and 8- hours post crowding</w:t>
      </w:r>
      <w:r w:rsidR="00301319" w:rsidRPr="00967681">
        <w:t>, n=3</w:t>
      </w:r>
      <w:r w:rsidRPr="00967681">
        <w:t>.</w:t>
      </w:r>
    </w:p>
    <w:p w14:paraId="4135EB32" w14:textId="77777777" w:rsidR="00F63A03" w:rsidRDefault="00F63A03" w:rsidP="00F63A03"/>
    <w:p w14:paraId="4D49F38D" w14:textId="3C4088B0" w:rsidR="00F63A03" w:rsidRDefault="00F63A03" w:rsidP="00743E4C">
      <w:pPr>
        <w:pStyle w:val="Heading3"/>
      </w:pPr>
      <w:bookmarkStart w:id="195" w:name="_Toc154331492"/>
      <w:r>
        <w:lastRenderedPageBreak/>
        <w:t>Resource foraging strategies are prioritised on perception of neighbours</w:t>
      </w:r>
      <w:bookmarkEnd w:id="195"/>
    </w:p>
    <w:p w14:paraId="4734C65D" w14:textId="77777777" w:rsidR="00F63A03" w:rsidRDefault="00F63A03" w:rsidP="00F63A03">
      <w:pPr>
        <w:keepNext/>
        <w:spacing w:before="160" w:line="480" w:lineRule="auto"/>
        <w:outlineLvl w:val="1"/>
        <w:rPr>
          <w:rFonts w:cs="Times New Roman"/>
          <w:bCs/>
        </w:rPr>
      </w:pPr>
      <w:r>
        <w:rPr>
          <w:rFonts w:cs="Times New Roman"/>
          <w:bCs/>
        </w:rPr>
        <w:t>To summarise, it appears that upon the perception of neighbouring plants a large number of transcriptional changes occur within 4 and 8 hours. Some of these DEGs appear to be evidence of a competitive strategy to acquire any resources needed for growth of the plant. Plants appear to achieve this by increasing root hair number (</w:t>
      </w:r>
      <w:r w:rsidRPr="00B52512">
        <w:rPr>
          <w:rFonts w:cs="Times New Roman"/>
          <w:bCs/>
          <w:i/>
          <w:iCs/>
        </w:rPr>
        <w:t>RHD</w:t>
      </w:r>
      <w:r>
        <w:rPr>
          <w:rFonts w:cs="Times New Roman"/>
          <w:bCs/>
          <w:i/>
          <w:iCs/>
        </w:rPr>
        <w:t>6</w:t>
      </w:r>
      <w:r w:rsidRPr="00B52512">
        <w:rPr>
          <w:rFonts w:cs="Times New Roman"/>
          <w:bCs/>
          <w:i/>
          <w:iCs/>
        </w:rPr>
        <w:t xml:space="preserve"> / RSL1</w:t>
      </w:r>
      <w:r>
        <w:rPr>
          <w:rFonts w:cs="Times New Roman"/>
          <w:bCs/>
          <w:i/>
          <w:iCs/>
        </w:rPr>
        <w:t xml:space="preserve"> </w:t>
      </w:r>
      <w:r>
        <w:rPr>
          <w:rFonts w:cs="Times New Roman"/>
          <w:bCs/>
        </w:rPr>
        <w:t>genes) and upregulating high affinity nitrate transporters (</w:t>
      </w:r>
      <w:r w:rsidRPr="009E463F">
        <w:rPr>
          <w:rFonts w:cs="Times New Roman"/>
          <w:bCs/>
          <w:i/>
          <w:iCs/>
        </w:rPr>
        <w:t>NRT2</w:t>
      </w:r>
      <w:r>
        <w:rPr>
          <w:rFonts w:cs="Times New Roman"/>
          <w:bCs/>
        </w:rPr>
        <w:t xml:space="preserve"> genes). Nitrate however appears to remain in the root system due to the downregulation of root to shoot nitrate transporters (</w:t>
      </w:r>
      <w:r w:rsidRPr="009E463F">
        <w:rPr>
          <w:rFonts w:cs="Times New Roman"/>
          <w:bCs/>
          <w:i/>
          <w:iCs/>
        </w:rPr>
        <w:t>NRT1.5 / NRT1.8</w:t>
      </w:r>
      <w:r>
        <w:rPr>
          <w:rFonts w:cs="Times New Roman"/>
          <w:bCs/>
          <w:i/>
          <w:iCs/>
        </w:rPr>
        <w:t xml:space="preserve"> </w:t>
      </w:r>
      <w:r>
        <w:rPr>
          <w:rFonts w:cs="Times New Roman"/>
          <w:bCs/>
        </w:rPr>
        <w:t xml:space="preserve">genes), which could allow increased root growth to better aid competition for belowground resources. </w:t>
      </w:r>
      <w:r>
        <w:rPr>
          <w:szCs w:val="24"/>
        </w:rPr>
        <w:t>It can only be speculated at this point, but perhaps on perceiving more about the genetic identity of their neighbours, they may tone down this ‘selfish’ response into a more cooperative response if they are closely related to their neighbours.</w:t>
      </w:r>
    </w:p>
    <w:p w14:paraId="385C214F" w14:textId="4DC2AD7A" w:rsidR="00F63A03" w:rsidRDefault="00F63A03" w:rsidP="00F63A03">
      <w:pPr>
        <w:spacing w:before="160" w:line="480" w:lineRule="auto"/>
        <w:outlineLvl w:val="1"/>
        <w:rPr>
          <w:rFonts w:cs="Times New Roman"/>
          <w:bCs/>
        </w:rPr>
      </w:pPr>
      <w:r>
        <w:rPr>
          <w:rFonts w:cs="Times New Roman"/>
          <w:bCs/>
        </w:rPr>
        <w:t xml:space="preserve">Given the late occurrence of this RNAseq analysis during my PhD there may be other interesting leads within the dataset that may be of importance which have not yet been identified. </w:t>
      </w:r>
      <w:r w:rsidR="009D071D" w:rsidRPr="00120A02">
        <w:rPr>
          <w:rFonts w:cs="Times New Roman"/>
          <w:bCs/>
        </w:rPr>
        <w:t>To provide a link between</w:t>
      </w:r>
      <w:r w:rsidR="00594ADC" w:rsidRPr="00120A02">
        <w:rPr>
          <w:rFonts w:cs="Times New Roman"/>
          <w:bCs/>
        </w:rPr>
        <w:t xml:space="preserve"> the number of DEGs for each timepoint with the genes of interest discussed </w:t>
      </w:r>
      <w:r w:rsidR="00150914" w:rsidRPr="00120A02">
        <w:rPr>
          <w:rFonts w:cs="Times New Roman"/>
          <w:bCs/>
        </w:rPr>
        <w:t>sections 4.2.3 and 4.2.4</w:t>
      </w:r>
      <w:r w:rsidR="00044BB2" w:rsidRPr="00120A02">
        <w:rPr>
          <w:rFonts w:cs="Times New Roman"/>
          <w:bCs/>
        </w:rPr>
        <w:t xml:space="preserve">, future data analysis could include filtering the GO terms by specific </w:t>
      </w:r>
      <w:r w:rsidR="0078303E" w:rsidRPr="00120A02">
        <w:rPr>
          <w:rFonts w:cs="Times New Roman"/>
          <w:bCs/>
        </w:rPr>
        <w:t>terms</w:t>
      </w:r>
      <w:r w:rsidR="00A75C57" w:rsidRPr="00120A02">
        <w:rPr>
          <w:rFonts w:cs="Times New Roman"/>
          <w:bCs/>
        </w:rPr>
        <w:t xml:space="preserve"> to determine the number of DEGs related to processes of interest</w:t>
      </w:r>
      <w:r w:rsidR="000500F0" w:rsidRPr="00120A02">
        <w:rPr>
          <w:rFonts w:cs="Times New Roman"/>
          <w:bCs/>
        </w:rPr>
        <w:t xml:space="preserve"> </w:t>
      </w:r>
      <w:r w:rsidR="008337B4" w:rsidRPr="00120A02">
        <w:rPr>
          <w:rFonts w:cs="Times New Roman"/>
          <w:bCs/>
        </w:rPr>
        <w:t>at each time point</w:t>
      </w:r>
      <w:r w:rsidR="0078303E" w:rsidRPr="00120A02">
        <w:rPr>
          <w:rFonts w:cs="Times New Roman"/>
          <w:bCs/>
        </w:rPr>
        <w:t xml:space="preserve">. For example, as several of the genes of interest identified </w:t>
      </w:r>
      <w:r w:rsidR="00320DC3" w:rsidRPr="00120A02">
        <w:rPr>
          <w:rFonts w:cs="Times New Roman"/>
          <w:bCs/>
        </w:rPr>
        <w:t xml:space="preserve">from this RNA seq </w:t>
      </w:r>
      <w:r w:rsidR="0078303E" w:rsidRPr="00120A02">
        <w:rPr>
          <w:rFonts w:cs="Times New Roman"/>
          <w:bCs/>
        </w:rPr>
        <w:t>so far were related to nutrients, GO terms could be filtered b</w:t>
      </w:r>
      <w:r w:rsidR="005B557E" w:rsidRPr="00120A02">
        <w:rPr>
          <w:rFonts w:cs="Times New Roman"/>
          <w:bCs/>
        </w:rPr>
        <w:t xml:space="preserve">y </w:t>
      </w:r>
      <w:r w:rsidR="009D27D2" w:rsidRPr="00120A02">
        <w:rPr>
          <w:rFonts w:cs="Times New Roman"/>
          <w:bCs/>
        </w:rPr>
        <w:t>nutrient related</w:t>
      </w:r>
      <w:r w:rsidR="005B557E" w:rsidRPr="00120A02">
        <w:rPr>
          <w:rFonts w:cs="Times New Roman"/>
          <w:bCs/>
        </w:rPr>
        <w:t xml:space="preserve"> term</w:t>
      </w:r>
      <w:r w:rsidR="009D27D2" w:rsidRPr="00120A02">
        <w:rPr>
          <w:rFonts w:cs="Times New Roman"/>
          <w:bCs/>
        </w:rPr>
        <w:t>s</w:t>
      </w:r>
      <w:r w:rsidR="005B557E" w:rsidRPr="00120A02">
        <w:rPr>
          <w:rFonts w:cs="Times New Roman"/>
          <w:bCs/>
        </w:rPr>
        <w:t xml:space="preserve"> </w:t>
      </w:r>
      <w:r w:rsidR="009D27D2" w:rsidRPr="00120A02">
        <w:rPr>
          <w:rFonts w:cs="Times New Roman"/>
          <w:bCs/>
        </w:rPr>
        <w:t xml:space="preserve">such as </w:t>
      </w:r>
      <w:r w:rsidR="00924B0E" w:rsidRPr="00120A02">
        <w:rPr>
          <w:rFonts w:cs="Times New Roman"/>
          <w:bCs/>
        </w:rPr>
        <w:t>nutrient reservoir activity (GO: 0045735), nitrate transport (GO:</w:t>
      </w:r>
      <w:r w:rsidR="00EF561D" w:rsidRPr="00120A02">
        <w:rPr>
          <w:rFonts w:cs="Times New Roman"/>
          <w:bCs/>
        </w:rPr>
        <w:t xml:space="preserve"> 0015706) and response to nitrate (GO: 0010167)</w:t>
      </w:r>
      <w:r w:rsidR="005B557E" w:rsidRPr="00120A02">
        <w:rPr>
          <w:rFonts w:cs="Times New Roman"/>
          <w:bCs/>
        </w:rPr>
        <w:t>.</w:t>
      </w:r>
      <w:r w:rsidR="008337B4" w:rsidRPr="00120A02">
        <w:rPr>
          <w:rFonts w:cs="Times New Roman"/>
          <w:bCs/>
        </w:rPr>
        <w:t xml:space="preserve"> It could then be determined</w:t>
      </w:r>
      <w:r w:rsidR="007A2C4A" w:rsidRPr="00120A02">
        <w:rPr>
          <w:rFonts w:cs="Times New Roman"/>
          <w:bCs/>
        </w:rPr>
        <w:t xml:space="preserve"> how many DEGs are related to nutrients compared to the other DEGs</w:t>
      </w:r>
      <w:r w:rsidR="00BF348E" w:rsidRPr="00120A02">
        <w:rPr>
          <w:rFonts w:cs="Times New Roman"/>
          <w:bCs/>
        </w:rPr>
        <w:t xml:space="preserve"> in the timepoint</w:t>
      </w:r>
      <w:r w:rsidR="007A2C4A" w:rsidRPr="00120A02">
        <w:rPr>
          <w:rFonts w:cs="Times New Roman"/>
          <w:bCs/>
        </w:rPr>
        <w:t>.</w:t>
      </w:r>
      <w:r w:rsidR="005B557E">
        <w:rPr>
          <w:rFonts w:cs="Times New Roman"/>
          <w:bCs/>
        </w:rPr>
        <w:t xml:space="preserve"> </w:t>
      </w:r>
      <w:r>
        <w:rPr>
          <w:rFonts w:cs="Times New Roman"/>
          <w:bCs/>
        </w:rPr>
        <w:t xml:space="preserve">In addition, no further experimental testing </w:t>
      </w:r>
      <w:r>
        <w:rPr>
          <w:rFonts w:cs="Times New Roman"/>
          <w:bCs/>
        </w:rPr>
        <w:lastRenderedPageBreak/>
        <w:t xml:space="preserve">of genes discussed here has been carried out. </w:t>
      </w:r>
      <w:r w:rsidR="00907CDF" w:rsidRPr="00120A02">
        <w:rPr>
          <w:rFonts w:cs="Times New Roman"/>
          <w:bCs/>
        </w:rPr>
        <w:t xml:space="preserve">Follow up experiments should involve </w:t>
      </w:r>
      <w:r w:rsidR="00D56CC8" w:rsidRPr="00120A02">
        <w:rPr>
          <w:rFonts w:cs="Times New Roman"/>
          <w:bCs/>
        </w:rPr>
        <w:t>qPCR to validate the expression levels of the genes of interest identified in this RNAseq study.</w:t>
      </w:r>
      <w:r w:rsidR="0079281B" w:rsidRPr="00120A02">
        <w:rPr>
          <w:rFonts w:cs="Times New Roman"/>
          <w:bCs/>
        </w:rPr>
        <w:t xml:space="preserve"> In addition, it would be valuable to repeat this experimental design in other species to determine </w:t>
      </w:r>
      <w:r w:rsidR="00B46A29" w:rsidRPr="00120A02">
        <w:rPr>
          <w:rFonts w:cs="Times New Roman"/>
          <w:bCs/>
        </w:rPr>
        <w:t>if this transcriptional response</w:t>
      </w:r>
      <w:r w:rsidR="003A0798" w:rsidRPr="00120A02">
        <w:rPr>
          <w:rFonts w:cs="Times New Roman"/>
          <w:bCs/>
        </w:rPr>
        <w:t>, and indeed the timescale of such responses,</w:t>
      </w:r>
      <w:r w:rsidR="00B46A29" w:rsidRPr="00120A02">
        <w:rPr>
          <w:rFonts w:cs="Times New Roman"/>
          <w:bCs/>
        </w:rPr>
        <w:t xml:space="preserve"> is </w:t>
      </w:r>
      <w:r w:rsidR="003A0798" w:rsidRPr="00120A02">
        <w:rPr>
          <w:rFonts w:cs="Times New Roman"/>
          <w:bCs/>
        </w:rPr>
        <w:t>present</w:t>
      </w:r>
      <w:r w:rsidR="00B46A29" w:rsidRPr="00120A02">
        <w:rPr>
          <w:rFonts w:cs="Times New Roman"/>
          <w:bCs/>
        </w:rPr>
        <w:t xml:space="preserve"> in other species such as wheat.</w:t>
      </w:r>
      <w:r w:rsidR="00D56CC8">
        <w:rPr>
          <w:rFonts w:cs="Times New Roman"/>
          <w:bCs/>
        </w:rPr>
        <w:t xml:space="preserve"> </w:t>
      </w:r>
      <w:r w:rsidRPr="00D43203">
        <w:rPr>
          <w:rFonts w:cs="Times New Roman"/>
          <w:bCs/>
        </w:rPr>
        <w:t xml:space="preserve">Nevertheless, this </w:t>
      </w:r>
      <w:r>
        <w:rPr>
          <w:rFonts w:cs="Times New Roman"/>
          <w:bCs/>
        </w:rPr>
        <w:t>is the first RNAseq to investigate the transcriptional changes caused by root-based crowding and for now this has</w:t>
      </w:r>
      <w:r w:rsidRPr="00D43203">
        <w:rPr>
          <w:rFonts w:cs="Times New Roman"/>
          <w:bCs/>
        </w:rPr>
        <w:t xml:space="preserve"> highlighted some interesting candidates</w:t>
      </w:r>
      <w:r>
        <w:rPr>
          <w:rFonts w:cs="Times New Roman"/>
          <w:bCs/>
        </w:rPr>
        <w:t xml:space="preserve"> for further investigation</w:t>
      </w:r>
      <w:r w:rsidRPr="00D43203">
        <w:rPr>
          <w:rFonts w:cs="Times New Roman"/>
          <w:bCs/>
        </w:rPr>
        <w:t>.</w:t>
      </w:r>
    </w:p>
    <w:p w14:paraId="2A1B1D85" w14:textId="532963A7" w:rsidR="00F63A03" w:rsidRDefault="00F63A03" w:rsidP="00743E4C">
      <w:pPr>
        <w:pStyle w:val="Heading2"/>
      </w:pPr>
      <w:bookmarkStart w:id="196" w:name="_Toc154331493"/>
      <w:r w:rsidRPr="00F63A03">
        <w:t>Mechanisms of shoot and root response to soil volume</w:t>
      </w:r>
      <w:bookmarkEnd w:id="196"/>
    </w:p>
    <w:p w14:paraId="4E08E447" w14:textId="77777777" w:rsidR="00F63A03" w:rsidRDefault="00F63A03" w:rsidP="00F63A03"/>
    <w:p w14:paraId="6073868E" w14:textId="66C8E747" w:rsidR="00F63A03" w:rsidRDefault="00F63A03" w:rsidP="00743E4C">
      <w:pPr>
        <w:pStyle w:val="Heading3"/>
      </w:pPr>
      <w:bookmarkStart w:id="197" w:name="_Toc154331494"/>
      <w:r w:rsidRPr="00F63A03">
        <w:t>Shoot responses to soil volume occur early in life and are independent of nutrient and water availability</w:t>
      </w:r>
      <w:bookmarkEnd w:id="197"/>
    </w:p>
    <w:p w14:paraId="164A101E" w14:textId="5B0C96E3" w:rsidR="00F63A03" w:rsidRDefault="00FA1EE2" w:rsidP="00F63A03">
      <w:pPr>
        <w:spacing w:line="480" w:lineRule="auto"/>
        <w:rPr>
          <w:rFonts w:cs="Times New Roman"/>
          <w:b/>
        </w:rPr>
      </w:pPr>
      <w:r>
        <w:rPr>
          <w:rFonts w:cs="Times New Roman"/>
          <w:bCs/>
        </w:rPr>
        <w:t>In p</w:t>
      </w:r>
      <w:r w:rsidR="00F63A03">
        <w:rPr>
          <w:rFonts w:cs="Times New Roman"/>
          <w:bCs/>
        </w:rPr>
        <w:t>revious literature</w:t>
      </w:r>
      <w:r>
        <w:rPr>
          <w:rFonts w:cs="Times New Roman"/>
          <w:bCs/>
        </w:rPr>
        <w:t xml:space="preserve"> </w:t>
      </w:r>
      <w:r w:rsidRPr="00EB2912">
        <w:rPr>
          <w:rFonts w:cs="Times New Roman"/>
          <w:bCs/>
        </w:rPr>
        <w:t xml:space="preserve">there has been a </w:t>
      </w:r>
      <w:r w:rsidR="00F63A03" w:rsidRPr="00EB2912">
        <w:rPr>
          <w:rFonts w:cs="Times New Roman"/>
          <w:bCs/>
        </w:rPr>
        <w:t>debate</w:t>
      </w:r>
      <w:r w:rsidR="00B716A8">
        <w:rPr>
          <w:rFonts w:cs="Times New Roman"/>
          <w:bCs/>
        </w:rPr>
        <w:t xml:space="preserve"> about</w:t>
      </w:r>
      <w:r w:rsidR="00F63A03">
        <w:rPr>
          <w:rFonts w:cs="Times New Roman"/>
          <w:bCs/>
        </w:rPr>
        <w:t xml:space="preserve"> if soil volume effects are the result of limited nutrients and water availability in small soil volumes compared to large soil volumes (discussed in chapter 1). </w:t>
      </w:r>
      <w:r w:rsidR="00F63A03" w:rsidRPr="0051469E">
        <w:rPr>
          <w:rFonts w:cs="Times New Roman"/>
          <w:bCs/>
        </w:rPr>
        <w:t xml:space="preserve">However, I hypothesised that if nutrients were responsible for these effects, differences between the shoot systems of plants grown in small and large soil volumes would only be visible </w:t>
      </w:r>
      <w:r w:rsidR="00110226">
        <w:rPr>
          <w:rFonts w:cs="Times New Roman"/>
          <w:bCs/>
        </w:rPr>
        <w:t xml:space="preserve">at </w:t>
      </w:r>
      <w:r w:rsidR="00F63A03" w:rsidRPr="0051469E">
        <w:rPr>
          <w:rFonts w:cs="Times New Roman"/>
          <w:bCs/>
        </w:rPr>
        <w:t xml:space="preserve">later </w:t>
      </w:r>
      <w:r w:rsidR="00110226" w:rsidRPr="00EB2912">
        <w:rPr>
          <w:rFonts w:cs="Times New Roman"/>
          <w:bCs/>
        </w:rPr>
        <w:t>stages</w:t>
      </w:r>
      <w:r w:rsidR="00110226">
        <w:rPr>
          <w:rFonts w:cs="Times New Roman"/>
          <w:bCs/>
        </w:rPr>
        <w:t xml:space="preserve"> </w:t>
      </w:r>
      <w:r w:rsidR="00F63A03" w:rsidRPr="0051469E">
        <w:rPr>
          <w:rFonts w:cs="Times New Roman"/>
          <w:bCs/>
        </w:rPr>
        <w:t xml:space="preserve">in life, once nutrient depletion has occurred in the small soil volumes. Furthermore, I hypothesised that if nutrient depletion </w:t>
      </w:r>
      <w:r w:rsidR="00347394" w:rsidRPr="00EB2912">
        <w:rPr>
          <w:rFonts w:cs="Times New Roman"/>
          <w:bCs/>
        </w:rPr>
        <w:t>is a factor in</w:t>
      </w:r>
      <w:r w:rsidR="00F63A03" w:rsidRPr="00EB2912">
        <w:rPr>
          <w:rFonts w:cs="Times New Roman"/>
          <w:bCs/>
        </w:rPr>
        <w:t xml:space="preserve"> soil</w:t>
      </w:r>
      <w:r w:rsidR="00F63A03" w:rsidRPr="0051469E">
        <w:rPr>
          <w:rFonts w:cs="Times New Roman"/>
          <w:bCs/>
        </w:rPr>
        <w:t xml:space="preserve"> volume responses, the supplementation of additional nutrients should prevent visible differences in the shoot systems between the soil volumes. </w:t>
      </w:r>
      <w:r w:rsidR="00F63A03">
        <w:rPr>
          <w:rFonts w:cs="Times New Roman"/>
          <w:bCs/>
        </w:rPr>
        <w:t>To test these hypotheses, I chose to use wheat and barley</w:t>
      </w:r>
      <w:r w:rsidR="009128ED">
        <w:rPr>
          <w:rFonts w:cs="Times New Roman"/>
          <w:bCs/>
        </w:rPr>
        <w:t xml:space="preserve"> </w:t>
      </w:r>
      <w:r w:rsidR="009128ED" w:rsidRPr="00EB2912">
        <w:rPr>
          <w:rFonts w:cs="Times New Roman"/>
          <w:bCs/>
        </w:rPr>
        <w:t>a</w:t>
      </w:r>
      <w:r w:rsidR="00347394" w:rsidRPr="00EB2912">
        <w:rPr>
          <w:rFonts w:cs="Times New Roman"/>
          <w:bCs/>
        </w:rPr>
        <w:t>s</w:t>
      </w:r>
      <w:r w:rsidR="00347394">
        <w:rPr>
          <w:rFonts w:cs="Times New Roman"/>
          <w:bCs/>
        </w:rPr>
        <w:t xml:space="preserve"> c</w:t>
      </w:r>
      <w:r w:rsidR="00F63A03">
        <w:rPr>
          <w:rFonts w:cs="Times New Roman"/>
          <w:bCs/>
        </w:rPr>
        <w:t xml:space="preserve">ereals are particularly useful for studying shoot responses to soil volume, as shown in chapter 3.2.1 and 3.2.2, since </w:t>
      </w:r>
      <w:r w:rsidR="00F63A03" w:rsidRPr="006A2ECB">
        <w:rPr>
          <w:rFonts w:cs="Times New Roman"/>
          <w:bCs/>
        </w:rPr>
        <w:t xml:space="preserve">tillers are produced from around 3 weeks post germination to flowering, </w:t>
      </w:r>
      <w:r w:rsidR="00F63A03">
        <w:rPr>
          <w:rFonts w:cs="Times New Roman"/>
          <w:bCs/>
        </w:rPr>
        <w:t xml:space="preserve">providing an easily-assessable </w:t>
      </w:r>
      <w:r w:rsidR="00F63A03">
        <w:rPr>
          <w:rFonts w:cs="Times New Roman"/>
          <w:bCs/>
        </w:rPr>
        <w:lastRenderedPageBreak/>
        <w:t xml:space="preserve">proxy for shoot system size. </w:t>
      </w:r>
      <w:r w:rsidR="00F63A03" w:rsidRPr="006A2ECB">
        <w:rPr>
          <w:rFonts w:cs="Times New Roman"/>
          <w:bCs/>
        </w:rPr>
        <w:t>Th</w:t>
      </w:r>
      <w:r w:rsidR="00F63A03">
        <w:rPr>
          <w:rFonts w:cs="Times New Roman"/>
          <w:bCs/>
        </w:rPr>
        <w:t xml:space="preserve">e initiation </w:t>
      </w:r>
      <w:r w:rsidR="00F63A03" w:rsidRPr="006A2ECB">
        <w:rPr>
          <w:rFonts w:cs="Times New Roman"/>
          <w:bCs/>
        </w:rPr>
        <w:t>and</w:t>
      </w:r>
      <w:r w:rsidR="00F63A03">
        <w:rPr>
          <w:rFonts w:cs="Times New Roman"/>
          <w:bCs/>
        </w:rPr>
        <w:t xml:space="preserve"> subsequent</w:t>
      </w:r>
      <w:r w:rsidR="00F63A03" w:rsidRPr="006A2ECB">
        <w:rPr>
          <w:rFonts w:cs="Times New Roman"/>
          <w:bCs/>
        </w:rPr>
        <w:t xml:space="preserve"> senescence of tillers results in a bell-shaped progression of tiller </w:t>
      </w:r>
      <w:r w:rsidR="00F63A03">
        <w:rPr>
          <w:rFonts w:cs="Times New Roman"/>
          <w:bCs/>
        </w:rPr>
        <w:t xml:space="preserve">number </w:t>
      </w:r>
      <w:r w:rsidR="00A72D14">
        <w:rPr>
          <w:rFonts w:cs="Times New Roman"/>
          <w:bCs/>
        </w:rPr>
        <w:t>over</w:t>
      </w:r>
      <w:r w:rsidR="003C5C54">
        <w:rPr>
          <w:rFonts w:cs="Times New Roman"/>
          <w:bCs/>
        </w:rPr>
        <w:t xml:space="preserve"> </w:t>
      </w:r>
      <w:r w:rsidR="00F63A03">
        <w:rPr>
          <w:rFonts w:cs="Times New Roman"/>
          <w:bCs/>
        </w:rPr>
        <w:t>the plant’s lifetime</w:t>
      </w:r>
      <w:r w:rsidR="00F63A03" w:rsidRPr="006A2ECB">
        <w:rPr>
          <w:rFonts w:cs="Times New Roman"/>
          <w:bCs/>
        </w:rPr>
        <w:t>.</w:t>
      </w:r>
      <w:r w:rsidR="00F63A03">
        <w:rPr>
          <w:rFonts w:cs="Times New Roman"/>
          <w:bCs/>
        </w:rPr>
        <w:t xml:space="preserve"> </w:t>
      </w:r>
    </w:p>
    <w:p w14:paraId="2600B043" w14:textId="6C62ECD3" w:rsidR="00F63A03" w:rsidRDefault="00F63A03" w:rsidP="00F63A03">
      <w:pPr>
        <w:spacing w:line="480" w:lineRule="auto"/>
        <w:rPr>
          <w:rFonts w:cs="Times New Roman"/>
          <w:bCs/>
        </w:rPr>
      </w:pPr>
      <w:r w:rsidRPr="00DB47BF">
        <w:rPr>
          <w:rFonts w:cs="Times New Roman"/>
          <w:bCs/>
        </w:rPr>
        <w:t xml:space="preserve">To </w:t>
      </w:r>
      <w:r>
        <w:rPr>
          <w:rFonts w:cs="Times New Roman"/>
          <w:bCs/>
        </w:rPr>
        <w:t xml:space="preserve">explore shoot growth in response to soil volume availability, </w:t>
      </w:r>
      <w:r w:rsidRPr="00DB47BF">
        <w:rPr>
          <w:rFonts w:cs="Times New Roman"/>
          <w:bCs/>
        </w:rPr>
        <w:t>I grew wheat</w:t>
      </w:r>
      <w:r>
        <w:rPr>
          <w:rFonts w:cs="Times New Roman"/>
          <w:bCs/>
        </w:rPr>
        <w:t xml:space="preserve"> and </w:t>
      </w:r>
      <w:r w:rsidRPr="00DB47BF">
        <w:rPr>
          <w:rFonts w:cs="Times New Roman"/>
          <w:bCs/>
        </w:rPr>
        <w:t xml:space="preserve">barley in </w:t>
      </w:r>
      <w:r>
        <w:rPr>
          <w:rFonts w:cs="Times New Roman"/>
          <w:bCs/>
        </w:rPr>
        <w:t>three</w:t>
      </w:r>
      <w:r w:rsidRPr="00DB47BF">
        <w:rPr>
          <w:rFonts w:cs="Times New Roman"/>
          <w:bCs/>
        </w:rPr>
        <w:t xml:space="preserve"> soil volumes: 100, 500 and 2000ml</w:t>
      </w:r>
      <w:r>
        <w:rPr>
          <w:rFonts w:cs="Times New Roman"/>
          <w:bCs/>
        </w:rPr>
        <w:t xml:space="preserve"> (wheat data presented in Wheeldon et al, 2021)</w:t>
      </w:r>
      <w:r w:rsidRPr="00DB47BF">
        <w:rPr>
          <w:rFonts w:cs="Times New Roman"/>
          <w:bCs/>
        </w:rPr>
        <w:t xml:space="preserve">. </w:t>
      </w:r>
      <w:r>
        <w:rPr>
          <w:rFonts w:cs="Times New Roman"/>
          <w:bCs/>
        </w:rPr>
        <w:t xml:space="preserve">To test effects of additional nutrients, half of the plants in each soil volume were supplemented with additional nutrients weekly. </w:t>
      </w:r>
      <w:r w:rsidRPr="00DB47BF">
        <w:rPr>
          <w:rFonts w:cs="Times New Roman"/>
          <w:bCs/>
        </w:rPr>
        <w:t>I recorded many shoot parameters including tiller number, dry shoot biomass, dry ear biomass, ear number, spikelet number, grain biomass and grain number to determine shoot system size. I found that all parameters</w:t>
      </w:r>
      <w:r>
        <w:rPr>
          <w:rFonts w:cs="Times New Roman"/>
          <w:bCs/>
        </w:rPr>
        <w:t xml:space="preserve">, in both nutrient regimes, </w:t>
      </w:r>
      <w:r w:rsidRPr="00DB47BF">
        <w:rPr>
          <w:rFonts w:cs="Times New Roman"/>
          <w:bCs/>
        </w:rPr>
        <w:t xml:space="preserve">exhibited a positive correlation between the soil volume </w:t>
      </w:r>
      <w:r w:rsidR="00487099">
        <w:rPr>
          <w:rFonts w:cs="Times New Roman"/>
          <w:bCs/>
        </w:rPr>
        <w:t xml:space="preserve">in which the plants were grown </w:t>
      </w:r>
      <w:r w:rsidRPr="00DB47BF">
        <w:rPr>
          <w:rFonts w:cs="Times New Roman"/>
          <w:bCs/>
        </w:rPr>
        <w:t>and the size of the shoot system</w:t>
      </w:r>
      <w:r>
        <w:rPr>
          <w:rFonts w:cs="Times New Roman"/>
          <w:bCs/>
        </w:rPr>
        <w:t xml:space="preserve"> for both species </w:t>
      </w:r>
      <w:r>
        <w:rPr>
          <w:rFonts w:cs="Times New Roman"/>
          <w:bCs/>
        </w:rPr>
        <w:fldChar w:fldCharType="begin" w:fldLock="1"/>
      </w:r>
      <w:r>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hAnsi="Cambria Math" w:cs="Cambria Math"/>
          <w:bCs/>
        </w:rPr>
        <w:instrText>‐</w:instrText>
      </w:r>
      <w:r>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cs="Times New Roman"/>
          <w:bCs/>
        </w:rPr>
        <w:fldChar w:fldCharType="separate"/>
      </w:r>
      <w:r w:rsidRPr="007B0273">
        <w:rPr>
          <w:rFonts w:cs="Times New Roman"/>
          <w:bCs/>
          <w:noProof/>
        </w:rPr>
        <w:t>(Wheeldon et al., 2021)</w:t>
      </w:r>
      <w:r>
        <w:rPr>
          <w:rFonts w:cs="Times New Roman"/>
          <w:bCs/>
        </w:rPr>
        <w:fldChar w:fldCharType="end"/>
      </w:r>
      <w:r>
        <w:rPr>
          <w:rFonts w:cs="Times New Roman"/>
          <w:bCs/>
        </w:rPr>
        <w:t xml:space="preserve">, </w:t>
      </w:r>
      <w:r w:rsidR="00BE3792" w:rsidRPr="003C5C54">
        <w:rPr>
          <w:rFonts w:cs="Times New Roman"/>
          <w:bCs/>
        </w:rPr>
        <w:t>support</w:t>
      </w:r>
      <w:r w:rsidRPr="003C5C54">
        <w:rPr>
          <w:rFonts w:cs="Times New Roman"/>
          <w:bCs/>
        </w:rPr>
        <w:t>ing</w:t>
      </w:r>
      <w:r w:rsidRPr="00DB47BF">
        <w:rPr>
          <w:rFonts w:cs="Times New Roman"/>
          <w:bCs/>
        </w:rPr>
        <w:t xml:space="preserve"> </w:t>
      </w:r>
      <w:r>
        <w:rPr>
          <w:rFonts w:cs="Times New Roman"/>
          <w:bCs/>
        </w:rPr>
        <w:t>the</w:t>
      </w:r>
      <w:r w:rsidRPr="00DB47BF">
        <w:rPr>
          <w:rFonts w:cs="Times New Roman"/>
          <w:bCs/>
        </w:rPr>
        <w:t xml:space="preserve"> conclu</w:t>
      </w:r>
      <w:r>
        <w:rPr>
          <w:rFonts w:cs="Times New Roman"/>
          <w:bCs/>
        </w:rPr>
        <w:t>sion</w:t>
      </w:r>
      <w:r w:rsidRPr="00DB47BF">
        <w:rPr>
          <w:rFonts w:cs="Times New Roman"/>
          <w:bCs/>
        </w:rPr>
        <w:t xml:space="preserve"> that limitations on available soil volume directly restricts the size of the resulting shoot system.  </w:t>
      </w:r>
    </w:p>
    <w:p w14:paraId="396FE8E9" w14:textId="5A740489" w:rsidR="00F63A03" w:rsidRDefault="00F63A03" w:rsidP="00F63A03">
      <w:pPr>
        <w:spacing w:line="480" w:lineRule="auto"/>
        <w:rPr>
          <w:rFonts w:cs="Times New Roman"/>
          <w:bCs/>
        </w:rPr>
      </w:pPr>
      <w:r>
        <w:rPr>
          <w:rFonts w:cs="Times New Roman"/>
          <w:bCs/>
        </w:rPr>
        <w:t>Focussing on wheat (cv. Mulika), I counted t</w:t>
      </w:r>
      <w:r w:rsidRPr="00DB47BF">
        <w:rPr>
          <w:rFonts w:cs="Times New Roman"/>
          <w:bCs/>
        </w:rPr>
        <w:t>iller number weekly from 3-16 weeks post germination in all soil volumes</w:t>
      </w:r>
      <w:r>
        <w:rPr>
          <w:rFonts w:cs="Times New Roman"/>
          <w:bCs/>
        </w:rPr>
        <w:t xml:space="preserve"> </w:t>
      </w:r>
      <w:r>
        <w:rPr>
          <w:rFonts w:cs="Times New Roman"/>
          <w:bCs/>
        </w:rPr>
        <w:fldChar w:fldCharType="begin" w:fldLock="1"/>
      </w:r>
      <w:r>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hAnsi="Cambria Math" w:cs="Cambria Math"/>
          <w:bCs/>
        </w:rPr>
        <w:instrText>‐</w:instrText>
      </w:r>
      <w:r>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cs="Times New Roman"/>
          <w:bCs/>
        </w:rPr>
        <w:fldChar w:fldCharType="separate"/>
      </w:r>
      <w:r w:rsidRPr="00391556">
        <w:rPr>
          <w:rFonts w:cs="Times New Roman"/>
          <w:bCs/>
          <w:noProof/>
        </w:rPr>
        <w:t>(Wheeldon et al., 2021)</w:t>
      </w:r>
      <w:r>
        <w:rPr>
          <w:rFonts w:cs="Times New Roman"/>
          <w:bCs/>
        </w:rPr>
        <w:fldChar w:fldCharType="end"/>
      </w:r>
      <w:r w:rsidRPr="00DB47BF">
        <w:rPr>
          <w:rFonts w:cs="Times New Roman"/>
          <w:bCs/>
        </w:rPr>
        <w:t xml:space="preserve">. Counting began at 3 weeks </w:t>
      </w:r>
      <w:r w:rsidR="0042470D">
        <w:rPr>
          <w:rFonts w:cs="Times New Roman"/>
          <w:bCs/>
        </w:rPr>
        <w:t xml:space="preserve">post germination </w:t>
      </w:r>
      <w:r w:rsidRPr="00DB47BF">
        <w:rPr>
          <w:rFonts w:cs="Times New Roman"/>
          <w:bCs/>
        </w:rPr>
        <w:t>as this was the point at which all soil volumes produce</w:t>
      </w:r>
      <w:r>
        <w:rPr>
          <w:rFonts w:cs="Times New Roman"/>
          <w:bCs/>
        </w:rPr>
        <w:t>d</w:t>
      </w:r>
      <w:r w:rsidRPr="00DB47BF">
        <w:rPr>
          <w:rFonts w:cs="Times New Roman"/>
          <w:bCs/>
        </w:rPr>
        <w:t xml:space="preserve"> their first tillers. Shortly after the first tillers were produced, there was a divergence in the number of tillers produced in each soil volume. This </w:t>
      </w:r>
      <w:r>
        <w:rPr>
          <w:rFonts w:cs="Times New Roman"/>
          <w:bCs/>
        </w:rPr>
        <w:t xml:space="preserve">suggests that by 3 weeks post germination </w:t>
      </w:r>
      <w:r w:rsidRPr="00DB47BF">
        <w:rPr>
          <w:rFonts w:cs="Times New Roman"/>
          <w:bCs/>
        </w:rPr>
        <w:t xml:space="preserve">the plants have detected the amount of soil volume available to them, and consequently have made a decision regarding their future growth strategy. Despite this, tillering continued for a further 2-4 weeks in all soil volumes. </w:t>
      </w:r>
      <w:r>
        <w:rPr>
          <w:rFonts w:cs="Times New Roman"/>
          <w:bCs/>
        </w:rPr>
        <w:t>The number of tillers produced within each soil volume did not differ in the plants which were supplemented with additional fertiliser (Fig. 4.</w:t>
      </w:r>
      <w:r w:rsidR="00256346">
        <w:rPr>
          <w:rFonts w:cs="Times New Roman"/>
          <w:bCs/>
        </w:rPr>
        <w:t>6</w:t>
      </w:r>
      <w:r>
        <w:rPr>
          <w:rFonts w:cs="Times New Roman"/>
          <w:bCs/>
        </w:rPr>
        <w:t xml:space="preserve">) </w:t>
      </w:r>
      <w:r>
        <w:rPr>
          <w:rFonts w:cs="Times New Roman"/>
          <w:bCs/>
        </w:rPr>
        <w:fldChar w:fldCharType="begin" w:fldLock="1"/>
      </w:r>
      <w:r>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hAnsi="Cambria Math" w:cs="Cambria Math"/>
          <w:bCs/>
        </w:rPr>
        <w:instrText>‐</w:instrText>
      </w:r>
      <w:r>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cs="Times New Roman"/>
          <w:bCs/>
        </w:rPr>
        <w:fldChar w:fldCharType="separate"/>
      </w:r>
      <w:r w:rsidRPr="007275F2">
        <w:rPr>
          <w:rFonts w:cs="Times New Roman"/>
          <w:bCs/>
          <w:noProof/>
        </w:rPr>
        <w:t>(Wheeldon et al., 2021)</w:t>
      </w:r>
      <w:r>
        <w:rPr>
          <w:rFonts w:cs="Times New Roman"/>
          <w:bCs/>
        </w:rPr>
        <w:fldChar w:fldCharType="end"/>
      </w:r>
      <w:r>
        <w:rPr>
          <w:rFonts w:cs="Times New Roman"/>
          <w:bCs/>
        </w:rPr>
        <w:t xml:space="preserve">. </w:t>
      </w:r>
    </w:p>
    <w:p w14:paraId="2E4E4259" w14:textId="64C26EE4" w:rsidR="00D2515E" w:rsidRDefault="00954E8A" w:rsidP="00F63A03">
      <w:pPr>
        <w:spacing w:line="480" w:lineRule="auto"/>
        <w:rPr>
          <w:rFonts w:cs="Times New Roman"/>
          <w:bCs/>
        </w:rPr>
      </w:pPr>
      <w:r>
        <w:rPr>
          <w:rFonts w:cs="Times New Roman"/>
          <w:bCs/>
          <w:noProof/>
        </w:rPr>
        <w:lastRenderedPageBreak/>
        <w:drawing>
          <wp:anchor distT="0" distB="0" distL="114300" distR="114300" simplePos="0" relativeHeight="251770368" behindDoc="0" locked="0" layoutInCell="1" allowOverlap="1" wp14:anchorId="154705F8" wp14:editId="1224FCAF">
            <wp:simplePos x="0" y="0"/>
            <wp:positionH relativeFrom="margin">
              <wp:align>left</wp:align>
            </wp:positionH>
            <wp:positionV relativeFrom="paragraph">
              <wp:posOffset>196</wp:posOffset>
            </wp:positionV>
            <wp:extent cx="4102735" cy="2965450"/>
            <wp:effectExtent l="0" t="0" r="0" b="6350"/>
            <wp:wrapSquare wrapText="bothSides"/>
            <wp:docPr id="1690205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05854" name="Picture 1690205854"/>
                    <pic:cNvPicPr/>
                  </pic:nvPicPr>
                  <pic:blipFill rotWithShape="1">
                    <a:blip r:embed="rId63" cstate="print">
                      <a:extLst>
                        <a:ext uri="{28A0092B-C50C-407E-A947-70E740481C1C}">
                          <a14:useLocalDpi xmlns:a14="http://schemas.microsoft.com/office/drawing/2010/main" val="0"/>
                        </a:ext>
                      </a:extLst>
                    </a:blip>
                    <a:srcRect b="3746"/>
                    <a:stretch/>
                  </pic:blipFill>
                  <pic:spPr bwMode="auto">
                    <a:xfrm>
                      <a:off x="0" y="0"/>
                      <a:ext cx="4102735" cy="2965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C4A8DB" w14:textId="06DCEED1" w:rsidR="00F63A03" w:rsidRPr="00F63A03" w:rsidRDefault="00F63A03" w:rsidP="00F63A03"/>
    <w:p w14:paraId="12E259AA" w14:textId="77777777" w:rsidR="00F63A03" w:rsidRPr="00F63A03" w:rsidRDefault="00F63A03" w:rsidP="00F63A03"/>
    <w:p w14:paraId="783D32E8" w14:textId="77777777" w:rsidR="00F63A03" w:rsidRPr="00F63A03" w:rsidRDefault="00F63A03" w:rsidP="00F63A03"/>
    <w:p w14:paraId="758DC7F8" w14:textId="77777777" w:rsidR="00F63A03" w:rsidRDefault="00F63A03" w:rsidP="00F63A03">
      <w:pPr>
        <w:rPr>
          <w:sz w:val="22"/>
        </w:rPr>
      </w:pPr>
    </w:p>
    <w:p w14:paraId="5BF58288" w14:textId="77777777" w:rsidR="00F63A03" w:rsidRDefault="00F63A03" w:rsidP="00F63A03">
      <w:pPr>
        <w:jc w:val="center"/>
      </w:pPr>
    </w:p>
    <w:p w14:paraId="5363159B" w14:textId="77777777" w:rsidR="005D31B2" w:rsidRDefault="005D31B2" w:rsidP="00F63A03">
      <w:pPr>
        <w:jc w:val="center"/>
      </w:pPr>
    </w:p>
    <w:p w14:paraId="1B7DEF79" w14:textId="77777777" w:rsidR="005D31B2" w:rsidRDefault="005D31B2" w:rsidP="00F63A03">
      <w:pPr>
        <w:jc w:val="center"/>
      </w:pPr>
    </w:p>
    <w:p w14:paraId="69F1D41B" w14:textId="77777777" w:rsidR="005D31B2" w:rsidRDefault="005D31B2" w:rsidP="00F63A03">
      <w:pPr>
        <w:jc w:val="center"/>
      </w:pPr>
    </w:p>
    <w:p w14:paraId="2AC3BF69" w14:textId="77777777" w:rsidR="00F63A03" w:rsidRDefault="00F63A03" w:rsidP="00954E8A"/>
    <w:p w14:paraId="5AB8D03C" w14:textId="254B1854" w:rsidR="00C53939" w:rsidRDefault="00C53939" w:rsidP="00C53939">
      <w:pPr>
        <w:pStyle w:val="Caption"/>
      </w:pPr>
      <w:bookmarkStart w:id="198" w:name="_Toc154331574"/>
      <w:r>
        <w:t xml:space="preserve">Figure </w:t>
      </w:r>
      <w:fldSimple w:instr=" STYLEREF 1 \s ">
        <w:r w:rsidR="004B7F70">
          <w:rPr>
            <w:noProof/>
          </w:rPr>
          <w:t>4</w:t>
        </w:r>
      </w:fldSimple>
      <w:r w:rsidR="00C97D34">
        <w:t>.</w:t>
      </w:r>
      <w:fldSimple w:instr=" SEQ Figure \* ARABIC \s 1 ">
        <w:r w:rsidR="004B7F70">
          <w:rPr>
            <w:noProof/>
          </w:rPr>
          <w:t>6</w:t>
        </w:r>
      </w:fldSimple>
      <w:r>
        <w:t xml:space="preserve"> </w:t>
      </w:r>
      <w:r w:rsidRPr="00794B54">
        <w:t>Soil volume influences tiller number in wheat</w:t>
      </w:r>
      <w:bookmarkEnd w:id="198"/>
    </w:p>
    <w:p w14:paraId="0EF36D0F" w14:textId="77777777" w:rsidR="00C53939" w:rsidRDefault="00C53939" w:rsidP="00C53939">
      <w:pPr>
        <w:pStyle w:val="Description"/>
      </w:pPr>
      <w:r w:rsidRPr="0096338E">
        <w:t>A</w:t>
      </w:r>
      <w:r>
        <w:t>)</w:t>
      </w:r>
      <w:r w:rsidRPr="0096338E">
        <w:t xml:space="preserve"> Line graph showing spring wheat plants (cv. Mulika), grown in 3 soil volumes: 100ml (lilac), 500ml (purple) and 2000ml (aubergine). Solid lines represent no additional fertiliser/ nutrients (NF) and dotted lines represent additional weekly fertiliser/ nutrients (F). Error bars represent s.e.m, n- 6-12.</w:t>
      </w:r>
    </w:p>
    <w:p w14:paraId="2BAB87F5" w14:textId="77777777" w:rsidR="00C53939" w:rsidRDefault="00C53939" w:rsidP="00C53939">
      <w:pPr>
        <w:pStyle w:val="Description"/>
      </w:pPr>
      <w:r>
        <w:t>Modified from Wheeldon et al, 2021.</w:t>
      </w:r>
    </w:p>
    <w:p w14:paraId="2C059271" w14:textId="77777777" w:rsidR="00C53939" w:rsidRDefault="00C53939" w:rsidP="00C53939">
      <w:pPr>
        <w:pStyle w:val="Description"/>
      </w:pPr>
    </w:p>
    <w:p w14:paraId="7EDC26A4" w14:textId="3F93ECE2" w:rsidR="00C53939" w:rsidRDefault="00C53939" w:rsidP="005D31B2">
      <w:pPr>
        <w:numPr>
          <w:ilvl w:val="1"/>
          <w:numId w:val="0"/>
        </w:numPr>
        <w:spacing w:before="160" w:line="480" w:lineRule="auto"/>
        <w:outlineLvl w:val="1"/>
        <w:rPr>
          <w:rFonts w:cs="Times New Roman"/>
          <w:bCs/>
        </w:rPr>
      </w:pPr>
      <w:r>
        <w:rPr>
          <w:rFonts w:cs="Times New Roman"/>
          <w:bCs/>
        </w:rPr>
        <w:t xml:space="preserve">As discussed in chapter 1, it is commonly assumed </w:t>
      </w:r>
      <w:r w:rsidRPr="00DB47BF">
        <w:rPr>
          <w:rFonts w:cs="Times New Roman"/>
          <w:bCs/>
        </w:rPr>
        <w:t xml:space="preserve">that the effects of small soil volumes are due to limited nutrient or water availability. However, this cannot be the explanation for these responses </w:t>
      </w:r>
      <w:r>
        <w:rPr>
          <w:rFonts w:cs="Times New Roman"/>
          <w:bCs/>
        </w:rPr>
        <w:t xml:space="preserve">in this experiment </w:t>
      </w:r>
      <w:r w:rsidRPr="00DB47BF">
        <w:rPr>
          <w:rFonts w:cs="Times New Roman"/>
          <w:bCs/>
        </w:rPr>
        <w:t xml:space="preserve">due to there being no water or nutrient deficit at 3 weeks post germination. </w:t>
      </w:r>
      <w:r>
        <w:rPr>
          <w:rFonts w:cs="Times New Roman"/>
          <w:bCs/>
        </w:rPr>
        <w:t>In the weeks subsequent to this, there was no difference in shoot size between the two nutrient regimes (within the same soil volume) (Fig. 4.</w:t>
      </w:r>
      <w:r w:rsidR="00256346">
        <w:rPr>
          <w:rFonts w:cs="Times New Roman"/>
          <w:bCs/>
        </w:rPr>
        <w:t>6</w:t>
      </w:r>
      <w:r>
        <w:rPr>
          <w:rFonts w:cs="Times New Roman"/>
          <w:bCs/>
        </w:rPr>
        <w:t xml:space="preserve">). </w:t>
      </w:r>
      <w:r w:rsidRPr="00DB47BF">
        <w:rPr>
          <w:rFonts w:cs="Times New Roman"/>
          <w:bCs/>
        </w:rPr>
        <w:t xml:space="preserve">In all cases, </w:t>
      </w:r>
      <w:r>
        <w:rPr>
          <w:rFonts w:cs="Times New Roman"/>
          <w:bCs/>
        </w:rPr>
        <w:t xml:space="preserve">regardless of being supplemented with additional fertiliser or not the wheat </w:t>
      </w:r>
      <w:r w:rsidRPr="00DB47BF">
        <w:rPr>
          <w:rFonts w:cs="Times New Roman"/>
          <w:bCs/>
        </w:rPr>
        <w:t>plants continued to grow healthily with no visible signs of stress even once tillers stopped being produced</w:t>
      </w:r>
      <w:r>
        <w:rPr>
          <w:rFonts w:cs="Times New Roman"/>
          <w:bCs/>
        </w:rPr>
        <w:t xml:space="preserve"> </w:t>
      </w:r>
      <w:r>
        <w:rPr>
          <w:rFonts w:cs="Times New Roman"/>
          <w:bCs/>
        </w:rPr>
        <w:fldChar w:fldCharType="begin" w:fldLock="1"/>
      </w:r>
      <w:r>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hAnsi="Cambria Math" w:cs="Cambria Math"/>
          <w:bCs/>
        </w:rPr>
        <w:instrText>‐</w:instrText>
      </w:r>
      <w:r>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cs="Times New Roman"/>
          <w:bCs/>
        </w:rPr>
        <w:fldChar w:fldCharType="separate"/>
      </w:r>
      <w:r w:rsidRPr="00BF465B">
        <w:rPr>
          <w:rFonts w:cs="Times New Roman"/>
          <w:bCs/>
          <w:noProof/>
        </w:rPr>
        <w:t>(Wheeldon et al., 2021)</w:t>
      </w:r>
      <w:r>
        <w:rPr>
          <w:rFonts w:cs="Times New Roman"/>
          <w:bCs/>
        </w:rPr>
        <w:fldChar w:fldCharType="end"/>
      </w:r>
      <w:r w:rsidRPr="00DB47BF">
        <w:rPr>
          <w:rFonts w:cs="Times New Roman"/>
          <w:bCs/>
        </w:rPr>
        <w:t>.</w:t>
      </w:r>
      <w:r>
        <w:rPr>
          <w:rFonts w:cs="Times New Roman"/>
          <w:bCs/>
        </w:rPr>
        <w:t xml:space="preserve"> </w:t>
      </w:r>
      <w:r w:rsidRPr="00142E76">
        <w:rPr>
          <w:rFonts w:cs="Times New Roman"/>
          <w:bCs/>
        </w:rPr>
        <w:t xml:space="preserve">This is not a surprise as such as other species have been shown to grow healthily even when subjected to small soil volumes </w:t>
      </w:r>
      <w:r>
        <w:rPr>
          <w:rFonts w:cs="Times New Roman"/>
          <w:bCs/>
        </w:rPr>
        <w:fldChar w:fldCharType="begin" w:fldLock="1"/>
      </w:r>
      <w:r>
        <w:rPr>
          <w:rFonts w:cs="Times New Roman"/>
          <w:bCs/>
        </w:rPr>
        <w:instrText>ADDIN CSL_CITATION {"citationItems":[{"id":"ITEM-1","itemData":{"DOI":"10.1071/FP12049","abstract":"The majority of experiments in plant biology use plants grown in some kind of container or pot. We conducted a meta-analysis on 65 studies that analysed the effect of pot size on growth and underlying variables. On average, a doubling of the pot size increased biomass production by 43%. Further analysis of pot size effects on the underlying components of growth suggests that reduced growth in smaller pots is caused mainly by a reduction in photosynthesis per unit leaf area, rather than by changes in leaf morphology or biomass allocation. The appropriate pot size will logically depend on the size of the plants growing in them. Based on various lines of evidence we suggest that an appropriate pot size is one in which the plant biomass does not exceed 1 g L –1 . In current research practice ~65% of the experiments exceed that threshold. We suggest that researchers need to carefully consider the pot size in their experiments, as small pots may change experimental results and defy the purpose of the experiment.","author":[{"dropping-particle":"","family":"Poorter","given":"Hendrik","non-dropping-particle":"","parse-names":false,"suffix":""},{"dropping-particle":"","family":"Bühler","given":"Jonas","non-dropping-particle":"","parse-names":false,"suffix":""},{"dropping-particle":"","family":"Dusschoten","given":"Dagmar","non-dropping-particle":"Van","parse-names":false,"suffix":""},{"dropping-particle":"","family":"Climent","given":"José","non-dropping-particle":"","parse-names":false,"suffix":""},{"dropping-particle":"","family":"Postma","given":"Johannes A","non-dropping-particle":"","parse-names":false,"suffix":""}],"container-title":"Functional Plant Biology","id":"ITEM-1","issued":{"date-parts":[["2012"]]},"page":"839-850","title":"Pot size matters: a meta-analysis of the effects of rooting volume on plant growth","type":"article-journal"},"uris":["http://www.mendeley.com/documents/?uuid=50c0b953-7302-331c-920d-755a5444cc77"]}],"mendeley":{"formattedCitation":"(Poorter et al., 2012)","plainTextFormattedCitation":"(Poorter et al., 2012)","previouslyFormattedCitation":"(Poorter et al., 2012)"},"properties":{"noteIndex":0},"schema":"https://github.com/citation-style-language/schema/raw/master/csl-citation.json"}</w:instrText>
      </w:r>
      <w:r>
        <w:rPr>
          <w:rFonts w:cs="Times New Roman"/>
          <w:bCs/>
        </w:rPr>
        <w:fldChar w:fldCharType="separate"/>
      </w:r>
      <w:r w:rsidRPr="000D28E3">
        <w:rPr>
          <w:rFonts w:cs="Times New Roman"/>
          <w:bCs/>
          <w:noProof/>
        </w:rPr>
        <w:t>(Poorter et al., 2012)</w:t>
      </w:r>
      <w:r>
        <w:rPr>
          <w:rFonts w:cs="Times New Roman"/>
          <w:bCs/>
        </w:rPr>
        <w:fldChar w:fldCharType="end"/>
      </w:r>
      <w:r w:rsidRPr="00DB47BF">
        <w:rPr>
          <w:rFonts w:cs="Times New Roman"/>
          <w:bCs/>
        </w:rPr>
        <w:t xml:space="preserve">, however if these </w:t>
      </w:r>
      <w:r>
        <w:rPr>
          <w:rFonts w:cs="Times New Roman"/>
          <w:bCs/>
        </w:rPr>
        <w:t xml:space="preserve">growth </w:t>
      </w:r>
      <w:r w:rsidRPr="00DB47BF">
        <w:rPr>
          <w:rFonts w:cs="Times New Roman"/>
          <w:bCs/>
        </w:rPr>
        <w:t xml:space="preserve">responses are not </w:t>
      </w:r>
      <w:r>
        <w:rPr>
          <w:rFonts w:cs="Times New Roman"/>
          <w:bCs/>
        </w:rPr>
        <w:t xml:space="preserve">driven by water and </w:t>
      </w:r>
      <w:r w:rsidRPr="00DB47BF">
        <w:rPr>
          <w:rFonts w:cs="Times New Roman"/>
          <w:bCs/>
        </w:rPr>
        <w:t>nutritiona</w:t>
      </w:r>
      <w:r>
        <w:rPr>
          <w:rFonts w:cs="Times New Roman"/>
          <w:bCs/>
        </w:rPr>
        <w:t>l limitation</w:t>
      </w:r>
      <w:r w:rsidRPr="00DB47BF">
        <w:rPr>
          <w:rFonts w:cs="Times New Roman"/>
          <w:bCs/>
        </w:rPr>
        <w:t xml:space="preserve">, how do plants </w:t>
      </w:r>
      <w:r w:rsidRPr="00DB47BF">
        <w:rPr>
          <w:rFonts w:cs="Times New Roman"/>
          <w:bCs/>
        </w:rPr>
        <w:lastRenderedPageBreak/>
        <w:t xml:space="preserve">detect their available soil volume and subsequently modulate their growth in response? </w:t>
      </w:r>
    </w:p>
    <w:p w14:paraId="4C8207E9" w14:textId="77777777" w:rsidR="00C53939" w:rsidRDefault="00C53939" w:rsidP="00C53939"/>
    <w:p w14:paraId="372D2D7F" w14:textId="5CE8CAA1" w:rsidR="00C53939" w:rsidRDefault="00C53939" w:rsidP="00743E4C">
      <w:pPr>
        <w:pStyle w:val="Heading3"/>
      </w:pPr>
      <w:bookmarkStart w:id="199" w:name="_Toc154331495"/>
      <w:r w:rsidRPr="00C53939">
        <w:t>Soil volume growth responses show two distinct phases</w:t>
      </w:r>
      <w:bookmarkEnd w:id="199"/>
    </w:p>
    <w:p w14:paraId="7C31E97A" w14:textId="34632DAB" w:rsidR="00C53939" w:rsidRDefault="00C53939" w:rsidP="00C53939">
      <w:pPr>
        <w:spacing w:line="480" w:lineRule="auto"/>
        <w:rPr>
          <w:rFonts w:cs="Times New Roman"/>
          <w:b/>
        </w:rPr>
      </w:pPr>
      <w:r>
        <w:rPr>
          <w:rFonts w:cs="Times New Roman"/>
          <w:bCs/>
        </w:rPr>
        <w:t xml:space="preserve">Since nutrient availability cannot plausibly explain the shoot growth responses to soil volume seen early in the life cycle, I </w:t>
      </w:r>
      <w:r w:rsidR="00CB178B" w:rsidRPr="00FB211E">
        <w:rPr>
          <w:rFonts w:cs="Times New Roman"/>
          <w:bCs/>
        </w:rPr>
        <w:t>developed</w:t>
      </w:r>
      <w:r>
        <w:rPr>
          <w:rFonts w:cs="Times New Roman"/>
          <w:bCs/>
        </w:rPr>
        <w:t xml:space="preserve"> two, non-mutually exclusive alternative hypotheses. Firstly, I hypothesised that wheat plants may use root exuded signals to determine their available space, and secondly, I hypothesised that mechanical interactions with the walls</w:t>
      </w:r>
      <w:r w:rsidR="000837E0">
        <w:rPr>
          <w:rFonts w:cs="Times New Roman"/>
          <w:bCs/>
        </w:rPr>
        <w:t xml:space="preserve"> of the</w:t>
      </w:r>
      <w:r>
        <w:rPr>
          <w:rFonts w:cs="Times New Roman"/>
          <w:bCs/>
        </w:rPr>
        <w:t xml:space="preserve"> </w:t>
      </w:r>
      <w:r w:rsidR="000837E0">
        <w:rPr>
          <w:rFonts w:cs="Times New Roman"/>
          <w:bCs/>
        </w:rPr>
        <w:t xml:space="preserve">pots </w:t>
      </w:r>
      <w:r>
        <w:rPr>
          <w:rFonts w:cs="Times New Roman"/>
          <w:bCs/>
        </w:rPr>
        <w:t xml:space="preserve">might allow plants to determine their available space. To try and distinguish between these possibilities, I performed an experiment in which wheat plants (cv. Mulika) were grown singly in 100ml standard pots or 100ml nylon mesh pots filled with compost for 4 weeks </w:t>
      </w:r>
      <w:r>
        <w:rPr>
          <w:rFonts w:cs="Times New Roman"/>
          <w:bCs/>
        </w:rPr>
        <w:fldChar w:fldCharType="begin" w:fldLock="1"/>
      </w:r>
      <w:r>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hAnsi="Cambria Math" w:cs="Cambria Math"/>
          <w:bCs/>
        </w:rPr>
        <w:instrText>‐</w:instrText>
      </w:r>
      <w:r>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cs="Times New Roman"/>
          <w:bCs/>
        </w:rPr>
        <w:fldChar w:fldCharType="separate"/>
      </w:r>
      <w:r w:rsidRPr="00745FBE">
        <w:rPr>
          <w:rFonts w:cs="Times New Roman"/>
          <w:bCs/>
          <w:noProof/>
        </w:rPr>
        <w:t>(Wheeldon et al., 2021)</w:t>
      </w:r>
      <w:r>
        <w:rPr>
          <w:rFonts w:cs="Times New Roman"/>
          <w:bCs/>
        </w:rPr>
        <w:fldChar w:fldCharType="end"/>
      </w:r>
      <w:r>
        <w:rPr>
          <w:rFonts w:cs="Times New Roman"/>
          <w:bCs/>
        </w:rPr>
        <w:t>. Importantly, this nylon mesh is impenetrable to plant roots, hence they are unable to grow through this, but any water, nutrients and substances can move through it. At 4 weeks post germination, two sets of plants remained in the same treatments; 100ml standard pots (treatment A) or 100ml mesh pots (treatment B). Three sets of plants were transferred into new treatments (treatments C-E). In one treatment, the 100ml standard pot was removed and the root ball was placed in a 2000ml pot that contained 1900ml of additional compost (treatment C). In a second treatment, plants were retained in 100ml standard pots but 1cm</w:t>
      </w:r>
      <w:r w:rsidRPr="0055043D">
        <w:rPr>
          <w:rFonts w:cs="Times New Roman"/>
          <w:bCs/>
          <w:vertAlign w:val="superscript"/>
        </w:rPr>
        <w:t>2</w:t>
      </w:r>
      <w:r>
        <w:rPr>
          <w:rFonts w:cs="Times New Roman"/>
          <w:bCs/>
        </w:rPr>
        <w:t xml:space="preserve"> square holes were cut in the four faces of the pot and then the modified pot was placed within 1900ml of compost (treatment D). Finally, in a third treatment plants grown in 100ml mesh pots were placed within </w:t>
      </w:r>
      <w:r w:rsidRPr="004F666B">
        <w:rPr>
          <w:rFonts w:cs="Times New Roman"/>
          <w:bCs/>
        </w:rPr>
        <w:t xml:space="preserve">1900ml of </w:t>
      </w:r>
      <w:r w:rsidRPr="004F666B">
        <w:rPr>
          <w:rFonts w:cs="Times New Roman"/>
          <w:bCs/>
        </w:rPr>
        <w:lastRenderedPageBreak/>
        <w:t>compost (treatment E)</w:t>
      </w:r>
      <w:r>
        <w:rPr>
          <w:rFonts w:cs="Times New Roman"/>
          <w:bCs/>
        </w:rPr>
        <w:t xml:space="preserve">, still within their nylon mesh pots </w:t>
      </w:r>
      <w:r w:rsidRPr="004F666B">
        <w:rPr>
          <w:rFonts w:cs="Times New Roman"/>
          <w:bCs/>
        </w:rPr>
        <w:t>(Fig 4.</w:t>
      </w:r>
      <w:r w:rsidR="00256346">
        <w:rPr>
          <w:rFonts w:cs="Times New Roman"/>
          <w:bCs/>
        </w:rPr>
        <w:t>7</w:t>
      </w:r>
      <w:r>
        <w:rPr>
          <w:rFonts w:cs="Times New Roman"/>
          <w:bCs/>
        </w:rPr>
        <w:t xml:space="preserve"> </w:t>
      </w:r>
      <w:r w:rsidRPr="004F666B">
        <w:rPr>
          <w:rFonts w:cs="Times New Roman"/>
          <w:bCs/>
        </w:rPr>
        <w:t>A)</w:t>
      </w:r>
      <w:r>
        <w:rPr>
          <w:rFonts w:cs="Times New Roman"/>
          <w:bCs/>
        </w:rPr>
        <w:t xml:space="preserve"> </w:t>
      </w:r>
      <w:r>
        <w:rPr>
          <w:rFonts w:cs="Times New Roman"/>
          <w:bCs/>
        </w:rPr>
        <w:fldChar w:fldCharType="begin" w:fldLock="1"/>
      </w:r>
      <w:r>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hAnsi="Cambria Math" w:cs="Cambria Math"/>
          <w:bCs/>
        </w:rPr>
        <w:instrText>‐</w:instrText>
      </w:r>
      <w:r>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cs="Times New Roman"/>
          <w:bCs/>
        </w:rPr>
        <w:fldChar w:fldCharType="separate"/>
      </w:r>
      <w:r w:rsidRPr="00F75C56">
        <w:rPr>
          <w:rFonts w:cs="Times New Roman"/>
          <w:bCs/>
          <w:noProof/>
        </w:rPr>
        <w:t>(Wheeldon et al., 2021)</w:t>
      </w:r>
      <w:r>
        <w:rPr>
          <w:rFonts w:cs="Times New Roman"/>
          <w:bCs/>
        </w:rPr>
        <w:fldChar w:fldCharType="end"/>
      </w:r>
      <w:r w:rsidRPr="004F666B">
        <w:rPr>
          <w:rFonts w:cs="Times New Roman"/>
          <w:bCs/>
        </w:rPr>
        <w:t>.</w:t>
      </w:r>
      <w:r w:rsidRPr="004F666B">
        <w:rPr>
          <w:rFonts w:cs="Times New Roman"/>
          <w:b/>
        </w:rPr>
        <w:t xml:space="preserve"> </w:t>
      </w:r>
    </w:p>
    <w:p w14:paraId="48C150AD" w14:textId="77777777" w:rsidR="00C53939" w:rsidRPr="004F666B" w:rsidRDefault="00C53939" w:rsidP="00C53939">
      <w:pPr>
        <w:spacing w:line="480" w:lineRule="auto"/>
        <w:rPr>
          <w:rFonts w:cs="Times New Roman"/>
          <w:b/>
        </w:rPr>
      </w:pPr>
      <w:r w:rsidRPr="008B4FF2">
        <w:rPr>
          <w:rFonts w:cs="Times New Roman"/>
          <w:bCs/>
        </w:rPr>
        <w:t>This experimental design allow</w:t>
      </w:r>
      <w:r>
        <w:rPr>
          <w:rFonts w:cs="Times New Roman"/>
          <w:bCs/>
        </w:rPr>
        <w:t xml:space="preserve">ed me to distinguish between the effects of ‘physical substrate volume’ (the space that roots can grow into and colonise), ‘chemical substrate volume’ (the space that roots can chemically access, even if they cannot physically grow into it) and mechanical impedance. Treatment A and B plants have the same physical and chemical substrate volume. Plants in treatment C and D have 2000ml of physical and chemical substrate volume. Treatment D however had a much higher amount of mechanical impedance, because most roots will still be impeded by the original pot walls. Treatment E has the same physical substrate volume (100ml) as treatments A and B but has the same chemical substrate volume as with treatments C and D </w:t>
      </w:r>
      <w:r>
        <w:rPr>
          <w:rFonts w:cs="Times New Roman"/>
          <w:bCs/>
        </w:rPr>
        <w:fldChar w:fldCharType="begin" w:fldLock="1"/>
      </w:r>
      <w:r>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hAnsi="Cambria Math" w:cs="Cambria Math"/>
          <w:bCs/>
        </w:rPr>
        <w:instrText>‐</w:instrText>
      </w:r>
      <w:r>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cs="Times New Roman"/>
          <w:bCs/>
        </w:rPr>
        <w:fldChar w:fldCharType="separate"/>
      </w:r>
      <w:r w:rsidRPr="00F756B7">
        <w:rPr>
          <w:rFonts w:cs="Times New Roman"/>
          <w:bCs/>
          <w:noProof/>
        </w:rPr>
        <w:t>(Wheeldon et al., 2021)</w:t>
      </w:r>
      <w:r>
        <w:rPr>
          <w:rFonts w:cs="Times New Roman"/>
          <w:bCs/>
        </w:rPr>
        <w:fldChar w:fldCharType="end"/>
      </w:r>
      <w:r>
        <w:rPr>
          <w:rFonts w:cs="Times New Roman"/>
          <w:bCs/>
        </w:rPr>
        <w:t xml:space="preserve">. </w:t>
      </w:r>
    </w:p>
    <w:p w14:paraId="3B40D5DD" w14:textId="3D61C7D1" w:rsidR="00C53939" w:rsidRDefault="00C53939" w:rsidP="00C53939">
      <w:pPr>
        <w:spacing w:line="480" w:lineRule="auto"/>
        <w:rPr>
          <w:rFonts w:cs="Times New Roman"/>
          <w:bCs/>
        </w:rPr>
      </w:pPr>
      <w:r>
        <w:rPr>
          <w:rFonts w:cs="Times New Roman"/>
          <w:bCs/>
        </w:rPr>
        <w:t>Using this set-up, tiller number was measured from week 3-11 post germination (Fig</w:t>
      </w:r>
      <w:r w:rsidR="0071448F">
        <w:rPr>
          <w:rFonts w:cs="Times New Roman"/>
          <w:bCs/>
        </w:rPr>
        <w:t>.</w:t>
      </w:r>
      <w:r>
        <w:rPr>
          <w:rFonts w:cs="Times New Roman"/>
          <w:bCs/>
        </w:rPr>
        <w:t xml:space="preserve"> 4.</w:t>
      </w:r>
      <w:r w:rsidR="00256346">
        <w:rPr>
          <w:rFonts w:cs="Times New Roman"/>
          <w:bCs/>
        </w:rPr>
        <w:t>7</w:t>
      </w:r>
      <w:r>
        <w:rPr>
          <w:rFonts w:cs="Times New Roman"/>
          <w:bCs/>
        </w:rPr>
        <w:t xml:space="preserve"> B). As expected, plants with the least available soil volume produced the least number of tillers (Treatments A and B). From 4 weeks post germination, the treatments diverge into 2 groups, treatment A and B, and treatments C, D and E. Treatments A and B behaved as expected, producing a maximum of ~1-2 tillers, strongly reflecting their available soil volume. Treatments C-E had a similar increase in tiller production until 5 weeks post germination where there is a further divergence and a steep increase in tiller production in treatments C and D. Treatments C and D produced a maximum tiller number of ~14 tillers, and treatment E produced a maximum of ~9 tillers (Fig. 4.</w:t>
      </w:r>
      <w:r w:rsidR="00256346">
        <w:rPr>
          <w:rFonts w:cs="Times New Roman"/>
          <w:bCs/>
        </w:rPr>
        <w:t>7</w:t>
      </w:r>
      <w:r>
        <w:rPr>
          <w:rFonts w:cs="Times New Roman"/>
          <w:bCs/>
        </w:rPr>
        <w:t xml:space="preserve"> B). In some respects, the greater tiller number in treatments C and D is unsurprising due to having the maximum amount of </w:t>
      </w:r>
      <w:r>
        <w:rPr>
          <w:rFonts w:cs="Times New Roman"/>
          <w:bCs/>
        </w:rPr>
        <w:lastRenderedPageBreak/>
        <w:t>physical substrate volume for their roots can occupy. Although treatment D plants experience high mechanical stress on their root systems (due to their roots navigating their way out of the holes in the small pot into the larger pot), they still grew as large as treatment C plants. Therefore, this suggests that mechanical stress on the root systems does not explain the growth differences between different soil volumes seen in other experiments. Tiller number production in Treatment E plants was fascinating as these plants had the same physical substrate volume as treatment A and B plants and yet treatment E plants were able to produce a much greater number of tillers, peaking at ~8 tillers</w:t>
      </w:r>
      <w:r w:rsidR="00337F9F">
        <w:rPr>
          <w:rFonts w:cs="Times New Roman"/>
          <w:bCs/>
        </w:rPr>
        <w:t xml:space="preserve"> (Fig. 4.</w:t>
      </w:r>
      <w:r w:rsidR="00647E95">
        <w:rPr>
          <w:rFonts w:cs="Times New Roman"/>
          <w:bCs/>
        </w:rPr>
        <w:t>7 B)</w:t>
      </w:r>
      <w:r>
        <w:rPr>
          <w:rFonts w:cs="Times New Roman"/>
          <w:bCs/>
        </w:rPr>
        <w:t xml:space="preserve">. This suggested that treatment E plants, were able to access the additional soil volume, perhaps by being able to diffuse some form of root produced signal into the larger soil volume, which allowed them to continue tillering for longer </w:t>
      </w:r>
      <w:r>
        <w:rPr>
          <w:rFonts w:cs="Times New Roman"/>
          <w:bCs/>
        </w:rPr>
        <w:fldChar w:fldCharType="begin" w:fldLock="1"/>
      </w:r>
      <w:r>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hAnsi="Cambria Math" w:cs="Cambria Math"/>
          <w:bCs/>
        </w:rPr>
        <w:instrText>‐</w:instrText>
      </w:r>
      <w:r>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cs="Times New Roman"/>
          <w:bCs/>
        </w:rPr>
        <w:fldChar w:fldCharType="separate"/>
      </w:r>
      <w:r w:rsidRPr="002B4E09">
        <w:rPr>
          <w:rFonts w:cs="Times New Roman"/>
          <w:bCs/>
          <w:noProof/>
        </w:rPr>
        <w:t>(Wheeldon et al., 2021)</w:t>
      </w:r>
      <w:r>
        <w:rPr>
          <w:rFonts w:cs="Times New Roman"/>
          <w:bCs/>
        </w:rPr>
        <w:fldChar w:fldCharType="end"/>
      </w:r>
      <w:r>
        <w:rPr>
          <w:rFonts w:cs="Times New Roman"/>
          <w:bCs/>
        </w:rPr>
        <w:t xml:space="preserve">. </w:t>
      </w:r>
    </w:p>
    <w:p w14:paraId="7ADD5090" w14:textId="45DA90F4" w:rsidR="00C53939" w:rsidRDefault="00C53939" w:rsidP="006C0EA3">
      <w:pPr>
        <w:spacing w:line="480" w:lineRule="auto"/>
        <w:rPr>
          <w:rFonts w:cs="Times New Roman"/>
          <w:bCs/>
        </w:rPr>
      </w:pPr>
      <w:r>
        <w:rPr>
          <w:rFonts w:cs="Times New Roman"/>
          <w:bCs/>
        </w:rPr>
        <w:t>This tillering data highlights that there appears to be 2 distinct phases in which plants detect and respond to their available space. In the first few weeks all treatments produce the same number of tillers (as they are all grown in the same small volume of pot), but then following the introduction of new treatments there is a shift where shoot growth begins to reflect available chemical substrate volume (weeks 3-5), and then a second shift where growth more reflects physical substrate volume (week 5 onwards). Nevertheless, the growth of plants in treatment E was still much greater than their physical substrate volume would have suggested during this timeframe.</w:t>
      </w:r>
    </w:p>
    <w:p w14:paraId="79E909B1" w14:textId="73C80F57" w:rsidR="00C53939" w:rsidRPr="00520F57" w:rsidRDefault="00520F57" w:rsidP="00520F57">
      <w:pPr>
        <w:spacing w:line="480" w:lineRule="auto"/>
        <w:rPr>
          <w:rFonts w:cs="Times New Roman"/>
          <w:bCs/>
        </w:rPr>
      </w:pPr>
      <w:r>
        <w:rPr>
          <w:rFonts w:cs="Times New Roman"/>
          <w:bCs/>
          <w:noProof/>
        </w:rPr>
        <w:lastRenderedPageBreak/>
        <w:drawing>
          <wp:anchor distT="0" distB="0" distL="114300" distR="114300" simplePos="0" relativeHeight="251833856" behindDoc="0" locked="0" layoutInCell="1" allowOverlap="1" wp14:anchorId="5F65BC02" wp14:editId="57D80573">
            <wp:simplePos x="0" y="0"/>
            <wp:positionH relativeFrom="margin">
              <wp:posOffset>-684</wp:posOffset>
            </wp:positionH>
            <wp:positionV relativeFrom="paragraph">
              <wp:posOffset>440</wp:posOffset>
            </wp:positionV>
            <wp:extent cx="5292528" cy="3031588"/>
            <wp:effectExtent l="0" t="0" r="3810" b="0"/>
            <wp:wrapSquare wrapText="bothSides"/>
            <wp:docPr id="1905355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355430" name="Picture 190535543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92528" cy="3031588"/>
                    </a:xfrm>
                    <a:prstGeom prst="rect">
                      <a:avLst/>
                    </a:prstGeom>
                  </pic:spPr>
                </pic:pic>
              </a:graphicData>
            </a:graphic>
            <wp14:sizeRelH relativeFrom="margin">
              <wp14:pctWidth>0</wp14:pctWidth>
            </wp14:sizeRelH>
            <wp14:sizeRelV relativeFrom="margin">
              <wp14:pctHeight>0</wp14:pctHeight>
            </wp14:sizeRelV>
          </wp:anchor>
        </w:drawing>
      </w:r>
    </w:p>
    <w:p w14:paraId="527574BE" w14:textId="4BF11C78" w:rsidR="00C53939" w:rsidRDefault="00C53939" w:rsidP="00C53939">
      <w:pPr>
        <w:pStyle w:val="Caption"/>
      </w:pPr>
      <w:bookmarkStart w:id="200" w:name="_Toc154331575"/>
      <w:r>
        <w:t xml:space="preserve">Figure </w:t>
      </w:r>
      <w:fldSimple w:instr=" STYLEREF 1 \s ">
        <w:r w:rsidR="004B7F70">
          <w:rPr>
            <w:noProof/>
          </w:rPr>
          <w:t>4</w:t>
        </w:r>
      </w:fldSimple>
      <w:r w:rsidR="00C97D34">
        <w:t>.</w:t>
      </w:r>
      <w:fldSimple w:instr=" SEQ Figure \* ARABIC \s 1 ">
        <w:r w:rsidR="004B7F70">
          <w:rPr>
            <w:noProof/>
          </w:rPr>
          <w:t>7</w:t>
        </w:r>
      </w:fldSimple>
      <w:r>
        <w:t xml:space="preserve"> </w:t>
      </w:r>
      <w:r w:rsidRPr="00FA3E1D">
        <w:t>Soil volume effects occur in 2 phases</w:t>
      </w:r>
      <w:bookmarkEnd w:id="200"/>
    </w:p>
    <w:p w14:paraId="034DCB5D" w14:textId="105E9CC0" w:rsidR="00C53939" w:rsidRPr="00C53939" w:rsidRDefault="00C53939" w:rsidP="00C53939">
      <w:pPr>
        <w:pStyle w:val="Description"/>
      </w:pPr>
      <w:r w:rsidRPr="00C53939">
        <w:t>A) Cartoon describing the experimental design. Dotted lines represent nylon mesh, solid black lines represent plastic pots. Treatment D involved 100ml plastic pots with 1x 1cm</w:t>
      </w:r>
      <w:r w:rsidRPr="00FB211E">
        <w:rPr>
          <w:vertAlign w:val="superscript"/>
        </w:rPr>
        <w:t>2</w:t>
      </w:r>
      <w:r w:rsidRPr="00C53939">
        <w:t xml:space="preserve"> holes cut on each face of the pot.</w:t>
      </w:r>
    </w:p>
    <w:p w14:paraId="5A7F6BA0" w14:textId="77777777" w:rsidR="00C53939" w:rsidRPr="00C53939" w:rsidRDefault="00C53939" w:rsidP="00C53939">
      <w:pPr>
        <w:pStyle w:val="Description"/>
      </w:pPr>
      <w:r w:rsidRPr="00C53939">
        <w:t>B) Line graph showing mean tiller number of spring wheat plants (cv. Mulika) grown in 5 treatments until 77 days post germination. Error bars represent the s.e.m, n=7-10.</w:t>
      </w:r>
    </w:p>
    <w:p w14:paraId="4052FB41" w14:textId="6550C5D9" w:rsidR="00C53939" w:rsidRDefault="00C53939" w:rsidP="00C53939">
      <w:pPr>
        <w:pStyle w:val="Description"/>
      </w:pPr>
      <w:r w:rsidRPr="00C53939">
        <w:t>Figure modified from Wheeldon et al (2021)</w:t>
      </w:r>
    </w:p>
    <w:p w14:paraId="0E312459" w14:textId="77777777" w:rsidR="00C53939" w:rsidRDefault="00C53939" w:rsidP="00C53939"/>
    <w:p w14:paraId="0D68B075" w14:textId="55634F75" w:rsidR="00C53939" w:rsidRDefault="00C53939" w:rsidP="00C53939">
      <w:pPr>
        <w:spacing w:line="480" w:lineRule="auto"/>
        <w:rPr>
          <w:rFonts w:cs="Times New Roman"/>
          <w:bCs/>
        </w:rPr>
      </w:pPr>
      <w:r>
        <w:rPr>
          <w:rFonts w:cs="Times New Roman"/>
          <w:bCs/>
        </w:rPr>
        <w:t>All treatment E plants were checked at the end of the experiment and any plants whose roots were not completely contained within the mesh pots were discarded from all analysis</w:t>
      </w:r>
      <w:r w:rsidR="00825476">
        <w:rPr>
          <w:rFonts w:cs="Times New Roman"/>
          <w:bCs/>
        </w:rPr>
        <w:t xml:space="preserve">, </w:t>
      </w:r>
      <w:r w:rsidR="00825476" w:rsidRPr="004B4014">
        <w:rPr>
          <w:rFonts w:cs="Times New Roman"/>
          <w:bCs/>
        </w:rPr>
        <w:t xml:space="preserve">therefore 3 plants were removed from the </w:t>
      </w:r>
      <w:r w:rsidR="00811EAC" w:rsidRPr="004B4014">
        <w:rPr>
          <w:rFonts w:cs="Times New Roman"/>
          <w:bCs/>
        </w:rPr>
        <w:t>analysis</w:t>
      </w:r>
      <w:r>
        <w:rPr>
          <w:rFonts w:cs="Times New Roman"/>
          <w:bCs/>
        </w:rPr>
        <w:t xml:space="preserve"> (Fig. 4.</w:t>
      </w:r>
      <w:r w:rsidR="00256346">
        <w:rPr>
          <w:rFonts w:cs="Times New Roman"/>
          <w:bCs/>
        </w:rPr>
        <w:t>8</w:t>
      </w:r>
      <w:r>
        <w:rPr>
          <w:rFonts w:cs="Times New Roman"/>
          <w:bCs/>
        </w:rPr>
        <w:t>A). The root balls of treatment E plants contained a very high density of roots with very little compost left at the end of the experiment (Fig. 4.</w:t>
      </w:r>
      <w:r w:rsidR="00256346">
        <w:rPr>
          <w:rFonts w:cs="Times New Roman"/>
          <w:bCs/>
        </w:rPr>
        <w:t>8</w:t>
      </w:r>
      <w:r>
        <w:rPr>
          <w:rFonts w:cs="Times New Roman"/>
          <w:bCs/>
        </w:rPr>
        <w:t xml:space="preserve">A). This suggests that the plants over-produced roots relative to their physical substrate volume, and more in keeping with their chemical substrate volume. </w:t>
      </w:r>
    </w:p>
    <w:p w14:paraId="04462338" w14:textId="41F61A4D" w:rsidR="00C53939" w:rsidRDefault="00C53939" w:rsidP="00C53939">
      <w:pPr>
        <w:spacing w:line="480" w:lineRule="auto"/>
        <w:rPr>
          <w:rFonts w:cs="Times New Roman"/>
          <w:bCs/>
        </w:rPr>
      </w:pPr>
      <w:r>
        <w:rPr>
          <w:rFonts w:cs="Times New Roman"/>
          <w:bCs/>
        </w:rPr>
        <w:t xml:space="preserve">To investigate if trends seen in tillering were reflected in dry shoot biomass, this was assessed at the end of the experiment. This was the case as treatments A and B plants </w:t>
      </w:r>
      <w:r w:rsidR="00D24FCA" w:rsidRPr="004B4014">
        <w:rPr>
          <w:rFonts w:cs="Times New Roman"/>
          <w:bCs/>
        </w:rPr>
        <w:t>led to</w:t>
      </w:r>
      <w:r>
        <w:rPr>
          <w:rFonts w:cs="Times New Roman"/>
          <w:bCs/>
        </w:rPr>
        <w:t xml:space="preserve"> the least shoot biomass, treatments C and D </w:t>
      </w:r>
      <w:r w:rsidR="00D24FCA" w:rsidRPr="004B4014">
        <w:rPr>
          <w:rFonts w:cs="Times New Roman"/>
          <w:bCs/>
        </w:rPr>
        <w:lastRenderedPageBreak/>
        <w:t>led to</w:t>
      </w:r>
      <w:r>
        <w:rPr>
          <w:rFonts w:cs="Times New Roman"/>
          <w:bCs/>
        </w:rPr>
        <w:t xml:space="preserve"> the greatest and treatment </w:t>
      </w:r>
      <w:r w:rsidRPr="004B4014">
        <w:rPr>
          <w:rFonts w:cs="Times New Roman"/>
          <w:bCs/>
        </w:rPr>
        <w:t xml:space="preserve">E </w:t>
      </w:r>
      <w:r w:rsidR="007539C4" w:rsidRPr="004B4014">
        <w:rPr>
          <w:rFonts w:cs="Times New Roman"/>
          <w:bCs/>
        </w:rPr>
        <w:t>had plants with</w:t>
      </w:r>
      <w:r w:rsidRPr="004B4014">
        <w:rPr>
          <w:rFonts w:cs="Times New Roman"/>
          <w:bCs/>
        </w:rPr>
        <w:t xml:space="preserve"> intermediate</w:t>
      </w:r>
      <w:r>
        <w:rPr>
          <w:rFonts w:cs="Times New Roman"/>
          <w:bCs/>
        </w:rPr>
        <w:t xml:space="preserve"> shoot </w:t>
      </w:r>
      <w:r w:rsidR="00D12D70">
        <w:rPr>
          <w:rFonts w:cs="Times New Roman"/>
          <w:bCs/>
          <w:noProof/>
        </w:rPr>
        <w:drawing>
          <wp:anchor distT="0" distB="0" distL="114300" distR="114300" simplePos="0" relativeHeight="251844096" behindDoc="0" locked="0" layoutInCell="1" allowOverlap="1" wp14:anchorId="16A636BB" wp14:editId="73C1E0C3">
            <wp:simplePos x="0" y="0"/>
            <wp:positionH relativeFrom="margin">
              <wp:align>left</wp:align>
            </wp:positionH>
            <wp:positionV relativeFrom="paragraph">
              <wp:posOffset>1033683</wp:posOffset>
            </wp:positionV>
            <wp:extent cx="5262245" cy="2510790"/>
            <wp:effectExtent l="0" t="0" r="0" b="3810"/>
            <wp:wrapSquare wrapText="bothSides"/>
            <wp:docPr id="1775858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858788" name="Picture 177585878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62245" cy="251079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bCs/>
        </w:rPr>
        <w:t>biomass between these groups (Fig 4.</w:t>
      </w:r>
      <w:r w:rsidR="00256346">
        <w:rPr>
          <w:rFonts w:cs="Times New Roman"/>
          <w:bCs/>
        </w:rPr>
        <w:t>8</w:t>
      </w:r>
      <w:r>
        <w:rPr>
          <w:rFonts w:cs="Times New Roman"/>
          <w:bCs/>
        </w:rPr>
        <w:t>B).</w:t>
      </w:r>
    </w:p>
    <w:p w14:paraId="18150BE7" w14:textId="6FDC81BC" w:rsidR="00C53939" w:rsidRPr="00C53939" w:rsidRDefault="00C53939" w:rsidP="00C53939"/>
    <w:p w14:paraId="1DD6BB56" w14:textId="77777777" w:rsidR="00C53939" w:rsidRPr="00C53939" w:rsidRDefault="00C53939" w:rsidP="00C53939"/>
    <w:p w14:paraId="3D6212DB" w14:textId="721C6A14" w:rsidR="00C53939" w:rsidRDefault="00C53939" w:rsidP="00C53939">
      <w:pPr>
        <w:pStyle w:val="Caption"/>
      </w:pPr>
      <w:bookmarkStart w:id="201" w:name="_Toc154331576"/>
      <w:r>
        <w:t xml:space="preserve">Figure </w:t>
      </w:r>
      <w:fldSimple w:instr=" STYLEREF 1 \s ">
        <w:r w:rsidR="004B7F70">
          <w:rPr>
            <w:noProof/>
          </w:rPr>
          <w:t>4</w:t>
        </w:r>
      </w:fldSimple>
      <w:r w:rsidR="00C97D34">
        <w:t>.</w:t>
      </w:r>
      <w:fldSimple w:instr=" SEQ Figure \* ARABIC \s 1 ">
        <w:r w:rsidR="004B7F70">
          <w:rPr>
            <w:noProof/>
          </w:rPr>
          <w:t>8</w:t>
        </w:r>
      </w:fldSimple>
      <w:r>
        <w:t xml:space="preserve"> </w:t>
      </w:r>
      <w:r w:rsidRPr="002C6AA3">
        <w:t>Shoot biomass reflects available chemical volume</w:t>
      </w:r>
      <w:bookmarkEnd w:id="201"/>
    </w:p>
    <w:p w14:paraId="21935FFE" w14:textId="43B96BB0" w:rsidR="00C53939" w:rsidRDefault="00C53939" w:rsidP="00C53939">
      <w:pPr>
        <w:pStyle w:val="Description"/>
      </w:pPr>
      <w:r>
        <w:t xml:space="preserve">A) Images of treatment E plants. Top: plant and root ball lifted out of the 2000ml pot showing no escape of roots through the mesh pot into the outer soil volume. Bottom: photo showing the base of the soil ball when </w:t>
      </w:r>
      <w:r w:rsidR="00CE649B">
        <w:t xml:space="preserve">the </w:t>
      </w:r>
      <w:r>
        <w:t>mesh pot</w:t>
      </w:r>
      <w:r w:rsidR="00CE649B">
        <w:t xml:space="preserve"> was</w:t>
      </w:r>
      <w:r>
        <w:t xml:space="preserve"> removed from treatment E plant.</w:t>
      </w:r>
    </w:p>
    <w:p w14:paraId="2DD64BEC" w14:textId="1A64C9BF" w:rsidR="00C53939" w:rsidRDefault="00C53939" w:rsidP="00C53939">
      <w:pPr>
        <w:pStyle w:val="Description"/>
      </w:pPr>
      <w:r>
        <w:t xml:space="preserve">B) Boxplot showing dry shoot biomass of wheat plants in treatments described in Fig 4.6 harvested at 77 days post germination. The box is the interquartile range, the midline of the box is the median, the whiskers are the minimum </w:t>
      </w:r>
      <w:r w:rsidR="00AA39AB">
        <w:t xml:space="preserve">and maximum </w:t>
      </w:r>
      <w:r>
        <w:t>values, the circle within the box is the mean. Boxes labelled with the same letter are not statistically different (One-way ANOVA with Tukey HSD), p&lt;0.05, n=7-10.</w:t>
      </w:r>
    </w:p>
    <w:p w14:paraId="68F9A644" w14:textId="112B5C80" w:rsidR="00C53939" w:rsidRDefault="00C53939" w:rsidP="00C53939">
      <w:pPr>
        <w:pStyle w:val="Description"/>
      </w:pPr>
      <w:r>
        <w:t>Figure modified from Wheeldon et al (2021)</w:t>
      </w:r>
    </w:p>
    <w:p w14:paraId="56743B57" w14:textId="77777777" w:rsidR="00C53939" w:rsidRDefault="00C53939" w:rsidP="00C53939"/>
    <w:p w14:paraId="77494A39" w14:textId="71B85F97" w:rsidR="00C53939" w:rsidRDefault="00C53939" w:rsidP="00C53939">
      <w:pPr>
        <w:numPr>
          <w:ilvl w:val="2"/>
          <w:numId w:val="0"/>
        </w:numPr>
        <w:spacing w:before="160" w:line="480" w:lineRule="auto"/>
        <w:outlineLvl w:val="2"/>
        <w:rPr>
          <w:rFonts w:cs="Times New Roman"/>
          <w:bCs/>
        </w:rPr>
      </w:pPr>
      <w:r>
        <w:rPr>
          <w:rFonts w:cs="Times New Roman"/>
          <w:bCs/>
        </w:rPr>
        <w:t xml:space="preserve">This experiment highlights that plants are limited by chemical substrate volume as well as physical substrate volume. Whenever wheat plants had a small physical substrate volume paired with a larger chemical substrate volume, this allowed them to grow larger than those </w:t>
      </w:r>
      <w:r w:rsidR="00B67168">
        <w:rPr>
          <w:rFonts w:cs="Times New Roman"/>
          <w:bCs/>
        </w:rPr>
        <w:t>which did not have access to</w:t>
      </w:r>
      <w:r>
        <w:rPr>
          <w:rFonts w:cs="Times New Roman"/>
          <w:bCs/>
        </w:rPr>
        <w:t xml:space="preserve"> additional chemical substrate volume. Therefore, this suggests that plants use root exuded signals to detect their available substrate volume and these can pass through the impermeable mesh to be diluted in the additional soil volume regardless of no physical presence of roots in this additional volume</w:t>
      </w:r>
      <w:r w:rsidR="00FA0A8C">
        <w:rPr>
          <w:rFonts w:cs="Times New Roman"/>
          <w:bCs/>
        </w:rPr>
        <w:t xml:space="preserve"> </w:t>
      </w:r>
      <w:r w:rsidR="00FA0A8C">
        <w:rPr>
          <w:rFonts w:cs="Times New Roman"/>
          <w:bCs/>
        </w:rPr>
        <w:lastRenderedPageBreak/>
        <w:fldChar w:fldCharType="begin" w:fldLock="1"/>
      </w:r>
      <w:r w:rsidR="00FA0A8C">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sidR="00FA0A8C">
        <w:rPr>
          <w:rFonts w:ascii="Cambria Math" w:hAnsi="Cambria Math" w:cs="Cambria Math"/>
          <w:bCs/>
        </w:rPr>
        <w:instrText>‐</w:instrText>
      </w:r>
      <w:r w:rsidR="00FA0A8C">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sidR="00FA0A8C">
        <w:rPr>
          <w:rFonts w:cs="Times New Roman"/>
          <w:bCs/>
        </w:rPr>
        <w:fldChar w:fldCharType="separate"/>
      </w:r>
      <w:r w:rsidR="00FA0A8C" w:rsidRPr="00745FBE">
        <w:rPr>
          <w:rFonts w:cs="Times New Roman"/>
          <w:bCs/>
          <w:noProof/>
        </w:rPr>
        <w:t>(Wheeldon et al., 2021)</w:t>
      </w:r>
      <w:r w:rsidR="00FA0A8C">
        <w:rPr>
          <w:rFonts w:cs="Times New Roman"/>
          <w:bCs/>
        </w:rPr>
        <w:fldChar w:fldCharType="end"/>
      </w:r>
      <w:r>
        <w:rPr>
          <w:rFonts w:cs="Times New Roman"/>
          <w:bCs/>
        </w:rPr>
        <w:t xml:space="preserve">. This experiment also gives an insight into a possible two phase mechanism of shoot growth in response to soil volume </w:t>
      </w:r>
      <w:r>
        <w:rPr>
          <w:rFonts w:cs="Times New Roman"/>
          <w:bCs/>
        </w:rPr>
        <w:fldChar w:fldCharType="begin" w:fldLock="1"/>
      </w:r>
      <w:r>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hAnsi="Cambria Math" w:cs="Cambria Math"/>
          <w:bCs/>
        </w:rPr>
        <w:instrText>‐</w:instrText>
      </w:r>
      <w:r>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cs="Times New Roman"/>
          <w:bCs/>
        </w:rPr>
        <w:fldChar w:fldCharType="separate"/>
      </w:r>
      <w:r w:rsidRPr="00745FBE">
        <w:rPr>
          <w:rFonts w:cs="Times New Roman"/>
          <w:bCs/>
          <w:noProof/>
        </w:rPr>
        <w:t>(Wheeldon et al., 2021)</w:t>
      </w:r>
      <w:r>
        <w:rPr>
          <w:rFonts w:cs="Times New Roman"/>
          <w:bCs/>
        </w:rPr>
        <w:fldChar w:fldCharType="end"/>
      </w:r>
      <w:r>
        <w:rPr>
          <w:rFonts w:cs="Times New Roman"/>
          <w:bCs/>
        </w:rPr>
        <w:t>.</w:t>
      </w:r>
    </w:p>
    <w:p w14:paraId="51B17586" w14:textId="14672DC2" w:rsidR="00C53939" w:rsidRDefault="00C53939" w:rsidP="00C53939">
      <w:pPr>
        <w:numPr>
          <w:ilvl w:val="2"/>
          <w:numId w:val="0"/>
        </w:numPr>
        <w:spacing w:before="160" w:line="480" w:lineRule="auto"/>
        <w:outlineLvl w:val="2"/>
        <w:rPr>
          <w:rFonts w:cs="Times New Roman"/>
          <w:bCs/>
        </w:rPr>
      </w:pPr>
      <w:r>
        <w:rPr>
          <w:rFonts w:cs="Times New Roman"/>
          <w:bCs/>
        </w:rPr>
        <w:t xml:space="preserve">In the second phase of growth, the differences </w:t>
      </w:r>
      <w:r w:rsidR="009842FA" w:rsidRPr="009E0BAA">
        <w:rPr>
          <w:rFonts w:cs="Times New Roman"/>
          <w:bCs/>
        </w:rPr>
        <w:t>in plants</w:t>
      </w:r>
      <w:r w:rsidR="009842FA">
        <w:rPr>
          <w:rFonts w:cs="Times New Roman"/>
          <w:bCs/>
        </w:rPr>
        <w:t xml:space="preserve"> </w:t>
      </w:r>
      <w:r>
        <w:rPr>
          <w:rFonts w:cs="Times New Roman"/>
          <w:bCs/>
        </w:rPr>
        <w:t xml:space="preserve">between treatments A and B with treatment E could be explained by two possibilities. The first possibility described above where exudates are able to be diluted into the larger soil volume in treatment E plants. However, the alternative possibility for treatment E plants being larger than treatment A and B plants is that they could simply be able to take up nutrients from the larger soil volume. Therefore, from this experimental design I cannot distinguish between the possibility of signal dilution or the role of nutrients driving the second phase of growth. Nevertheless, given the inability of nutrient addition to overcome growth limitations described earlier in this chapter, this indicates that signal dilution is more likely. </w:t>
      </w:r>
    </w:p>
    <w:p w14:paraId="02C07D4E" w14:textId="7D69DF86" w:rsidR="00C53939" w:rsidRDefault="00C53939" w:rsidP="00743E4C">
      <w:pPr>
        <w:pStyle w:val="Heading3"/>
      </w:pPr>
      <w:bookmarkStart w:id="202" w:name="_Toc154331496"/>
      <w:r w:rsidRPr="00C53939">
        <w:t>Early growth responses to soil volume availability do not require mechanical impedance or increased root density</w:t>
      </w:r>
      <w:bookmarkEnd w:id="202"/>
    </w:p>
    <w:p w14:paraId="14AF17D4" w14:textId="3A9A88F2" w:rsidR="00C53939" w:rsidRPr="00C54704" w:rsidRDefault="00C53939" w:rsidP="00C53939">
      <w:pPr>
        <w:spacing w:line="480" w:lineRule="auto"/>
        <w:rPr>
          <w:rFonts w:eastAsia="Calibri" w:cs="Times New Roman"/>
        </w:rPr>
      </w:pPr>
      <w:r w:rsidRPr="00C54704">
        <w:rPr>
          <w:rFonts w:eastAsia="Calibri" w:cs="Times New Roman"/>
        </w:rPr>
        <w:t xml:space="preserve">I hypothesised that </w:t>
      </w:r>
      <w:r>
        <w:rPr>
          <w:rFonts w:eastAsia="Calibri" w:cs="Times New Roman"/>
        </w:rPr>
        <w:t>several</w:t>
      </w:r>
      <w:r w:rsidRPr="00C54704">
        <w:rPr>
          <w:rFonts w:eastAsia="Calibri" w:cs="Times New Roman"/>
        </w:rPr>
        <w:t xml:space="preserve"> </w:t>
      </w:r>
      <w:r>
        <w:rPr>
          <w:rFonts w:eastAsia="Calibri" w:cs="Times New Roman"/>
        </w:rPr>
        <w:t>factors might explain the ability of</w:t>
      </w:r>
      <w:r w:rsidRPr="00C54704">
        <w:rPr>
          <w:rFonts w:eastAsia="Calibri" w:cs="Times New Roman"/>
        </w:rPr>
        <w:t xml:space="preserve"> plants </w:t>
      </w:r>
      <w:r>
        <w:rPr>
          <w:rFonts w:eastAsia="Calibri" w:cs="Times New Roman"/>
        </w:rPr>
        <w:t xml:space="preserve">to </w:t>
      </w:r>
      <w:r w:rsidRPr="00C54704">
        <w:rPr>
          <w:rFonts w:eastAsia="Calibri" w:cs="Times New Roman"/>
        </w:rPr>
        <w:t>detect their available soil volume</w:t>
      </w:r>
      <w:r>
        <w:rPr>
          <w:rFonts w:eastAsia="Calibri" w:cs="Times New Roman"/>
        </w:rPr>
        <w:t xml:space="preserve"> in the first phase of growth, as defined in Section 4.3.2.</w:t>
      </w:r>
      <w:r w:rsidRPr="00C54704">
        <w:rPr>
          <w:rFonts w:eastAsia="Calibri" w:cs="Times New Roman"/>
        </w:rPr>
        <w:t xml:space="preserve"> </w:t>
      </w:r>
      <w:r>
        <w:rPr>
          <w:rFonts w:eastAsia="Calibri" w:cs="Times New Roman"/>
        </w:rPr>
        <w:t xml:space="preserve">Firstly, as suggested in chapter 3, I hypothesised that the perception of root density could be a mechanism for the early detection of available space. However, I also hypothesised that early responses </w:t>
      </w:r>
      <w:r w:rsidRPr="00C54704">
        <w:rPr>
          <w:rFonts w:eastAsia="Calibri" w:cs="Times New Roman"/>
        </w:rPr>
        <w:t>could</w:t>
      </w:r>
      <w:r>
        <w:rPr>
          <w:rFonts w:eastAsia="Calibri" w:cs="Times New Roman"/>
        </w:rPr>
        <w:t xml:space="preserve"> also</w:t>
      </w:r>
      <w:r w:rsidRPr="00C54704">
        <w:rPr>
          <w:rFonts w:eastAsia="Calibri" w:cs="Times New Roman"/>
        </w:rPr>
        <w:t xml:space="preserve"> be due to the roots hitting the sides of the pot</w:t>
      </w:r>
      <w:r>
        <w:rPr>
          <w:rFonts w:eastAsia="Calibri" w:cs="Times New Roman"/>
        </w:rPr>
        <w:t xml:space="preserve"> (this would likely occur sooner in small pots)</w:t>
      </w:r>
      <w:r w:rsidRPr="00C54704">
        <w:rPr>
          <w:rFonts w:eastAsia="Calibri" w:cs="Times New Roman"/>
        </w:rPr>
        <w:t xml:space="preserve">. </w:t>
      </w:r>
      <w:r>
        <w:rPr>
          <w:rFonts w:eastAsia="Calibri" w:cs="Times New Roman"/>
        </w:rPr>
        <w:t xml:space="preserve">Since chemical substrate volume seems very important in the first phase, I also hypothesised that the dilution of a root exudate within the substrate might explain these responses. </w:t>
      </w:r>
    </w:p>
    <w:p w14:paraId="1C31CBA0" w14:textId="21B0D3A3" w:rsidR="00C53939" w:rsidRDefault="00C53939" w:rsidP="00C53939">
      <w:pPr>
        <w:spacing w:line="480" w:lineRule="auto"/>
        <w:rPr>
          <w:rFonts w:eastAsia="Calibri" w:cs="Times New Roman"/>
        </w:rPr>
      </w:pPr>
      <w:r w:rsidRPr="00C54704">
        <w:rPr>
          <w:rFonts w:eastAsia="Calibri" w:cs="Times New Roman"/>
        </w:rPr>
        <w:lastRenderedPageBreak/>
        <w:t>To explore these hypotheses, I grew wheat plants (</w:t>
      </w:r>
      <w:r>
        <w:rPr>
          <w:rFonts w:eastAsia="Calibri" w:cs="Times New Roman"/>
        </w:rPr>
        <w:t>c</w:t>
      </w:r>
      <w:r w:rsidRPr="00C54704">
        <w:rPr>
          <w:rFonts w:eastAsia="Calibri" w:cs="Times New Roman"/>
        </w:rPr>
        <w:t xml:space="preserve">v. Mulika) in 100 and 300ml </w:t>
      </w:r>
      <w:r>
        <w:rPr>
          <w:rFonts w:eastAsia="Calibri" w:cs="Times New Roman"/>
        </w:rPr>
        <w:t xml:space="preserve">of compost in </w:t>
      </w:r>
      <w:r w:rsidRPr="00C54704">
        <w:rPr>
          <w:rFonts w:eastAsia="Calibri" w:cs="Times New Roman"/>
        </w:rPr>
        <w:t>clear plastic containers</w:t>
      </w:r>
      <w:r>
        <w:rPr>
          <w:rFonts w:eastAsia="Calibri" w:cs="Times New Roman"/>
        </w:rPr>
        <w:t xml:space="preserve"> </w:t>
      </w:r>
      <w:r>
        <w:rPr>
          <w:rFonts w:eastAsia="Calibri" w:cs="Times New Roman"/>
        </w:rPr>
        <w:fldChar w:fldCharType="begin" w:fldLock="1"/>
      </w:r>
      <w:r>
        <w:rPr>
          <w:rFonts w:eastAsia="Calibri" w:cs="Times New Roman"/>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eastAsia="Calibri" w:hAnsi="Cambria Math" w:cs="Cambria Math"/>
        </w:rPr>
        <w:instrText>‐</w:instrText>
      </w:r>
      <w:r>
        <w:rPr>
          <w:rFonts w:eastAsia="Calibri" w:cs="Times New Roman"/>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eastAsia="Calibri" w:cs="Times New Roman"/>
        </w:rPr>
        <w:fldChar w:fldCharType="separate"/>
      </w:r>
      <w:r w:rsidRPr="00A621F6">
        <w:rPr>
          <w:rFonts w:eastAsia="Calibri" w:cs="Times New Roman"/>
          <w:noProof/>
        </w:rPr>
        <w:t>(Wheeldon et al., 2021)</w:t>
      </w:r>
      <w:r>
        <w:rPr>
          <w:rFonts w:eastAsia="Calibri" w:cs="Times New Roman"/>
        </w:rPr>
        <w:fldChar w:fldCharType="end"/>
      </w:r>
      <w:r w:rsidRPr="00C54704">
        <w:rPr>
          <w:rFonts w:eastAsia="Calibri" w:cs="Times New Roman"/>
        </w:rPr>
        <w:t xml:space="preserve">. This allowed </w:t>
      </w:r>
      <w:r>
        <w:rPr>
          <w:rFonts w:eastAsia="Calibri" w:cs="Times New Roman"/>
        </w:rPr>
        <w:t xml:space="preserve">for </w:t>
      </w:r>
      <w:r w:rsidRPr="00C54704">
        <w:rPr>
          <w:rFonts w:eastAsia="Calibri" w:cs="Times New Roman"/>
        </w:rPr>
        <w:t>root growth to be assessed through the clear walls</w:t>
      </w:r>
      <w:r>
        <w:rPr>
          <w:rFonts w:eastAsia="Calibri" w:cs="Times New Roman"/>
        </w:rPr>
        <w:t>,</w:t>
      </w:r>
      <w:r w:rsidRPr="00C54704">
        <w:rPr>
          <w:rFonts w:eastAsia="Calibri" w:cs="Times New Roman"/>
        </w:rPr>
        <w:t xml:space="preserve"> whilst also recording tiller number until 7 weeks post germination. Weekly images of each pot face </w:t>
      </w:r>
      <w:r>
        <w:rPr>
          <w:rFonts w:eastAsia="Calibri" w:cs="Times New Roman"/>
        </w:rPr>
        <w:t xml:space="preserve">(the four sides and the base) </w:t>
      </w:r>
      <w:r w:rsidRPr="00C54704">
        <w:rPr>
          <w:rFonts w:eastAsia="Calibri" w:cs="Times New Roman"/>
        </w:rPr>
        <w:t>were captured</w:t>
      </w:r>
      <w:r>
        <w:rPr>
          <w:rFonts w:eastAsia="Calibri" w:cs="Times New Roman"/>
        </w:rPr>
        <w:t xml:space="preserve"> </w:t>
      </w:r>
      <w:r w:rsidRPr="00A77627">
        <w:rPr>
          <w:rFonts w:eastAsia="Calibri" w:cs="Times New Roman"/>
        </w:rPr>
        <w:t xml:space="preserve">and using a similar method to that described in Section 3.4, root density was assessed (further detail in </w:t>
      </w:r>
      <w:r w:rsidRPr="00C00599">
        <w:rPr>
          <w:rFonts w:eastAsia="Calibri" w:cs="Times New Roman"/>
        </w:rPr>
        <w:t>Chapter 2).</w:t>
      </w:r>
      <w:r w:rsidRPr="00C54704">
        <w:rPr>
          <w:rFonts w:eastAsia="Calibri" w:cs="Times New Roman"/>
        </w:rPr>
        <w:t xml:space="preserve"> </w:t>
      </w:r>
      <w:r>
        <w:rPr>
          <w:rFonts w:eastAsia="Calibri" w:cs="Times New Roman"/>
        </w:rPr>
        <w:t>I</w:t>
      </w:r>
      <w:r w:rsidRPr="00C54704">
        <w:rPr>
          <w:rFonts w:eastAsia="Calibri" w:cs="Times New Roman"/>
        </w:rPr>
        <w:t xml:space="preserve"> saw that roots had already hit the sides of the pot within the first week of life. </w:t>
      </w:r>
      <w:r>
        <w:rPr>
          <w:rFonts w:eastAsia="Calibri" w:cs="Times New Roman"/>
        </w:rPr>
        <w:t>This early mechanical stimulus was the same for both soil volumes, suggesting that this is unlikely to be the cause of shoot growth differences seen later in life (Fig. 4.</w:t>
      </w:r>
      <w:r w:rsidR="00256346">
        <w:rPr>
          <w:rFonts w:eastAsia="Calibri" w:cs="Times New Roman"/>
        </w:rPr>
        <w:t>9</w:t>
      </w:r>
      <w:r>
        <w:rPr>
          <w:rFonts w:eastAsia="Calibri" w:cs="Times New Roman"/>
        </w:rPr>
        <w:t xml:space="preserve">A) </w:t>
      </w:r>
      <w:r>
        <w:rPr>
          <w:rFonts w:eastAsia="Calibri" w:cs="Times New Roman"/>
        </w:rPr>
        <w:fldChar w:fldCharType="begin" w:fldLock="1"/>
      </w:r>
      <w:r>
        <w:rPr>
          <w:rFonts w:eastAsia="Calibri" w:cs="Times New Roman"/>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eastAsia="Calibri" w:hAnsi="Cambria Math" w:cs="Cambria Math"/>
        </w:rPr>
        <w:instrText>‐</w:instrText>
      </w:r>
      <w:r>
        <w:rPr>
          <w:rFonts w:eastAsia="Calibri" w:cs="Times New Roman"/>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eastAsia="Calibri" w:cs="Times New Roman"/>
        </w:rPr>
        <w:fldChar w:fldCharType="separate"/>
      </w:r>
      <w:r w:rsidRPr="009F3274">
        <w:rPr>
          <w:rFonts w:eastAsia="Calibri" w:cs="Times New Roman"/>
          <w:noProof/>
        </w:rPr>
        <w:t>(Wheeldon et al., 2021)</w:t>
      </w:r>
      <w:r>
        <w:rPr>
          <w:rFonts w:eastAsia="Calibri" w:cs="Times New Roman"/>
        </w:rPr>
        <w:fldChar w:fldCharType="end"/>
      </w:r>
      <w:r>
        <w:rPr>
          <w:rFonts w:eastAsia="Calibri" w:cs="Times New Roman"/>
        </w:rPr>
        <w:t>. As expected, plants grown in the 300ml pots produced a greater shoot biomass than those in the 100ml pots when this was assessed at 8 weeks post germination (Fig. 4.</w:t>
      </w:r>
      <w:r w:rsidR="00256346">
        <w:rPr>
          <w:rFonts w:eastAsia="Calibri" w:cs="Times New Roman"/>
        </w:rPr>
        <w:t>9</w:t>
      </w:r>
      <w:r>
        <w:rPr>
          <w:rFonts w:eastAsia="Calibri" w:cs="Times New Roman"/>
        </w:rPr>
        <w:t xml:space="preserve">B). </w:t>
      </w:r>
    </w:p>
    <w:p w14:paraId="3553C570" w14:textId="77777777" w:rsidR="00210FC9" w:rsidRDefault="00210FC9" w:rsidP="00C53939">
      <w:pPr>
        <w:spacing w:line="480" w:lineRule="auto"/>
        <w:rPr>
          <w:rFonts w:eastAsia="Calibri" w:cs="Times New Roman"/>
        </w:rPr>
      </w:pPr>
    </w:p>
    <w:p w14:paraId="0E5B25E1" w14:textId="77777777" w:rsidR="00210FC9" w:rsidRDefault="00210FC9" w:rsidP="00C53939">
      <w:pPr>
        <w:spacing w:line="480" w:lineRule="auto"/>
        <w:rPr>
          <w:rFonts w:eastAsia="Calibri" w:cs="Times New Roman"/>
        </w:rPr>
      </w:pPr>
    </w:p>
    <w:p w14:paraId="0C8C3AF0" w14:textId="77777777" w:rsidR="00210FC9" w:rsidRDefault="00210FC9" w:rsidP="00C53939">
      <w:pPr>
        <w:spacing w:line="480" w:lineRule="auto"/>
        <w:rPr>
          <w:rFonts w:eastAsia="Calibri" w:cs="Times New Roman"/>
        </w:rPr>
      </w:pPr>
    </w:p>
    <w:p w14:paraId="5AE4C3F9" w14:textId="77777777" w:rsidR="00210FC9" w:rsidRDefault="00210FC9" w:rsidP="00C53939">
      <w:pPr>
        <w:spacing w:line="480" w:lineRule="auto"/>
        <w:rPr>
          <w:rFonts w:eastAsia="Calibri" w:cs="Times New Roman"/>
        </w:rPr>
      </w:pPr>
    </w:p>
    <w:p w14:paraId="2F7D3720" w14:textId="77777777" w:rsidR="00210FC9" w:rsidRDefault="00210FC9" w:rsidP="00C53939">
      <w:pPr>
        <w:spacing w:line="480" w:lineRule="auto"/>
        <w:rPr>
          <w:rFonts w:eastAsia="Calibri" w:cs="Times New Roman"/>
        </w:rPr>
      </w:pPr>
    </w:p>
    <w:p w14:paraId="628C23CF" w14:textId="337D81CE" w:rsidR="00C53939" w:rsidRPr="00C53939" w:rsidRDefault="00C53939" w:rsidP="00C53939">
      <w:r>
        <w:rPr>
          <w:rFonts w:eastAsia="Calibri" w:cs="Times New Roman"/>
          <w:noProof/>
        </w:rPr>
        <w:lastRenderedPageBreak/>
        <w:drawing>
          <wp:anchor distT="0" distB="0" distL="114300" distR="114300" simplePos="0" relativeHeight="251775488" behindDoc="0" locked="0" layoutInCell="1" allowOverlap="1" wp14:anchorId="70E97F58" wp14:editId="48C7460F">
            <wp:simplePos x="0" y="0"/>
            <wp:positionH relativeFrom="margin">
              <wp:posOffset>0</wp:posOffset>
            </wp:positionH>
            <wp:positionV relativeFrom="paragraph">
              <wp:posOffset>307340</wp:posOffset>
            </wp:positionV>
            <wp:extent cx="5226050" cy="2224405"/>
            <wp:effectExtent l="0" t="0" r="0" b="4445"/>
            <wp:wrapSquare wrapText="bothSides"/>
            <wp:docPr id="15846450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45019" name="Picture 1584645019"/>
                    <pic:cNvPicPr/>
                  </pic:nvPicPr>
                  <pic:blipFill rotWithShape="1">
                    <a:blip r:embed="rId66" cstate="print">
                      <a:extLst>
                        <a:ext uri="{28A0092B-C50C-407E-A947-70E740481C1C}">
                          <a14:useLocalDpi xmlns:a14="http://schemas.microsoft.com/office/drawing/2010/main" val="0"/>
                        </a:ext>
                      </a:extLst>
                    </a:blip>
                    <a:srcRect r="6772"/>
                    <a:stretch/>
                  </pic:blipFill>
                  <pic:spPr bwMode="auto">
                    <a:xfrm>
                      <a:off x="0" y="0"/>
                      <a:ext cx="5226050" cy="2224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848E89" w14:textId="77777777" w:rsidR="00C53939" w:rsidRPr="00C53939" w:rsidRDefault="00C53939" w:rsidP="00C53939"/>
    <w:p w14:paraId="3BC1EB46" w14:textId="0FE92565" w:rsidR="00C53939" w:rsidRDefault="00C53939" w:rsidP="00C53939">
      <w:pPr>
        <w:pStyle w:val="Caption"/>
      </w:pPr>
      <w:bookmarkStart w:id="203" w:name="_Toc154331577"/>
      <w:r>
        <w:t xml:space="preserve">Figure </w:t>
      </w:r>
      <w:fldSimple w:instr=" STYLEREF 1 \s ">
        <w:r w:rsidR="004B7F70">
          <w:rPr>
            <w:noProof/>
          </w:rPr>
          <w:t>4</w:t>
        </w:r>
      </w:fldSimple>
      <w:r w:rsidR="00C97D34">
        <w:t>.</w:t>
      </w:r>
      <w:fldSimple w:instr=" SEQ Figure \* ARABIC \s 1 ">
        <w:r w:rsidR="004B7F70">
          <w:rPr>
            <w:noProof/>
          </w:rPr>
          <w:t>9</w:t>
        </w:r>
      </w:fldSimple>
      <w:r>
        <w:t xml:space="preserve"> </w:t>
      </w:r>
      <w:r w:rsidRPr="009970E2">
        <w:t>Substrate volume sensing is not due to a mechanical factor</w:t>
      </w:r>
      <w:bookmarkEnd w:id="203"/>
    </w:p>
    <w:p w14:paraId="519D59BB" w14:textId="77777777" w:rsidR="00047A5A" w:rsidRPr="006C59EE" w:rsidRDefault="00047A5A" w:rsidP="00047A5A">
      <w:pPr>
        <w:pStyle w:val="Description"/>
        <w:rPr>
          <w:rFonts w:eastAsia="Calibri"/>
        </w:rPr>
      </w:pPr>
      <w:r w:rsidRPr="006C59EE">
        <w:rPr>
          <w:rFonts w:eastAsia="Calibri"/>
        </w:rPr>
        <w:t xml:space="preserve">Figures showing wheat (cv. Mulika) grown in 2 soil volumes. </w:t>
      </w:r>
    </w:p>
    <w:p w14:paraId="1C88311B" w14:textId="74E7DD7D" w:rsidR="00047A5A" w:rsidRPr="003D077E" w:rsidRDefault="00047A5A" w:rsidP="00047A5A">
      <w:pPr>
        <w:pStyle w:val="Description"/>
        <w:rPr>
          <w:rFonts w:eastAsia="Calibri"/>
        </w:rPr>
      </w:pPr>
      <w:r w:rsidRPr="003D077E">
        <w:rPr>
          <w:rFonts w:eastAsia="Calibri"/>
        </w:rPr>
        <w:t>A)</w:t>
      </w:r>
      <w:r>
        <w:rPr>
          <w:rFonts w:eastAsia="Calibri"/>
        </w:rPr>
        <w:t xml:space="preserve"> </w:t>
      </w:r>
      <w:r w:rsidRPr="003D077E">
        <w:rPr>
          <w:rFonts w:eastAsia="Calibri"/>
        </w:rPr>
        <w:t>Images of wheat plants in 100ml (left</w:t>
      </w:r>
      <w:r w:rsidR="00447E1A">
        <w:rPr>
          <w:rFonts w:eastAsia="Calibri"/>
        </w:rPr>
        <w:t>)</w:t>
      </w:r>
      <w:r w:rsidRPr="003D077E">
        <w:rPr>
          <w:rFonts w:eastAsia="Calibri"/>
        </w:rPr>
        <w:t xml:space="preserve"> and 300ml (right) clear walled containers at 1 week post germination. Scale bar represents 1cm.</w:t>
      </w:r>
    </w:p>
    <w:p w14:paraId="2FD087F1" w14:textId="77777777" w:rsidR="00047A5A" w:rsidRPr="0026336A" w:rsidRDefault="00047A5A" w:rsidP="00047A5A">
      <w:pPr>
        <w:pStyle w:val="Description"/>
      </w:pPr>
      <w:r w:rsidRPr="0026336A">
        <w:t>B) Boxplot showing dry shoot biomass (g) of wheat plants grown in 2 soil volumes harvested at 8 weeks post germination. The box indicates the interquartile range, the midline indicates the median, the whiskers are the minimum and maximum values, the circle within the box is the mean. Asterisks show significant difference between the treatments (</w:t>
      </w:r>
      <w:r>
        <w:t xml:space="preserve">Independent samples </w:t>
      </w:r>
      <w:r w:rsidRPr="0026336A">
        <w:t>t-test, p&lt;0.05), n=8.</w:t>
      </w:r>
    </w:p>
    <w:p w14:paraId="6DFBE5B1" w14:textId="77777777" w:rsidR="00047A5A" w:rsidRDefault="00047A5A" w:rsidP="00047A5A">
      <w:pPr>
        <w:pStyle w:val="Description"/>
        <w:rPr>
          <w:rFonts w:eastAsia="Calibri"/>
        </w:rPr>
      </w:pPr>
      <w:r w:rsidRPr="00175311">
        <w:rPr>
          <w:rFonts w:eastAsia="Calibri"/>
        </w:rPr>
        <w:t>Figures adapted from Wheeldon et al</w:t>
      </w:r>
      <w:r>
        <w:rPr>
          <w:rFonts w:eastAsia="Calibri"/>
        </w:rPr>
        <w:t>,</w:t>
      </w:r>
      <w:r w:rsidRPr="00175311">
        <w:rPr>
          <w:rFonts w:eastAsia="Calibri"/>
        </w:rPr>
        <w:t xml:space="preserve"> 2021</w:t>
      </w:r>
      <w:r>
        <w:rPr>
          <w:rFonts w:eastAsia="Calibri"/>
        </w:rPr>
        <w:t>.</w:t>
      </w:r>
    </w:p>
    <w:p w14:paraId="41B4A5AB" w14:textId="77777777" w:rsidR="00047A5A" w:rsidRPr="00047A5A" w:rsidRDefault="00047A5A" w:rsidP="00047A5A">
      <w:pPr>
        <w:rPr>
          <w:rFonts w:eastAsia="Calibri"/>
        </w:rPr>
      </w:pPr>
    </w:p>
    <w:p w14:paraId="2144B9B6" w14:textId="207BDCB3" w:rsidR="00047A5A" w:rsidRDefault="00047A5A" w:rsidP="00047A5A">
      <w:pPr>
        <w:spacing w:line="480" w:lineRule="auto"/>
        <w:rPr>
          <w:rFonts w:eastAsia="Calibri" w:cs="Times New Roman"/>
        </w:rPr>
      </w:pPr>
      <w:r>
        <w:rPr>
          <w:rFonts w:eastAsia="Calibri" w:cs="Times New Roman"/>
        </w:rPr>
        <w:t xml:space="preserve">To investigate if root density plays a role in </w:t>
      </w:r>
      <w:r w:rsidRPr="00663401">
        <w:rPr>
          <w:rFonts w:eastAsia="Calibri" w:cs="Times New Roman"/>
        </w:rPr>
        <w:t>early</w:t>
      </w:r>
      <w:r>
        <w:rPr>
          <w:rFonts w:eastAsia="Calibri" w:cs="Times New Roman"/>
        </w:rPr>
        <w:t xml:space="preserve"> shoot growth responses to substrate volume, I tracked tiller number alongside root growth. I observed that t</w:t>
      </w:r>
      <w:r w:rsidRPr="00C54704">
        <w:rPr>
          <w:rFonts w:eastAsia="Calibri" w:cs="Times New Roman"/>
        </w:rPr>
        <w:t>iller number diverged between week 3 and 4 post germination with more tillers being produced in the 300ml pots. Regardless of the soil volume, tiller production stopped at 4 weeks post germination</w:t>
      </w:r>
      <w:r>
        <w:rPr>
          <w:rFonts w:eastAsia="Calibri" w:cs="Times New Roman"/>
        </w:rPr>
        <w:t xml:space="preserve"> (Fig 4.10A).</w:t>
      </w:r>
    </w:p>
    <w:p w14:paraId="6F10F941" w14:textId="19B5B01B" w:rsidR="00047A5A" w:rsidRDefault="00047A5A" w:rsidP="00047A5A">
      <w:pPr>
        <w:spacing w:line="480" w:lineRule="auto"/>
        <w:rPr>
          <w:rFonts w:eastAsia="Calibri" w:cs="Times New Roman"/>
        </w:rPr>
      </w:pPr>
      <w:r>
        <w:rPr>
          <w:rFonts w:eastAsia="Calibri" w:cs="Times New Roman"/>
        </w:rPr>
        <w:t xml:space="preserve">However, comparing this to visible root growth of plants (quantified here by visible density of roots, </w:t>
      </w:r>
      <w:r w:rsidRPr="00242910">
        <w:rPr>
          <w:rFonts w:eastAsia="Calibri" w:cs="Times New Roman"/>
        </w:rPr>
        <w:t>described in Chapter 2</w:t>
      </w:r>
      <w:r>
        <w:rPr>
          <w:rFonts w:eastAsia="Calibri" w:cs="Times New Roman"/>
        </w:rPr>
        <w:t xml:space="preserve">), root growth clearly continued at linear rate in both treatments </w:t>
      </w:r>
      <w:r w:rsidRPr="00C54704">
        <w:rPr>
          <w:rFonts w:eastAsia="Calibri" w:cs="Times New Roman"/>
        </w:rPr>
        <w:t>until 5-week post germination</w:t>
      </w:r>
      <w:r>
        <w:rPr>
          <w:rFonts w:eastAsia="Calibri" w:cs="Times New Roman"/>
        </w:rPr>
        <w:t>, with root density being elevated in the small pots (Fig. 4.10B)</w:t>
      </w:r>
      <w:r w:rsidRPr="00C54704">
        <w:rPr>
          <w:rFonts w:eastAsia="Calibri" w:cs="Times New Roman"/>
        </w:rPr>
        <w:t xml:space="preserve">. </w:t>
      </w:r>
      <w:r>
        <w:rPr>
          <w:rFonts w:eastAsia="Calibri" w:cs="Times New Roman"/>
        </w:rPr>
        <w:t xml:space="preserve">At this point (5 weeks post germination), the plants in the smaller pots seemed to reach their critical root density (as discussed in Chapter 3) and stopped producing new roots. </w:t>
      </w:r>
      <w:r>
        <w:rPr>
          <w:rFonts w:eastAsia="Calibri" w:cs="Times New Roman"/>
        </w:rPr>
        <w:lastRenderedPageBreak/>
        <w:t xml:space="preserve">Tiller production ceased (4 weeks post germination) earlier than these changes in the root system, </w:t>
      </w:r>
      <w:r w:rsidRPr="00C54704">
        <w:rPr>
          <w:rFonts w:eastAsia="Calibri" w:cs="Times New Roman"/>
        </w:rPr>
        <w:t>therefore suggest</w:t>
      </w:r>
      <w:r>
        <w:rPr>
          <w:rFonts w:eastAsia="Calibri" w:cs="Times New Roman"/>
        </w:rPr>
        <w:t>ing</w:t>
      </w:r>
      <w:r w:rsidRPr="00C54704">
        <w:rPr>
          <w:rFonts w:eastAsia="Calibri" w:cs="Times New Roman"/>
        </w:rPr>
        <w:t xml:space="preserve"> that </w:t>
      </w:r>
      <w:r>
        <w:rPr>
          <w:rFonts w:eastAsia="Calibri" w:cs="Times New Roman"/>
        </w:rPr>
        <w:t>the changes</w:t>
      </w:r>
      <w:r w:rsidRPr="00C54704">
        <w:rPr>
          <w:rFonts w:eastAsia="Calibri" w:cs="Times New Roman"/>
        </w:rPr>
        <w:t xml:space="preserve"> </w:t>
      </w:r>
      <w:r>
        <w:rPr>
          <w:rFonts w:eastAsia="Calibri" w:cs="Times New Roman"/>
        </w:rPr>
        <w:t>in</w:t>
      </w:r>
      <w:r w:rsidRPr="00C54704">
        <w:rPr>
          <w:rFonts w:eastAsia="Calibri" w:cs="Times New Roman"/>
        </w:rPr>
        <w:t xml:space="preserve"> tiller production </w:t>
      </w:r>
      <w:r>
        <w:rPr>
          <w:rFonts w:eastAsia="Calibri" w:cs="Times New Roman"/>
        </w:rPr>
        <w:t xml:space="preserve">occurring at 3-4 weeks </w:t>
      </w:r>
      <w:r w:rsidRPr="00C54704">
        <w:rPr>
          <w:rFonts w:eastAsia="Calibri" w:cs="Times New Roman"/>
        </w:rPr>
        <w:t xml:space="preserve">did not correlate </w:t>
      </w:r>
      <w:r>
        <w:rPr>
          <w:rFonts w:eastAsia="Calibri" w:cs="Times New Roman"/>
        </w:rPr>
        <w:t>with changes in root growth or reaching a critical root density</w:t>
      </w:r>
      <w:r w:rsidR="0016241C">
        <w:rPr>
          <w:rFonts w:eastAsia="Calibri" w:cs="Times New Roman"/>
        </w:rPr>
        <w:t xml:space="preserve"> </w:t>
      </w:r>
      <w:r w:rsidR="00463648">
        <w:rPr>
          <w:rFonts w:eastAsia="Calibri" w:cs="Times New Roman"/>
        </w:rPr>
        <w:t>(Fig. 4.10)</w:t>
      </w:r>
      <w:r>
        <w:rPr>
          <w:rFonts w:eastAsia="Calibri" w:cs="Times New Roman"/>
        </w:rPr>
        <w:t xml:space="preserve">. These observations suggest that the early phase of growth </w:t>
      </w:r>
      <w:r w:rsidR="00C304F9" w:rsidRPr="00312D6E">
        <w:rPr>
          <w:rFonts w:eastAsia="Calibri" w:cs="Times New Roman"/>
        </w:rPr>
        <w:t xml:space="preserve">(up to </w:t>
      </w:r>
      <w:r w:rsidR="00372748" w:rsidRPr="00312D6E">
        <w:rPr>
          <w:rFonts w:eastAsia="Calibri" w:cs="Times New Roman"/>
        </w:rPr>
        <w:t>4-5 weeks post germination)</w:t>
      </w:r>
      <w:r w:rsidR="00372748">
        <w:rPr>
          <w:rFonts w:eastAsia="Calibri" w:cs="Times New Roman"/>
        </w:rPr>
        <w:t xml:space="preserve"> </w:t>
      </w:r>
      <w:r>
        <w:rPr>
          <w:rFonts w:eastAsia="Calibri" w:cs="Times New Roman"/>
        </w:rPr>
        <w:t xml:space="preserve">is only dependent on soil volume, not mechanical impedance or root density. Furthermore, these data show that the early phase of soil volume response only affects shoot growth, and does not affect root growth, which only begins to change in the second response phase </w:t>
      </w:r>
      <w:r>
        <w:rPr>
          <w:rFonts w:eastAsia="Calibri" w:cs="Times New Roman"/>
        </w:rPr>
        <w:fldChar w:fldCharType="begin" w:fldLock="1"/>
      </w:r>
      <w:r>
        <w:rPr>
          <w:rFonts w:eastAsia="Calibri" w:cs="Times New Roman"/>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eastAsia="Calibri" w:hAnsi="Cambria Math" w:cs="Cambria Math"/>
        </w:rPr>
        <w:instrText>‐</w:instrText>
      </w:r>
      <w:r>
        <w:rPr>
          <w:rFonts w:eastAsia="Calibri" w:cs="Times New Roman"/>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eastAsia="Calibri" w:cs="Times New Roman"/>
        </w:rPr>
        <w:fldChar w:fldCharType="separate"/>
      </w:r>
      <w:r w:rsidRPr="00A91263">
        <w:rPr>
          <w:rFonts w:eastAsia="Calibri" w:cs="Times New Roman"/>
          <w:noProof/>
        </w:rPr>
        <w:t>(Wheeldon et al., 2021)</w:t>
      </w:r>
      <w:r>
        <w:rPr>
          <w:rFonts w:eastAsia="Calibri" w:cs="Times New Roman"/>
        </w:rPr>
        <w:fldChar w:fldCharType="end"/>
      </w:r>
      <w:r>
        <w:rPr>
          <w:rFonts w:eastAsia="Calibri" w:cs="Times New Roman"/>
        </w:rPr>
        <w:t xml:space="preserve">. </w:t>
      </w:r>
    </w:p>
    <w:p w14:paraId="426BBC3C" w14:textId="1CE76DCE" w:rsidR="00047A5A" w:rsidRPr="00047A5A" w:rsidRDefault="00047A5A" w:rsidP="00047A5A">
      <w:pPr>
        <w:rPr>
          <w:rFonts w:eastAsia="Calibri"/>
        </w:rPr>
      </w:pPr>
      <w:r>
        <w:rPr>
          <w:rFonts w:eastAsia="Calibri" w:cs="Times New Roman"/>
          <w:noProof/>
        </w:rPr>
        <w:drawing>
          <wp:anchor distT="0" distB="0" distL="114300" distR="114300" simplePos="0" relativeHeight="251780608" behindDoc="0" locked="0" layoutInCell="1" allowOverlap="1" wp14:anchorId="756C416A" wp14:editId="55166795">
            <wp:simplePos x="0" y="0"/>
            <wp:positionH relativeFrom="margin">
              <wp:posOffset>0</wp:posOffset>
            </wp:positionH>
            <wp:positionV relativeFrom="paragraph">
              <wp:posOffset>306705</wp:posOffset>
            </wp:positionV>
            <wp:extent cx="5396230" cy="2454275"/>
            <wp:effectExtent l="0" t="0" r="0" b="3175"/>
            <wp:wrapSquare wrapText="bothSides"/>
            <wp:docPr id="214939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39587" name="Picture 21493958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96230" cy="2454275"/>
                    </a:xfrm>
                    <a:prstGeom prst="rect">
                      <a:avLst/>
                    </a:prstGeom>
                  </pic:spPr>
                </pic:pic>
              </a:graphicData>
            </a:graphic>
          </wp:anchor>
        </w:drawing>
      </w:r>
    </w:p>
    <w:p w14:paraId="351AC932" w14:textId="77777777" w:rsidR="00047A5A" w:rsidRPr="00047A5A" w:rsidRDefault="00047A5A" w:rsidP="00047A5A">
      <w:pPr>
        <w:pStyle w:val="Description"/>
      </w:pPr>
    </w:p>
    <w:p w14:paraId="55C8F4E4" w14:textId="2E2C65C3" w:rsidR="00C53939" w:rsidRDefault="00047A5A" w:rsidP="00047A5A">
      <w:pPr>
        <w:pStyle w:val="Caption"/>
      </w:pPr>
      <w:bookmarkStart w:id="204" w:name="_Toc154331578"/>
      <w:r>
        <w:t xml:space="preserve">Figure </w:t>
      </w:r>
      <w:fldSimple w:instr=" STYLEREF 1 \s ">
        <w:r w:rsidR="004B7F70">
          <w:rPr>
            <w:noProof/>
          </w:rPr>
          <w:t>4</w:t>
        </w:r>
      </w:fldSimple>
      <w:r w:rsidR="00C97D34">
        <w:t>.</w:t>
      </w:r>
      <w:fldSimple w:instr=" SEQ Figure \* ARABIC \s 1 ">
        <w:r w:rsidR="004B7F70">
          <w:rPr>
            <w:noProof/>
          </w:rPr>
          <w:t>10</w:t>
        </w:r>
      </w:fldSimple>
      <w:r>
        <w:t xml:space="preserve"> </w:t>
      </w:r>
      <w:r w:rsidRPr="00B00FEE">
        <w:t>Root density is not involved in early responses to substrate volume</w:t>
      </w:r>
      <w:bookmarkEnd w:id="204"/>
    </w:p>
    <w:p w14:paraId="6F0E39AD" w14:textId="77777777" w:rsidR="00047A5A" w:rsidRPr="00096899" w:rsidRDefault="00047A5A" w:rsidP="00047A5A">
      <w:pPr>
        <w:pStyle w:val="Description"/>
        <w:rPr>
          <w:rFonts w:eastAsia="Calibri"/>
        </w:rPr>
      </w:pPr>
      <w:r w:rsidRPr="00096899">
        <w:rPr>
          <w:rFonts w:eastAsia="Calibri"/>
        </w:rPr>
        <w:t>Figures showing wheat (cv. Mulika) grown in 2 soil volumes.</w:t>
      </w:r>
    </w:p>
    <w:p w14:paraId="0FC79BE9" w14:textId="77777777" w:rsidR="00047A5A" w:rsidRPr="00096899" w:rsidRDefault="00047A5A" w:rsidP="00047A5A">
      <w:pPr>
        <w:pStyle w:val="Description"/>
        <w:rPr>
          <w:rFonts w:eastAsia="Calibri"/>
        </w:rPr>
      </w:pPr>
      <w:r w:rsidRPr="00096899">
        <w:rPr>
          <w:rFonts w:eastAsia="Calibri"/>
        </w:rPr>
        <w:t>A) Line graph showing tiller number overtime until day 49 post germination. Error bars represent S.E.M, asterisks represent statistical significance between the 100ml and 300ml containers (Mann-Whitney U test, p&lt;0.05), n=8.</w:t>
      </w:r>
    </w:p>
    <w:p w14:paraId="77B4E912" w14:textId="0322D1DF" w:rsidR="00047A5A" w:rsidRPr="00096899" w:rsidRDefault="00047A5A" w:rsidP="00047A5A">
      <w:pPr>
        <w:pStyle w:val="Description"/>
        <w:rPr>
          <w:rFonts w:eastAsia="Calibri"/>
        </w:rPr>
      </w:pPr>
      <w:r w:rsidRPr="00096899">
        <w:rPr>
          <w:rFonts w:eastAsia="Calibri"/>
        </w:rPr>
        <w:t>B) Line graph showing root density visible through the clear walls of the containers in the form of a ‘R</w:t>
      </w:r>
      <w:r>
        <w:rPr>
          <w:rFonts w:eastAsia="Calibri"/>
        </w:rPr>
        <w:t xml:space="preserve">oot </w:t>
      </w:r>
      <w:r w:rsidRPr="00096899">
        <w:rPr>
          <w:rFonts w:eastAsia="Calibri"/>
        </w:rPr>
        <w:t>D</w:t>
      </w:r>
      <w:r>
        <w:rPr>
          <w:rFonts w:eastAsia="Calibri"/>
        </w:rPr>
        <w:t>ensity</w:t>
      </w:r>
      <w:r w:rsidRPr="00096899">
        <w:rPr>
          <w:rFonts w:eastAsia="Calibri"/>
        </w:rPr>
        <w:t xml:space="preserve"> Score’. Error bars represent S.E.M, asterisks represent statistical significance between the 100ml and 300ml containers at 3 time points (</w:t>
      </w:r>
      <w:r>
        <w:rPr>
          <w:rFonts w:eastAsia="Calibri"/>
        </w:rPr>
        <w:t xml:space="preserve">Independent samples </w:t>
      </w:r>
      <w:r w:rsidRPr="00096899">
        <w:rPr>
          <w:rFonts w:eastAsia="Calibri"/>
        </w:rPr>
        <w:t>t</w:t>
      </w:r>
      <w:r>
        <w:rPr>
          <w:rFonts w:eastAsia="Calibri"/>
        </w:rPr>
        <w:t>-</w:t>
      </w:r>
      <w:r w:rsidRPr="00096899">
        <w:rPr>
          <w:rFonts w:eastAsia="Calibri"/>
        </w:rPr>
        <w:t>test used for day 21 and 28, Mann-Whitney U test used for day 35 post germination, p&lt;0.05), n=5-8.</w:t>
      </w:r>
    </w:p>
    <w:p w14:paraId="725E56EA" w14:textId="77777777" w:rsidR="00047A5A" w:rsidRDefault="00047A5A" w:rsidP="00047A5A">
      <w:pPr>
        <w:pStyle w:val="Description"/>
        <w:rPr>
          <w:rFonts w:eastAsia="Calibri"/>
        </w:rPr>
      </w:pPr>
      <w:r w:rsidRPr="00096899">
        <w:rPr>
          <w:rFonts w:eastAsia="Calibri"/>
        </w:rPr>
        <w:t>Figure modified from Wheeldon et al (2021).</w:t>
      </w:r>
    </w:p>
    <w:p w14:paraId="244742C4" w14:textId="77777777" w:rsidR="00047A5A" w:rsidRPr="00047A5A" w:rsidRDefault="00047A5A" w:rsidP="00047A5A">
      <w:pPr>
        <w:pStyle w:val="Description"/>
      </w:pPr>
    </w:p>
    <w:p w14:paraId="270EF2FD" w14:textId="15AD98A0" w:rsidR="00047A5A" w:rsidRDefault="00047A5A" w:rsidP="00047A5A">
      <w:pPr>
        <w:spacing w:line="480" w:lineRule="auto"/>
        <w:rPr>
          <w:rFonts w:eastAsia="Calibri" w:cs="Times New Roman"/>
        </w:rPr>
      </w:pPr>
      <w:r>
        <w:rPr>
          <w:rFonts w:eastAsia="Calibri" w:cs="Times New Roman"/>
        </w:rPr>
        <w:lastRenderedPageBreak/>
        <w:t xml:space="preserve">Together these data suggest that early growth responses do not involve </w:t>
      </w:r>
      <w:r w:rsidR="00FF5F90">
        <w:rPr>
          <w:rFonts w:eastAsia="Calibri" w:cs="Times New Roman"/>
        </w:rPr>
        <w:t xml:space="preserve">any effects of mechanical impedance or </w:t>
      </w:r>
      <w:r>
        <w:rPr>
          <w:rFonts w:eastAsia="Calibri" w:cs="Times New Roman"/>
        </w:rPr>
        <w:t>root density. Instead, they suggest the existence of a highly mobile root exuded chemical that inhibits shoot growth unless diluted, which can diffuse into the available chemical substrate volume allowing the plants to grow larger, even if they have a very limited physical substrate volume.</w:t>
      </w:r>
    </w:p>
    <w:p w14:paraId="39AFEEEE" w14:textId="77777777" w:rsidR="00C53939" w:rsidRDefault="00C53939" w:rsidP="00C53939"/>
    <w:p w14:paraId="2DCF3907" w14:textId="6C22251E" w:rsidR="00047A5A" w:rsidRDefault="00047A5A" w:rsidP="00743E4C">
      <w:pPr>
        <w:pStyle w:val="Heading3"/>
      </w:pPr>
      <w:bookmarkStart w:id="205" w:name="_Toc154331497"/>
      <w:r w:rsidRPr="00047A5A">
        <w:t>Late growth responses are likely due to root density</w:t>
      </w:r>
      <w:bookmarkEnd w:id="205"/>
    </w:p>
    <w:p w14:paraId="3CD9900F" w14:textId="77777777" w:rsidR="00047A5A" w:rsidRDefault="00047A5A" w:rsidP="00047A5A"/>
    <w:p w14:paraId="1EF6ACD1" w14:textId="2E5081C4" w:rsidR="00047A5A" w:rsidRDefault="00047A5A" w:rsidP="00047A5A">
      <w:pPr>
        <w:spacing w:line="480" w:lineRule="auto"/>
        <w:rPr>
          <w:rFonts w:eastAsia="Calibri" w:cs="Times New Roman"/>
        </w:rPr>
      </w:pPr>
      <w:r>
        <w:rPr>
          <w:rFonts w:eastAsia="Calibri" w:cs="Times New Roman"/>
        </w:rPr>
        <w:t>The experiment described in Section 4.3.3 showed additional changes in shoot growth after 5 weeks post germination. Plants began to lose tillers, but at a much greater rate in the smaller soil volume (Fig. 4.10A)</w:t>
      </w:r>
      <w:r w:rsidRPr="00C54704">
        <w:rPr>
          <w:rFonts w:eastAsia="Calibri" w:cs="Times New Roman"/>
        </w:rPr>
        <w:t xml:space="preserve">. </w:t>
      </w:r>
      <w:r>
        <w:rPr>
          <w:rFonts w:eastAsia="Calibri" w:cs="Times New Roman"/>
        </w:rPr>
        <w:t>As a result, the treatments followed the expected pattern of shoot biomass allocation, where the plants in the 300ml pots produced a higher shoot biomass than those in 100ml pots (Fig. 4.</w:t>
      </w:r>
      <w:r w:rsidR="00A3130F">
        <w:rPr>
          <w:rFonts w:eastAsia="Calibri" w:cs="Times New Roman"/>
        </w:rPr>
        <w:t>9</w:t>
      </w:r>
      <w:r>
        <w:rPr>
          <w:rFonts w:eastAsia="Calibri" w:cs="Times New Roman"/>
        </w:rPr>
        <w:t xml:space="preserve">B). These data seem to indicate that a second phase of shoot growth responses to soil volume also occurred in this experiment. </w:t>
      </w:r>
    </w:p>
    <w:p w14:paraId="44C709C9" w14:textId="73172129" w:rsidR="00A3130F" w:rsidRDefault="00A3130F" w:rsidP="00A3130F">
      <w:pPr>
        <w:spacing w:line="480" w:lineRule="auto"/>
        <w:rPr>
          <w:rFonts w:eastAsia="Calibri" w:cs="Times New Roman"/>
        </w:rPr>
      </w:pPr>
      <w:r>
        <w:rPr>
          <w:rFonts w:eastAsia="Calibri" w:cs="Times New Roman"/>
        </w:rPr>
        <w:t>Unlike the early shoot growth responses, the changes in tiller senescence between the treatments after 5 weeks seems to be associated with changes in root growth. After 5 weeks, root growth seems to cease in the 100ml pots (Fig. 4.10B), perhaps upon reaching a critical root density, as seen in the experiments in Chapter 3.3. R</w:t>
      </w:r>
      <w:r w:rsidRPr="00C54704">
        <w:rPr>
          <w:rFonts w:eastAsia="Calibri" w:cs="Times New Roman"/>
        </w:rPr>
        <w:t xml:space="preserve">oot growth in </w:t>
      </w:r>
      <w:r>
        <w:rPr>
          <w:rFonts w:eastAsia="Calibri" w:cs="Times New Roman"/>
        </w:rPr>
        <w:t xml:space="preserve">plants grown in </w:t>
      </w:r>
      <w:r w:rsidRPr="00C54704">
        <w:rPr>
          <w:rFonts w:eastAsia="Calibri" w:cs="Times New Roman"/>
        </w:rPr>
        <w:t>300ml pots continue</w:t>
      </w:r>
      <w:r>
        <w:rPr>
          <w:rFonts w:eastAsia="Calibri" w:cs="Times New Roman"/>
        </w:rPr>
        <w:t xml:space="preserve">d </w:t>
      </w:r>
      <w:r w:rsidRPr="00C54704">
        <w:rPr>
          <w:rFonts w:eastAsia="Calibri" w:cs="Times New Roman"/>
        </w:rPr>
        <w:t>after this time</w:t>
      </w:r>
      <w:r>
        <w:rPr>
          <w:rFonts w:eastAsia="Calibri" w:cs="Times New Roman"/>
        </w:rPr>
        <w:t xml:space="preserve"> which could explain the less dramatic tiller senescence in these plants (Fig. 4.10B). These data tentatively suggest that perception of root density might be responsible for the second phase of shoot growth responses to soil volume </w:t>
      </w:r>
      <w:r>
        <w:rPr>
          <w:rFonts w:eastAsia="Calibri" w:cs="Times New Roman"/>
        </w:rPr>
        <w:fldChar w:fldCharType="begin" w:fldLock="1"/>
      </w:r>
      <w:r>
        <w:rPr>
          <w:rFonts w:eastAsia="Calibri" w:cs="Times New Roman"/>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eastAsia="Calibri" w:hAnsi="Cambria Math" w:cs="Cambria Math"/>
        </w:rPr>
        <w:instrText>‐</w:instrText>
      </w:r>
      <w:r>
        <w:rPr>
          <w:rFonts w:eastAsia="Calibri" w:cs="Times New Roman"/>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eastAsia="Calibri" w:cs="Times New Roman"/>
        </w:rPr>
        <w:fldChar w:fldCharType="separate"/>
      </w:r>
      <w:r w:rsidRPr="00CB03FC">
        <w:rPr>
          <w:rFonts w:eastAsia="Calibri" w:cs="Times New Roman"/>
          <w:noProof/>
        </w:rPr>
        <w:t>(Wheeldon et al., 2021)</w:t>
      </w:r>
      <w:r>
        <w:rPr>
          <w:rFonts w:eastAsia="Calibri" w:cs="Times New Roman"/>
        </w:rPr>
        <w:fldChar w:fldCharType="end"/>
      </w:r>
      <w:r>
        <w:rPr>
          <w:rFonts w:eastAsia="Calibri" w:cs="Times New Roman"/>
        </w:rPr>
        <w:t>.</w:t>
      </w:r>
    </w:p>
    <w:p w14:paraId="7EF9C451" w14:textId="39956F56" w:rsidR="00A3130F" w:rsidRDefault="00A3130F" w:rsidP="00A3130F">
      <w:pPr>
        <w:spacing w:line="480" w:lineRule="auto"/>
        <w:rPr>
          <w:rFonts w:eastAsia="Calibri" w:cs="Times New Roman"/>
        </w:rPr>
      </w:pPr>
      <w:r>
        <w:rPr>
          <w:rFonts w:eastAsia="Calibri" w:cs="Times New Roman"/>
        </w:rPr>
        <w:lastRenderedPageBreak/>
        <w:t xml:space="preserve">Bringing together sections 4.3.3 and 4.3.4, this experiment </w:t>
      </w:r>
      <w:r w:rsidRPr="00C54704">
        <w:rPr>
          <w:rFonts w:eastAsia="Calibri" w:cs="Times New Roman"/>
        </w:rPr>
        <w:t>suggest</w:t>
      </w:r>
      <w:r>
        <w:rPr>
          <w:rFonts w:eastAsia="Calibri" w:cs="Times New Roman"/>
        </w:rPr>
        <w:t>s</w:t>
      </w:r>
      <w:r w:rsidRPr="00C54704">
        <w:rPr>
          <w:rFonts w:eastAsia="Calibri" w:cs="Times New Roman"/>
        </w:rPr>
        <w:t xml:space="preserve"> that </w:t>
      </w:r>
      <w:r>
        <w:rPr>
          <w:rFonts w:eastAsia="Calibri" w:cs="Times New Roman"/>
        </w:rPr>
        <w:t>there are 2 phases in plant responses to soil volume</w:t>
      </w:r>
      <w:r w:rsidR="0035004F">
        <w:rPr>
          <w:rFonts w:eastAsia="Calibri" w:cs="Times New Roman"/>
        </w:rPr>
        <w:t>.</w:t>
      </w:r>
      <w:r w:rsidR="00331C0F">
        <w:rPr>
          <w:rFonts w:eastAsia="Calibri" w:cs="Times New Roman"/>
        </w:rPr>
        <w:t xml:space="preserve"> </w:t>
      </w:r>
      <w:r w:rsidR="00331C0F" w:rsidRPr="00AF304B">
        <w:rPr>
          <w:rFonts w:eastAsia="Calibri" w:cs="Times New Roman"/>
        </w:rPr>
        <w:t xml:space="preserve">The experiment in section 4.3.2 also supports this </w:t>
      </w:r>
      <w:r w:rsidR="00AD16A2" w:rsidRPr="00AF304B">
        <w:rPr>
          <w:rFonts w:eastAsia="Calibri" w:cs="Times New Roman"/>
        </w:rPr>
        <w:t xml:space="preserve">2 phase response </w:t>
      </w:r>
      <w:r w:rsidR="00331C0F" w:rsidRPr="00AF304B">
        <w:rPr>
          <w:rFonts w:eastAsia="Calibri" w:cs="Times New Roman"/>
        </w:rPr>
        <w:t xml:space="preserve">as this experiment </w:t>
      </w:r>
      <w:r w:rsidR="00AF1740" w:rsidRPr="00AF304B">
        <w:rPr>
          <w:rFonts w:eastAsia="Calibri" w:cs="Times New Roman"/>
        </w:rPr>
        <w:t xml:space="preserve">showed that </w:t>
      </w:r>
      <w:r w:rsidR="00261ECB" w:rsidRPr="00AF304B">
        <w:rPr>
          <w:rFonts w:eastAsia="Calibri" w:cs="Times New Roman"/>
        </w:rPr>
        <w:t>tiller number is</w:t>
      </w:r>
      <w:r w:rsidR="00756A57" w:rsidRPr="00AF304B">
        <w:rPr>
          <w:rFonts w:eastAsia="Calibri" w:cs="Times New Roman"/>
        </w:rPr>
        <w:t xml:space="preserve"> </w:t>
      </w:r>
      <w:r w:rsidR="005864D8" w:rsidRPr="00AF304B">
        <w:rPr>
          <w:rFonts w:eastAsia="Calibri" w:cs="Times New Roman"/>
        </w:rPr>
        <w:t xml:space="preserve">influenced by </w:t>
      </w:r>
      <w:r w:rsidR="00595210" w:rsidRPr="00AF304B">
        <w:rPr>
          <w:rFonts w:eastAsia="Calibri" w:cs="Times New Roman"/>
        </w:rPr>
        <w:t>chem</w:t>
      </w:r>
      <w:r w:rsidR="005864D8" w:rsidRPr="00AF304B">
        <w:rPr>
          <w:rFonts w:eastAsia="Calibri" w:cs="Times New Roman"/>
        </w:rPr>
        <w:t>ical substrate volume in the 1</w:t>
      </w:r>
      <w:r w:rsidR="005864D8" w:rsidRPr="00AF304B">
        <w:rPr>
          <w:rFonts w:eastAsia="Calibri" w:cs="Times New Roman"/>
          <w:vertAlign w:val="superscript"/>
        </w:rPr>
        <w:t>st</w:t>
      </w:r>
      <w:r w:rsidR="005864D8" w:rsidRPr="00AF304B">
        <w:rPr>
          <w:rFonts w:eastAsia="Calibri" w:cs="Times New Roman"/>
        </w:rPr>
        <w:t xml:space="preserve"> phase (3-4 weeks post germination</w:t>
      </w:r>
      <w:r w:rsidR="00B50C90" w:rsidRPr="00AF304B">
        <w:rPr>
          <w:rFonts w:eastAsia="Calibri" w:cs="Times New Roman"/>
        </w:rPr>
        <w:t>), and following this in the 2</w:t>
      </w:r>
      <w:r w:rsidR="00B50C90" w:rsidRPr="00AF304B">
        <w:rPr>
          <w:rFonts w:eastAsia="Calibri" w:cs="Times New Roman"/>
          <w:vertAlign w:val="superscript"/>
        </w:rPr>
        <w:t>nd</w:t>
      </w:r>
      <w:r w:rsidR="00B50C90" w:rsidRPr="00AF304B">
        <w:rPr>
          <w:rFonts w:eastAsia="Calibri" w:cs="Times New Roman"/>
        </w:rPr>
        <w:t xml:space="preserve"> phase</w:t>
      </w:r>
      <w:r w:rsidR="00222F70" w:rsidRPr="00AF304B">
        <w:rPr>
          <w:rFonts w:eastAsia="Calibri" w:cs="Times New Roman"/>
        </w:rPr>
        <w:t>,</w:t>
      </w:r>
      <w:r w:rsidR="00B50C90" w:rsidRPr="00AF304B">
        <w:rPr>
          <w:rFonts w:eastAsia="Calibri" w:cs="Times New Roman"/>
        </w:rPr>
        <w:t xml:space="preserve"> tiller number is influence</w:t>
      </w:r>
      <w:r w:rsidR="00756A57" w:rsidRPr="00AF304B">
        <w:rPr>
          <w:rFonts w:eastAsia="Calibri" w:cs="Times New Roman"/>
        </w:rPr>
        <w:t>d</w:t>
      </w:r>
      <w:r w:rsidR="00B50C90" w:rsidRPr="00AF304B">
        <w:rPr>
          <w:rFonts w:eastAsia="Calibri" w:cs="Times New Roman"/>
        </w:rPr>
        <w:t xml:space="preserve"> by </w:t>
      </w:r>
      <w:r w:rsidR="00595210" w:rsidRPr="00AF304B">
        <w:rPr>
          <w:rFonts w:eastAsia="Calibri" w:cs="Times New Roman"/>
        </w:rPr>
        <w:t>physical</w:t>
      </w:r>
      <w:r w:rsidR="00B50C90" w:rsidRPr="00AF304B">
        <w:rPr>
          <w:rFonts w:eastAsia="Calibri" w:cs="Times New Roman"/>
        </w:rPr>
        <w:t xml:space="preserve"> substrate volume.</w:t>
      </w:r>
      <w:r w:rsidR="00AA19A4" w:rsidRPr="00AF304B">
        <w:rPr>
          <w:rFonts w:eastAsia="Calibri" w:cs="Times New Roman"/>
        </w:rPr>
        <w:t xml:space="preserve"> </w:t>
      </w:r>
      <w:r w:rsidR="00ED7A60" w:rsidRPr="00AF304B">
        <w:rPr>
          <w:rFonts w:eastAsia="Calibri" w:cs="Times New Roman"/>
        </w:rPr>
        <w:t>Therefore</w:t>
      </w:r>
      <w:r w:rsidR="00EC7371" w:rsidRPr="00AF304B">
        <w:rPr>
          <w:rFonts w:eastAsia="Calibri" w:cs="Times New Roman"/>
        </w:rPr>
        <w:t>,</w:t>
      </w:r>
      <w:r w:rsidR="00ED7A60" w:rsidRPr="00AF304B">
        <w:rPr>
          <w:rFonts w:eastAsia="Calibri" w:cs="Times New Roman"/>
        </w:rPr>
        <w:t xml:space="preserve"> taken together both these experiments suggest a </w:t>
      </w:r>
      <w:r w:rsidR="00EC7371" w:rsidRPr="00AF304B">
        <w:rPr>
          <w:rFonts w:eastAsia="Calibri" w:cs="Times New Roman"/>
        </w:rPr>
        <w:t>2 phase mechanism.</w:t>
      </w:r>
      <w:r w:rsidR="00EC7371">
        <w:rPr>
          <w:rFonts w:eastAsia="Calibri" w:cs="Times New Roman"/>
        </w:rPr>
        <w:t xml:space="preserve"> </w:t>
      </w:r>
      <w:r>
        <w:rPr>
          <w:rFonts w:eastAsia="Calibri" w:cs="Times New Roman"/>
        </w:rPr>
        <w:t xml:space="preserve">The </w:t>
      </w:r>
      <w:r w:rsidRPr="00C54704">
        <w:rPr>
          <w:rFonts w:eastAsia="Calibri" w:cs="Times New Roman"/>
        </w:rPr>
        <w:t>early plant response</w:t>
      </w:r>
      <w:r w:rsidRPr="0023343E">
        <w:rPr>
          <w:rFonts w:eastAsia="Calibri" w:cs="Times New Roman"/>
        </w:rPr>
        <w:t xml:space="preserve"> </w:t>
      </w:r>
      <w:r w:rsidRPr="00C54704">
        <w:rPr>
          <w:rFonts w:eastAsia="Calibri" w:cs="Times New Roman"/>
        </w:rPr>
        <w:t>to soil volume</w:t>
      </w:r>
      <w:r>
        <w:rPr>
          <w:rFonts w:eastAsia="Calibri" w:cs="Times New Roman"/>
        </w:rPr>
        <w:t>,</w:t>
      </w:r>
      <w:r w:rsidRPr="00C54704">
        <w:rPr>
          <w:rFonts w:eastAsia="Calibri" w:cs="Times New Roman"/>
        </w:rPr>
        <w:t xml:space="preserve"> </w:t>
      </w:r>
      <w:r>
        <w:rPr>
          <w:rFonts w:eastAsia="Calibri" w:cs="Times New Roman"/>
        </w:rPr>
        <w:t>which does not</w:t>
      </w:r>
      <w:r w:rsidRPr="00C54704">
        <w:rPr>
          <w:rFonts w:eastAsia="Calibri" w:cs="Times New Roman"/>
        </w:rPr>
        <w:t xml:space="preserve"> </w:t>
      </w:r>
      <w:r>
        <w:rPr>
          <w:rFonts w:eastAsia="Calibri" w:cs="Times New Roman"/>
        </w:rPr>
        <w:t xml:space="preserve">seem to be </w:t>
      </w:r>
      <w:r w:rsidRPr="00C54704">
        <w:rPr>
          <w:rFonts w:eastAsia="Calibri" w:cs="Times New Roman"/>
        </w:rPr>
        <w:t>the result of mechanical impedance or root density sensing</w:t>
      </w:r>
      <w:r>
        <w:rPr>
          <w:rFonts w:eastAsia="Calibri" w:cs="Times New Roman"/>
        </w:rPr>
        <w:t>,</w:t>
      </w:r>
      <w:r w:rsidRPr="00C54704">
        <w:rPr>
          <w:rFonts w:eastAsia="Calibri" w:cs="Times New Roman"/>
        </w:rPr>
        <w:t xml:space="preserve"> </w:t>
      </w:r>
      <w:r>
        <w:rPr>
          <w:rFonts w:eastAsia="Calibri" w:cs="Times New Roman"/>
        </w:rPr>
        <w:t xml:space="preserve">does not </w:t>
      </w:r>
      <w:r w:rsidRPr="00C54704">
        <w:rPr>
          <w:rFonts w:eastAsia="Calibri" w:cs="Times New Roman"/>
        </w:rPr>
        <w:t>cause changes in root growth but do</w:t>
      </w:r>
      <w:r>
        <w:rPr>
          <w:rFonts w:eastAsia="Calibri" w:cs="Times New Roman"/>
        </w:rPr>
        <w:t>es</w:t>
      </w:r>
      <w:r w:rsidRPr="00C54704">
        <w:rPr>
          <w:rFonts w:eastAsia="Calibri" w:cs="Times New Roman"/>
        </w:rPr>
        <w:t xml:space="preserve"> influence shoot growth</w:t>
      </w:r>
      <w:r>
        <w:rPr>
          <w:rFonts w:eastAsia="Calibri" w:cs="Times New Roman"/>
        </w:rPr>
        <w:t xml:space="preserve">. However, the later response seems to be associated with root density, and this response influences both root and shoot growth </w:t>
      </w:r>
      <w:r>
        <w:rPr>
          <w:rFonts w:eastAsia="Calibri" w:cs="Times New Roman"/>
        </w:rPr>
        <w:fldChar w:fldCharType="begin" w:fldLock="1"/>
      </w:r>
      <w:r>
        <w:rPr>
          <w:rFonts w:eastAsia="Calibri" w:cs="Times New Roman"/>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eastAsia="Calibri" w:hAnsi="Cambria Math" w:cs="Cambria Math"/>
        </w:rPr>
        <w:instrText>‐</w:instrText>
      </w:r>
      <w:r>
        <w:rPr>
          <w:rFonts w:eastAsia="Calibri" w:cs="Times New Roman"/>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eastAsia="Calibri" w:cs="Times New Roman"/>
        </w:rPr>
        <w:fldChar w:fldCharType="separate"/>
      </w:r>
      <w:r w:rsidRPr="001976FE">
        <w:rPr>
          <w:rFonts w:eastAsia="Calibri" w:cs="Times New Roman"/>
          <w:noProof/>
        </w:rPr>
        <w:t>(Wheeldon et al., 2021)</w:t>
      </w:r>
      <w:r>
        <w:rPr>
          <w:rFonts w:eastAsia="Calibri" w:cs="Times New Roman"/>
        </w:rPr>
        <w:fldChar w:fldCharType="end"/>
      </w:r>
      <w:r w:rsidRPr="00C54704">
        <w:rPr>
          <w:rFonts w:eastAsia="Calibri" w:cs="Times New Roman"/>
        </w:rPr>
        <w:t>.</w:t>
      </w:r>
    </w:p>
    <w:p w14:paraId="590E7F22" w14:textId="77777777" w:rsidR="00A3130F" w:rsidRDefault="00A3130F" w:rsidP="00A3130F">
      <w:pPr>
        <w:spacing w:line="480" w:lineRule="auto"/>
        <w:rPr>
          <w:rFonts w:eastAsia="Calibri" w:cs="Times New Roman"/>
        </w:rPr>
      </w:pPr>
    </w:p>
    <w:p w14:paraId="2767BEB3" w14:textId="70BBB263" w:rsidR="00A3130F" w:rsidRDefault="00A3130F" w:rsidP="00743E4C">
      <w:pPr>
        <w:pStyle w:val="Heading3"/>
      </w:pPr>
      <w:bookmarkStart w:id="206" w:name="_Toc154331498"/>
      <w:r w:rsidRPr="00A3130F">
        <w:t>Late growth responses are exaggerated when roots are highly aggregated</w:t>
      </w:r>
      <w:bookmarkEnd w:id="206"/>
    </w:p>
    <w:p w14:paraId="78CE2E06" w14:textId="77777777" w:rsidR="00A3130F" w:rsidRDefault="00A3130F" w:rsidP="00A3130F">
      <w:pPr>
        <w:rPr>
          <w:rFonts w:eastAsia="Calibri"/>
        </w:rPr>
      </w:pPr>
    </w:p>
    <w:p w14:paraId="2DCD61B8" w14:textId="1E3AB8C3" w:rsidR="00A3130F" w:rsidRPr="007129C9" w:rsidRDefault="00A3130F" w:rsidP="00A3130F">
      <w:pPr>
        <w:spacing w:line="480" w:lineRule="auto"/>
        <w:rPr>
          <w:rFonts w:cs="Times New Roman"/>
          <w:bCs/>
        </w:rPr>
      </w:pPr>
      <w:r>
        <w:rPr>
          <w:rFonts w:cs="Times New Roman"/>
          <w:bCs/>
        </w:rPr>
        <w:t>Combining observations from Section 4.3.2 and 4.3.4, the results potentially suggest that plants may be sensing the root density in their environment, possibly through the exudation and perception of a mobile signal that can diffuse across a mesh barrier</w:t>
      </w:r>
      <w:r w:rsidRPr="004A7937">
        <w:rPr>
          <w:rFonts w:cs="Times New Roman"/>
          <w:bCs/>
        </w:rPr>
        <w:t>. However, any possible exudate involved in sensing high root density may not be as mobile as the first phase signal, since having access to additional chemical volume did not completely alleviate the inhibition of shoot growth</w:t>
      </w:r>
      <w:r>
        <w:rPr>
          <w:rFonts w:cs="Times New Roman"/>
          <w:bCs/>
        </w:rPr>
        <w:t xml:space="preserve"> in Treatment E plants, (Fig. 4.7B)</w:t>
      </w:r>
      <w:r w:rsidRPr="004A7937">
        <w:rPr>
          <w:rFonts w:cs="Times New Roman"/>
          <w:bCs/>
        </w:rPr>
        <w:t xml:space="preserve">. Therefore, I hypothesised that, if such a signal exists, it is much less mobile than the hypothesised signal in the first phase. However, the experiment in Section </w:t>
      </w:r>
      <w:r w:rsidRPr="004A7937">
        <w:rPr>
          <w:rFonts w:cs="Times New Roman"/>
          <w:bCs/>
        </w:rPr>
        <w:lastRenderedPageBreak/>
        <w:t>4.</w:t>
      </w:r>
      <w:r>
        <w:rPr>
          <w:rFonts w:cs="Times New Roman"/>
          <w:bCs/>
        </w:rPr>
        <w:t>3</w:t>
      </w:r>
      <w:r w:rsidRPr="004A7937">
        <w:rPr>
          <w:rFonts w:cs="Times New Roman"/>
          <w:bCs/>
        </w:rPr>
        <w:t>.2 does not rule out nutrient availability as the cause of additional shoot growth in the treatment E plants.</w:t>
      </w:r>
    </w:p>
    <w:p w14:paraId="570D8347" w14:textId="113CF8E1" w:rsidR="00A3130F" w:rsidRPr="00F31E42" w:rsidRDefault="00A3130F" w:rsidP="00A3130F">
      <w:pPr>
        <w:spacing w:line="480" w:lineRule="auto"/>
        <w:rPr>
          <w:rFonts w:eastAsia="Calibri" w:cs="Times New Roman"/>
          <w:color w:val="000000" w:themeColor="text1"/>
        </w:rPr>
      </w:pPr>
      <w:r w:rsidRPr="00F31E42">
        <w:rPr>
          <w:rFonts w:cs="Times New Roman"/>
          <w:bCs/>
          <w:color w:val="000000" w:themeColor="text1"/>
        </w:rPr>
        <w:t xml:space="preserve">To </w:t>
      </w:r>
      <w:r>
        <w:rPr>
          <w:rFonts w:cs="Times New Roman"/>
          <w:bCs/>
          <w:color w:val="000000" w:themeColor="text1"/>
        </w:rPr>
        <w:t>try and distinguish between these possibilities</w:t>
      </w:r>
      <w:r w:rsidRPr="00F31E42">
        <w:rPr>
          <w:rFonts w:cs="Times New Roman"/>
          <w:bCs/>
          <w:color w:val="000000" w:themeColor="text1"/>
        </w:rPr>
        <w:t xml:space="preserve"> an experiment</w:t>
      </w:r>
      <w:r w:rsidR="00EF0CF8">
        <w:rPr>
          <w:rFonts w:cs="Times New Roman"/>
          <w:bCs/>
          <w:color w:val="000000" w:themeColor="text1"/>
        </w:rPr>
        <w:t xml:space="preserve"> was</w:t>
      </w:r>
      <w:r w:rsidRPr="00F31E42">
        <w:rPr>
          <w:rFonts w:cs="Times New Roman"/>
          <w:bCs/>
          <w:color w:val="000000" w:themeColor="text1"/>
        </w:rPr>
        <w:t xml:space="preserve"> </w:t>
      </w:r>
      <w:r w:rsidR="00EF0CF8">
        <w:rPr>
          <w:rFonts w:cs="Times New Roman"/>
          <w:bCs/>
          <w:color w:val="000000" w:themeColor="text1"/>
        </w:rPr>
        <w:t xml:space="preserve">designed </w:t>
      </w:r>
      <w:r w:rsidRPr="00F31E42">
        <w:rPr>
          <w:rFonts w:cs="Times New Roman"/>
          <w:bCs/>
          <w:color w:val="000000" w:themeColor="text1"/>
        </w:rPr>
        <w:t>where soil volume</w:t>
      </w:r>
      <w:r>
        <w:rPr>
          <w:rFonts w:cs="Times New Roman"/>
          <w:bCs/>
          <w:color w:val="000000" w:themeColor="text1"/>
        </w:rPr>
        <w:t xml:space="preserve"> and nutrient availability</w:t>
      </w:r>
      <w:r w:rsidRPr="00F31E42">
        <w:rPr>
          <w:rFonts w:cs="Times New Roman"/>
          <w:bCs/>
          <w:color w:val="000000" w:themeColor="text1"/>
        </w:rPr>
        <w:t xml:space="preserve"> would remain equal, but the </w:t>
      </w:r>
      <w:r>
        <w:rPr>
          <w:rFonts w:cs="Times New Roman"/>
          <w:bCs/>
          <w:color w:val="000000" w:themeColor="text1"/>
        </w:rPr>
        <w:t xml:space="preserve">effective </w:t>
      </w:r>
      <w:r w:rsidRPr="00F31E42">
        <w:rPr>
          <w:rFonts w:cs="Times New Roman"/>
          <w:bCs/>
          <w:color w:val="000000" w:themeColor="text1"/>
        </w:rPr>
        <w:t xml:space="preserve">density of roots would vary. </w:t>
      </w:r>
      <w:r>
        <w:rPr>
          <w:rFonts w:cs="Times New Roman"/>
          <w:bCs/>
          <w:color w:val="000000" w:themeColor="text1"/>
        </w:rPr>
        <w:t>Changes in</w:t>
      </w:r>
      <w:r w:rsidRPr="00F31E42">
        <w:rPr>
          <w:rFonts w:cs="Times New Roman"/>
          <w:bCs/>
          <w:color w:val="000000" w:themeColor="text1"/>
        </w:rPr>
        <w:t xml:space="preserve"> container shape w</w:t>
      </w:r>
      <w:r>
        <w:rPr>
          <w:rFonts w:cs="Times New Roman"/>
          <w:bCs/>
          <w:color w:val="000000" w:themeColor="text1"/>
        </w:rPr>
        <w:t>ere</w:t>
      </w:r>
      <w:r w:rsidRPr="00F31E42">
        <w:rPr>
          <w:rFonts w:cs="Times New Roman"/>
          <w:bCs/>
          <w:color w:val="000000" w:themeColor="text1"/>
        </w:rPr>
        <w:t xml:space="preserve"> used as a method to achieve this. As roots emerge from the wheat grain, a cone shaped architecture is produced with the seed at the apex</w:t>
      </w:r>
      <w:r>
        <w:rPr>
          <w:rFonts w:cs="Times New Roman"/>
          <w:bCs/>
          <w:color w:val="000000" w:themeColor="text1"/>
        </w:rPr>
        <w:t xml:space="preserve"> (Fig. 4.11A)</w:t>
      </w:r>
      <w:r w:rsidRPr="00F31E42">
        <w:rPr>
          <w:rFonts w:cs="Times New Roman"/>
          <w:bCs/>
          <w:color w:val="000000" w:themeColor="text1"/>
        </w:rPr>
        <w:t>. Hence, I hypothesised that containers with a similar shape to this</w:t>
      </w:r>
      <w:r>
        <w:rPr>
          <w:rFonts w:cs="Times New Roman"/>
          <w:bCs/>
          <w:color w:val="000000" w:themeColor="text1"/>
        </w:rPr>
        <w:t xml:space="preserve"> inherent root architecture</w:t>
      </w:r>
      <w:r w:rsidRPr="00F31E42">
        <w:rPr>
          <w:rFonts w:cs="Times New Roman"/>
          <w:bCs/>
          <w:color w:val="000000" w:themeColor="text1"/>
        </w:rPr>
        <w:t xml:space="preserve"> would</w:t>
      </w:r>
      <w:r>
        <w:rPr>
          <w:rFonts w:cs="Times New Roman"/>
          <w:bCs/>
          <w:color w:val="000000" w:themeColor="text1"/>
        </w:rPr>
        <w:t xml:space="preserve"> result in the least dense root systems, and that conversely, containers of the ‘incorrect’ shape</w:t>
      </w:r>
      <w:r w:rsidRPr="00F31E42">
        <w:rPr>
          <w:rFonts w:cs="Times New Roman"/>
          <w:bCs/>
          <w:color w:val="000000" w:themeColor="text1"/>
        </w:rPr>
        <w:t xml:space="preserve"> </w:t>
      </w:r>
      <w:r>
        <w:rPr>
          <w:rFonts w:cs="Times New Roman"/>
          <w:bCs/>
          <w:color w:val="000000" w:themeColor="text1"/>
        </w:rPr>
        <w:t xml:space="preserve">would cause root aggregation. Therefore I hypothesised that a ‘natural cone’ </w:t>
      </w:r>
      <w:r w:rsidR="00DB52DD">
        <w:rPr>
          <w:rFonts w:cs="Times New Roman"/>
          <w:bCs/>
          <w:color w:val="000000" w:themeColor="text1"/>
        </w:rPr>
        <w:t xml:space="preserve">shape </w:t>
      </w:r>
      <w:r w:rsidR="00DB52DD" w:rsidRPr="009617D3">
        <w:rPr>
          <w:rFonts w:cs="Times New Roman"/>
          <w:bCs/>
          <w:color w:val="000000" w:themeColor="text1"/>
        </w:rPr>
        <w:t xml:space="preserve">which matched the </w:t>
      </w:r>
      <w:r w:rsidR="00016172" w:rsidRPr="009617D3">
        <w:rPr>
          <w:rFonts w:cs="Times New Roman"/>
          <w:bCs/>
          <w:color w:val="000000" w:themeColor="text1"/>
        </w:rPr>
        <w:t xml:space="preserve">shape of the root system architecture </w:t>
      </w:r>
      <w:r w:rsidRPr="009617D3">
        <w:rPr>
          <w:rFonts w:cs="Times New Roman"/>
          <w:bCs/>
          <w:color w:val="000000" w:themeColor="text1"/>
        </w:rPr>
        <w:t>would cause less i</w:t>
      </w:r>
      <w:r w:rsidRPr="00F31E42">
        <w:rPr>
          <w:rFonts w:cs="Times New Roman"/>
          <w:bCs/>
          <w:color w:val="000000" w:themeColor="text1"/>
        </w:rPr>
        <w:t xml:space="preserve">nhibition of shoot growth as roots </w:t>
      </w:r>
      <w:r>
        <w:rPr>
          <w:rFonts w:cs="Times New Roman"/>
          <w:bCs/>
          <w:color w:val="000000" w:themeColor="text1"/>
        </w:rPr>
        <w:t>due to the reduced root density.</w:t>
      </w:r>
    </w:p>
    <w:p w14:paraId="0F6365ED" w14:textId="77777777" w:rsidR="008E0F52" w:rsidRDefault="00A3130F" w:rsidP="00B430BE">
      <w:pPr>
        <w:spacing w:line="480" w:lineRule="auto"/>
        <w:rPr>
          <w:rFonts w:cs="Times New Roman"/>
          <w:bCs/>
        </w:rPr>
      </w:pPr>
      <w:r>
        <w:rPr>
          <w:rFonts w:cs="Times New Roman"/>
          <w:bCs/>
        </w:rPr>
        <w:t>W</w:t>
      </w:r>
      <w:r w:rsidRPr="003E5DE9">
        <w:rPr>
          <w:rFonts w:cs="Times New Roman"/>
          <w:bCs/>
        </w:rPr>
        <w:t xml:space="preserve">heat (cv. Mulika) plants were </w:t>
      </w:r>
      <w:r w:rsidR="00B05C85" w:rsidRPr="009617D3">
        <w:rPr>
          <w:rFonts w:cs="Times New Roman"/>
          <w:bCs/>
        </w:rPr>
        <w:t xml:space="preserve">therefore </w:t>
      </w:r>
      <w:r w:rsidRPr="009617D3">
        <w:rPr>
          <w:rFonts w:cs="Times New Roman"/>
          <w:bCs/>
        </w:rPr>
        <w:t>g</w:t>
      </w:r>
      <w:r w:rsidRPr="003E5DE9">
        <w:rPr>
          <w:rFonts w:cs="Times New Roman"/>
          <w:bCs/>
        </w:rPr>
        <w:t>rown in hand-made pots, in which the soil occupied an equal volume (320ml). However, the shape of the soil-containing area was different in each treatment (Fig</w:t>
      </w:r>
      <w:r>
        <w:rPr>
          <w:rFonts w:cs="Times New Roman"/>
          <w:bCs/>
        </w:rPr>
        <w:t>.</w:t>
      </w:r>
      <w:r w:rsidRPr="003E5DE9">
        <w:rPr>
          <w:rFonts w:cs="Times New Roman"/>
          <w:bCs/>
        </w:rPr>
        <w:t xml:space="preserve"> </w:t>
      </w:r>
      <w:r>
        <w:rPr>
          <w:rFonts w:cs="Times New Roman"/>
          <w:bCs/>
        </w:rPr>
        <w:t>4.10B</w:t>
      </w:r>
      <w:r w:rsidRPr="003E5DE9">
        <w:rPr>
          <w:rFonts w:cs="Times New Roman"/>
          <w:bCs/>
        </w:rPr>
        <w:t xml:space="preserve">). In treatment A the 320 ml of compost </w:t>
      </w:r>
      <w:r w:rsidRPr="009617D3">
        <w:rPr>
          <w:rFonts w:cs="Times New Roman"/>
          <w:bCs/>
        </w:rPr>
        <w:t>s</w:t>
      </w:r>
      <w:r w:rsidR="00FA63A5" w:rsidRPr="009617D3">
        <w:rPr>
          <w:rFonts w:cs="Times New Roman"/>
          <w:bCs/>
        </w:rPr>
        <w:t>at</w:t>
      </w:r>
      <w:r w:rsidRPr="009617D3">
        <w:rPr>
          <w:rFonts w:cs="Times New Roman"/>
          <w:bCs/>
        </w:rPr>
        <w:t xml:space="preserve"> on top of a sealed cone sat on the base of a pot, such that roots are actively excluded from their normal growth zone. Treatment B ha</w:t>
      </w:r>
      <w:r w:rsidR="00FA63A5" w:rsidRPr="009617D3">
        <w:rPr>
          <w:rFonts w:cs="Times New Roman"/>
          <w:bCs/>
        </w:rPr>
        <w:t>d</w:t>
      </w:r>
      <w:r w:rsidRPr="009617D3">
        <w:rPr>
          <w:rFonts w:cs="Times New Roman"/>
          <w:bCs/>
        </w:rPr>
        <w:t xml:space="preserve"> the same structure, except the cone </w:t>
      </w:r>
      <w:r w:rsidR="00D35FA9" w:rsidRPr="009617D3">
        <w:rPr>
          <w:rFonts w:cs="Times New Roman"/>
          <w:bCs/>
        </w:rPr>
        <w:t>was</w:t>
      </w:r>
      <w:r w:rsidRPr="009617D3">
        <w:rPr>
          <w:rFonts w:cs="Times New Roman"/>
          <w:bCs/>
        </w:rPr>
        <w:t xml:space="preserve"> filled with 320ml of compost and the apex of the cone was cut open to allow the shoots to grow out of it; the seed was placed at the open apex of the cone. In treatment C, the cone </w:t>
      </w:r>
      <w:r w:rsidR="00D35FA9" w:rsidRPr="009617D3">
        <w:rPr>
          <w:rFonts w:cs="Times New Roman"/>
          <w:bCs/>
        </w:rPr>
        <w:t>wa</w:t>
      </w:r>
      <w:r w:rsidRPr="009617D3">
        <w:rPr>
          <w:rFonts w:cs="Times New Roman"/>
          <w:bCs/>
        </w:rPr>
        <w:t>s placed upside-down with</w:t>
      </w:r>
      <w:r w:rsidRPr="003E5DE9">
        <w:rPr>
          <w:rFonts w:cs="Times New Roman"/>
          <w:bCs/>
        </w:rPr>
        <w:t xml:space="preserve"> the apex at the base of the pot and again filled with 320ml of compost; the seed is placed in the widest part of the cone. Thus, treatment C causes roots to grow in a narrowing cone, rather than the natural widening cone</w:t>
      </w:r>
      <w:r>
        <w:rPr>
          <w:rFonts w:cs="Times New Roman"/>
          <w:bCs/>
        </w:rPr>
        <w:t xml:space="preserve"> of their root system.</w:t>
      </w:r>
    </w:p>
    <w:p w14:paraId="2B768450" w14:textId="77777777" w:rsidR="008E0F52" w:rsidRDefault="00A3130F" w:rsidP="008E0F52">
      <w:pPr>
        <w:spacing w:line="480" w:lineRule="auto"/>
        <w:rPr>
          <w:rFonts w:cs="Times New Roman"/>
          <w:bCs/>
        </w:rPr>
      </w:pPr>
      <w:r w:rsidRPr="009617D3">
        <w:rPr>
          <w:rFonts w:eastAsia="Calibri" w:cs="Times New Roman"/>
          <w:color w:val="000000" w:themeColor="text1"/>
          <w:szCs w:val="24"/>
        </w:rPr>
        <w:lastRenderedPageBreak/>
        <w:t xml:space="preserve">To </w:t>
      </w:r>
      <w:r w:rsidR="00202959" w:rsidRPr="009617D3">
        <w:rPr>
          <w:rFonts w:eastAsia="Calibri" w:cs="Times New Roman"/>
          <w:color w:val="000000" w:themeColor="text1"/>
          <w:szCs w:val="24"/>
        </w:rPr>
        <w:t>ask</w:t>
      </w:r>
      <w:r w:rsidRPr="009617D3">
        <w:rPr>
          <w:rFonts w:eastAsia="Calibri" w:cs="Times New Roman"/>
          <w:color w:val="000000" w:themeColor="text1"/>
          <w:szCs w:val="24"/>
        </w:rPr>
        <w:t xml:space="preserve"> if container shape, and the associating density of roots, can influence final shoot growth</w:t>
      </w:r>
      <w:r w:rsidRPr="00D72273">
        <w:rPr>
          <w:rFonts w:eastAsia="Calibri" w:cs="Times New Roman"/>
          <w:color w:val="000000" w:themeColor="text1"/>
          <w:szCs w:val="24"/>
        </w:rPr>
        <w:t xml:space="preserve">, I assessed shoot biomass at 12 weeks post germination. </w:t>
      </w:r>
      <w:r w:rsidRPr="00D72273">
        <w:rPr>
          <w:rFonts w:cs="Times New Roman"/>
          <w:bCs/>
          <w:color w:val="000000" w:themeColor="text1"/>
        </w:rPr>
        <w:t xml:space="preserve">Shoot biomass was greatest in plants grown in treatment B. This suggested that shoot biomass is influenced by container shape, more specifically it is least inhibited when the root system is least condensed </w:t>
      </w:r>
      <w:r w:rsidRPr="003E5DE9">
        <w:rPr>
          <w:rFonts w:cs="Times New Roman"/>
          <w:bCs/>
        </w:rPr>
        <w:t>(Fig</w:t>
      </w:r>
      <w:r>
        <w:rPr>
          <w:rFonts w:cs="Times New Roman"/>
          <w:bCs/>
        </w:rPr>
        <w:t>.</w:t>
      </w:r>
      <w:r w:rsidRPr="003E5DE9">
        <w:rPr>
          <w:rFonts w:cs="Times New Roman"/>
          <w:bCs/>
        </w:rPr>
        <w:t xml:space="preserve"> </w:t>
      </w:r>
      <w:r>
        <w:rPr>
          <w:rFonts w:cs="Times New Roman"/>
          <w:bCs/>
        </w:rPr>
        <w:t>4.11C</w:t>
      </w:r>
      <w:r w:rsidRPr="003E5DE9">
        <w:rPr>
          <w:rFonts w:cs="Times New Roman"/>
          <w:bCs/>
        </w:rPr>
        <w:t>).</w:t>
      </w:r>
    </w:p>
    <w:p w14:paraId="629A338E" w14:textId="136BD928" w:rsidR="00A3130F" w:rsidRPr="008E0F52" w:rsidRDefault="008E0F52" w:rsidP="008E0F52">
      <w:pPr>
        <w:spacing w:line="480" w:lineRule="auto"/>
        <w:rPr>
          <w:rFonts w:cs="Times New Roman"/>
          <w:bCs/>
        </w:rPr>
      </w:pPr>
      <w:r>
        <w:rPr>
          <w:rFonts w:cs="Times New Roman"/>
          <w:bCs/>
          <w:noProof/>
        </w:rPr>
        <w:drawing>
          <wp:anchor distT="0" distB="0" distL="114300" distR="114300" simplePos="0" relativeHeight="251785728" behindDoc="0" locked="0" layoutInCell="1" allowOverlap="1" wp14:anchorId="3B3AD300" wp14:editId="0E007537">
            <wp:simplePos x="0" y="0"/>
            <wp:positionH relativeFrom="margin">
              <wp:align>right</wp:align>
            </wp:positionH>
            <wp:positionV relativeFrom="paragraph">
              <wp:posOffset>587</wp:posOffset>
            </wp:positionV>
            <wp:extent cx="5179060" cy="1908810"/>
            <wp:effectExtent l="0" t="0" r="2540" b="0"/>
            <wp:wrapSquare wrapText="bothSides"/>
            <wp:docPr id="1317469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46911" name="Picture 131746911"/>
                    <pic:cNvPicPr/>
                  </pic:nvPicPr>
                  <pic:blipFill rotWithShape="1">
                    <a:blip r:embed="rId68" cstate="print">
                      <a:extLst>
                        <a:ext uri="{28A0092B-C50C-407E-A947-70E740481C1C}">
                          <a14:useLocalDpi xmlns:a14="http://schemas.microsoft.com/office/drawing/2010/main" val="0"/>
                        </a:ext>
                      </a:extLst>
                    </a:blip>
                    <a:srcRect l="1402" r="1455"/>
                    <a:stretch/>
                  </pic:blipFill>
                  <pic:spPr bwMode="auto">
                    <a:xfrm>
                      <a:off x="0" y="0"/>
                      <a:ext cx="5179060" cy="1908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1885CD" w14:textId="03FF82AE" w:rsidR="00047A5A" w:rsidRDefault="00A3130F" w:rsidP="00A3130F">
      <w:pPr>
        <w:pStyle w:val="Caption"/>
      </w:pPr>
      <w:bookmarkStart w:id="207" w:name="_Toc154331579"/>
      <w:r>
        <w:t xml:space="preserve">Figure </w:t>
      </w:r>
      <w:fldSimple w:instr=" STYLEREF 1 \s ">
        <w:r w:rsidR="004B7F70">
          <w:rPr>
            <w:noProof/>
          </w:rPr>
          <w:t>4</w:t>
        </w:r>
      </w:fldSimple>
      <w:r w:rsidR="00C97D34">
        <w:t>.</w:t>
      </w:r>
      <w:fldSimple w:instr=" SEQ Figure \* ARABIC \s 1 ">
        <w:r w:rsidR="004B7F70">
          <w:rPr>
            <w:noProof/>
          </w:rPr>
          <w:t>11</w:t>
        </w:r>
      </w:fldSimple>
      <w:r>
        <w:t xml:space="preserve"> </w:t>
      </w:r>
      <w:r w:rsidRPr="001F00F8">
        <w:t>Container shape influences shoot growth</w:t>
      </w:r>
      <w:bookmarkEnd w:id="207"/>
    </w:p>
    <w:p w14:paraId="53248E2D" w14:textId="77777777" w:rsidR="00A3130F" w:rsidRPr="00041779" w:rsidRDefault="00A3130F" w:rsidP="00A3130F">
      <w:pPr>
        <w:pStyle w:val="Description"/>
      </w:pPr>
      <w:r w:rsidRPr="00041779">
        <w:t>Graph showing spring wheat (</w:t>
      </w:r>
      <w:r>
        <w:t xml:space="preserve">cv. </w:t>
      </w:r>
      <w:r w:rsidRPr="00041779">
        <w:t xml:space="preserve">Mulika) grown in different shaped containers where the accessible soil volume is 320ml in all 3 treatments (A-C). </w:t>
      </w:r>
    </w:p>
    <w:p w14:paraId="3C6F347B" w14:textId="77777777" w:rsidR="00A3130F" w:rsidRDefault="00A3130F" w:rsidP="00A3130F">
      <w:pPr>
        <w:pStyle w:val="Description"/>
      </w:pPr>
      <w:r w:rsidRPr="00041779">
        <w:t xml:space="preserve">A) </w:t>
      </w:r>
      <w:r>
        <w:t>An image of a 35-day old wheat root system grown in a rhizobox which demonstrates the cone shaped architecture, scale bar represents 5cm.</w:t>
      </w:r>
    </w:p>
    <w:p w14:paraId="113D2E40" w14:textId="2BD2D06A" w:rsidR="00A3130F" w:rsidRPr="00041779" w:rsidRDefault="00A3130F" w:rsidP="00A3130F">
      <w:pPr>
        <w:pStyle w:val="Description"/>
      </w:pPr>
      <w:r>
        <w:t xml:space="preserve">B) </w:t>
      </w:r>
      <w:r w:rsidRPr="00041779">
        <w:t>In all three treatments the pot is a clear plastic cylinder with alternately shaped internal structures. Treatment A ha</w:t>
      </w:r>
      <w:r w:rsidR="003E3C43">
        <w:t>d</w:t>
      </w:r>
      <w:r w:rsidRPr="00041779">
        <w:t xml:space="preserve"> a cone sat on the base of the pot and covered with compost</w:t>
      </w:r>
      <w:r>
        <w:t xml:space="preserve"> (brown)</w:t>
      </w:r>
      <w:r w:rsidRPr="00041779">
        <w:t xml:space="preserve">. In treatment B the cone </w:t>
      </w:r>
      <w:r w:rsidR="003E3C43">
        <w:t>was</w:t>
      </w:r>
      <w:r w:rsidRPr="00041779">
        <w:t xml:space="preserve"> filled with compost </w:t>
      </w:r>
      <w:r>
        <w:t xml:space="preserve">(brown) </w:t>
      </w:r>
      <w:r w:rsidRPr="00041779">
        <w:t xml:space="preserve">and the apex of the cone </w:t>
      </w:r>
      <w:r w:rsidR="003E3C43">
        <w:t>wa</w:t>
      </w:r>
      <w:r w:rsidRPr="00041779">
        <w:t xml:space="preserve">s cut to allow the shoots to grow out of. In treatment C, the cone </w:t>
      </w:r>
      <w:r w:rsidR="003E3C43">
        <w:t>was</w:t>
      </w:r>
      <w:r w:rsidRPr="00041779">
        <w:t xml:space="preserve"> the opposite way round with the apex at the base of the pot. In treatments B and C, the cone </w:t>
      </w:r>
      <w:r w:rsidR="003E3C43">
        <w:t>was</w:t>
      </w:r>
      <w:r w:rsidRPr="00041779">
        <w:t xml:space="preserve"> stabilised by using perlite</w:t>
      </w:r>
      <w:r>
        <w:t xml:space="preserve"> (grey dappled shading)</w:t>
      </w:r>
      <w:r w:rsidRPr="00041779">
        <w:t xml:space="preserve"> to maintain the position. White curved lines represent roots.</w:t>
      </w:r>
    </w:p>
    <w:p w14:paraId="7323FF60" w14:textId="2F6FCB19" w:rsidR="00A3130F" w:rsidRDefault="00A3130F" w:rsidP="00A3130F">
      <w:pPr>
        <w:pStyle w:val="Description"/>
      </w:pPr>
      <w:r>
        <w:t>C</w:t>
      </w:r>
      <w:r w:rsidRPr="00041779">
        <w:t xml:space="preserve">) Box plot showing the mean final dry shoot biomass </w:t>
      </w:r>
      <w:r>
        <w:t xml:space="preserve">(g) </w:t>
      </w:r>
      <w:r w:rsidRPr="00041779">
        <w:t>per plant at 12 weeks post germination</w:t>
      </w:r>
      <w:r>
        <w:t xml:space="preserve"> of the 3 treatments described in Fig. 4.</w:t>
      </w:r>
      <w:r w:rsidR="007614BE">
        <w:t>11B</w:t>
      </w:r>
      <w:r w:rsidRPr="00041779">
        <w:t>. Boxes with the same letter are not significantly different (One-way ANOVA with Tukey HSD, p &lt;0.05) n=7-8. The box indicates the interquartile range, the midline represents the median, the whiskers are the minimum and maximum values, the circle is the mean and the diamonds are outliers.</w:t>
      </w:r>
    </w:p>
    <w:p w14:paraId="2F9E70A0" w14:textId="77777777" w:rsidR="00A3130F" w:rsidRDefault="00A3130F" w:rsidP="00A3130F">
      <w:pPr>
        <w:pStyle w:val="Description"/>
      </w:pPr>
    </w:p>
    <w:p w14:paraId="672AB7F7" w14:textId="69B89FD4" w:rsidR="00A3130F" w:rsidRDefault="00A3130F" w:rsidP="00A3130F">
      <w:pPr>
        <w:spacing w:line="480" w:lineRule="auto"/>
        <w:rPr>
          <w:rFonts w:cs="Times New Roman"/>
          <w:bCs/>
          <w:color w:val="000000" w:themeColor="text1"/>
        </w:rPr>
      </w:pPr>
      <w:r w:rsidRPr="00D72273">
        <w:rPr>
          <w:rFonts w:cs="Times New Roman"/>
          <w:bCs/>
          <w:color w:val="000000" w:themeColor="text1"/>
        </w:rPr>
        <w:t xml:space="preserve">To </w:t>
      </w:r>
      <w:r w:rsidR="006645A1">
        <w:rPr>
          <w:rFonts w:cs="Times New Roman"/>
          <w:bCs/>
          <w:color w:val="000000" w:themeColor="text1"/>
        </w:rPr>
        <w:t>ask</w:t>
      </w:r>
      <w:r w:rsidRPr="00D72273">
        <w:rPr>
          <w:rFonts w:cs="Times New Roman"/>
          <w:bCs/>
          <w:color w:val="000000" w:themeColor="text1"/>
        </w:rPr>
        <w:t xml:space="preserve"> </w:t>
      </w:r>
      <w:r w:rsidR="00184712">
        <w:rPr>
          <w:rFonts w:cs="Times New Roman"/>
          <w:bCs/>
          <w:color w:val="000000" w:themeColor="text1"/>
        </w:rPr>
        <w:t>if</w:t>
      </w:r>
      <w:r w:rsidRPr="00D72273">
        <w:rPr>
          <w:rFonts w:cs="Times New Roman"/>
          <w:bCs/>
          <w:color w:val="000000" w:themeColor="text1"/>
        </w:rPr>
        <w:t xml:space="preserve"> the effects of root density cause shoot growth changes </w:t>
      </w:r>
      <w:r>
        <w:rPr>
          <w:rFonts w:cs="Times New Roman"/>
          <w:bCs/>
          <w:color w:val="000000" w:themeColor="text1"/>
        </w:rPr>
        <w:t xml:space="preserve">seen in the </w:t>
      </w:r>
      <w:r w:rsidRPr="00D72273">
        <w:rPr>
          <w:rFonts w:cs="Times New Roman"/>
          <w:bCs/>
          <w:color w:val="000000" w:themeColor="text1"/>
        </w:rPr>
        <w:t xml:space="preserve">later </w:t>
      </w:r>
      <w:r>
        <w:rPr>
          <w:rFonts w:cs="Times New Roman"/>
          <w:bCs/>
          <w:color w:val="000000" w:themeColor="text1"/>
        </w:rPr>
        <w:t xml:space="preserve">phase of </w:t>
      </w:r>
      <w:r w:rsidRPr="00D72273">
        <w:rPr>
          <w:rFonts w:cs="Times New Roman"/>
          <w:bCs/>
          <w:color w:val="000000" w:themeColor="text1"/>
        </w:rPr>
        <w:t>growth</w:t>
      </w:r>
      <w:r>
        <w:rPr>
          <w:rFonts w:cs="Times New Roman"/>
          <w:bCs/>
          <w:color w:val="000000" w:themeColor="text1"/>
        </w:rPr>
        <w:t>,</w:t>
      </w:r>
      <w:r w:rsidRPr="00D72273">
        <w:rPr>
          <w:rFonts w:cs="Times New Roman"/>
          <w:bCs/>
          <w:color w:val="000000" w:themeColor="text1"/>
        </w:rPr>
        <w:t xml:space="preserve"> tiller number was recorded weekly from week 4 to 12 post germination. Tiller number was similar in all treatments </w:t>
      </w:r>
      <w:r>
        <w:rPr>
          <w:rFonts w:cs="Times New Roman"/>
          <w:bCs/>
          <w:color w:val="000000" w:themeColor="text1"/>
        </w:rPr>
        <w:t xml:space="preserve">between 3 and 5 weeks after germination, in the early phase of growth, consistent with previous </w:t>
      </w:r>
      <w:r>
        <w:rPr>
          <w:rFonts w:cs="Times New Roman"/>
          <w:bCs/>
          <w:color w:val="000000" w:themeColor="text1"/>
        </w:rPr>
        <w:lastRenderedPageBreak/>
        <w:t xml:space="preserve">results as all treatments had access to the same soil volume (Fig. 4.12A). However, </w:t>
      </w:r>
      <w:r w:rsidRPr="00D72273">
        <w:rPr>
          <w:rFonts w:cs="Times New Roman"/>
          <w:bCs/>
          <w:color w:val="000000" w:themeColor="text1"/>
        </w:rPr>
        <w:t>after 35 days post germination</w:t>
      </w:r>
      <w:r>
        <w:rPr>
          <w:rFonts w:cs="Times New Roman"/>
          <w:bCs/>
          <w:color w:val="000000" w:themeColor="text1"/>
        </w:rPr>
        <w:t>,</w:t>
      </w:r>
      <w:r w:rsidRPr="00D72273">
        <w:rPr>
          <w:rFonts w:cs="Times New Roman"/>
          <w:bCs/>
          <w:color w:val="000000" w:themeColor="text1"/>
        </w:rPr>
        <w:t xml:space="preserve"> a divergence in tiller number was seen</w:t>
      </w:r>
      <w:r w:rsidR="00CB0E9B">
        <w:rPr>
          <w:rFonts w:cs="Times New Roman"/>
          <w:bCs/>
          <w:color w:val="000000" w:themeColor="text1"/>
        </w:rPr>
        <w:t>.</w:t>
      </w:r>
      <w:r w:rsidRPr="00D72273">
        <w:rPr>
          <w:rFonts w:cs="Times New Roman"/>
          <w:bCs/>
          <w:color w:val="000000" w:themeColor="text1"/>
        </w:rPr>
        <w:t xml:space="preserve"> </w:t>
      </w:r>
      <w:r w:rsidR="00CB0E9B">
        <w:rPr>
          <w:rFonts w:cs="Times New Roman"/>
          <w:bCs/>
          <w:color w:val="000000" w:themeColor="text1"/>
        </w:rPr>
        <w:t>T</w:t>
      </w:r>
      <w:r w:rsidRPr="00D72273">
        <w:rPr>
          <w:rFonts w:cs="Times New Roman"/>
          <w:bCs/>
          <w:color w:val="000000" w:themeColor="text1"/>
        </w:rPr>
        <w:t xml:space="preserve">illering increased rapidly in treatment B until </w:t>
      </w:r>
      <w:r w:rsidR="00CB0E9B">
        <w:rPr>
          <w:rFonts w:cs="Times New Roman"/>
          <w:bCs/>
          <w:color w:val="000000" w:themeColor="text1"/>
        </w:rPr>
        <w:t>49</w:t>
      </w:r>
      <w:r w:rsidRPr="00D72273">
        <w:rPr>
          <w:rFonts w:cs="Times New Roman"/>
          <w:bCs/>
          <w:color w:val="000000" w:themeColor="text1"/>
        </w:rPr>
        <w:t xml:space="preserve"> days post germination </w:t>
      </w:r>
      <w:r w:rsidR="00CB0E9B" w:rsidRPr="00387EAB">
        <w:rPr>
          <w:rFonts w:cs="Times New Roman"/>
          <w:bCs/>
          <w:color w:val="000000" w:themeColor="text1"/>
        </w:rPr>
        <w:t xml:space="preserve">where there was a statistically </w:t>
      </w:r>
      <w:r w:rsidR="006A7CCA" w:rsidRPr="00387EAB">
        <w:rPr>
          <w:rFonts w:cs="Times New Roman"/>
          <w:bCs/>
          <w:color w:val="000000" w:themeColor="text1"/>
        </w:rPr>
        <w:t>significantly</w:t>
      </w:r>
      <w:r w:rsidR="00CB0E9B" w:rsidRPr="00387EAB">
        <w:rPr>
          <w:rFonts w:cs="Times New Roman"/>
          <w:bCs/>
          <w:color w:val="000000" w:themeColor="text1"/>
        </w:rPr>
        <w:t xml:space="preserve"> higher number of tillers in plants grown in this treatment,</w:t>
      </w:r>
      <w:r w:rsidR="00CB0E9B">
        <w:rPr>
          <w:rFonts w:cs="Times New Roman"/>
          <w:bCs/>
          <w:color w:val="000000" w:themeColor="text1"/>
        </w:rPr>
        <w:t xml:space="preserve"> </w:t>
      </w:r>
      <w:r w:rsidRPr="00D72273">
        <w:rPr>
          <w:rFonts w:cs="Times New Roman"/>
          <w:bCs/>
          <w:color w:val="000000" w:themeColor="text1"/>
        </w:rPr>
        <w:t>whereas treatments A and C continued on a steady trajectory. Treatment B produced the highest number of tillers (~8) compared to treatments A and C which produced ~6 tillers (Fig</w:t>
      </w:r>
      <w:r>
        <w:rPr>
          <w:rFonts w:cs="Times New Roman"/>
          <w:bCs/>
          <w:color w:val="000000" w:themeColor="text1"/>
        </w:rPr>
        <w:t>.</w:t>
      </w:r>
      <w:r w:rsidRPr="00D72273">
        <w:rPr>
          <w:rFonts w:cs="Times New Roman"/>
          <w:bCs/>
          <w:color w:val="000000" w:themeColor="text1"/>
        </w:rPr>
        <w:t xml:space="preserve"> 4.</w:t>
      </w:r>
      <w:r>
        <w:rPr>
          <w:rFonts w:cs="Times New Roman"/>
          <w:bCs/>
          <w:color w:val="000000" w:themeColor="text1"/>
        </w:rPr>
        <w:t>12</w:t>
      </w:r>
      <w:r w:rsidRPr="00D72273">
        <w:rPr>
          <w:rFonts w:cs="Times New Roman"/>
          <w:bCs/>
          <w:color w:val="000000" w:themeColor="text1"/>
        </w:rPr>
        <w:t xml:space="preserve">A). The delay in tillering differences between the treatments further </w:t>
      </w:r>
      <w:r w:rsidR="00B40817" w:rsidRPr="00387EAB">
        <w:rPr>
          <w:rFonts w:cs="Times New Roman"/>
          <w:bCs/>
          <w:color w:val="000000" w:themeColor="text1"/>
        </w:rPr>
        <w:t>supports</w:t>
      </w:r>
      <w:r w:rsidRPr="00D72273">
        <w:rPr>
          <w:rFonts w:cs="Times New Roman"/>
          <w:bCs/>
          <w:color w:val="000000" w:themeColor="text1"/>
        </w:rPr>
        <w:t xml:space="preserve"> that root density influence</w:t>
      </w:r>
      <w:r>
        <w:rPr>
          <w:rFonts w:cs="Times New Roman"/>
          <w:bCs/>
          <w:color w:val="000000" w:themeColor="text1"/>
        </w:rPr>
        <w:t>s</w:t>
      </w:r>
      <w:r w:rsidRPr="00D72273">
        <w:rPr>
          <w:rFonts w:cs="Times New Roman"/>
          <w:bCs/>
          <w:color w:val="000000" w:themeColor="text1"/>
        </w:rPr>
        <w:t xml:space="preserve"> plant growth later on in life. </w:t>
      </w:r>
    </w:p>
    <w:p w14:paraId="4FA96CAA" w14:textId="77777777" w:rsidR="00210FC9" w:rsidRDefault="00210FC9" w:rsidP="00A3130F">
      <w:pPr>
        <w:spacing w:line="480" w:lineRule="auto"/>
        <w:rPr>
          <w:rFonts w:cs="Times New Roman"/>
          <w:bCs/>
          <w:color w:val="000000" w:themeColor="text1"/>
        </w:rPr>
      </w:pPr>
    </w:p>
    <w:p w14:paraId="5F349A75" w14:textId="77777777" w:rsidR="00210FC9" w:rsidRDefault="00210FC9" w:rsidP="00A3130F">
      <w:pPr>
        <w:spacing w:line="480" w:lineRule="auto"/>
        <w:rPr>
          <w:rFonts w:cs="Times New Roman"/>
          <w:bCs/>
          <w:color w:val="000000" w:themeColor="text1"/>
        </w:rPr>
      </w:pPr>
    </w:p>
    <w:p w14:paraId="74F636E5" w14:textId="77777777" w:rsidR="00210FC9" w:rsidRDefault="00210FC9" w:rsidP="00A3130F">
      <w:pPr>
        <w:spacing w:line="480" w:lineRule="auto"/>
        <w:rPr>
          <w:rFonts w:cs="Times New Roman"/>
          <w:bCs/>
          <w:color w:val="000000" w:themeColor="text1"/>
        </w:rPr>
      </w:pPr>
    </w:p>
    <w:p w14:paraId="4E1B52DB" w14:textId="67AB492C" w:rsidR="00A74C10" w:rsidRPr="00D72273" w:rsidRDefault="00A74C10" w:rsidP="00A3130F">
      <w:pPr>
        <w:spacing w:line="480" w:lineRule="auto"/>
        <w:rPr>
          <w:rFonts w:cs="Times New Roman"/>
          <w:bCs/>
          <w:color w:val="000000" w:themeColor="text1"/>
        </w:rPr>
      </w:pPr>
      <w:r>
        <w:rPr>
          <w:rFonts w:cs="Times New Roman"/>
          <w:bCs/>
          <w:noProof/>
        </w:rPr>
        <w:lastRenderedPageBreak/>
        <w:drawing>
          <wp:anchor distT="0" distB="0" distL="114300" distR="114300" simplePos="0" relativeHeight="251790848" behindDoc="0" locked="0" layoutInCell="1" allowOverlap="1" wp14:anchorId="4117A485" wp14:editId="31231A7E">
            <wp:simplePos x="0" y="0"/>
            <wp:positionH relativeFrom="margin">
              <wp:align>left</wp:align>
            </wp:positionH>
            <wp:positionV relativeFrom="paragraph">
              <wp:posOffset>242912</wp:posOffset>
            </wp:positionV>
            <wp:extent cx="4862830" cy="4304030"/>
            <wp:effectExtent l="0" t="0" r="0" b="1270"/>
            <wp:wrapSquare wrapText="bothSides"/>
            <wp:docPr id="17095850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585018" name="Picture 170958501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862830" cy="4304030"/>
                    </a:xfrm>
                    <a:prstGeom prst="rect">
                      <a:avLst/>
                    </a:prstGeom>
                  </pic:spPr>
                </pic:pic>
              </a:graphicData>
            </a:graphic>
            <wp14:sizeRelH relativeFrom="margin">
              <wp14:pctWidth>0</wp14:pctWidth>
            </wp14:sizeRelH>
            <wp14:sizeRelV relativeFrom="margin">
              <wp14:pctHeight>0</wp14:pctHeight>
            </wp14:sizeRelV>
          </wp:anchor>
        </w:drawing>
      </w:r>
    </w:p>
    <w:p w14:paraId="1FFFDDB4" w14:textId="65153D3F" w:rsidR="00A3130F" w:rsidRDefault="00A3130F" w:rsidP="00A3130F">
      <w:pPr>
        <w:pStyle w:val="Caption"/>
      </w:pPr>
      <w:bookmarkStart w:id="208" w:name="_Toc154331580"/>
      <w:r>
        <w:t xml:space="preserve">Figure </w:t>
      </w:r>
      <w:fldSimple w:instr=" STYLEREF 1 \s ">
        <w:r w:rsidR="004B7F70">
          <w:rPr>
            <w:noProof/>
          </w:rPr>
          <w:t>4</w:t>
        </w:r>
      </w:fldSimple>
      <w:r w:rsidR="00C97D34">
        <w:t>.</w:t>
      </w:r>
      <w:fldSimple w:instr=" SEQ Figure \* ARABIC \s 1 ">
        <w:r w:rsidR="004B7F70">
          <w:rPr>
            <w:noProof/>
          </w:rPr>
          <w:t>12</w:t>
        </w:r>
      </w:fldSimple>
      <w:r>
        <w:t xml:space="preserve"> </w:t>
      </w:r>
      <w:r w:rsidRPr="007B680C">
        <w:t>Container shape influences the shoot system later in life</w:t>
      </w:r>
      <w:bookmarkEnd w:id="208"/>
    </w:p>
    <w:p w14:paraId="24FBE275" w14:textId="47AF1385" w:rsidR="00A3130F" w:rsidRPr="00492566" w:rsidRDefault="00A3130F" w:rsidP="00A3130F">
      <w:pPr>
        <w:pStyle w:val="Description"/>
      </w:pPr>
      <w:r w:rsidRPr="00492566">
        <w:t>Graphs showing spring wheat (Mulika) grown in different shaped containers where the accessible soil volume is 320ml in all 3 treatments (A-C)</w:t>
      </w:r>
      <w:r>
        <w:t xml:space="preserve"> as described in Fig 4</w:t>
      </w:r>
      <w:r w:rsidRPr="00D72273">
        <w:t>.</w:t>
      </w:r>
      <w:r>
        <w:t>11B.</w:t>
      </w:r>
    </w:p>
    <w:p w14:paraId="6E2B7466" w14:textId="10612F92" w:rsidR="00A3130F" w:rsidRPr="00492566" w:rsidRDefault="00A3130F" w:rsidP="00A3130F">
      <w:pPr>
        <w:pStyle w:val="Description"/>
      </w:pPr>
      <w:r w:rsidRPr="00492566">
        <w:t xml:space="preserve">A) Line graph showing mean tiller number from day 31 to 84 post germination. Error bars represent s.e.m, n=7-8. n.s represents no statistical difference between the 3 treatments at that time point. An asterisk represents statistical difference between </w:t>
      </w:r>
      <w:r>
        <w:t xml:space="preserve">treatments </w:t>
      </w:r>
      <w:r w:rsidRPr="00492566">
        <w:t xml:space="preserve">B and C at 49 days post germination however there was no significant difference between </w:t>
      </w:r>
      <w:r>
        <w:t xml:space="preserve">treatments </w:t>
      </w:r>
      <w:r w:rsidRPr="00492566">
        <w:t xml:space="preserve">A and B and </w:t>
      </w:r>
      <w:r>
        <w:t xml:space="preserve">treatments </w:t>
      </w:r>
      <w:r w:rsidRPr="00492566">
        <w:t>A and C at the same tim</w:t>
      </w:r>
      <w:r>
        <w:t>e</w:t>
      </w:r>
      <w:r w:rsidRPr="00492566">
        <w:t xml:space="preserve">point (Day 49: Kruskal Wallis with Bonferroni correction, Day 42 and 56: One way ANOVA with Tukey’s HSD, p&lt;0.05) </w:t>
      </w:r>
    </w:p>
    <w:p w14:paraId="141D5B5A" w14:textId="77777777" w:rsidR="00A3130F" w:rsidRPr="00492566" w:rsidRDefault="00A3130F" w:rsidP="00A3130F">
      <w:pPr>
        <w:pStyle w:val="Description"/>
      </w:pPr>
      <w:r w:rsidRPr="00492566">
        <w:t xml:space="preserve">B) Box plot showing mean spikelet number per plant at 12 weeks post germination. Boxes with the same letter are not significantly different (One-way ANOVA with Tukey HSD, p &lt;0.05) n=7-8. The box indicates the interquartile range, the midline represents the median, the whiskers are the minimum and maximum values, the circle is the mean and the diamonds are outliers. </w:t>
      </w:r>
    </w:p>
    <w:p w14:paraId="45464D8F" w14:textId="77777777" w:rsidR="00A3130F" w:rsidRDefault="00A3130F" w:rsidP="00A3130F">
      <w:pPr>
        <w:pStyle w:val="Description"/>
      </w:pPr>
      <w:r w:rsidRPr="00492566">
        <w:t xml:space="preserve">C) Images of soil environment at 12 weeks post germination. </w:t>
      </w:r>
      <w:r>
        <w:t>Images are to the same scale.</w:t>
      </w:r>
    </w:p>
    <w:p w14:paraId="0C2A4551" w14:textId="77777777" w:rsidR="00A3130F" w:rsidRDefault="00A3130F" w:rsidP="00A3130F">
      <w:pPr>
        <w:pStyle w:val="Description"/>
      </w:pPr>
    </w:p>
    <w:p w14:paraId="0F9AEDAF" w14:textId="1BDE796A" w:rsidR="00A3130F" w:rsidRPr="00DE4F98" w:rsidRDefault="00A3130F" w:rsidP="00A3130F">
      <w:pPr>
        <w:numPr>
          <w:ilvl w:val="1"/>
          <w:numId w:val="0"/>
        </w:numPr>
        <w:spacing w:before="160" w:line="480" w:lineRule="auto"/>
        <w:outlineLvl w:val="1"/>
        <w:rPr>
          <w:rFonts w:cs="Times New Roman"/>
          <w:bCs/>
          <w:color w:val="000000" w:themeColor="text1"/>
        </w:rPr>
      </w:pPr>
      <w:r w:rsidRPr="00DE4F98">
        <w:rPr>
          <w:rFonts w:cs="Times New Roman"/>
          <w:bCs/>
          <w:color w:val="000000" w:themeColor="text1"/>
        </w:rPr>
        <w:t>To investigate if the effects seen in shoot biomass were also reflected in reproductive traits, spikelet number per plant</w:t>
      </w:r>
      <w:r>
        <w:rPr>
          <w:rFonts w:cs="Times New Roman"/>
          <w:bCs/>
          <w:color w:val="000000" w:themeColor="text1"/>
        </w:rPr>
        <w:t xml:space="preserve"> was</w:t>
      </w:r>
      <w:r w:rsidRPr="005D1449">
        <w:rPr>
          <w:rFonts w:cs="Times New Roman"/>
          <w:bCs/>
          <w:color w:val="000000" w:themeColor="text1"/>
        </w:rPr>
        <w:t xml:space="preserve"> </w:t>
      </w:r>
      <w:r w:rsidRPr="00DE4F98">
        <w:rPr>
          <w:rFonts w:cs="Times New Roman"/>
          <w:bCs/>
          <w:color w:val="000000" w:themeColor="text1"/>
        </w:rPr>
        <w:t xml:space="preserve">counted. Indeed, these followed the same trend with treatment B plants producing a </w:t>
      </w:r>
      <w:r w:rsidR="000F76EF" w:rsidRPr="00945150">
        <w:rPr>
          <w:rFonts w:cs="Times New Roman"/>
          <w:bCs/>
          <w:color w:val="000000" w:themeColor="text1"/>
        </w:rPr>
        <w:t>statisticall</w:t>
      </w:r>
      <w:r w:rsidR="00F26E7F" w:rsidRPr="00945150">
        <w:rPr>
          <w:rFonts w:cs="Times New Roman"/>
          <w:bCs/>
          <w:color w:val="000000" w:themeColor="text1"/>
        </w:rPr>
        <w:t xml:space="preserve">y </w:t>
      </w:r>
      <w:r w:rsidR="00F26E7F" w:rsidRPr="00945150">
        <w:rPr>
          <w:rFonts w:cs="Times New Roman"/>
          <w:bCs/>
          <w:color w:val="000000" w:themeColor="text1"/>
        </w:rPr>
        <w:lastRenderedPageBreak/>
        <w:t xml:space="preserve">different </w:t>
      </w:r>
      <w:r w:rsidRPr="00945150">
        <w:rPr>
          <w:rFonts w:cs="Times New Roman"/>
          <w:bCs/>
          <w:color w:val="000000" w:themeColor="text1"/>
        </w:rPr>
        <w:t>greater</w:t>
      </w:r>
      <w:r w:rsidRPr="00DE4F98">
        <w:rPr>
          <w:rFonts w:cs="Times New Roman"/>
          <w:bCs/>
          <w:color w:val="000000" w:themeColor="text1"/>
        </w:rPr>
        <w:t xml:space="preserve"> number of spikelets per plant than </w:t>
      </w:r>
      <w:r w:rsidR="00F26E7F">
        <w:rPr>
          <w:rFonts w:cs="Times New Roman"/>
          <w:bCs/>
          <w:color w:val="000000" w:themeColor="text1"/>
        </w:rPr>
        <w:t>treatment</w:t>
      </w:r>
      <w:r w:rsidRPr="00DE4F98">
        <w:rPr>
          <w:rFonts w:cs="Times New Roman"/>
          <w:bCs/>
          <w:color w:val="000000" w:themeColor="text1"/>
        </w:rPr>
        <w:t xml:space="preserve"> C</w:t>
      </w:r>
      <w:r w:rsidR="00F26E7F">
        <w:rPr>
          <w:rFonts w:cs="Times New Roman"/>
          <w:bCs/>
          <w:color w:val="000000" w:themeColor="text1"/>
        </w:rPr>
        <w:t>, although there was no statistical difference in spikelet number between plant</w:t>
      </w:r>
      <w:r w:rsidR="005010F9">
        <w:rPr>
          <w:rFonts w:cs="Times New Roman"/>
          <w:bCs/>
          <w:color w:val="000000" w:themeColor="text1"/>
        </w:rPr>
        <w:t>s</w:t>
      </w:r>
      <w:r w:rsidR="00F26E7F">
        <w:rPr>
          <w:rFonts w:cs="Times New Roman"/>
          <w:bCs/>
          <w:color w:val="000000" w:themeColor="text1"/>
        </w:rPr>
        <w:t xml:space="preserve"> in treatment B and </w:t>
      </w:r>
      <w:r w:rsidR="00C57838">
        <w:rPr>
          <w:rFonts w:cs="Times New Roman"/>
          <w:bCs/>
          <w:color w:val="000000" w:themeColor="text1"/>
        </w:rPr>
        <w:t>A</w:t>
      </w:r>
      <w:r>
        <w:rPr>
          <w:rFonts w:cs="Times New Roman"/>
          <w:bCs/>
          <w:color w:val="000000" w:themeColor="text1"/>
        </w:rPr>
        <w:t xml:space="preserve"> (Fig. 4.11B)</w:t>
      </w:r>
      <w:r w:rsidRPr="00DE4F98">
        <w:rPr>
          <w:rFonts w:cs="Times New Roman"/>
          <w:bCs/>
          <w:color w:val="000000" w:themeColor="text1"/>
        </w:rPr>
        <w:t xml:space="preserve">. </w:t>
      </w:r>
      <w:r w:rsidR="006B7949" w:rsidRPr="00CE18A3">
        <w:rPr>
          <w:rFonts w:cs="Times New Roman"/>
          <w:bCs/>
          <w:color w:val="000000" w:themeColor="text1"/>
        </w:rPr>
        <w:t>Therefore, a similar trend was observed in spikelet number as in shoot biomass for these treatments.</w:t>
      </w:r>
    </w:p>
    <w:p w14:paraId="0AD0BE83" w14:textId="4F559E43" w:rsidR="00A3130F" w:rsidRPr="00602266" w:rsidRDefault="00A3130F" w:rsidP="00A3130F">
      <w:pPr>
        <w:keepNext/>
        <w:numPr>
          <w:ilvl w:val="1"/>
          <w:numId w:val="0"/>
        </w:numPr>
        <w:spacing w:before="160" w:line="480" w:lineRule="auto"/>
        <w:outlineLvl w:val="1"/>
        <w:rPr>
          <w:rFonts w:cs="Times New Roman"/>
          <w:bCs/>
        </w:rPr>
      </w:pPr>
      <w:r w:rsidRPr="003E5DE9">
        <w:rPr>
          <w:rFonts w:cs="Times New Roman"/>
          <w:bCs/>
        </w:rPr>
        <w:t>Together th</w:t>
      </w:r>
      <w:r>
        <w:rPr>
          <w:rFonts w:cs="Times New Roman"/>
          <w:bCs/>
        </w:rPr>
        <w:t>ese</w:t>
      </w:r>
      <w:r w:rsidRPr="003E5DE9">
        <w:rPr>
          <w:rFonts w:cs="Times New Roman"/>
          <w:bCs/>
        </w:rPr>
        <w:t xml:space="preserve"> data suggest that the shape of </w:t>
      </w:r>
      <w:r w:rsidR="00B82FA3">
        <w:rPr>
          <w:rFonts w:cs="Times New Roman"/>
          <w:bCs/>
        </w:rPr>
        <w:t xml:space="preserve">the </w:t>
      </w:r>
      <w:r w:rsidR="00B82FA3" w:rsidRPr="00CE18A3">
        <w:rPr>
          <w:rFonts w:cs="Times New Roman"/>
          <w:bCs/>
        </w:rPr>
        <w:t xml:space="preserve">container used in </w:t>
      </w:r>
      <w:r w:rsidRPr="00CE18A3">
        <w:rPr>
          <w:rFonts w:cs="Times New Roman"/>
          <w:bCs/>
        </w:rPr>
        <w:t xml:space="preserve">treatment B was optimal, </w:t>
      </w:r>
      <w:r w:rsidR="00B82FA3" w:rsidRPr="00CE18A3">
        <w:rPr>
          <w:rFonts w:cs="Times New Roman"/>
          <w:bCs/>
        </w:rPr>
        <w:t xml:space="preserve">possibly </w:t>
      </w:r>
      <w:r w:rsidRPr="00CE18A3">
        <w:rPr>
          <w:rFonts w:cs="Times New Roman"/>
          <w:bCs/>
        </w:rPr>
        <w:t>allowing these plants to t</w:t>
      </w:r>
      <w:r w:rsidRPr="003E5DE9">
        <w:rPr>
          <w:rFonts w:cs="Times New Roman"/>
          <w:bCs/>
        </w:rPr>
        <w:t xml:space="preserve">ake greatest advantage of the total available soil volume compared to treatments </w:t>
      </w:r>
      <w:r w:rsidR="00676D2F">
        <w:rPr>
          <w:rFonts w:cs="Times New Roman"/>
          <w:bCs/>
        </w:rPr>
        <w:t>A</w:t>
      </w:r>
      <w:r w:rsidR="00676D2F" w:rsidRPr="003E5DE9">
        <w:rPr>
          <w:rFonts w:cs="Times New Roman"/>
          <w:bCs/>
        </w:rPr>
        <w:t xml:space="preserve"> </w:t>
      </w:r>
      <w:r w:rsidRPr="003E5DE9">
        <w:rPr>
          <w:rFonts w:cs="Times New Roman"/>
          <w:bCs/>
        </w:rPr>
        <w:t xml:space="preserve">and C. This </w:t>
      </w:r>
      <w:r w:rsidR="00EF013B" w:rsidRPr="00925E0A">
        <w:rPr>
          <w:rFonts w:cs="Times New Roman"/>
          <w:bCs/>
        </w:rPr>
        <w:t>fits with</w:t>
      </w:r>
      <w:r w:rsidRPr="003E5DE9">
        <w:rPr>
          <w:rFonts w:cs="Times New Roman"/>
          <w:bCs/>
        </w:rPr>
        <w:t xml:space="preserve"> the inherent cone shaped root system architecture found in wheat plants.</w:t>
      </w:r>
      <w:r>
        <w:rPr>
          <w:rFonts w:cs="Times New Roman"/>
          <w:bCs/>
        </w:rPr>
        <w:t xml:space="preserve"> </w:t>
      </w:r>
      <w:r w:rsidRPr="00DE4F98">
        <w:rPr>
          <w:rFonts w:cs="Times New Roman"/>
          <w:color w:val="000000" w:themeColor="text1"/>
        </w:rPr>
        <w:t>Treatment B plants are able to grow and spread their roots in a more ‘natural’ way than treatments A and C, whereas the shapes of treatments A and C containers ‘force’ the root systems to be denser in certain areas. Th</w:t>
      </w:r>
      <w:r>
        <w:rPr>
          <w:rFonts w:cs="Times New Roman"/>
          <w:color w:val="000000" w:themeColor="text1"/>
        </w:rPr>
        <w:t xml:space="preserve">ese data are not consistent with nutrient availability as an explanation for the second phase of growth due to all the treatments being grown in the same soil volume, but are consistent with the idea </w:t>
      </w:r>
      <w:r w:rsidRPr="00DE4F98">
        <w:rPr>
          <w:rFonts w:cs="Times New Roman"/>
          <w:color w:val="000000" w:themeColor="text1"/>
        </w:rPr>
        <w:t xml:space="preserve">that the inhibition of shoot growth </w:t>
      </w:r>
      <w:r>
        <w:rPr>
          <w:rFonts w:cs="Times New Roman"/>
          <w:color w:val="000000" w:themeColor="text1"/>
        </w:rPr>
        <w:t>in the later phase</w:t>
      </w:r>
      <w:r w:rsidRPr="00DE4F98">
        <w:rPr>
          <w:rFonts w:cs="Times New Roman"/>
          <w:color w:val="000000" w:themeColor="text1"/>
        </w:rPr>
        <w:t xml:space="preserve"> is caused by </w:t>
      </w:r>
      <w:r>
        <w:rPr>
          <w:rFonts w:cs="Times New Roman"/>
          <w:color w:val="000000" w:themeColor="text1"/>
        </w:rPr>
        <w:t xml:space="preserve">a root exuded chemical with relatively low mobility that </w:t>
      </w:r>
      <w:r w:rsidRPr="00DE4F98">
        <w:rPr>
          <w:rFonts w:cs="Times New Roman"/>
          <w:color w:val="000000" w:themeColor="text1"/>
        </w:rPr>
        <w:t>increase</w:t>
      </w:r>
      <w:r>
        <w:rPr>
          <w:rFonts w:cs="Times New Roman"/>
          <w:color w:val="000000" w:themeColor="text1"/>
        </w:rPr>
        <w:t>s with</w:t>
      </w:r>
      <w:r w:rsidRPr="00DE4F98">
        <w:rPr>
          <w:rFonts w:cs="Times New Roman"/>
          <w:color w:val="000000" w:themeColor="text1"/>
        </w:rPr>
        <w:t xml:space="preserve"> root</w:t>
      </w:r>
      <w:r>
        <w:rPr>
          <w:rFonts w:cs="Times New Roman"/>
          <w:color w:val="000000" w:themeColor="text1"/>
        </w:rPr>
        <w:t xml:space="preserve"> density</w:t>
      </w:r>
      <w:r w:rsidRPr="00DE4F98">
        <w:rPr>
          <w:rFonts w:cs="Times New Roman"/>
          <w:color w:val="000000" w:themeColor="text1"/>
        </w:rPr>
        <w:t xml:space="preserve">. In plants </w:t>
      </w:r>
      <w:r>
        <w:rPr>
          <w:rFonts w:cs="Times New Roman"/>
          <w:color w:val="000000" w:themeColor="text1"/>
        </w:rPr>
        <w:t xml:space="preserve">grown </w:t>
      </w:r>
      <w:r w:rsidRPr="00DE4F98">
        <w:rPr>
          <w:rFonts w:cs="Times New Roman"/>
          <w:color w:val="000000" w:themeColor="text1"/>
        </w:rPr>
        <w:t xml:space="preserve">in treatments A and C, the concentration of this </w:t>
      </w:r>
      <w:r>
        <w:rPr>
          <w:rFonts w:cs="Times New Roman"/>
          <w:color w:val="000000" w:themeColor="text1"/>
        </w:rPr>
        <w:t>later phase</w:t>
      </w:r>
      <w:r w:rsidRPr="00DE4F98">
        <w:rPr>
          <w:rFonts w:cs="Times New Roman"/>
          <w:color w:val="000000" w:themeColor="text1"/>
        </w:rPr>
        <w:t xml:space="preserve"> signal builds up more quickly than in treatment B plants</w:t>
      </w:r>
      <w:r>
        <w:rPr>
          <w:rFonts w:cs="Times New Roman"/>
          <w:color w:val="000000" w:themeColor="text1"/>
        </w:rPr>
        <w:t>,</w:t>
      </w:r>
      <w:r w:rsidRPr="00DE4F98">
        <w:rPr>
          <w:rFonts w:cs="Times New Roman"/>
          <w:color w:val="000000" w:themeColor="text1"/>
        </w:rPr>
        <w:t xml:space="preserve"> as the roots of </w:t>
      </w:r>
      <w:r>
        <w:rPr>
          <w:rFonts w:cs="Times New Roman"/>
          <w:color w:val="000000" w:themeColor="text1"/>
        </w:rPr>
        <w:t xml:space="preserve">treatment A and C </w:t>
      </w:r>
      <w:r w:rsidRPr="00DE4F98">
        <w:rPr>
          <w:rFonts w:cs="Times New Roman"/>
          <w:color w:val="000000" w:themeColor="text1"/>
        </w:rPr>
        <w:t>plants remain highly aggregated, consequently resulting in the shoot</w:t>
      </w:r>
      <w:r>
        <w:rPr>
          <w:rFonts w:cs="Times New Roman"/>
          <w:color w:val="000000" w:themeColor="text1"/>
        </w:rPr>
        <w:t xml:space="preserve"> growth</w:t>
      </w:r>
      <w:r w:rsidRPr="00DE4F98">
        <w:rPr>
          <w:rFonts w:cs="Times New Roman"/>
          <w:color w:val="000000" w:themeColor="text1"/>
        </w:rPr>
        <w:t xml:space="preserve"> phenotypes seen.</w:t>
      </w:r>
      <w:r>
        <w:rPr>
          <w:rFonts w:cs="Times New Roman"/>
          <w:color w:val="000000" w:themeColor="text1"/>
        </w:rPr>
        <w:t xml:space="preserve"> The high aggregation in treatments A and C and the resulting shoot growth inhibition suggests that this later phase signal cannot be efficiently diffused into the rest of the soil volume and instead stays close to the roots. </w:t>
      </w:r>
      <w:r w:rsidRPr="00602266">
        <w:rPr>
          <w:rFonts w:cs="Times New Roman"/>
        </w:rPr>
        <w:t>This could suggest that this later phase signal is found in the rhizosheath directly around the roots.</w:t>
      </w:r>
    </w:p>
    <w:p w14:paraId="516BDF63" w14:textId="77777777" w:rsidR="00A3130F" w:rsidRDefault="00A3130F" w:rsidP="00A3130F"/>
    <w:p w14:paraId="3A7456D7" w14:textId="2D9F10A0" w:rsidR="00A3130F" w:rsidRDefault="00A3130F" w:rsidP="00743E4C">
      <w:pPr>
        <w:pStyle w:val="Heading3"/>
      </w:pPr>
      <w:bookmarkStart w:id="209" w:name="_Toc154331499"/>
      <w:r w:rsidRPr="00A3130F">
        <w:lastRenderedPageBreak/>
        <w:t>Root density responses are perceived locally and affect root growth allocation</w:t>
      </w:r>
      <w:bookmarkEnd w:id="209"/>
    </w:p>
    <w:p w14:paraId="1B03412B" w14:textId="77777777" w:rsidR="00A3130F" w:rsidRDefault="00A3130F" w:rsidP="00A3130F"/>
    <w:p w14:paraId="410AED1F" w14:textId="77777777" w:rsidR="00A3130F" w:rsidRPr="00DE4F98" w:rsidRDefault="00A3130F" w:rsidP="00A3130F">
      <w:pPr>
        <w:spacing w:line="480" w:lineRule="auto"/>
        <w:rPr>
          <w:rFonts w:cs="Times New Roman"/>
          <w:bCs/>
          <w:color w:val="000000" w:themeColor="text1"/>
        </w:rPr>
      </w:pPr>
      <w:r w:rsidRPr="00DE4F98">
        <w:rPr>
          <w:rFonts w:cs="Times New Roman"/>
          <w:bCs/>
          <w:color w:val="000000" w:themeColor="text1"/>
        </w:rPr>
        <w:t xml:space="preserve">To further explore the properties of the </w:t>
      </w:r>
      <w:r>
        <w:rPr>
          <w:rFonts w:cs="Times New Roman"/>
          <w:bCs/>
          <w:color w:val="000000" w:themeColor="text1"/>
        </w:rPr>
        <w:t>hypothesised</w:t>
      </w:r>
      <w:r w:rsidRPr="00DE4F98">
        <w:rPr>
          <w:rFonts w:cs="Times New Roman"/>
          <w:bCs/>
          <w:color w:val="000000" w:themeColor="text1"/>
        </w:rPr>
        <w:t xml:space="preserve"> second phase signal, I used hydroponics as this allows easy access to the root system throughout life. This allowed me to alter the amount of physical substrate volume and hence create treatments where root density varied, but chemical substrate volume remained equal. I hypothesised that the root density signal has limited mobility based on previous findings in </w:t>
      </w:r>
      <w:r>
        <w:rPr>
          <w:rFonts w:cs="Times New Roman"/>
          <w:bCs/>
          <w:color w:val="000000" w:themeColor="text1"/>
        </w:rPr>
        <w:t xml:space="preserve">section </w:t>
      </w:r>
      <w:r w:rsidRPr="00DE4F98">
        <w:rPr>
          <w:rFonts w:cs="Times New Roman"/>
          <w:bCs/>
          <w:color w:val="000000" w:themeColor="text1"/>
        </w:rPr>
        <w:t>4.</w:t>
      </w:r>
      <w:r>
        <w:rPr>
          <w:rFonts w:cs="Times New Roman"/>
          <w:bCs/>
          <w:color w:val="000000" w:themeColor="text1"/>
        </w:rPr>
        <w:t>3</w:t>
      </w:r>
      <w:r w:rsidRPr="00DE4F98">
        <w:rPr>
          <w:rFonts w:cs="Times New Roman"/>
          <w:bCs/>
          <w:color w:val="000000" w:themeColor="text1"/>
        </w:rPr>
        <w:t>, and that this in turn could mean that the signal acts locally</w:t>
      </w:r>
      <w:r>
        <w:rPr>
          <w:rFonts w:cs="Times New Roman"/>
          <w:bCs/>
          <w:color w:val="000000" w:themeColor="text1"/>
        </w:rPr>
        <w:t xml:space="preserve"> on the root system</w:t>
      </w:r>
      <w:r w:rsidRPr="00DE4F98">
        <w:rPr>
          <w:rFonts w:cs="Times New Roman"/>
          <w:bCs/>
          <w:color w:val="000000" w:themeColor="text1"/>
        </w:rPr>
        <w:t>. I therefore wanted an experimental design in which the transfer of these substances was less limited</w:t>
      </w:r>
      <w:r>
        <w:rPr>
          <w:rFonts w:cs="Times New Roman"/>
          <w:bCs/>
          <w:color w:val="000000" w:themeColor="text1"/>
        </w:rPr>
        <w:t xml:space="preserve"> than in soil</w:t>
      </w:r>
      <w:r w:rsidRPr="00DE4F98">
        <w:rPr>
          <w:rFonts w:cs="Times New Roman"/>
          <w:bCs/>
          <w:color w:val="000000" w:themeColor="text1"/>
        </w:rPr>
        <w:t xml:space="preserve">. This would allow me to test the mobility of the root density associated signal. </w:t>
      </w:r>
    </w:p>
    <w:p w14:paraId="5B379434" w14:textId="656E21DD" w:rsidR="00A3130F" w:rsidRDefault="00A3130F" w:rsidP="00A3130F">
      <w:pPr>
        <w:spacing w:line="480" w:lineRule="auto"/>
        <w:rPr>
          <w:rFonts w:cs="Times New Roman"/>
          <w:bCs/>
        </w:rPr>
      </w:pPr>
      <w:r w:rsidRPr="00EC53ED">
        <w:rPr>
          <w:rFonts w:cs="Times New Roman"/>
          <w:bCs/>
        </w:rPr>
        <w:t xml:space="preserve">I pregerminated wheat (cv. Mulika) seeds 1 plant per pot (1/pot) for 1 week in perlite then transferred plants </w:t>
      </w:r>
      <w:r>
        <w:rPr>
          <w:rFonts w:cs="Times New Roman"/>
          <w:bCs/>
        </w:rPr>
        <w:t xml:space="preserve">of equal size </w:t>
      </w:r>
      <w:r w:rsidRPr="00EC53ED">
        <w:rPr>
          <w:rFonts w:cs="Times New Roman"/>
          <w:bCs/>
        </w:rPr>
        <w:t xml:space="preserve">to the hydroponic system, </w:t>
      </w:r>
      <w:r>
        <w:rPr>
          <w:rFonts w:cs="Times New Roman"/>
          <w:bCs/>
        </w:rPr>
        <w:t>1/pot</w:t>
      </w:r>
      <w:r w:rsidRPr="00EC53ED">
        <w:rPr>
          <w:rFonts w:cs="Times New Roman"/>
          <w:bCs/>
        </w:rPr>
        <w:t>. Once in the hydroponic system, the plants were allowed to grow for 3 weeks (</w:t>
      </w:r>
      <w:r>
        <w:rPr>
          <w:rFonts w:cs="Times New Roman"/>
          <w:bCs/>
        </w:rPr>
        <w:t>F</w:t>
      </w:r>
      <w:r w:rsidRPr="00EC53ED">
        <w:rPr>
          <w:rFonts w:cs="Times New Roman"/>
          <w:bCs/>
        </w:rPr>
        <w:t>ig</w:t>
      </w:r>
      <w:r>
        <w:rPr>
          <w:rFonts w:cs="Times New Roman"/>
          <w:bCs/>
        </w:rPr>
        <w:t>. 4.13A and Fig. 4.14B</w:t>
      </w:r>
      <w:r w:rsidRPr="00EC53ED">
        <w:rPr>
          <w:rFonts w:cs="Times New Roman"/>
          <w:bCs/>
        </w:rPr>
        <w:t>). At 4 weeks post germination, plants were separated into 3 treatments (Fig</w:t>
      </w:r>
      <w:r>
        <w:rPr>
          <w:rFonts w:cs="Times New Roman"/>
          <w:bCs/>
        </w:rPr>
        <w:t>. 4.13</w:t>
      </w:r>
      <w:r w:rsidRPr="00EC53ED">
        <w:rPr>
          <w:rFonts w:cs="Times New Roman"/>
          <w:bCs/>
        </w:rPr>
        <w:t>A</w:t>
      </w:r>
      <w:r>
        <w:rPr>
          <w:rFonts w:cs="Times New Roman"/>
          <w:bCs/>
        </w:rPr>
        <w:t xml:space="preserve"> and Fig. 4.14C</w:t>
      </w:r>
      <w:r w:rsidRPr="00EC53ED">
        <w:rPr>
          <w:rFonts w:cs="Times New Roman"/>
          <w:bCs/>
        </w:rPr>
        <w:t>). Treatment A consisted of no change to the set-up, the roots were free and able to explore the whole hydroponic pot. Treatment B plants had their roots carefully separated, half the root system remain</w:t>
      </w:r>
      <w:r>
        <w:rPr>
          <w:rFonts w:cs="Times New Roman"/>
          <w:bCs/>
        </w:rPr>
        <w:t>ing</w:t>
      </w:r>
      <w:r w:rsidRPr="00EC53ED">
        <w:rPr>
          <w:rFonts w:cs="Times New Roman"/>
          <w:bCs/>
        </w:rPr>
        <w:t xml:space="preserve"> free, </w:t>
      </w:r>
      <w:r>
        <w:rPr>
          <w:rFonts w:cs="Times New Roman"/>
          <w:bCs/>
        </w:rPr>
        <w:t xml:space="preserve">and </w:t>
      </w:r>
      <w:r w:rsidRPr="00EC53ED">
        <w:rPr>
          <w:rFonts w:cs="Times New Roman"/>
          <w:bCs/>
        </w:rPr>
        <w:t xml:space="preserve">the other half were carefully placed within an </w:t>
      </w:r>
      <w:r>
        <w:rPr>
          <w:rFonts w:cs="Times New Roman"/>
          <w:bCs/>
        </w:rPr>
        <w:t>im</w:t>
      </w:r>
      <w:r w:rsidRPr="00EC53ED">
        <w:rPr>
          <w:rFonts w:cs="Times New Roman"/>
          <w:bCs/>
        </w:rPr>
        <w:t xml:space="preserve">permeable </w:t>
      </w:r>
      <w:r>
        <w:rPr>
          <w:rFonts w:cs="Times New Roman"/>
          <w:bCs/>
        </w:rPr>
        <w:t xml:space="preserve">nylon </w:t>
      </w:r>
      <w:r w:rsidRPr="00EC53ED">
        <w:rPr>
          <w:rFonts w:cs="Times New Roman"/>
          <w:bCs/>
        </w:rPr>
        <w:t>mesh bag of 150ml volume, with the top of the bag as close to the root-shoot junction as possible. The bag was secured to the pot lid for the duration of the experiment. In treatment C, all the roots were placed within the mesh bag and if any roots grew over the top of the bag were gently pushed back into the bag</w:t>
      </w:r>
      <w:r>
        <w:rPr>
          <w:rFonts w:cs="Times New Roman"/>
          <w:bCs/>
        </w:rPr>
        <w:t xml:space="preserve"> </w:t>
      </w:r>
      <w:r w:rsidRPr="00EC53ED">
        <w:rPr>
          <w:rFonts w:cs="Times New Roman"/>
          <w:bCs/>
        </w:rPr>
        <w:t>(Fig</w:t>
      </w:r>
      <w:r>
        <w:rPr>
          <w:rFonts w:cs="Times New Roman"/>
          <w:bCs/>
        </w:rPr>
        <w:t>. 4.13</w:t>
      </w:r>
      <w:r w:rsidRPr="00EC53ED">
        <w:rPr>
          <w:rFonts w:cs="Times New Roman"/>
          <w:bCs/>
        </w:rPr>
        <w:t>A</w:t>
      </w:r>
      <w:r>
        <w:rPr>
          <w:rFonts w:cs="Times New Roman"/>
          <w:bCs/>
        </w:rPr>
        <w:t xml:space="preserve"> and Fig. 4.14C</w:t>
      </w:r>
      <w:r w:rsidRPr="00EC53ED">
        <w:rPr>
          <w:rFonts w:cs="Times New Roman"/>
          <w:bCs/>
        </w:rPr>
        <w:t>).</w:t>
      </w:r>
    </w:p>
    <w:p w14:paraId="14B69CCE" w14:textId="74CAC559" w:rsidR="00A3130F" w:rsidRDefault="00A3130F" w:rsidP="00A3130F">
      <w:pPr>
        <w:spacing w:line="480" w:lineRule="auto"/>
        <w:rPr>
          <w:rFonts w:cs="Times New Roman"/>
          <w:bCs/>
        </w:rPr>
      </w:pPr>
      <w:r w:rsidRPr="00E62733">
        <w:rPr>
          <w:rFonts w:cs="Times New Roman"/>
        </w:rPr>
        <w:lastRenderedPageBreak/>
        <w:t xml:space="preserve">To assess how these treatments influenced </w:t>
      </w:r>
      <w:r>
        <w:rPr>
          <w:rFonts w:cs="Times New Roman"/>
        </w:rPr>
        <w:t>shoot growth</w:t>
      </w:r>
      <w:r w:rsidRPr="00E62733">
        <w:rPr>
          <w:rFonts w:cs="Times New Roman"/>
        </w:rPr>
        <w:t xml:space="preserve">, </w:t>
      </w:r>
      <w:r>
        <w:rPr>
          <w:rFonts w:cs="Times New Roman"/>
        </w:rPr>
        <w:t xml:space="preserve">tiller number </w:t>
      </w:r>
      <w:r w:rsidRPr="00E62733">
        <w:rPr>
          <w:rFonts w:cs="Times New Roman"/>
        </w:rPr>
        <w:t xml:space="preserve">was </w:t>
      </w:r>
      <w:r w:rsidRPr="00E62733">
        <w:rPr>
          <w:rFonts w:cs="Times New Roman"/>
          <w:bCs/>
        </w:rPr>
        <w:t xml:space="preserve">counted weekly from 3-7 weeks post germination. </w:t>
      </w:r>
      <w:r w:rsidR="00883A53">
        <w:rPr>
          <w:rFonts w:cs="Times New Roman"/>
          <w:bCs/>
        </w:rPr>
        <w:t>T</w:t>
      </w:r>
      <w:r w:rsidRPr="00E62733">
        <w:rPr>
          <w:rFonts w:cs="Times New Roman"/>
          <w:bCs/>
        </w:rPr>
        <w:t xml:space="preserve">iller number was equal in </w:t>
      </w:r>
      <w:r w:rsidRPr="008D6894">
        <w:rPr>
          <w:rFonts w:cs="Times New Roman"/>
          <w:bCs/>
        </w:rPr>
        <w:t xml:space="preserve">all treatments for the first 5 weeks due to all treatments sharing the same chemical substrate volume. </w:t>
      </w:r>
      <w:r w:rsidR="00AF487C" w:rsidRPr="00925E0A">
        <w:rPr>
          <w:rFonts w:cs="Times New Roman"/>
          <w:bCs/>
        </w:rPr>
        <w:t xml:space="preserve">This was as expected </w:t>
      </w:r>
      <w:r w:rsidR="00F97DB6" w:rsidRPr="00925E0A">
        <w:rPr>
          <w:rFonts w:cs="Times New Roman"/>
          <w:bCs/>
        </w:rPr>
        <w:t xml:space="preserve">as </w:t>
      </w:r>
      <w:r w:rsidR="00AF487C" w:rsidRPr="00925E0A">
        <w:rPr>
          <w:rFonts w:cs="Times New Roman"/>
          <w:bCs/>
        </w:rPr>
        <w:t>previous experiment</w:t>
      </w:r>
      <w:r w:rsidR="00F97DB6" w:rsidRPr="00925E0A">
        <w:rPr>
          <w:rFonts w:cs="Times New Roman"/>
          <w:bCs/>
        </w:rPr>
        <w:t>s</w:t>
      </w:r>
      <w:r w:rsidR="00AF487C" w:rsidRPr="00925E0A">
        <w:rPr>
          <w:rFonts w:cs="Times New Roman"/>
          <w:bCs/>
        </w:rPr>
        <w:t xml:space="preserve"> such as </w:t>
      </w:r>
      <w:r w:rsidR="00495CDA" w:rsidRPr="00925E0A">
        <w:rPr>
          <w:rFonts w:cs="Times New Roman"/>
          <w:bCs/>
        </w:rPr>
        <w:t>Section 4.</w:t>
      </w:r>
      <w:r w:rsidR="00C5417F" w:rsidRPr="00925E0A">
        <w:rPr>
          <w:rFonts w:cs="Times New Roman"/>
          <w:bCs/>
        </w:rPr>
        <w:t>3.2 and 4.3.5</w:t>
      </w:r>
      <w:r w:rsidR="002B5E5E" w:rsidRPr="00925E0A">
        <w:rPr>
          <w:rFonts w:cs="Times New Roman"/>
          <w:bCs/>
        </w:rPr>
        <w:t xml:space="preserve"> when the</w:t>
      </w:r>
      <w:r w:rsidR="005F4F16" w:rsidRPr="00925E0A">
        <w:rPr>
          <w:rFonts w:cs="Times New Roman"/>
          <w:bCs/>
        </w:rPr>
        <w:t>re were instances of</w:t>
      </w:r>
      <w:r w:rsidR="002B5E5E" w:rsidRPr="00925E0A">
        <w:rPr>
          <w:rFonts w:cs="Times New Roman"/>
          <w:bCs/>
        </w:rPr>
        <w:t xml:space="preserve"> treatments shar</w:t>
      </w:r>
      <w:r w:rsidR="005F4F16" w:rsidRPr="00925E0A">
        <w:rPr>
          <w:rFonts w:cs="Times New Roman"/>
          <w:bCs/>
        </w:rPr>
        <w:t>ing</w:t>
      </w:r>
      <w:r w:rsidR="002B5E5E" w:rsidRPr="00925E0A">
        <w:rPr>
          <w:rFonts w:cs="Times New Roman"/>
          <w:bCs/>
        </w:rPr>
        <w:t xml:space="preserve"> the same</w:t>
      </w:r>
      <w:r w:rsidR="005F4F16" w:rsidRPr="00925E0A">
        <w:rPr>
          <w:rFonts w:cs="Times New Roman"/>
          <w:bCs/>
        </w:rPr>
        <w:t xml:space="preserve"> chemical</w:t>
      </w:r>
      <w:r w:rsidR="002B5E5E" w:rsidRPr="00925E0A">
        <w:rPr>
          <w:rFonts w:cs="Times New Roman"/>
          <w:bCs/>
        </w:rPr>
        <w:t xml:space="preserve"> s</w:t>
      </w:r>
      <w:r w:rsidR="005F4F16" w:rsidRPr="00925E0A">
        <w:rPr>
          <w:rFonts w:cs="Times New Roman"/>
          <w:bCs/>
        </w:rPr>
        <w:t>ubstrate</w:t>
      </w:r>
      <w:r w:rsidR="002B5E5E" w:rsidRPr="00925E0A">
        <w:rPr>
          <w:rFonts w:cs="Times New Roman"/>
          <w:bCs/>
        </w:rPr>
        <w:t xml:space="preserve"> volume as others in the experiment.</w:t>
      </w:r>
      <w:r w:rsidR="002B5E5E">
        <w:rPr>
          <w:rFonts w:cs="Times New Roman"/>
          <w:bCs/>
        </w:rPr>
        <w:t xml:space="preserve"> </w:t>
      </w:r>
      <w:r w:rsidRPr="008D6894">
        <w:rPr>
          <w:rFonts w:cs="Times New Roman"/>
          <w:bCs/>
        </w:rPr>
        <w:t>After 5 weeks post germination however, treatment A plants diverged from that of treatment B and C plants, 1 week after the introduction of the mesh bags (Fig</w:t>
      </w:r>
      <w:r>
        <w:rPr>
          <w:rFonts w:cs="Times New Roman"/>
          <w:bCs/>
        </w:rPr>
        <w:t>.</w:t>
      </w:r>
      <w:r w:rsidRPr="008D6894">
        <w:rPr>
          <w:rFonts w:cs="Times New Roman"/>
          <w:bCs/>
        </w:rPr>
        <w:t xml:space="preserve"> 4.1</w:t>
      </w:r>
      <w:r>
        <w:rPr>
          <w:rFonts w:cs="Times New Roman"/>
          <w:bCs/>
        </w:rPr>
        <w:t>3</w:t>
      </w:r>
      <w:r w:rsidRPr="008D6894">
        <w:rPr>
          <w:rFonts w:cs="Times New Roman"/>
          <w:bCs/>
        </w:rPr>
        <w:t xml:space="preserve">B). Tiller number was greatest in treatment A with treatments B and C producing a similar number of tillers throughout the 7 weeks. </w:t>
      </w:r>
      <w:r>
        <w:rPr>
          <w:rFonts w:cs="Times New Roman"/>
          <w:bCs/>
        </w:rPr>
        <w:t xml:space="preserve">This is consistent with root density as an explanation for shoot growth responses to substrate volume in the second phase. Again, nutrients do not appear a likely explanation, since nutrients were freely and equally available to all treatments here. Furthermore, these data </w:t>
      </w:r>
      <w:r w:rsidRPr="008D6894">
        <w:rPr>
          <w:rFonts w:cs="Times New Roman"/>
          <w:bCs/>
        </w:rPr>
        <w:t xml:space="preserve">suggest that any amount of increase in root density results in shoot growth </w:t>
      </w:r>
      <w:r>
        <w:rPr>
          <w:rFonts w:cs="Times New Roman"/>
          <w:bCs/>
        </w:rPr>
        <w:t>inhibition, even if not perceived equally across the root system.</w:t>
      </w:r>
    </w:p>
    <w:p w14:paraId="7ED015EF" w14:textId="787028E0" w:rsidR="00A3130F" w:rsidRDefault="00A3130F" w:rsidP="00A3130F">
      <w:pPr>
        <w:spacing w:line="480" w:lineRule="auto"/>
        <w:rPr>
          <w:rFonts w:cs="Times New Roman"/>
          <w:bCs/>
        </w:rPr>
      </w:pPr>
      <w:r w:rsidRPr="00E62733">
        <w:rPr>
          <w:rFonts w:cs="Times New Roman"/>
          <w:bCs/>
        </w:rPr>
        <w:t xml:space="preserve">To determine how the different levels of root density affected shoot system size, shoot biomass was assessed at 7 weeks post germination. </w:t>
      </w:r>
      <w:r w:rsidR="00575E8A" w:rsidRPr="0034709C">
        <w:rPr>
          <w:rFonts w:cs="Times New Roman"/>
          <w:bCs/>
        </w:rPr>
        <w:t xml:space="preserve">There was no statistical difference between the treatments therefore this indicated that there was no difference in shoot biomass between the treatments. </w:t>
      </w:r>
      <w:r w:rsidRPr="0034709C">
        <w:rPr>
          <w:rFonts w:cs="Times New Roman"/>
          <w:bCs/>
        </w:rPr>
        <w:t>A</w:t>
      </w:r>
      <w:r w:rsidR="005E7129" w:rsidRPr="0034709C">
        <w:rPr>
          <w:rFonts w:cs="Times New Roman"/>
          <w:bCs/>
        </w:rPr>
        <w:t>lthough</w:t>
      </w:r>
      <w:r w:rsidR="005E7129">
        <w:rPr>
          <w:rFonts w:cs="Times New Roman"/>
          <w:bCs/>
        </w:rPr>
        <w:t xml:space="preserve"> numerically</w:t>
      </w:r>
      <w:r>
        <w:rPr>
          <w:rFonts w:cs="Times New Roman"/>
          <w:bCs/>
        </w:rPr>
        <w:t xml:space="preserve">, </w:t>
      </w:r>
      <w:r w:rsidR="005E7129">
        <w:rPr>
          <w:rFonts w:cs="Times New Roman"/>
          <w:bCs/>
        </w:rPr>
        <w:t>shoot biomass</w:t>
      </w:r>
      <w:r w:rsidRPr="00E62733">
        <w:rPr>
          <w:rFonts w:cs="Times New Roman"/>
          <w:bCs/>
        </w:rPr>
        <w:t xml:space="preserve"> was greatest in treatment A plants with treatment C producing the least shoot biomass, </w:t>
      </w:r>
      <w:r>
        <w:rPr>
          <w:rFonts w:cs="Times New Roman"/>
          <w:bCs/>
        </w:rPr>
        <w:t xml:space="preserve">and treatment B an intermediate shoot biomass, </w:t>
      </w:r>
      <w:r w:rsidRPr="00E62733">
        <w:rPr>
          <w:rFonts w:cs="Times New Roman"/>
          <w:bCs/>
        </w:rPr>
        <w:t>this was not statistically significant</w:t>
      </w:r>
      <w:r>
        <w:rPr>
          <w:rFonts w:cs="Times New Roman"/>
          <w:bCs/>
        </w:rPr>
        <w:t>ly different between treatments</w:t>
      </w:r>
      <w:r w:rsidRPr="00E62733">
        <w:rPr>
          <w:rFonts w:cs="Times New Roman"/>
          <w:bCs/>
        </w:rPr>
        <w:t xml:space="preserve"> (Fig 4.</w:t>
      </w:r>
      <w:r>
        <w:rPr>
          <w:rFonts w:cs="Times New Roman"/>
          <w:bCs/>
        </w:rPr>
        <w:t>13C</w:t>
      </w:r>
      <w:r w:rsidRPr="00E62733">
        <w:rPr>
          <w:rFonts w:cs="Times New Roman"/>
          <w:bCs/>
        </w:rPr>
        <w:t xml:space="preserve">). </w:t>
      </w:r>
    </w:p>
    <w:p w14:paraId="061609BA" w14:textId="10A3E1E9" w:rsidR="00A3130F" w:rsidRDefault="005E7129" w:rsidP="00A3130F">
      <w:pPr>
        <w:spacing w:line="480" w:lineRule="auto"/>
        <w:rPr>
          <w:rFonts w:cs="Times New Roman"/>
          <w:bCs/>
        </w:rPr>
      </w:pPr>
      <w:r>
        <w:rPr>
          <w:rFonts w:cs="Times New Roman"/>
          <w:bCs/>
          <w:noProof/>
        </w:rPr>
        <w:lastRenderedPageBreak/>
        <w:drawing>
          <wp:anchor distT="0" distB="0" distL="114300" distR="114300" simplePos="0" relativeHeight="251795968" behindDoc="0" locked="0" layoutInCell="1" allowOverlap="1" wp14:anchorId="0FE65DA6" wp14:editId="4C2B488B">
            <wp:simplePos x="0" y="0"/>
            <wp:positionH relativeFrom="margin">
              <wp:posOffset>34925</wp:posOffset>
            </wp:positionH>
            <wp:positionV relativeFrom="paragraph">
              <wp:posOffset>224790</wp:posOffset>
            </wp:positionV>
            <wp:extent cx="5199380" cy="5137785"/>
            <wp:effectExtent l="0" t="0" r="1270" b="5715"/>
            <wp:wrapSquare wrapText="bothSides"/>
            <wp:docPr id="13208830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883047" name="Picture 1320883047"/>
                    <pic:cNvPicPr/>
                  </pic:nvPicPr>
                  <pic:blipFill rotWithShape="1">
                    <a:blip r:embed="rId70" cstate="print">
                      <a:extLst>
                        <a:ext uri="{28A0092B-C50C-407E-A947-70E740481C1C}">
                          <a14:useLocalDpi xmlns:a14="http://schemas.microsoft.com/office/drawing/2010/main" val="0"/>
                        </a:ext>
                      </a:extLst>
                    </a:blip>
                    <a:srcRect r="1547"/>
                    <a:stretch/>
                  </pic:blipFill>
                  <pic:spPr bwMode="auto">
                    <a:xfrm>
                      <a:off x="0" y="0"/>
                      <a:ext cx="5199380" cy="5137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154699" w14:textId="6ACFE945" w:rsidR="00A3130F" w:rsidRDefault="00A3130F" w:rsidP="00A3130F">
      <w:pPr>
        <w:pStyle w:val="Caption"/>
      </w:pPr>
      <w:bookmarkStart w:id="210" w:name="_Toc154331581"/>
      <w:r>
        <w:t xml:space="preserve">Figure </w:t>
      </w:r>
      <w:fldSimple w:instr=" STYLEREF 1 \s ">
        <w:r w:rsidR="004B7F70">
          <w:rPr>
            <w:noProof/>
          </w:rPr>
          <w:t>4</w:t>
        </w:r>
      </w:fldSimple>
      <w:r w:rsidR="00C97D34">
        <w:t>.</w:t>
      </w:r>
      <w:fldSimple w:instr=" SEQ Figure \* ARABIC \s 1 ">
        <w:r w:rsidR="004B7F70">
          <w:rPr>
            <w:noProof/>
          </w:rPr>
          <w:t>13</w:t>
        </w:r>
      </w:fldSimple>
      <w:r>
        <w:t xml:space="preserve"> </w:t>
      </w:r>
      <w:r w:rsidRPr="00757493">
        <w:t>Root density results in shoot growth inhibition</w:t>
      </w:r>
      <w:bookmarkEnd w:id="210"/>
    </w:p>
    <w:p w14:paraId="0BBAD8D1" w14:textId="136F308D" w:rsidR="00A3130F" w:rsidRDefault="00A3130F" w:rsidP="00A3130F">
      <w:pPr>
        <w:pStyle w:val="Description"/>
      </w:pPr>
      <w:r w:rsidRPr="00052D40">
        <w:t xml:space="preserve">Wheat (cv. Mulika) plants were pregerminated for 1 week </w:t>
      </w:r>
      <w:r w:rsidR="00DB6F66">
        <w:t xml:space="preserve">in perlite </w:t>
      </w:r>
      <w:r w:rsidRPr="00052D40">
        <w:t xml:space="preserve">before transferring into the hydroponic system and grown for 3 weeks. At 4 weeks post germination, plants were transferred into 3 treatments. </w:t>
      </w:r>
    </w:p>
    <w:p w14:paraId="0053BBA7" w14:textId="5EC93655" w:rsidR="00A3130F" w:rsidRDefault="00A3130F" w:rsidP="00A3130F">
      <w:pPr>
        <w:pStyle w:val="Description"/>
      </w:pPr>
      <w:r w:rsidRPr="00052D40">
        <w:t xml:space="preserve">A) A cartoon depicting the experimental design. </w:t>
      </w:r>
      <w:r>
        <w:t xml:space="preserve">After all plants </w:t>
      </w:r>
      <w:r w:rsidR="00676D2F">
        <w:t xml:space="preserve">had been </w:t>
      </w:r>
      <w:r>
        <w:t xml:space="preserve">grown in 100ml pots containing perlite for 1 week, the perlite was washed off and all plants were transferred into 1L hydroponic pots 1 plant per pot (1/pot) for 3 weeks. At 4 weeks old new treatments were introduced. </w:t>
      </w:r>
      <w:r w:rsidRPr="00052D40">
        <w:t>Treatment A: These plants remain</w:t>
      </w:r>
      <w:r w:rsidR="00DB6F66">
        <w:t>ed</w:t>
      </w:r>
      <w:r w:rsidRPr="00052D40">
        <w:t xml:space="preserve"> the same as the prior 3 weeks with free root systems. Treatment B: half the roots of each plant were placed within a </w:t>
      </w:r>
      <w:r>
        <w:t xml:space="preserve">150ml </w:t>
      </w:r>
      <w:r w:rsidRPr="00052D40">
        <w:t>mesh bag which was secured to the lid of the pot, the other half of the root system remained free. Treatment C: All roots were placed within a mesh bag secured to the lid.</w:t>
      </w:r>
    </w:p>
    <w:p w14:paraId="4FF2C1E3" w14:textId="453AEAEF" w:rsidR="00A3130F" w:rsidRPr="00B33589" w:rsidRDefault="00A3130F" w:rsidP="00A3130F">
      <w:pPr>
        <w:pStyle w:val="Description"/>
      </w:pPr>
      <w:r w:rsidRPr="008A47BE">
        <w:t xml:space="preserve">B) Line graph showing tiller number overtime. </w:t>
      </w:r>
      <w:r>
        <w:t>Treatments which involve a mesh bag are shown as dotted lines (Treatments B and C). Treatment A (pink), t</w:t>
      </w:r>
      <w:r w:rsidRPr="008A47BE">
        <w:t>r</w:t>
      </w:r>
      <w:r>
        <w:t>eatment B (blue), error</w:t>
      </w:r>
      <w:r w:rsidRPr="008A47BE">
        <w:t xml:space="preserve"> bars represent S.E.M, n=8</w:t>
      </w:r>
      <w:r>
        <w:t>.</w:t>
      </w:r>
      <w:r w:rsidRPr="00D32CBE">
        <w:rPr>
          <w:noProof/>
        </w:rPr>
        <w:t xml:space="preserve"> </w:t>
      </w:r>
    </w:p>
    <w:p w14:paraId="2F04F1DD" w14:textId="77777777" w:rsidR="00A3130F" w:rsidRPr="00E27A5A" w:rsidRDefault="00A3130F" w:rsidP="00A3130F">
      <w:pPr>
        <w:pStyle w:val="Description"/>
      </w:pPr>
      <w:r>
        <w:t>C</w:t>
      </w:r>
      <w:r w:rsidRPr="00E27A5A">
        <w:t xml:space="preserve">) Boxplot showing </w:t>
      </w:r>
      <w:r>
        <w:t xml:space="preserve">dry </w:t>
      </w:r>
      <w:r w:rsidRPr="00E27A5A">
        <w:t>shoot biomass</w:t>
      </w:r>
      <w:r>
        <w:t xml:space="preserve"> (g)</w:t>
      </w:r>
      <w:r w:rsidRPr="00E27A5A">
        <w:t xml:space="preserve"> at 7 weeks post germination. Box indicates the interquartile range, circle indicates the mean, the midline indicates the median, the whiskers are the minimum and maximum values, the diamond represents an outlier. Boxes with the same letter represent no statistical difference (One way ANOVA with Tukey HSD</w:t>
      </w:r>
      <w:r>
        <w:t>, p&lt;0.05</w:t>
      </w:r>
      <w:r w:rsidRPr="00E27A5A">
        <w:t xml:space="preserve">), n=8. </w:t>
      </w:r>
    </w:p>
    <w:p w14:paraId="128580A2" w14:textId="77777777" w:rsidR="00A3130F" w:rsidRPr="00A3130F" w:rsidRDefault="00A3130F" w:rsidP="00A3130F">
      <w:pPr>
        <w:pStyle w:val="Description"/>
      </w:pPr>
    </w:p>
    <w:p w14:paraId="29D95A7C" w14:textId="0A712D28" w:rsidR="00A3130F" w:rsidRDefault="00A3130F" w:rsidP="00A3130F">
      <w:pPr>
        <w:spacing w:line="480" w:lineRule="auto"/>
        <w:rPr>
          <w:rFonts w:cs="Times New Roman"/>
          <w:bCs/>
        </w:rPr>
      </w:pPr>
      <w:r w:rsidRPr="00F827E8">
        <w:rPr>
          <w:rFonts w:cs="Times New Roman"/>
          <w:bCs/>
        </w:rPr>
        <w:t xml:space="preserve">To assess how </w:t>
      </w:r>
      <w:r>
        <w:rPr>
          <w:rFonts w:cs="Times New Roman"/>
          <w:bCs/>
        </w:rPr>
        <w:t xml:space="preserve">perceived </w:t>
      </w:r>
      <w:r w:rsidRPr="00F827E8">
        <w:rPr>
          <w:rFonts w:cs="Times New Roman"/>
          <w:bCs/>
        </w:rPr>
        <w:t xml:space="preserve">root density influences root growth, I assessed the dry root biomass for the whole root system in treatments A and C, and the whole root system for treatment B but split into the bagged vs unbagged portions </w:t>
      </w:r>
      <w:r>
        <w:rPr>
          <w:rFonts w:cs="Times New Roman"/>
          <w:bCs/>
        </w:rPr>
        <w:t>of</w:t>
      </w:r>
      <w:r w:rsidRPr="00F827E8">
        <w:rPr>
          <w:rFonts w:cs="Times New Roman"/>
          <w:bCs/>
        </w:rPr>
        <w:t xml:space="preserve"> the root system. </w:t>
      </w:r>
      <w:r>
        <w:rPr>
          <w:rFonts w:cs="Times New Roman"/>
          <w:bCs/>
        </w:rPr>
        <w:t>T</w:t>
      </w:r>
      <w:r w:rsidRPr="00F827E8">
        <w:rPr>
          <w:rFonts w:cs="Times New Roman"/>
          <w:bCs/>
        </w:rPr>
        <w:t>reatment A plants</w:t>
      </w:r>
      <w:r>
        <w:rPr>
          <w:rFonts w:cs="Times New Roman"/>
          <w:bCs/>
        </w:rPr>
        <w:t>,</w:t>
      </w:r>
      <w:r w:rsidRPr="00F827E8">
        <w:rPr>
          <w:rFonts w:cs="Times New Roman"/>
          <w:bCs/>
        </w:rPr>
        <w:t xml:space="preserve"> which were subjected to the l</w:t>
      </w:r>
      <w:r>
        <w:rPr>
          <w:rFonts w:cs="Times New Roman"/>
          <w:bCs/>
        </w:rPr>
        <w:t>owest</w:t>
      </w:r>
      <w:r w:rsidRPr="00F827E8">
        <w:rPr>
          <w:rFonts w:cs="Times New Roman"/>
          <w:bCs/>
        </w:rPr>
        <w:t xml:space="preserve"> root density </w:t>
      </w:r>
      <w:r w:rsidRPr="00EC53ED">
        <w:rPr>
          <w:rFonts w:cs="Times New Roman"/>
          <w:bCs/>
        </w:rPr>
        <w:t>produced the highest root biomass</w:t>
      </w:r>
      <w:r>
        <w:rPr>
          <w:rFonts w:cs="Times New Roman"/>
          <w:bCs/>
        </w:rPr>
        <w:t>.</w:t>
      </w:r>
      <w:r w:rsidRPr="00EC53ED">
        <w:rPr>
          <w:rFonts w:cs="Times New Roman"/>
          <w:bCs/>
        </w:rPr>
        <w:t xml:space="preserve"> </w:t>
      </w:r>
      <w:r>
        <w:rPr>
          <w:rFonts w:cs="Times New Roman"/>
          <w:bCs/>
        </w:rPr>
        <w:t>Consistent with their much smaller physical volume, treatment C plants made a much smaller amount of root biomass. The case of</w:t>
      </w:r>
      <w:r w:rsidRPr="00EC53ED">
        <w:rPr>
          <w:rFonts w:cs="Times New Roman"/>
          <w:bCs/>
        </w:rPr>
        <w:t xml:space="preserve"> treatment B plants</w:t>
      </w:r>
      <w:r>
        <w:rPr>
          <w:rFonts w:cs="Times New Roman"/>
          <w:bCs/>
        </w:rPr>
        <w:t xml:space="preserve"> is intriguing;</w:t>
      </w:r>
      <w:r w:rsidRPr="00EC53ED">
        <w:rPr>
          <w:rFonts w:cs="Times New Roman"/>
          <w:bCs/>
        </w:rPr>
        <w:t xml:space="preserve"> </w:t>
      </w:r>
      <w:r w:rsidR="0040640C" w:rsidRPr="00D871DC">
        <w:rPr>
          <w:rFonts w:cs="Times New Roman"/>
          <w:bCs/>
        </w:rPr>
        <w:t>although not statisticall</w:t>
      </w:r>
      <w:r w:rsidR="00D87D87" w:rsidRPr="00D871DC">
        <w:rPr>
          <w:rFonts w:cs="Times New Roman"/>
          <w:bCs/>
        </w:rPr>
        <w:t>y significant</w:t>
      </w:r>
      <w:r w:rsidR="00D87D87">
        <w:rPr>
          <w:rFonts w:cs="Times New Roman"/>
          <w:bCs/>
        </w:rPr>
        <w:t xml:space="preserve">, </w:t>
      </w:r>
      <w:r w:rsidRPr="00EC53ED">
        <w:rPr>
          <w:rFonts w:cs="Times New Roman"/>
          <w:bCs/>
        </w:rPr>
        <w:t>the free roots had a higher root biomass than their bagged counterparts</w:t>
      </w:r>
      <w:r>
        <w:rPr>
          <w:rFonts w:cs="Times New Roman"/>
          <w:bCs/>
        </w:rPr>
        <w:t xml:space="preserve"> in the same treatment, but t</w:t>
      </w:r>
      <w:r w:rsidRPr="00EC53ED">
        <w:rPr>
          <w:rFonts w:cs="Times New Roman"/>
          <w:bCs/>
        </w:rPr>
        <w:t xml:space="preserve">he sum of both root </w:t>
      </w:r>
      <w:r>
        <w:rPr>
          <w:rFonts w:cs="Times New Roman"/>
          <w:bCs/>
        </w:rPr>
        <w:t xml:space="preserve">biomasses </w:t>
      </w:r>
      <w:r w:rsidRPr="00EC53ED">
        <w:rPr>
          <w:rFonts w:cs="Times New Roman"/>
          <w:bCs/>
        </w:rPr>
        <w:t xml:space="preserve">in treatment B </w:t>
      </w:r>
      <w:r>
        <w:rPr>
          <w:rFonts w:cs="Times New Roman"/>
          <w:bCs/>
        </w:rPr>
        <w:t xml:space="preserve">only </w:t>
      </w:r>
      <w:r w:rsidRPr="00EC53ED">
        <w:rPr>
          <w:rFonts w:cs="Times New Roman"/>
          <w:bCs/>
        </w:rPr>
        <w:t>equals that of treatment C (Fig</w:t>
      </w:r>
      <w:r>
        <w:rPr>
          <w:rFonts w:cs="Times New Roman"/>
          <w:bCs/>
        </w:rPr>
        <w:t xml:space="preserve"> 4.14A</w:t>
      </w:r>
      <w:r w:rsidRPr="00EC53ED">
        <w:rPr>
          <w:rFonts w:cs="Times New Roman"/>
          <w:bCs/>
        </w:rPr>
        <w:t>).</w:t>
      </w:r>
      <w:r>
        <w:rPr>
          <w:rFonts w:cs="Times New Roman"/>
          <w:bCs/>
        </w:rPr>
        <w:t xml:space="preserve"> This suggests that the treatment B plants are able to make a proactive decision to prioritise growth of free roots and slow down root growth of the bagged roots, but that the perception of high root density anywhere in the root system reduces overall root growth.</w:t>
      </w:r>
    </w:p>
    <w:p w14:paraId="71A06782" w14:textId="3289B502" w:rsidR="00A3130F" w:rsidRDefault="00A3130F" w:rsidP="00A3130F">
      <w:pPr>
        <w:spacing w:line="480" w:lineRule="auto"/>
        <w:rPr>
          <w:rFonts w:cs="Times New Roman"/>
          <w:bCs/>
        </w:rPr>
      </w:pPr>
    </w:p>
    <w:p w14:paraId="410304B2" w14:textId="0EDEA9F0" w:rsidR="00A3130F" w:rsidRDefault="00A3130F" w:rsidP="00A3130F">
      <w:pPr>
        <w:spacing w:line="480" w:lineRule="auto"/>
        <w:rPr>
          <w:rFonts w:cs="Times New Roman"/>
          <w:bCs/>
        </w:rPr>
      </w:pPr>
    </w:p>
    <w:p w14:paraId="1708602B" w14:textId="67F1D86E" w:rsidR="00A3130F" w:rsidRPr="00E62733" w:rsidRDefault="00A3130F" w:rsidP="00A3130F">
      <w:pPr>
        <w:spacing w:line="480" w:lineRule="auto"/>
        <w:rPr>
          <w:rFonts w:cs="Times New Roman"/>
          <w:bCs/>
        </w:rPr>
      </w:pPr>
      <w:r>
        <w:rPr>
          <w:rFonts w:cs="Times New Roman"/>
          <w:b/>
          <w:bCs/>
          <w:noProof/>
        </w:rPr>
        <w:lastRenderedPageBreak/>
        <w:drawing>
          <wp:anchor distT="0" distB="0" distL="114300" distR="114300" simplePos="0" relativeHeight="251801088" behindDoc="0" locked="0" layoutInCell="1" allowOverlap="1" wp14:anchorId="27DCE4A6" wp14:editId="748EDD25">
            <wp:simplePos x="0" y="0"/>
            <wp:positionH relativeFrom="margin">
              <wp:posOffset>66694</wp:posOffset>
            </wp:positionH>
            <wp:positionV relativeFrom="paragraph">
              <wp:posOffset>284</wp:posOffset>
            </wp:positionV>
            <wp:extent cx="4121785" cy="4981575"/>
            <wp:effectExtent l="0" t="0" r="0" b="9525"/>
            <wp:wrapSquare wrapText="bothSides"/>
            <wp:docPr id="5045718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571886" name="Picture 504571886"/>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121785" cy="4981575"/>
                    </a:xfrm>
                    <a:prstGeom prst="rect">
                      <a:avLst/>
                    </a:prstGeom>
                  </pic:spPr>
                </pic:pic>
              </a:graphicData>
            </a:graphic>
            <wp14:sizeRelH relativeFrom="margin">
              <wp14:pctWidth>0</wp14:pctWidth>
            </wp14:sizeRelH>
            <wp14:sizeRelV relativeFrom="margin">
              <wp14:pctHeight>0</wp14:pctHeight>
            </wp14:sizeRelV>
          </wp:anchor>
        </w:drawing>
      </w:r>
    </w:p>
    <w:p w14:paraId="0645DDB9" w14:textId="5A83B14B" w:rsidR="00A3130F" w:rsidRDefault="00A3130F" w:rsidP="00A3130F">
      <w:pPr>
        <w:spacing w:line="480" w:lineRule="auto"/>
        <w:rPr>
          <w:rFonts w:cs="Times New Roman"/>
          <w:bCs/>
          <w:color w:val="00B050"/>
        </w:rPr>
      </w:pPr>
    </w:p>
    <w:p w14:paraId="626050A5" w14:textId="4A1A073F" w:rsidR="00A3130F" w:rsidRDefault="00A3130F" w:rsidP="00A3130F">
      <w:pPr>
        <w:spacing w:line="480" w:lineRule="auto"/>
        <w:rPr>
          <w:rFonts w:cs="Times New Roman"/>
          <w:bCs/>
        </w:rPr>
      </w:pPr>
    </w:p>
    <w:p w14:paraId="68BF94B2" w14:textId="13E5E75A" w:rsidR="00A3130F" w:rsidRDefault="00A3130F" w:rsidP="00A3130F"/>
    <w:p w14:paraId="0F51F12D" w14:textId="77777777" w:rsidR="00A3130F" w:rsidRPr="00A3130F" w:rsidRDefault="00A3130F" w:rsidP="00A3130F"/>
    <w:p w14:paraId="2934771A" w14:textId="77777777" w:rsidR="00A3130F" w:rsidRPr="00A3130F" w:rsidRDefault="00A3130F" w:rsidP="00A3130F"/>
    <w:p w14:paraId="49772C81" w14:textId="77777777" w:rsidR="00A3130F" w:rsidRPr="00A3130F" w:rsidRDefault="00A3130F" w:rsidP="00A3130F"/>
    <w:p w14:paraId="3BC840E8" w14:textId="77777777" w:rsidR="00A3130F" w:rsidRPr="00A3130F" w:rsidRDefault="00A3130F" w:rsidP="00A3130F"/>
    <w:p w14:paraId="13AB242E" w14:textId="77777777" w:rsidR="00A3130F" w:rsidRPr="00A3130F" w:rsidRDefault="00A3130F" w:rsidP="00A3130F"/>
    <w:p w14:paraId="00BB3EDB" w14:textId="77777777" w:rsidR="00A3130F" w:rsidRPr="00A3130F" w:rsidRDefault="00A3130F" w:rsidP="00A3130F"/>
    <w:p w14:paraId="4CD1B8F2" w14:textId="77777777" w:rsidR="00A3130F" w:rsidRPr="00A3130F" w:rsidRDefault="00A3130F" w:rsidP="00A3130F"/>
    <w:p w14:paraId="325F5F71" w14:textId="77777777" w:rsidR="00A3130F" w:rsidRPr="00A3130F" w:rsidRDefault="00A3130F" w:rsidP="00A3130F"/>
    <w:p w14:paraId="3708C343" w14:textId="77777777" w:rsidR="00A3130F" w:rsidRPr="00A3130F" w:rsidRDefault="00A3130F" w:rsidP="00A3130F"/>
    <w:p w14:paraId="7FD30AE2" w14:textId="77777777" w:rsidR="00A3130F" w:rsidRPr="00A3130F" w:rsidRDefault="00A3130F" w:rsidP="00A3130F"/>
    <w:p w14:paraId="11F6F8C6" w14:textId="77777777" w:rsidR="00A3130F" w:rsidRPr="00A3130F" w:rsidRDefault="00A3130F" w:rsidP="00A3130F"/>
    <w:p w14:paraId="6324ADD9" w14:textId="77777777" w:rsidR="00A3130F" w:rsidRDefault="00A3130F" w:rsidP="00A3130F"/>
    <w:p w14:paraId="45BD4504" w14:textId="4245AA42" w:rsidR="00A3130F" w:rsidRDefault="00A3130F" w:rsidP="00A3130F">
      <w:pPr>
        <w:pStyle w:val="Caption"/>
      </w:pPr>
      <w:bookmarkStart w:id="211" w:name="_Toc154331582"/>
      <w:r>
        <w:t xml:space="preserve">Figure </w:t>
      </w:r>
      <w:fldSimple w:instr=" STYLEREF 1 \s ">
        <w:r w:rsidR="004B7F70">
          <w:rPr>
            <w:noProof/>
          </w:rPr>
          <w:t>4</w:t>
        </w:r>
      </w:fldSimple>
      <w:r w:rsidR="00C97D34">
        <w:t>.</w:t>
      </w:r>
      <w:fldSimple w:instr=" SEQ Figure \* ARABIC \s 1 ">
        <w:r w:rsidR="004B7F70">
          <w:rPr>
            <w:noProof/>
          </w:rPr>
          <w:t>14</w:t>
        </w:r>
      </w:fldSimple>
      <w:r>
        <w:t xml:space="preserve"> </w:t>
      </w:r>
      <w:r w:rsidRPr="007448FD">
        <w:t>Root density affects root growth allocation</w:t>
      </w:r>
      <w:bookmarkEnd w:id="211"/>
    </w:p>
    <w:p w14:paraId="4D981122" w14:textId="788C4ECD" w:rsidR="00A3130F" w:rsidRDefault="00A3130F" w:rsidP="00A3130F">
      <w:pPr>
        <w:pStyle w:val="Description"/>
      </w:pPr>
      <w:bookmarkStart w:id="212" w:name="_Hlk146393401"/>
      <w:r w:rsidRPr="008A47BE">
        <w:t xml:space="preserve">Wheat (cv. Mulika) plants were pregerminated for 1 week </w:t>
      </w:r>
      <w:r w:rsidR="00BF5A8C">
        <w:t xml:space="preserve">in perlite </w:t>
      </w:r>
      <w:r w:rsidRPr="008A47BE">
        <w:t xml:space="preserve">before transferring into the hydroponic system and grown for 3 weeks. At 4 weeks post germination, plants were transferred into 3 treatments. </w:t>
      </w:r>
    </w:p>
    <w:bookmarkEnd w:id="212"/>
    <w:p w14:paraId="5DD6251C" w14:textId="77777777" w:rsidR="00A3130F" w:rsidRPr="00380AE9" w:rsidRDefault="00A3130F" w:rsidP="00A3130F">
      <w:pPr>
        <w:pStyle w:val="Description"/>
      </w:pPr>
      <w:r>
        <w:t>A)</w:t>
      </w:r>
      <w:r w:rsidRPr="00380AE9">
        <w:rPr>
          <w:bCs/>
        </w:rPr>
        <w:t xml:space="preserve"> </w:t>
      </w:r>
      <w:r w:rsidRPr="00E27A5A">
        <w:rPr>
          <w:bCs/>
        </w:rPr>
        <w:t xml:space="preserve">Boxplot showing </w:t>
      </w:r>
      <w:r>
        <w:rPr>
          <w:bCs/>
        </w:rPr>
        <w:t xml:space="preserve">dry </w:t>
      </w:r>
      <w:r w:rsidRPr="00E27A5A">
        <w:rPr>
          <w:bCs/>
        </w:rPr>
        <w:t>root biomass</w:t>
      </w:r>
      <w:r>
        <w:rPr>
          <w:bCs/>
        </w:rPr>
        <w:t xml:space="preserve"> (g)</w:t>
      </w:r>
      <w:r w:rsidRPr="00E27A5A">
        <w:rPr>
          <w:bCs/>
        </w:rPr>
        <w:t xml:space="preserve"> at 7 weeks post germination. Box indicates the interquartile range, circle indicates the mean, the midline indicates the median, the whiskers are the minimum and maximum values, diamonds represent outliers. Boxes with the same letter represent no statistical difference (Kruskal Wallis test with Bonferroni correction</w:t>
      </w:r>
      <w:r>
        <w:rPr>
          <w:bCs/>
        </w:rPr>
        <w:t>, p&lt;0.05</w:t>
      </w:r>
      <w:r w:rsidRPr="00E27A5A">
        <w:rPr>
          <w:bCs/>
        </w:rPr>
        <w:t>), n=8.</w:t>
      </w:r>
    </w:p>
    <w:p w14:paraId="7B5A8241" w14:textId="77777777" w:rsidR="00A3130F" w:rsidRPr="00E27A5A" w:rsidRDefault="00A3130F" w:rsidP="00A3130F">
      <w:pPr>
        <w:pStyle w:val="Description"/>
        <w:rPr>
          <w:bCs/>
        </w:rPr>
      </w:pPr>
      <w:r>
        <w:rPr>
          <w:bCs/>
        </w:rPr>
        <w:t>B</w:t>
      </w:r>
      <w:r w:rsidRPr="00E27A5A">
        <w:rPr>
          <w:bCs/>
        </w:rPr>
        <w:t>) Photos showing root and shoot system growth at 4 weeks post germination. Scale bar depicts 10cm.</w:t>
      </w:r>
    </w:p>
    <w:p w14:paraId="5A43E4B5" w14:textId="77777777" w:rsidR="00A3130F" w:rsidRDefault="00A3130F" w:rsidP="00A3130F">
      <w:pPr>
        <w:pStyle w:val="Description"/>
        <w:rPr>
          <w:bCs/>
        </w:rPr>
      </w:pPr>
      <w:r>
        <w:rPr>
          <w:bCs/>
        </w:rPr>
        <w:t>C</w:t>
      </w:r>
      <w:r w:rsidRPr="00E27A5A">
        <w:rPr>
          <w:bCs/>
        </w:rPr>
        <w:t>) Photos showing the root and shoots of example plants from treatments A-C. Scale bar depicts 10cm.</w:t>
      </w:r>
    </w:p>
    <w:p w14:paraId="6189056A" w14:textId="77777777" w:rsidR="00A3130F" w:rsidRDefault="00A3130F" w:rsidP="00A3130F">
      <w:pPr>
        <w:pStyle w:val="Description"/>
      </w:pPr>
    </w:p>
    <w:p w14:paraId="3DF66EF6" w14:textId="1F630B36" w:rsidR="00A3130F" w:rsidRPr="008B2545" w:rsidRDefault="00A3130F" w:rsidP="00A3130F">
      <w:pPr>
        <w:numPr>
          <w:ilvl w:val="1"/>
          <w:numId w:val="0"/>
        </w:numPr>
        <w:spacing w:before="160" w:line="480" w:lineRule="auto"/>
        <w:outlineLvl w:val="1"/>
        <w:rPr>
          <w:rFonts w:cs="Times New Roman"/>
          <w:bCs/>
          <w:sz w:val="28"/>
          <w:szCs w:val="24"/>
        </w:rPr>
      </w:pPr>
      <w:r w:rsidRPr="008B2545">
        <w:rPr>
          <w:rFonts w:cs="Times New Roman"/>
          <w:bCs/>
        </w:rPr>
        <w:t xml:space="preserve">A study </w:t>
      </w:r>
      <w:r>
        <w:rPr>
          <w:rFonts w:cs="Times New Roman"/>
          <w:bCs/>
        </w:rPr>
        <w:t xml:space="preserve">was carried out </w:t>
      </w:r>
      <w:r w:rsidRPr="008B2545">
        <w:rPr>
          <w:rFonts w:cs="Times New Roman"/>
          <w:bCs/>
        </w:rPr>
        <w:t>by Bar-</w:t>
      </w:r>
      <w:r>
        <w:rPr>
          <w:rFonts w:cs="Times New Roman"/>
          <w:bCs/>
        </w:rPr>
        <w:t>T</w:t>
      </w:r>
      <w:r w:rsidRPr="008B2545">
        <w:rPr>
          <w:rFonts w:cs="Times New Roman"/>
          <w:bCs/>
        </w:rPr>
        <w:t>al et al (1995) (also discussed in the introduction), where the root systems of hydroponically grown tomato plants were either free</w:t>
      </w:r>
      <w:r>
        <w:rPr>
          <w:rFonts w:cs="Times New Roman"/>
          <w:bCs/>
        </w:rPr>
        <w:t xml:space="preserve"> or</w:t>
      </w:r>
      <w:r w:rsidRPr="008B2545">
        <w:rPr>
          <w:rFonts w:cs="Times New Roman"/>
          <w:bCs/>
        </w:rPr>
        <w:t xml:space="preserve"> enclosed in a cloth bag of 400ml or 1000ml within a pot. </w:t>
      </w:r>
      <w:r w:rsidRPr="008B2545">
        <w:rPr>
          <w:rFonts w:cs="Times New Roman"/>
          <w:bCs/>
        </w:rPr>
        <w:lastRenderedPageBreak/>
        <w:t xml:space="preserve">They found that the root systems were more severely affected than the shoot systems and that root system size was </w:t>
      </w:r>
      <w:r>
        <w:rPr>
          <w:rFonts w:cs="Times New Roman"/>
          <w:bCs/>
        </w:rPr>
        <w:t>relative</w:t>
      </w:r>
      <w:r w:rsidRPr="008B2545">
        <w:rPr>
          <w:rFonts w:cs="Times New Roman"/>
          <w:bCs/>
        </w:rPr>
        <w:t xml:space="preserve"> to the amount of physical space the roots had to explore. This supports the findings of</w:t>
      </w:r>
      <w:r>
        <w:rPr>
          <w:rFonts w:cs="Times New Roman"/>
          <w:bCs/>
        </w:rPr>
        <w:t xml:space="preserve"> section</w:t>
      </w:r>
      <w:r w:rsidRPr="008B2545">
        <w:rPr>
          <w:rFonts w:cs="Times New Roman"/>
          <w:bCs/>
        </w:rPr>
        <w:t xml:space="preserve"> 4.</w:t>
      </w:r>
      <w:r>
        <w:rPr>
          <w:rFonts w:cs="Times New Roman"/>
          <w:bCs/>
        </w:rPr>
        <w:t>3</w:t>
      </w:r>
      <w:r w:rsidRPr="008B2545">
        <w:rPr>
          <w:rFonts w:cs="Times New Roman"/>
          <w:bCs/>
        </w:rPr>
        <w:t>.</w:t>
      </w:r>
      <w:r>
        <w:rPr>
          <w:rFonts w:cs="Times New Roman"/>
          <w:bCs/>
        </w:rPr>
        <w:t>6</w:t>
      </w:r>
      <w:r w:rsidRPr="008B2545">
        <w:rPr>
          <w:rFonts w:cs="Times New Roman"/>
          <w:bCs/>
        </w:rPr>
        <w:t>, as these data indicate that any degree of physical root restriction inhibits root and shoot growth, regardless of full chemical access to the hydroponate through the mesh. Bar-</w:t>
      </w:r>
      <w:r>
        <w:rPr>
          <w:rFonts w:cs="Times New Roman"/>
          <w:bCs/>
        </w:rPr>
        <w:t>T</w:t>
      </w:r>
      <w:r w:rsidRPr="008B2545">
        <w:rPr>
          <w:rFonts w:cs="Times New Roman"/>
          <w:bCs/>
        </w:rPr>
        <w:t>al et al (1995) however did not have the ability to explore why this might be with their experimental design. Treatment B of Figure 4.1</w:t>
      </w:r>
      <w:r>
        <w:rPr>
          <w:rFonts w:cs="Times New Roman"/>
          <w:bCs/>
        </w:rPr>
        <w:t>4A</w:t>
      </w:r>
      <w:r w:rsidRPr="008B2545">
        <w:rPr>
          <w:rFonts w:cs="Times New Roman"/>
          <w:bCs/>
        </w:rPr>
        <w:t xml:space="preserve"> highlights that the root-based growth inhibition is local</w:t>
      </w:r>
      <w:r w:rsidR="00C9298C">
        <w:rPr>
          <w:rFonts w:cs="Times New Roman"/>
          <w:bCs/>
        </w:rPr>
        <w:t xml:space="preserve">, </w:t>
      </w:r>
      <w:r w:rsidR="00C9298C" w:rsidRPr="00D871DC">
        <w:rPr>
          <w:rFonts w:cs="Times New Roman"/>
          <w:bCs/>
        </w:rPr>
        <w:t>although not statistically significant</w:t>
      </w:r>
      <w:r w:rsidRPr="00D871DC">
        <w:rPr>
          <w:rFonts w:cs="Times New Roman"/>
          <w:bCs/>
        </w:rPr>
        <w:t>, not global as plants can redirect their</w:t>
      </w:r>
      <w:r w:rsidRPr="008B2545">
        <w:rPr>
          <w:rFonts w:cs="Times New Roman"/>
          <w:bCs/>
        </w:rPr>
        <w:t xml:space="preserve"> root growth to areas of the root system which are not at high density. This supports </w:t>
      </w:r>
      <w:r w:rsidR="001D0F14">
        <w:rPr>
          <w:rFonts w:cs="Times New Roman"/>
          <w:bCs/>
        </w:rPr>
        <w:t>the</w:t>
      </w:r>
      <w:r w:rsidR="001D0F14" w:rsidRPr="008B2545">
        <w:rPr>
          <w:rFonts w:cs="Times New Roman"/>
          <w:bCs/>
        </w:rPr>
        <w:t xml:space="preserve"> </w:t>
      </w:r>
      <w:r w:rsidRPr="008B2545">
        <w:rPr>
          <w:rFonts w:cs="Times New Roman"/>
          <w:bCs/>
        </w:rPr>
        <w:t>hypothesis that the second phase signal is largely immobile and can influence roots on a localised and not global scale, with corresponding effects on shoot system growth.</w:t>
      </w:r>
    </w:p>
    <w:p w14:paraId="34C8D487" w14:textId="77777777" w:rsidR="00A3130F" w:rsidRDefault="00A3130F" w:rsidP="00A3130F"/>
    <w:p w14:paraId="0347AA16" w14:textId="6F94A476" w:rsidR="00A3130F" w:rsidRDefault="00A3130F" w:rsidP="00743E4C">
      <w:pPr>
        <w:pStyle w:val="Heading3"/>
      </w:pPr>
      <w:bookmarkStart w:id="213" w:name="_Toc154331500"/>
      <w:r w:rsidRPr="00A3130F">
        <w:t>The root exuded signal in the first phase cannot fully explain early responses to volume</w:t>
      </w:r>
      <w:bookmarkEnd w:id="213"/>
    </w:p>
    <w:p w14:paraId="33603042" w14:textId="77777777" w:rsidR="00A3130F" w:rsidRDefault="00A3130F" w:rsidP="00A3130F"/>
    <w:p w14:paraId="5DF8595A" w14:textId="0D26E9BD" w:rsidR="00A3130F" w:rsidRPr="00AC5DDE" w:rsidRDefault="00A3130F" w:rsidP="00A3130F">
      <w:pPr>
        <w:keepNext/>
        <w:spacing w:line="480" w:lineRule="auto"/>
        <w:rPr>
          <w:rFonts w:cs="Times New Roman"/>
          <w:bCs/>
        </w:rPr>
      </w:pPr>
      <w:r w:rsidRPr="00AC5DDE">
        <w:rPr>
          <w:rFonts w:cs="Times New Roman"/>
          <w:bCs/>
        </w:rPr>
        <w:t>In section 4.</w:t>
      </w:r>
      <w:r>
        <w:rPr>
          <w:rFonts w:cs="Times New Roman"/>
          <w:bCs/>
        </w:rPr>
        <w:t>3,</w:t>
      </w:r>
      <w:r w:rsidRPr="00AC5DDE">
        <w:rPr>
          <w:rFonts w:cs="Times New Roman"/>
          <w:bCs/>
        </w:rPr>
        <w:t xml:space="preserve"> I</w:t>
      </w:r>
      <w:r>
        <w:rPr>
          <w:rFonts w:cs="Times New Roman"/>
          <w:bCs/>
        </w:rPr>
        <w:t xml:space="preserve"> </w:t>
      </w:r>
      <w:r w:rsidRPr="00AC5DDE">
        <w:rPr>
          <w:rFonts w:cs="Times New Roman"/>
          <w:bCs/>
        </w:rPr>
        <w:t>identified that wheat plants detect and respond to soil volume using an early and late phase mechanism which I hypothesise</w:t>
      </w:r>
      <w:r w:rsidR="006B4418">
        <w:rPr>
          <w:rFonts w:cs="Times New Roman"/>
          <w:bCs/>
        </w:rPr>
        <w:t>d</w:t>
      </w:r>
      <w:r w:rsidRPr="00AC5DDE">
        <w:rPr>
          <w:rFonts w:cs="Times New Roman"/>
          <w:bCs/>
        </w:rPr>
        <w:t xml:space="preserve"> involves two distinct root exuded signals with different properties. However, in this section, I describe </w:t>
      </w:r>
      <w:r>
        <w:rPr>
          <w:rFonts w:cs="Times New Roman"/>
          <w:bCs/>
        </w:rPr>
        <w:t>an</w:t>
      </w:r>
      <w:r w:rsidRPr="00AC5DDE">
        <w:rPr>
          <w:rFonts w:cs="Times New Roman"/>
          <w:bCs/>
        </w:rPr>
        <w:t xml:space="preserve"> experiment that challenge</w:t>
      </w:r>
      <w:r>
        <w:rPr>
          <w:rFonts w:cs="Times New Roman"/>
          <w:bCs/>
        </w:rPr>
        <w:t>s</w:t>
      </w:r>
      <w:r w:rsidRPr="00AC5DDE">
        <w:rPr>
          <w:rFonts w:cs="Times New Roman"/>
          <w:bCs/>
        </w:rPr>
        <w:t xml:space="preserve"> this model, and highlight</w:t>
      </w:r>
      <w:r>
        <w:rPr>
          <w:rFonts w:cs="Times New Roman"/>
          <w:bCs/>
        </w:rPr>
        <w:t>s</w:t>
      </w:r>
      <w:r w:rsidRPr="00AC5DDE">
        <w:rPr>
          <w:rFonts w:cs="Times New Roman"/>
          <w:bCs/>
        </w:rPr>
        <w:t xml:space="preserve"> that there is likely more complexity than initially proposed.</w:t>
      </w:r>
    </w:p>
    <w:p w14:paraId="1B88C17E" w14:textId="507B1498" w:rsidR="00A3130F" w:rsidRDefault="00A3130F" w:rsidP="00A3130F">
      <w:pPr>
        <w:spacing w:line="480" w:lineRule="auto"/>
        <w:rPr>
          <w:rFonts w:cs="Times New Roman"/>
          <w:bCs/>
        </w:rPr>
      </w:pPr>
      <w:r w:rsidRPr="00DA08ED">
        <w:rPr>
          <w:rFonts w:cs="Times New Roman"/>
          <w:bCs/>
        </w:rPr>
        <w:t>I hypothesised that the early root exuded signal would be highly mobile, given its ability to diffuse through the mesh pots described in 4.</w:t>
      </w:r>
      <w:r>
        <w:rPr>
          <w:rFonts w:cs="Times New Roman"/>
          <w:bCs/>
        </w:rPr>
        <w:t>3</w:t>
      </w:r>
      <w:r w:rsidRPr="00DA08ED">
        <w:rPr>
          <w:rFonts w:cs="Times New Roman"/>
          <w:bCs/>
        </w:rPr>
        <w:t xml:space="preserve">.2. However, I aimed to assess if, even with access to a large chemical volume, more extreme limits on physical volume can still limit plant growth in the early phase. </w:t>
      </w:r>
      <w:r>
        <w:rPr>
          <w:rFonts w:cs="Times New Roman"/>
          <w:bCs/>
        </w:rPr>
        <w:t xml:space="preserve">To test this </w:t>
      </w:r>
      <w:r>
        <w:rPr>
          <w:rFonts w:cs="Times New Roman"/>
          <w:bCs/>
        </w:rPr>
        <w:lastRenderedPageBreak/>
        <w:t xml:space="preserve">idea I carried out a hydroponic experiment where </w:t>
      </w:r>
      <w:r w:rsidRPr="00FA1CF4">
        <w:rPr>
          <w:rFonts w:cs="Times New Roman"/>
          <w:bCs/>
        </w:rPr>
        <w:t xml:space="preserve">wheat (cv. Mulika) plants were sown in 100ml pots containing </w:t>
      </w:r>
      <w:r>
        <w:rPr>
          <w:rFonts w:cs="Times New Roman"/>
          <w:bCs/>
        </w:rPr>
        <w:t xml:space="preserve">50:50 sand:perlite </w:t>
      </w:r>
      <w:r w:rsidRPr="00FA1CF4">
        <w:rPr>
          <w:rFonts w:cs="Times New Roman"/>
          <w:bCs/>
        </w:rPr>
        <w:t>for 1 week and then transferred</w:t>
      </w:r>
      <w:r>
        <w:rPr>
          <w:rFonts w:cs="Times New Roman"/>
          <w:bCs/>
        </w:rPr>
        <w:t xml:space="preserve"> into</w:t>
      </w:r>
      <w:r w:rsidRPr="00FA1CF4">
        <w:rPr>
          <w:rFonts w:cs="Times New Roman"/>
          <w:bCs/>
        </w:rPr>
        <w:t xml:space="preserve"> </w:t>
      </w:r>
      <w:r>
        <w:rPr>
          <w:rFonts w:cs="Times New Roman"/>
          <w:bCs/>
        </w:rPr>
        <w:t xml:space="preserve">1L containers </w:t>
      </w:r>
      <w:r w:rsidRPr="00FA1CF4">
        <w:rPr>
          <w:rFonts w:cs="Times New Roman"/>
          <w:bCs/>
        </w:rPr>
        <w:t xml:space="preserve">in </w:t>
      </w:r>
      <w:r>
        <w:rPr>
          <w:rFonts w:cs="Times New Roman"/>
          <w:bCs/>
        </w:rPr>
        <w:t xml:space="preserve">the hydroponic system (hydroponic set up details explained in </w:t>
      </w:r>
      <w:r w:rsidRPr="00AF5492">
        <w:rPr>
          <w:rFonts w:cs="Times New Roman"/>
          <w:bCs/>
        </w:rPr>
        <w:t>Chapter 2).</w:t>
      </w:r>
      <w:r w:rsidRPr="00FA1CF4">
        <w:rPr>
          <w:rFonts w:cs="Times New Roman"/>
          <w:bCs/>
        </w:rPr>
        <w:t xml:space="preserve"> Plants were grown </w:t>
      </w:r>
      <w:r>
        <w:rPr>
          <w:rFonts w:cs="Times New Roman"/>
          <w:bCs/>
        </w:rPr>
        <w:t xml:space="preserve">in an </w:t>
      </w:r>
      <w:r w:rsidRPr="00FA1CF4">
        <w:rPr>
          <w:rFonts w:cs="Times New Roman"/>
          <w:bCs/>
        </w:rPr>
        <w:t xml:space="preserve">‘enclosed’ </w:t>
      </w:r>
      <w:r>
        <w:rPr>
          <w:rFonts w:cs="Times New Roman"/>
          <w:bCs/>
        </w:rPr>
        <w:t>treatment</w:t>
      </w:r>
      <w:r w:rsidRPr="00FA1CF4">
        <w:rPr>
          <w:rFonts w:cs="Times New Roman"/>
          <w:bCs/>
        </w:rPr>
        <w:t xml:space="preserve"> where the root systems were enclosed in a modified 50ml falcon tube where the base ha</w:t>
      </w:r>
      <w:r>
        <w:rPr>
          <w:rFonts w:cs="Times New Roman"/>
          <w:bCs/>
        </w:rPr>
        <w:t>d</w:t>
      </w:r>
      <w:r w:rsidRPr="00FA1CF4">
        <w:rPr>
          <w:rFonts w:cs="Times New Roman"/>
          <w:bCs/>
        </w:rPr>
        <w:t xml:space="preserve"> been removed and </w:t>
      </w:r>
      <w:r>
        <w:rPr>
          <w:rFonts w:cs="Times New Roman"/>
          <w:bCs/>
        </w:rPr>
        <w:t>impermeable mesh had been secured to the now open end to seal it</w:t>
      </w:r>
      <w:r w:rsidR="001D0F14">
        <w:rPr>
          <w:rFonts w:cs="Times New Roman"/>
          <w:bCs/>
        </w:rPr>
        <w:t>, but still</w:t>
      </w:r>
      <w:r>
        <w:rPr>
          <w:rFonts w:cs="Times New Roman"/>
          <w:bCs/>
        </w:rPr>
        <w:t xml:space="preserve"> allowing any root exuded chemicals and nutrients to be exchanged but restraining the roots </w:t>
      </w:r>
      <w:r w:rsidR="00E90897">
        <w:rPr>
          <w:rFonts w:cs="Times New Roman"/>
          <w:bCs/>
        </w:rPr>
        <w:t>within</w:t>
      </w:r>
      <w:r>
        <w:rPr>
          <w:rFonts w:cs="Times New Roman"/>
          <w:bCs/>
        </w:rPr>
        <w:t xml:space="preserve"> </w:t>
      </w:r>
      <w:r w:rsidRPr="00FA1CF4">
        <w:rPr>
          <w:rFonts w:cs="Times New Roman"/>
          <w:bCs/>
        </w:rPr>
        <w:t>(Fig</w:t>
      </w:r>
      <w:r>
        <w:rPr>
          <w:rFonts w:cs="Times New Roman"/>
          <w:bCs/>
        </w:rPr>
        <w:t>.</w:t>
      </w:r>
      <w:r w:rsidRPr="00FA1CF4">
        <w:rPr>
          <w:rFonts w:cs="Times New Roman"/>
          <w:bCs/>
        </w:rPr>
        <w:t xml:space="preserve"> </w:t>
      </w:r>
      <w:r w:rsidRPr="0082749A">
        <w:rPr>
          <w:rFonts w:cs="Times New Roman"/>
          <w:bCs/>
        </w:rPr>
        <w:t>4.</w:t>
      </w:r>
      <w:r>
        <w:rPr>
          <w:rFonts w:cs="Times New Roman"/>
          <w:bCs/>
        </w:rPr>
        <w:t>15</w:t>
      </w:r>
      <w:r w:rsidRPr="00FA1CF4">
        <w:rPr>
          <w:rFonts w:cs="Times New Roman"/>
          <w:bCs/>
        </w:rPr>
        <w:t>A)</w:t>
      </w:r>
      <w:r>
        <w:rPr>
          <w:rFonts w:cs="Times New Roman"/>
          <w:bCs/>
        </w:rPr>
        <w:t>. This was the</w:t>
      </w:r>
      <w:r w:rsidRPr="00FA1CF4">
        <w:rPr>
          <w:rFonts w:cs="Times New Roman"/>
          <w:bCs/>
        </w:rPr>
        <w:t xml:space="preserve"> same impermeable mesh </w:t>
      </w:r>
      <w:r>
        <w:rPr>
          <w:rFonts w:cs="Times New Roman"/>
          <w:bCs/>
        </w:rPr>
        <w:t>described</w:t>
      </w:r>
      <w:r w:rsidRPr="00FA1CF4">
        <w:rPr>
          <w:rFonts w:cs="Times New Roman"/>
          <w:bCs/>
        </w:rPr>
        <w:t xml:space="preserve"> in </w:t>
      </w:r>
      <w:r>
        <w:rPr>
          <w:rFonts w:cs="Times New Roman"/>
          <w:bCs/>
        </w:rPr>
        <w:t>Sections 4.3.2 and 4.3.6</w:t>
      </w:r>
      <w:r w:rsidRPr="00FA1CF4">
        <w:rPr>
          <w:rFonts w:cs="Times New Roman"/>
          <w:bCs/>
        </w:rPr>
        <w:t>.</w:t>
      </w:r>
      <w:r>
        <w:rPr>
          <w:rFonts w:cs="Times New Roman"/>
          <w:bCs/>
        </w:rPr>
        <w:t xml:space="preserve"> The other treatment ‘free’ involved a much shorter open ended modified falcon tube, allowing the roots free access to the hydroponate (Fig. </w:t>
      </w:r>
      <w:r w:rsidRPr="00161880">
        <w:rPr>
          <w:rFonts w:cs="Times New Roman"/>
          <w:bCs/>
        </w:rPr>
        <w:t>4.1</w:t>
      </w:r>
      <w:r>
        <w:rPr>
          <w:rFonts w:cs="Times New Roman"/>
          <w:bCs/>
        </w:rPr>
        <w:t>5</w:t>
      </w:r>
      <w:r w:rsidRPr="00161880">
        <w:rPr>
          <w:rFonts w:cs="Times New Roman"/>
          <w:bCs/>
        </w:rPr>
        <w:t>A</w:t>
      </w:r>
      <w:r>
        <w:rPr>
          <w:rFonts w:cs="Times New Roman"/>
          <w:bCs/>
        </w:rPr>
        <w:t xml:space="preserve">). The plants in the ‘enclosed’ treatment had the same chemical substrate volume as the ‘free’ plants but the ’enclosed’ plants were subjected to increased mechanical impedance and much less physical substrate volume </w:t>
      </w:r>
      <w:r>
        <w:rPr>
          <w:rFonts w:cs="Times New Roman"/>
          <w:bCs/>
        </w:rPr>
        <w:fldChar w:fldCharType="begin" w:fldLock="1"/>
      </w:r>
      <w:r>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hAnsi="Cambria Math" w:cs="Cambria Math"/>
          <w:bCs/>
        </w:rPr>
        <w:instrText>‐</w:instrText>
      </w:r>
      <w:r>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cs="Times New Roman"/>
          <w:bCs/>
        </w:rPr>
        <w:fldChar w:fldCharType="separate"/>
      </w:r>
      <w:r w:rsidRPr="00953AF1">
        <w:rPr>
          <w:rFonts w:cs="Times New Roman"/>
          <w:bCs/>
          <w:noProof/>
        </w:rPr>
        <w:t>(Wheeldon et al., 2021)</w:t>
      </w:r>
      <w:r>
        <w:rPr>
          <w:rFonts w:cs="Times New Roman"/>
          <w:bCs/>
        </w:rPr>
        <w:fldChar w:fldCharType="end"/>
      </w:r>
      <w:r>
        <w:rPr>
          <w:rFonts w:cs="Times New Roman"/>
          <w:bCs/>
        </w:rPr>
        <w:t>.</w:t>
      </w:r>
      <w:r w:rsidRPr="00FA1CF4">
        <w:rPr>
          <w:rFonts w:cs="Times New Roman"/>
          <w:bCs/>
        </w:rPr>
        <w:t xml:space="preserve"> </w:t>
      </w:r>
    </w:p>
    <w:p w14:paraId="68F06E61" w14:textId="29747B54" w:rsidR="00A3130F" w:rsidRDefault="00A3130F" w:rsidP="00A3130F">
      <w:pPr>
        <w:spacing w:line="480" w:lineRule="auto"/>
        <w:rPr>
          <w:rFonts w:cs="Times New Roman"/>
          <w:bCs/>
        </w:rPr>
      </w:pPr>
      <w:r w:rsidRPr="00AB1942">
        <w:rPr>
          <w:rFonts w:cs="Times New Roman"/>
          <w:bCs/>
          <w:color w:val="000000" w:themeColor="text1"/>
        </w:rPr>
        <w:t>T</w:t>
      </w:r>
      <w:r>
        <w:rPr>
          <w:rFonts w:cs="Times New Roman"/>
          <w:bCs/>
        </w:rPr>
        <w:t>iller number was assessed weekly from week 2-7. Statistically significant differences between the treatments were seen from 4 weeks post germination. ‘Free’ plants were able to tiller greatly, producing a maximum of ~ 27 tillers (Fig 4.1</w:t>
      </w:r>
      <w:r w:rsidR="00C97D34">
        <w:rPr>
          <w:rFonts w:cs="Times New Roman"/>
          <w:bCs/>
        </w:rPr>
        <w:t>5</w:t>
      </w:r>
      <w:r>
        <w:rPr>
          <w:rFonts w:cs="Times New Roman"/>
          <w:bCs/>
        </w:rPr>
        <w:t>B). Intriguingly this was much greater than the tiller number of soil grown plants that had access to double the physical and chemical substrate volume (Fig. 4.</w:t>
      </w:r>
      <w:r w:rsidR="00C97D34">
        <w:rPr>
          <w:rFonts w:cs="Times New Roman"/>
          <w:bCs/>
        </w:rPr>
        <w:t>7</w:t>
      </w:r>
      <w:r>
        <w:rPr>
          <w:rFonts w:cs="Times New Roman"/>
          <w:bCs/>
        </w:rPr>
        <w:t xml:space="preserve">B), and therefore suggests the root exudate is highly mobile and can be diffused in the hydroponate. </w:t>
      </w:r>
      <w:r w:rsidRPr="00BD1EE5">
        <w:rPr>
          <w:rFonts w:cs="Times New Roman"/>
          <w:bCs/>
        </w:rPr>
        <w:t xml:space="preserve">The </w:t>
      </w:r>
      <w:r>
        <w:rPr>
          <w:rFonts w:cs="Times New Roman"/>
          <w:bCs/>
        </w:rPr>
        <w:t>‘enclosed’ plants tillered slower, although they were able to sustain this throughout life (Fig. 4.1</w:t>
      </w:r>
      <w:r w:rsidR="00C97D34">
        <w:rPr>
          <w:rFonts w:cs="Times New Roman"/>
          <w:bCs/>
        </w:rPr>
        <w:t>5</w:t>
      </w:r>
      <w:r>
        <w:rPr>
          <w:rFonts w:cs="Times New Roman"/>
          <w:bCs/>
        </w:rPr>
        <w:t xml:space="preserve">B). Crucially, in this experiment, differences were seen in the early phase of growth between the treatments, despite the identical chemical volume. </w:t>
      </w:r>
      <w:r w:rsidRPr="00AB001A">
        <w:rPr>
          <w:rFonts w:cs="Times New Roman"/>
          <w:bCs/>
        </w:rPr>
        <w:t xml:space="preserve">This suggested that the ‘enclosed’ plants recognised the extreme physical limit on their available </w:t>
      </w:r>
      <w:r w:rsidRPr="00AB001A">
        <w:rPr>
          <w:rFonts w:cs="Times New Roman"/>
          <w:bCs/>
        </w:rPr>
        <w:lastRenderedPageBreak/>
        <w:t xml:space="preserve">space early in life. </w:t>
      </w:r>
      <w:r>
        <w:rPr>
          <w:rFonts w:cs="Times New Roman"/>
          <w:bCs/>
        </w:rPr>
        <w:t xml:space="preserve">As both treatments had access to the 1L of hydroponic medium, nutrient differences between the treatments can be reasonably ruled </w:t>
      </w:r>
      <w:r w:rsidR="00674538">
        <w:rPr>
          <w:rFonts w:cs="Times New Roman"/>
          <w:bCs/>
          <w:noProof/>
        </w:rPr>
        <w:drawing>
          <wp:anchor distT="0" distB="0" distL="114300" distR="114300" simplePos="0" relativeHeight="251849216" behindDoc="0" locked="0" layoutInCell="1" allowOverlap="1" wp14:anchorId="34E0F717" wp14:editId="64322BA9">
            <wp:simplePos x="0" y="0"/>
            <wp:positionH relativeFrom="margin">
              <wp:align>left</wp:align>
            </wp:positionH>
            <wp:positionV relativeFrom="paragraph">
              <wp:posOffset>1038667</wp:posOffset>
            </wp:positionV>
            <wp:extent cx="5209540" cy="2543810"/>
            <wp:effectExtent l="0" t="0" r="0" b="8890"/>
            <wp:wrapSquare wrapText="bothSides"/>
            <wp:docPr id="1339582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8296" name="Picture 13395829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27559" cy="2553066"/>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bCs/>
        </w:rPr>
        <w:t xml:space="preserve">out as the reason for the tillering differences seen. </w:t>
      </w:r>
    </w:p>
    <w:p w14:paraId="61E1EEAB" w14:textId="10582199" w:rsidR="00A3130F" w:rsidRDefault="00C97D34" w:rsidP="00C97D34">
      <w:pPr>
        <w:pStyle w:val="Caption"/>
      </w:pPr>
      <w:bookmarkStart w:id="214" w:name="_Toc154331583"/>
      <w:r>
        <w:t xml:space="preserve">Figure </w:t>
      </w:r>
      <w:fldSimple w:instr=" STYLEREF 1 \s ">
        <w:r w:rsidR="004B7F70">
          <w:rPr>
            <w:noProof/>
          </w:rPr>
          <w:t>4</w:t>
        </w:r>
      </w:fldSimple>
      <w:r>
        <w:t>.</w:t>
      </w:r>
      <w:fldSimple w:instr=" SEQ Figure \* ARABIC \s 1 ">
        <w:r w:rsidR="004B7F70">
          <w:rPr>
            <w:noProof/>
          </w:rPr>
          <w:t>15</w:t>
        </w:r>
      </w:fldSimple>
      <w:r>
        <w:t xml:space="preserve"> </w:t>
      </w:r>
      <w:r w:rsidRPr="009B7D2D">
        <w:t>Substrate volume limitation can occur in hydroponic scenarios</w:t>
      </w:r>
      <w:bookmarkEnd w:id="214"/>
    </w:p>
    <w:p w14:paraId="7C60FAF5" w14:textId="48AF8519" w:rsidR="00C97D34" w:rsidRPr="00C97D34" w:rsidRDefault="00C97D34" w:rsidP="00C97D34">
      <w:pPr>
        <w:pStyle w:val="Description"/>
      </w:pPr>
      <w:r w:rsidRPr="00C97D34">
        <w:t xml:space="preserve">A) Cartoon describing the experimental design. Wheat (cv. Mulika) plants grown hydroponically in 1L pots. Blue represents falcon tube lids with a hole to allow to the shoot (green) to grow out. Falcon tube lids are attached to modified falcon tubes, left shows a falcon tube sawn down to 2cm in length (free) allowing free movement of roots in the hydroponate, right shows a falcon tube with the bottom sawn off and nylon mesh (grey) glued to the base to stop any escape of roots (enclosed). </w:t>
      </w:r>
    </w:p>
    <w:p w14:paraId="2F8873A1" w14:textId="204B5B79" w:rsidR="00C97D34" w:rsidRPr="00C97D34" w:rsidRDefault="00C97D34" w:rsidP="00C97D34">
      <w:pPr>
        <w:pStyle w:val="Description"/>
      </w:pPr>
      <w:r w:rsidRPr="00C97D34">
        <w:t>B) Line graph showing mean tiller number of wheat plants (cv. Mulika) grown in the set up described above until 52 days post germination. Free plants are shown as a burgundy line, enclosed plants are shown with a blue line. Error bars represent the s.e.m, n=10. Asterisks show statistically significant difference between free and enclosed plants, all Mann-Whitney U test except for day 52 where Independent samples t-test was used, p&lt;0.05).</w:t>
      </w:r>
    </w:p>
    <w:p w14:paraId="678754C1" w14:textId="20C8AD40" w:rsidR="00C97D34" w:rsidRDefault="00C97D34" w:rsidP="00C97D34">
      <w:pPr>
        <w:pStyle w:val="Description"/>
      </w:pPr>
      <w:r w:rsidRPr="00C97D34">
        <w:t>Figure modified from Wheeldon et al, 2021</w:t>
      </w:r>
    </w:p>
    <w:p w14:paraId="47F7397C" w14:textId="77777777" w:rsidR="00C97D34" w:rsidRDefault="00C97D34" w:rsidP="00C97D34"/>
    <w:p w14:paraId="62132840" w14:textId="46EEFBE5" w:rsidR="00C97D34" w:rsidRDefault="00C97D34" w:rsidP="00C97D34">
      <w:pPr>
        <w:spacing w:line="480" w:lineRule="auto"/>
        <w:rPr>
          <w:rFonts w:cs="Times New Roman"/>
          <w:bCs/>
        </w:rPr>
      </w:pPr>
      <w:r>
        <w:rPr>
          <w:rFonts w:cs="Times New Roman"/>
          <w:bCs/>
        </w:rPr>
        <w:t xml:space="preserve">To investigate how shoot and root growth is affected by physical and chemical substrate volume, this was assessed at 2 timepoints. At 42- and 52-days post gemination there is a statistical difference in root and shoot biomass between ‘free’ and ‘enclosed’ plants (Fig. 4.16A). Between these timepoints the biomass of both shoot and root tissue increased ~2-fold in ‘enclosed’ plants. </w:t>
      </w:r>
      <w:r w:rsidR="00E73857">
        <w:rPr>
          <w:rFonts w:cs="Times New Roman"/>
          <w:bCs/>
        </w:rPr>
        <w:t xml:space="preserve">Looking at the </w:t>
      </w:r>
      <w:r>
        <w:rPr>
          <w:rFonts w:cs="Times New Roman"/>
          <w:bCs/>
        </w:rPr>
        <w:t>‘Free’ plants however</w:t>
      </w:r>
      <w:r w:rsidR="00E73857">
        <w:rPr>
          <w:rFonts w:cs="Times New Roman"/>
          <w:bCs/>
        </w:rPr>
        <w:t>, these</w:t>
      </w:r>
      <w:r>
        <w:rPr>
          <w:rFonts w:cs="Times New Roman"/>
          <w:bCs/>
        </w:rPr>
        <w:t xml:space="preserve"> increased their root biomass ~4-fold and </w:t>
      </w:r>
      <w:r w:rsidR="00351BD5">
        <w:rPr>
          <w:rFonts w:cs="Times New Roman"/>
          <w:bCs/>
        </w:rPr>
        <w:t xml:space="preserve">they increased their </w:t>
      </w:r>
      <w:r>
        <w:rPr>
          <w:rFonts w:cs="Times New Roman"/>
          <w:bCs/>
        </w:rPr>
        <w:t xml:space="preserve">shoot biomass ~6-fold. At 42 days post </w:t>
      </w:r>
      <w:r>
        <w:rPr>
          <w:rFonts w:cs="Times New Roman"/>
          <w:bCs/>
        </w:rPr>
        <w:lastRenderedPageBreak/>
        <w:t xml:space="preserve">germination, root system size was visibly larger in the </w:t>
      </w:r>
      <w:r w:rsidR="00B9388C">
        <w:rPr>
          <w:rFonts w:cs="Times New Roman"/>
          <w:bCs/>
          <w:noProof/>
        </w:rPr>
        <w:drawing>
          <wp:anchor distT="0" distB="0" distL="114300" distR="114300" simplePos="0" relativeHeight="251854336" behindDoc="0" locked="0" layoutInCell="1" allowOverlap="1" wp14:anchorId="3920A4F0" wp14:editId="6FB8AC01">
            <wp:simplePos x="0" y="0"/>
            <wp:positionH relativeFrom="column">
              <wp:posOffset>0</wp:posOffset>
            </wp:positionH>
            <wp:positionV relativeFrom="paragraph">
              <wp:posOffset>775335</wp:posOffset>
            </wp:positionV>
            <wp:extent cx="4735484" cy="3848793"/>
            <wp:effectExtent l="0" t="0" r="8255" b="0"/>
            <wp:wrapSquare wrapText="bothSides"/>
            <wp:docPr id="15831745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174520" name="Picture 1583174520"/>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735484" cy="3848793"/>
                    </a:xfrm>
                    <a:prstGeom prst="rect">
                      <a:avLst/>
                    </a:prstGeom>
                  </pic:spPr>
                </pic:pic>
              </a:graphicData>
            </a:graphic>
          </wp:anchor>
        </w:drawing>
      </w:r>
      <w:r>
        <w:rPr>
          <w:rFonts w:cs="Times New Roman"/>
          <w:bCs/>
        </w:rPr>
        <w:t xml:space="preserve">‘free’ plants compared to the ‘enclosed’ plants (Fig. 4.16B) </w:t>
      </w:r>
      <w:r>
        <w:rPr>
          <w:rFonts w:cs="Times New Roman"/>
          <w:bCs/>
        </w:rPr>
        <w:fldChar w:fldCharType="begin" w:fldLock="1"/>
      </w:r>
      <w:r>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hAnsi="Cambria Math" w:cs="Cambria Math"/>
          <w:bCs/>
        </w:rPr>
        <w:instrText>‐</w:instrText>
      </w:r>
      <w:r>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cs="Times New Roman"/>
          <w:bCs/>
        </w:rPr>
        <w:fldChar w:fldCharType="separate"/>
      </w:r>
      <w:r w:rsidRPr="004D1AC4">
        <w:rPr>
          <w:rFonts w:cs="Times New Roman"/>
          <w:bCs/>
          <w:noProof/>
        </w:rPr>
        <w:t>(Wheeldon et al., 2021)</w:t>
      </w:r>
      <w:r>
        <w:rPr>
          <w:rFonts w:cs="Times New Roman"/>
          <w:bCs/>
        </w:rPr>
        <w:fldChar w:fldCharType="end"/>
      </w:r>
      <w:r>
        <w:rPr>
          <w:rFonts w:cs="Times New Roman"/>
          <w:bCs/>
        </w:rPr>
        <w:t>.</w:t>
      </w:r>
    </w:p>
    <w:p w14:paraId="2D2FCC5D" w14:textId="65A41E4B" w:rsidR="00C97D34" w:rsidRPr="00C97D34" w:rsidRDefault="00C97D34" w:rsidP="00C97D34"/>
    <w:p w14:paraId="78594BCC" w14:textId="607CD9FC" w:rsidR="00A3130F" w:rsidRDefault="00C97D34" w:rsidP="00C97D34">
      <w:pPr>
        <w:pStyle w:val="Caption"/>
      </w:pPr>
      <w:bookmarkStart w:id="215" w:name="_Toc154331584"/>
      <w:r>
        <w:t xml:space="preserve">Figure </w:t>
      </w:r>
      <w:fldSimple w:instr=" STYLEREF 1 \s ">
        <w:r w:rsidR="004B7F70">
          <w:rPr>
            <w:noProof/>
          </w:rPr>
          <w:t>4</w:t>
        </w:r>
      </w:fldSimple>
      <w:r>
        <w:t>.</w:t>
      </w:r>
      <w:fldSimple w:instr=" SEQ Figure \* ARABIC \s 1 ">
        <w:r w:rsidR="004B7F70">
          <w:rPr>
            <w:noProof/>
          </w:rPr>
          <w:t>16</w:t>
        </w:r>
      </w:fldSimple>
      <w:r>
        <w:t xml:space="preserve"> </w:t>
      </w:r>
      <w:r w:rsidRPr="00456AD1">
        <w:t>Shoot and root biomass increase less in root enclosed conditions</w:t>
      </w:r>
      <w:bookmarkEnd w:id="215"/>
    </w:p>
    <w:p w14:paraId="20F8C60F" w14:textId="6290DD92" w:rsidR="00C97D34" w:rsidRDefault="00C97D34" w:rsidP="00C97D34">
      <w:pPr>
        <w:pStyle w:val="Description"/>
        <w:rPr>
          <w:sz w:val="24"/>
        </w:rPr>
      </w:pPr>
      <w:r w:rsidRPr="0079165C">
        <w:t>A) Box plots showing shoot (left) and root (right) dry biomass (g) of wheat plants (cv</w:t>
      </w:r>
      <w:r>
        <w:t>.</w:t>
      </w:r>
      <w:r w:rsidRPr="0079165C">
        <w:t xml:space="preserve"> Mulika) in free (pink) and enclosed (blue) root system treatments as described in Fig</w:t>
      </w:r>
      <w:r>
        <w:t xml:space="preserve"> 4.15A </w:t>
      </w:r>
      <w:r w:rsidRPr="0079165C">
        <w:t>at 42 days (top) and 52 days (bottom) post germination. The box indicates the interquartile range, the midline indicates the median, the whiskers are the minimum and maximum values, the circle within the box is the mean. Asterisks show significant difference between the treatments (</w:t>
      </w:r>
      <w:r>
        <w:t xml:space="preserve">Independent samples </w:t>
      </w:r>
      <w:r w:rsidRPr="0079165C">
        <w:t>t-test, p&lt;0.05), n=8-10.</w:t>
      </w:r>
    </w:p>
    <w:p w14:paraId="02D2E8DF" w14:textId="2F929241" w:rsidR="00C97D34" w:rsidRPr="0079165C" w:rsidRDefault="00C97D34" w:rsidP="00C97D34">
      <w:pPr>
        <w:pStyle w:val="Description"/>
        <w:rPr>
          <w:sz w:val="24"/>
        </w:rPr>
      </w:pPr>
      <w:r w:rsidRPr="0079165C">
        <w:t>B)</w:t>
      </w:r>
      <w:r>
        <w:t xml:space="preserve"> </w:t>
      </w:r>
      <w:r w:rsidRPr="00D97276">
        <w:t xml:space="preserve">Images of wheat plants in treatments described in </w:t>
      </w:r>
      <w:r w:rsidRPr="0079165C">
        <w:t>Fig</w:t>
      </w:r>
      <w:r>
        <w:t>. 4.1</w:t>
      </w:r>
      <w:r w:rsidR="00897467">
        <w:t>5</w:t>
      </w:r>
      <w:r>
        <w:t>A</w:t>
      </w:r>
      <w:r w:rsidRPr="00D97276">
        <w:t xml:space="preserve"> at 42 days post germination when removed from the hydroponic pots. Left: ‘free’ treatment, right: ‘enclosed’ treatment with modified falcon tube removed. Scale bar represents 10cm.</w:t>
      </w:r>
    </w:p>
    <w:p w14:paraId="703C680F" w14:textId="77777777" w:rsidR="00C97D34" w:rsidRDefault="00C97D34" w:rsidP="00C97D34">
      <w:pPr>
        <w:pStyle w:val="Description"/>
      </w:pPr>
      <w:r w:rsidRPr="00D97276">
        <w:t>Figure modified from Wheeldon et al</w:t>
      </w:r>
      <w:r>
        <w:t xml:space="preserve">, </w:t>
      </w:r>
      <w:r w:rsidRPr="00D97276">
        <w:t>2021</w:t>
      </w:r>
    </w:p>
    <w:p w14:paraId="1335BCE2" w14:textId="77777777" w:rsidR="00C97D34" w:rsidRDefault="00C97D34" w:rsidP="00C97D34">
      <w:pPr>
        <w:pStyle w:val="Description"/>
      </w:pPr>
    </w:p>
    <w:p w14:paraId="6BD89633" w14:textId="77777777" w:rsidR="00C97D34" w:rsidRPr="00CF24A5" w:rsidRDefault="00C97D34" w:rsidP="00C97D34">
      <w:pPr>
        <w:numPr>
          <w:ilvl w:val="2"/>
          <w:numId w:val="0"/>
        </w:numPr>
        <w:spacing w:before="160" w:line="480" w:lineRule="auto"/>
        <w:outlineLvl w:val="2"/>
        <w:rPr>
          <w:rFonts w:cs="Times New Roman"/>
          <w:bCs/>
        </w:rPr>
      </w:pPr>
      <w:r w:rsidRPr="00CF24A5">
        <w:rPr>
          <w:rFonts w:cs="Times New Roman"/>
          <w:bCs/>
        </w:rPr>
        <w:t>This experiment therefore suggests that even under hydroponic conditions where the first phase signal can theoretically be easily diluted, if a physical substrate volume is particularly small this can still inhibit plant growth. Thus, it may be the case that the second, root density-dependent phase of soil volume responses can begin early, if physical volume is particularly restricted.</w:t>
      </w:r>
    </w:p>
    <w:p w14:paraId="592636B6" w14:textId="77777777" w:rsidR="00C97D34" w:rsidRDefault="00C97D34" w:rsidP="00C97D34"/>
    <w:p w14:paraId="7F99C98D" w14:textId="266520F5" w:rsidR="00C97D34" w:rsidRDefault="00C97D34" w:rsidP="00743E4C">
      <w:pPr>
        <w:pStyle w:val="Heading2"/>
      </w:pPr>
      <w:bookmarkStart w:id="216" w:name="_Toc154331501"/>
      <w:r w:rsidRPr="00C97D34">
        <w:t>Discussion</w:t>
      </w:r>
      <w:bookmarkEnd w:id="216"/>
    </w:p>
    <w:p w14:paraId="7CCA4249" w14:textId="77777777" w:rsidR="00C97D34" w:rsidRDefault="00C97D34" w:rsidP="00C97D34">
      <w:pPr>
        <w:spacing w:line="480" w:lineRule="auto"/>
        <w:rPr>
          <w:rFonts w:eastAsia="Calibri" w:cs="Times New Roman"/>
          <w:u w:val="single"/>
        </w:rPr>
      </w:pPr>
    </w:p>
    <w:p w14:paraId="06EA8ECF" w14:textId="69910DC6" w:rsidR="00C97D34" w:rsidRDefault="00C97D34" w:rsidP="00C97D34">
      <w:pPr>
        <w:spacing w:line="480" w:lineRule="auto"/>
        <w:rPr>
          <w:rFonts w:eastAsia="Calibri" w:cs="Times New Roman"/>
          <w:u w:val="single"/>
        </w:rPr>
      </w:pPr>
      <w:r>
        <w:rPr>
          <w:rFonts w:eastAsia="Calibri" w:cs="Times New Roman"/>
          <w:u w:val="single"/>
        </w:rPr>
        <w:t>Plants initiate an immediate competitive response on the recognition of neighbours</w:t>
      </w:r>
    </w:p>
    <w:p w14:paraId="6F755AA9" w14:textId="028E3934" w:rsidR="00C97D34" w:rsidRDefault="00C97D34" w:rsidP="00C97D34">
      <w:pPr>
        <w:spacing w:line="480" w:lineRule="auto"/>
        <w:rPr>
          <w:rFonts w:eastAsia="Calibri" w:cs="Times New Roman"/>
        </w:rPr>
      </w:pPr>
      <w:r>
        <w:rPr>
          <w:rFonts w:eastAsia="Calibri" w:cs="Times New Roman"/>
        </w:rPr>
        <w:t xml:space="preserve">The effects of plant-plant interactions on the root system are much less understood than those on the shoot, and in many respects, root-based mechanisms of neighbour detection and response remain rather mysterious </w:t>
      </w:r>
      <w:r>
        <w:rPr>
          <w:rFonts w:eastAsia="Calibri" w:cs="Times New Roman"/>
        </w:rPr>
        <w:fldChar w:fldCharType="begin" w:fldLock="1"/>
      </w:r>
      <w:r>
        <w:rPr>
          <w:rFonts w:eastAsia="Calibri" w:cs="Times New Roman"/>
        </w:rPr>
        <w:instrText>ADDIN CSL_CITATION {"citationItems":[{"id":"ITEM-1","itemData":{"DOI":"10.1111/pce.13892","ISSN":"0140-7791","author":[{"dropping-particle":"","family":"Wang","given":"Nan</w:instrText>
      </w:r>
      <w:r>
        <w:rPr>
          <w:rFonts w:ascii="Cambria Math" w:eastAsia="Calibri" w:hAnsi="Cambria Math" w:cs="Cambria Math"/>
        </w:rPr>
        <w:instrText>‐</w:instrText>
      </w:r>
      <w:r>
        <w:rPr>
          <w:rFonts w:eastAsia="Calibri" w:cs="Times New Roman"/>
        </w:rPr>
        <w:instrText>Qi","non-dropping-particle":"","parse-names":false,"suffix":""},{"dropping-particle":"","family":"Kong","given":"Chui</w:instrText>
      </w:r>
      <w:r>
        <w:rPr>
          <w:rFonts w:ascii="Cambria Math" w:eastAsia="Calibri" w:hAnsi="Cambria Math" w:cs="Cambria Math"/>
        </w:rPr>
        <w:instrText>‐</w:instrText>
      </w:r>
      <w:r>
        <w:rPr>
          <w:rFonts w:eastAsia="Calibri" w:cs="Times New Roman"/>
        </w:rPr>
        <w:instrText>Hua","non-dropping-particle":"","parse-names":false,"suffix":""},{"dropping-particle":"","family":"Wang","given":"Peng","non-dropping-particle":"","parse-names":false,"suffix":""},{"dropping-particle":"","family":"Meiners","given":"Scott J.","non-dropping-particle":"","parse-names":false,"suffix":""}],"container-title":"Plant, Cell &amp; Environment","id":"ITEM-1","issue":"4","issued":{"date-parts":[["2021","4","7"]]},"page":"1044-1058","title":"Root exudate signals in plant–plant interactions","type":"article-journal","volume":"44"},"uris":["http://www.mendeley.com/documents/?uuid=ded10ba8-49ef-4767-9b7d-9b5253ad6db1"]}],"mendeley":{"formattedCitation":"(Wang et al., 2021)","plainTextFormattedCitation":"(Wang et al., 2021)","previouslyFormattedCitation":"(Wang et al., 2021)"},"properties":{"noteIndex":0},"schema":"https://github.com/citation-style-language/schema/raw/master/csl-citation.json"}</w:instrText>
      </w:r>
      <w:r>
        <w:rPr>
          <w:rFonts w:eastAsia="Calibri" w:cs="Times New Roman"/>
        </w:rPr>
        <w:fldChar w:fldCharType="separate"/>
      </w:r>
      <w:r w:rsidRPr="008534E7">
        <w:rPr>
          <w:rFonts w:eastAsia="Calibri" w:cs="Times New Roman"/>
          <w:noProof/>
        </w:rPr>
        <w:t>(Wang et al., 2021)</w:t>
      </w:r>
      <w:r>
        <w:rPr>
          <w:rFonts w:eastAsia="Calibri" w:cs="Times New Roman"/>
        </w:rPr>
        <w:fldChar w:fldCharType="end"/>
      </w:r>
      <w:r>
        <w:rPr>
          <w:rFonts w:eastAsia="Calibri" w:cs="Times New Roman"/>
        </w:rPr>
        <w:t xml:space="preserve">. Prior to this PhD there has been no investigation of the transcriptional changes that occur in the root system after exposure </w:t>
      </w:r>
      <w:r w:rsidR="00F1771F">
        <w:rPr>
          <w:rFonts w:eastAsia="Calibri" w:cs="Times New Roman"/>
        </w:rPr>
        <w:t xml:space="preserve">to </w:t>
      </w:r>
      <w:r>
        <w:rPr>
          <w:rFonts w:eastAsia="Calibri" w:cs="Times New Roman"/>
        </w:rPr>
        <w:t xml:space="preserve">neighbours </w:t>
      </w:r>
      <w:r w:rsidR="00F1771F">
        <w:rPr>
          <w:rFonts w:eastAsia="Calibri" w:cs="Times New Roman"/>
        </w:rPr>
        <w:t>in</w:t>
      </w:r>
      <w:r>
        <w:rPr>
          <w:rFonts w:eastAsia="Calibri" w:cs="Times New Roman"/>
        </w:rPr>
        <w:t xml:space="preserve"> the environment. Therefore, the RNAseq analysis in section 4.2 provides an exciting avenue for future exploration. </w:t>
      </w:r>
      <w:r w:rsidR="00C15652" w:rsidRPr="004B378E">
        <w:rPr>
          <w:rFonts w:eastAsia="Calibri" w:cs="Times New Roman"/>
        </w:rPr>
        <w:t xml:space="preserve">From the current </w:t>
      </w:r>
      <w:r w:rsidR="00E1564E" w:rsidRPr="004B378E">
        <w:rPr>
          <w:rFonts w:eastAsia="Calibri" w:cs="Times New Roman"/>
        </w:rPr>
        <w:t>DEGs identified, this suggests that o</w:t>
      </w:r>
      <w:r w:rsidRPr="004B378E">
        <w:rPr>
          <w:rFonts w:eastAsia="Calibri" w:cs="Times New Roman"/>
        </w:rPr>
        <w:t>n the recognition of neighbours</w:t>
      </w:r>
      <w:r>
        <w:rPr>
          <w:rFonts w:eastAsia="Calibri" w:cs="Times New Roman"/>
        </w:rPr>
        <w:t>, barley plants appear to initiate the growth of any machinery that can uptake resources from the environment. This appears to involve the growth of root hairs, and the strong upregulation of nitrate transporters.</w:t>
      </w:r>
    </w:p>
    <w:p w14:paraId="0DDFB77D" w14:textId="77777777" w:rsidR="00C97D34" w:rsidRDefault="00C97D34" w:rsidP="00C97D34">
      <w:pPr>
        <w:spacing w:line="480" w:lineRule="auto"/>
        <w:rPr>
          <w:rFonts w:eastAsia="Calibri" w:cs="Times New Roman"/>
        </w:rPr>
      </w:pPr>
      <w:r>
        <w:rPr>
          <w:rFonts w:eastAsia="Calibri" w:cs="Times New Roman"/>
        </w:rPr>
        <w:t xml:space="preserve">Data presented in section 3.2 clearly shows that crowded plants have an increased rate of shoot growth initially, but this initial rate is not maintained. This could therefore suggest that understanding more about their neighbour, perhaps their genetic identity, plants reduce their initial competitive response, so as to not run out of resources before the end of their lifecycle. There are many studies that have explored the effects of genetic relatedness on responses to neighbouring plants (reviewed in </w:t>
      </w:r>
      <w:r>
        <w:rPr>
          <w:rFonts w:eastAsia="Calibri" w:cs="Times New Roman"/>
        </w:rPr>
        <w:fldChar w:fldCharType="begin" w:fldLock="1"/>
      </w:r>
      <w:r>
        <w:rPr>
          <w:rFonts w:eastAsia="Calibri" w:cs="Times New Roman"/>
        </w:rPr>
        <w:instrText>ADDIN CSL_CITATION {"citationItems":[{"id":"ITEM-1","itemData":{"DOI":"10.1111/pce.13965","ISSN":"0140-7791","author":[{"dropping-particle":"","family":"Bilas","given":"Roza D.","non-dropping-particle":"","parse-names":false,"suffix":""},{"dropping-particle":"","family":"Bretman","given":"Amanda","non-dropping-particle":"","parse-names":false,"suffix":""},{"dropping-particle":"","family":"Bennett","given":"Tom","non-dropping-particle":"","parse-names":false,"suffix":""}],"container-title":"Plant, Cell &amp; Environment","id":"ITEM-1","issue":"4","issued":{"date-parts":[["2021","4","15"]]},"page":"997-1013","title":"Friends, neighbours and enemies: an overview of the communal and social biology of plants","type":"article-journal","volume":"44"},"uris":["http://www.mendeley.com/documents/?uuid=6f5d77a1-17e6-4994-9d2e-af28f1a99d3c"]}],"mendeley":{"formattedCitation":"(Bilas et al., 2021)","plainTextFormattedCitation":"(Bilas et al., 2021)","previouslyFormattedCitation":"(Bilas et al., 2021)"},"properties":{"noteIndex":0},"schema":"https://github.com/citation-style-language/schema/raw/master/csl-citation.json"}</w:instrText>
      </w:r>
      <w:r>
        <w:rPr>
          <w:rFonts w:eastAsia="Calibri" w:cs="Times New Roman"/>
        </w:rPr>
        <w:fldChar w:fldCharType="separate"/>
      </w:r>
      <w:r w:rsidRPr="0049519B">
        <w:rPr>
          <w:rFonts w:eastAsia="Calibri" w:cs="Times New Roman"/>
          <w:noProof/>
        </w:rPr>
        <w:t>(Bilas et al., 2021)</w:t>
      </w:r>
      <w:r>
        <w:rPr>
          <w:rFonts w:eastAsia="Calibri" w:cs="Times New Roman"/>
        </w:rPr>
        <w:fldChar w:fldCharType="end"/>
      </w:r>
      <w:r>
        <w:rPr>
          <w:rFonts w:eastAsia="Calibri" w:cs="Times New Roman"/>
        </w:rPr>
        <w:t>), but this was not investigated in these experiments.</w:t>
      </w:r>
    </w:p>
    <w:p w14:paraId="372F6E7E" w14:textId="769AEAE1" w:rsidR="00C97D34" w:rsidRDefault="00C97D34" w:rsidP="00C97D34">
      <w:pPr>
        <w:spacing w:line="480" w:lineRule="auto"/>
        <w:rPr>
          <w:rFonts w:eastAsia="Calibri" w:cs="Times New Roman"/>
        </w:rPr>
      </w:pPr>
      <w:r>
        <w:rPr>
          <w:rFonts w:eastAsia="Calibri" w:cs="Times New Roman"/>
        </w:rPr>
        <w:lastRenderedPageBreak/>
        <w:t xml:space="preserve">The identification of root hair genes and nitrate </w:t>
      </w:r>
      <w:r w:rsidR="003D4B01">
        <w:rPr>
          <w:rFonts w:eastAsia="Calibri" w:cs="Times New Roman"/>
        </w:rPr>
        <w:t xml:space="preserve">transporters </w:t>
      </w:r>
      <w:r>
        <w:rPr>
          <w:rFonts w:eastAsia="Calibri" w:cs="Times New Roman"/>
        </w:rPr>
        <w:t>from the RNAseq data (Section 4.2) provides new potential areas to explore for responses to neighbour density, and there could yet be other exciting candidates that have not yet been identified</w:t>
      </w:r>
      <w:r w:rsidRPr="00211259">
        <w:rPr>
          <w:rFonts w:eastAsia="Calibri" w:cs="Times New Roman"/>
        </w:rPr>
        <w:t xml:space="preserve"> </w:t>
      </w:r>
      <w:r>
        <w:rPr>
          <w:rFonts w:eastAsia="Calibri" w:cs="Times New Roman"/>
        </w:rPr>
        <w:t xml:space="preserve">due to the RNAseq being performed late in </w:t>
      </w:r>
      <w:r w:rsidR="00435609" w:rsidRPr="004B378E">
        <w:rPr>
          <w:rFonts w:eastAsia="Calibri" w:cs="Times New Roman"/>
        </w:rPr>
        <w:t>this</w:t>
      </w:r>
      <w:r>
        <w:rPr>
          <w:rFonts w:eastAsia="Calibri" w:cs="Times New Roman"/>
        </w:rPr>
        <w:t xml:space="preserve"> PhD. Nevertheless, this dataset describes a strong, initial response on the recognition of neighbouring plants that provides transcriptional evidence of a competitive response.</w:t>
      </w:r>
    </w:p>
    <w:p w14:paraId="0227E797" w14:textId="77777777" w:rsidR="00C97D34" w:rsidRDefault="00C97D34" w:rsidP="00C97D34"/>
    <w:p w14:paraId="491E500E" w14:textId="77777777" w:rsidR="00C97D34" w:rsidRPr="005E23DB" w:rsidRDefault="00C97D34" w:rsidP="00C97D34">
      <w:pPr>
        <w:spacing w:line="480" w:lineRule="auto"/>
        <w:rPr>
          <w:rFonts w:eastAsia="Calibri" w:cs="Times New Roman"/>
          <w:u w:val="single"/>
        </w:rPr>
      </w:pPr>
      <w:r w:rsidRPr="005E23DB">
        <w:rPr>
          <w:rFonts w:eastAsia="Calibri" w:cs="Times New Roman"/>
          <w:u w:val="single"/>
        </w:rPr>
        <w:t>Early responses to substrate volume are the result of a ‘substrate volume sensing signal’</w:t>
      </w:r>
    </w:p>
    <w:p w14:paraId="2AF2180E" w14:textId="4005FCA9" w:rsidR="00C97D34" w:rsidRPr="003B2534" w:rsidRDefault="00C97D34" w:rsidP="00C97D34">
      <w:pPr>
        <w:spacing w:line="480" w:lineRule="auto"/>
        <w:rPr>
          <w:rFonts w:eastAsia="Calibri" w:cs="Times New Roman"/>
        </w:rPr>
      </w:pPr>
      <w:r>
        <w:rPr>
          <w:rFonts w:eastAsia="Calibri" w:cs="Times New Roman"/>
        </w:rPr>
        <w:t xml:space="preserve">It has previously been recognised in the literature that nutrient availability cannot be the sole cause of plant responses to substrate volume </w:t>
      </w:r>
      <w:r>
        <w:rPr>
          <w:rFonts w:eastAsia="Calibri" w:cs="Times New Roman"/>
        </w:rPr>
        <w:fldChar w:fldCharType="begin" w:fldLock="1"/>
      </w:r>
      <w:r>
        <w:rPr>
          <w:rFonts w:eastAsia="Calibri" w:cs="Times New Roman"/>
        </w:rPr>
        <w:instrText>ADDIN CSL_CITATION {"citationItems":[{"id":"ITEM-1","itemData":{"DOI":"10.1111/j.1365-2745.2006.01204.x","ISSN":"00220477","author":[{"dropping-particle":"","family":"Hess","given":"LINDE","non-dropping-particle":"","parse-names":false,"suffix":""},{"dropping-particle":"","family":"Kroon","given":"HANS","non-dropping-particle":"De","parse-names":false,"suffix":""}],"container-title":"Journal of Ecology","id":"ITEM-1","issue":"2","issued":{"date-parts":[["2007","3","1"]]},"page":"241-251","publisher":"Blackwell Publishing Ltd","title":"Effects of rooting volume and nutrient availability as an alternative explanation for root self/non-self discrimination","type":"article-journal","volume":"95"},"uris":["http://www.mendeley.com/documents/?uuid=5fc49568-90d0-3a0e-a766-6790f0134f1f"]},{"id":"ITEM-2","itemData":{"DOI":"10.1071/FP12049","abstract":"The majority of experiments in plant biology use plants grown in some kind of container or pot. We conducted a meta-analysis on 65 studies that analysed the effect of pot size on growth and underlying variables. On average, a doubling of the pot size increased biomass production by 43%. Further analysis of pot size effects on the underlying components of growth suggests that reduced growth in smaller pots is caused mainly by a reduction in photosynthesis per unit leaf area, rather than by changes in leaf morphology or biomass allocation. The appropriate pot size will logically depend on the size of the plants growing in them. Based on various lines of evidence we suggest that an appropriate pot size is one in which the plant biomass does not exceed 1 g L –1 . In current research practice ~65% of the experiments exceed that threshold. We suggest that researchers need to carefully consider the pot size in their experiments, as small pots may change experimental results and defy the purpose of the experiment.","author":[{"dropping-particle":"","family":"Poorter","given":"Hendrik","non-dropping-particle":"","parse-names":false,"suffix":""},{"dropping-particle":"","family":"Bühler","given":"Jonas","non-dropping-particle":"","parse-names":false,"suffix":""},{"dropping-particle":"","family":"Dusschoten","given":"Dagmar","non-dropping-particle":"Van","parse-names":false,"suffix":""},{"dropping-particle":"","family":"Climent","given":"José","non-dropping-particle":"","parse-names":false,"suffix":""},{"dropping-particle":"","family":"Postma","given":"Johannes A","non-dropping-particle":"","parse-names":false,"suffix":""}],"container-title":"Functional Plant Biology","id":"ITEM-2","issued":{"date-parts":[["2012"]]},"page":"839-850","title":"Pot size matters: a meta-analysis of the effects of rooting volume on plant growth","type":"article-journal"},"uris":["http://www.mendeley.com/documents/?uuid=50c0b953-7302-331c-920d-755a5444cc77"]}],"mendeley":{"formattedCitation":"(Hess and De Kroon, 2007; Poorter et al., 2012)","plainTextFormattedCitation":"(Hess and De Kroon, 2007; Poorter et al., 2012)","previouslyFormattedCitation":"(Hess and De Kroon, 2007; Poorter et al., 2012)"},"properties":{"noteIndex":0},"schema":"https://github.com/citation-style-language/schema/raw/master/csl-citation.json"}</w:instrText>
      </w:r>
      <w:r>
        <w:rPr>
          <w:rFonts w:eastAsia="Calibri" w:cs="Times New Roman"/>
        </w:rPr>
        <w:fldChar w:fldCharType="separate"/>
      </w:r>
      <w:r w:rsidRPr="00CC4168">
        <w:rPr>
          <w:rFonts w:eastAsia="Calibri" w:cs="Times New Roman"/>
          <w:noProof/>
        </w:rPr>
        <w:t>(Hess and De Kroon, 2007; Poorter et al., 2012)</w:t>
      </w:r>
      <w:r>
        <w:rPr>
          <w:rFonts w:eastAsia="Calibri" w:cs="Times New Roman"/>
        </w:rPr>
        <w:fldChar w:fldCharType="end"/>
      </w:r>
      <w:r>
        <w:rPr>
          <w:rFonts w:eastAsia="Calibri" w:cs="Times New Roman"/>
        </w:rPr>
        <w:t xml:space="preserve">. In section 4.3 I have described experiments which suggest wheat plants use root exuded chemicals to detect their substrate volume. I propose that in early life wheat plants use a ‘Substrate Volume Sensing Signal’ (SVS) to detect their total available substrate volume. The SVS signal appears to be highly mobile and is diffusible through soil and hydroponic media. SVS is presumably able to be easily diluted into space, even when roots are not physically occupying that space </w:t>
      </w:r>
      <w:r>
        <w:rPr>
          <w:rFonts w:eastAsia="Calibri" w:cs="Times New Roman"/>
        </w:rPr>
        <w:fldChar w:fldCharType="begin" w:fldLock="1"/>
      </w:r>
      <w:r>
        <w:rPr>
          <w:rFonts w:eastAsia="Calibri" w:cs="Times New Roman"/>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eastAsia="Calibri" w:hAnsi="Cambria Math" w:cs="Cambria Math"/>
        </w:rPr>
        <w:instrText>‐</w:instrText>
      </w:r>
      <w:r>
        <w:rPr>
          <w:rFonts w:eastAsia="Calibri" w:cs="Times New Roman"/>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eastAsia="Calibri" w:cs="Times New Roman"/>
        </w:rPr>
        <w:fldChar w:fldCharType="separate"/>
      </w:r>
      <w:r w:rsidRPr="00E83E56">
        <w:rPr>
          <w:rFonts w:eastAsia="Calibri" w:cs="Times New Roman"/>
          <w:noProof/>
        </w:rPr>
        <w:t>(Wheeldon et al., 2021)</w:t>
      </w:r>
      <w:r>
        <w:rPr>
          <w:rFonts w:eastAsia="Calibri" w:cs="Times New Roman"/>
        </w:rPr>
        <w:fldChar w:fldCharType="end"/>
      </w:r>
      <w:r>
        <w:rPr>
          <w:rFonts w:eastAsia="Calibri" w:cs="Times New Roman"/>
        </w:rPr>
        <w:t xml:space="preserve">. When plants grown in small soil volumes are transplanted into larger soil volumes, any shoot growth inhibition caused by the small soil volume is </w:t>
      </w:r>
      <w:r w:rsidR="0022486F">
        <w:rPr>
          <w:rFonts w:eastAsia="Calibri" w:cs="Times New Roman"/>
        </w:rPr>
        <w:t>seen to quickly be</w:t>
      </w:r>
      <w:r>
        <w:rPr>
          <w:rFonts w:eastAsia="Calibri" w:cs="Times New Roman"/>
        </w:rPr>
        <w:t xml:space="preserve"> overcome. The roots of the transplanted plants do not need to have any additional physical substrate volume in which to explore, because SVS can be diluted into the larger chemical substrate volume (Fig. 4.7) </w:t>
      </w:r>
      <w:r>
        <w:rPr>
          <w:rFonts w:eastAsia="Calibri" w:cs="Times New Roman"/>
        </w:rPr>
        <w:fldChar w:fldCharType="begin" w:fldLock="1"/>
      </w:r>
      <w:r>
        <w:rPr>
          <w:rFonts w:eastAsia="Calibri" w:cs="Times New Roman"/>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eastAsia="Calibri" w:hAnsi="Cambria Math" w:cs="Cambria Math"/>
        </w:rPr>
        <w:instrText>‐</w:instrText>
      </w:r>
      <w:r>
        <w:rPr>
          <w:rFonts w:eastAsia="Calibri" w:cs="Times New Roman"/>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eastAsia="Calibri" w:cs="Times New Roman"/>
        </w:rPr>
        <w:fldChar w:fldCharType="separate"/>
      </w:r>
      <w:r w:rsidRPr="000E0932">
        <w:rPr>
          <w:rFonts w:eastAsia="Calibri" w:cs="Times New Roman"/>
          <w:noProof/>
        </w:rPr>
        <w:t>(Wheeldon et al., 2021)</w:t>
      </w:r>
      <w:r>
        <w:rPr>
          <w:rFonts w:eastAsia="Calibri" w:cs="Times New Roman"/>
        </w:rPr>
        <w:fldChar w:fldCharType="end"/>
      </w:r>
      <w:r>
        <w:rPr>
          <w:rFonts w:eastAsia="Calibri" w:cs="Times New Roman"/>
        </w:rPr>
        <w:t xml:space="preserve">. Thus, SVS appears to cause shoot growth inhibition, unless it </w:t>
      </w:r>
      <w:r w:rsidR="00277418">
        <w:rPr>
          <w:rFonts w:eastAsia="Calibri" w:cs="Times New Roman"/>
        </w:rPr>
        <w:t xml:space="preserve">can be </w:t>
      </w:r>
      <w:r>
        <w:rPr>
          <w:rFonts w:eastAsia="Calibri" w:cs="Times New Roman"/>
        </w:rPr>
        <w:t xml:space="preserve">diluted in a large </w:t>
      </w:r>
      <w:r>
        <w:rPr>
          <w:rFonts w:eastAsia="Calibri" w:cs="Times New Roman"/>
        </w:rPr>
        <w:lastRenderedPageBreak/>
        <w:t xml:space="preserve">substrate volume. Early in life, the plant exudes SVS which increases in concentration. This increase in concentration causes shoot growth inhibition, but </w:t>
      </w:r>
      <w:r w:rsidR="003D4B01">
        <w:rPr>
          <w:rFonts w:eastAsia="Calibri" w:cs="Times New Roman"/>
        </w:rPr>
        <w:t xml:space="preserve">does </w:t>
      </w:r>
      <w:r>
        <w:rPr>
          <w:rFonts w:eastAsia="Calibri" w:cs="Times New Roman"/>
        </w:rPr>
        <w:t>not seem to inhibit root growth</w:t>
      </w:r>
      <w:r w:rsidR="00493013">
        <w:rPr>
          <w:rFonts w:eastAsia="Calibri" w:cs="Times New Roman"/>
        </w:rPr>
        <w:t xml:space="preserve"> </w:t>
      </w:r>
      <w:r w:rsidR="00493013">
        <w:rPr>
          <w:rFonts w:eastAsia="Calibri" w:cs="Times New Roman"/>
        </w:rPr>
        <w:fldChar w:fldCharType="begin" w:fldLock="1"/>
      </w:r>
      <w:r w:rsidR="00493013">
        <w:rPr>
          <w:rFonts w:eastAsia="Calibri" w:cs="Times New Roman"/>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sidR="00493013">
        <w:rPr>
          <w:rFonts w:ascii="Cambria Math" w:eastAsia="Calibri" w:hAnsi="Cambria Math" w:cs="Cambria Math"/>
        </w:rPr>
        <w:instrText>‐</w:instrText>
      </w:r>
      <w:r w:rsidR="00493013">
        <w:rPr>
          <w:rFonts w:eastAsia="Calibri" w:cs="Times New Roman"/>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sidR="00493013">
        <w:rPr>
          <w:rFonts w:eastAsia="Calibri" w:cs="Times New Roman"/>
        </w:rPr>
        <w:fldChar w:fldCharType="separate"/>
      </w:r>
      <w:r w:rsidR="00493013" w:rsidRPr="00BB6408">
        <w:rPr>
          <w:rFonts w:eastAsia="Calibri" w:cs="Times New Roman"/>
          <w:noProof/>
        </w:rPr>
        <w:t>(Wheeldon et al., 2021)</w:t>
      </w:r>
      <w:r w:rsidR="00493013">
        <w:rPr>
          <w:rFonts w:eastAsia="Calibri" w:cs="Times New Roman"/>
        </w:rPr>
        <w:fldChar w:fldCharType="end"/>
      </w:r>
      <w:r>
        <w:rPr>
          <w:rFonts w:eastAsia="Calibri" w:cs="Times New Roman"/>
        </w:rPr>
        <w:t xml:space="preserve">. </w:t>
      </w:r>
      <w:r w:rsidRPr="003B2534">
        <w:rPr>
          <w:rFonts w:eastAsia="Calibri" w:cs="Times New Roman"/>
        </w:rPr>
        <w:t>However, there appears to be a threshold of physical volume in which plants can tolerate and if the physical volume is too small the benefits of additional chemical volume and the subsequent dilution of SVS is not reflected in shoot growth. This may be because extreme physical restriction activates the second phase of soil volume responses earlier than normal</w:t>
      </w:r>
      <w:r>
        <w:rPr>
          <w:rFonts w:eastAsia="Calibri" w:cs="Times New Roman"/>
        </w:rPr>
        <w:t>.</w:t>
      </w:r>
    </w:p>
    <w:p w14:paraId="2491AB4D" w14:textId="388A3CFF" w:rsidR="00C97D34" w:rsidRDefault="00C97D34" w:rsidP="00C97D34">
      <w:pPr>
        <w:spacing w:line="480" w:lineRule="auto"/>
        <w:rPr>
          <w:rFonts w:eastAsia="Calibri" w:cs="Times New Roman"/>
        </w:rPr>
      </w:pPr>
      <w:r>
        <w:rPr>
          <w:rFonts w:eastAsia="Calibri" w:cs="Times New Roman"/>
          <w:noProof/>
        </w:rPr>
        <w:drawing>
          <wp:anchor distT="0" distB="0" distL="114300" distR="114300" simplePos="0" relativeHeight="251806208" behindDoc="0" locked="0" layoutInCell="1" allowOverlap="1" wp14:anchorId="03657720" wp14:editId="6697CB68">
            <wp:simplePos x="0" y="0"/>
            <wp:positionH relativeFrom="margin">
              <wp:align>left</wp:align>
            </wp:positionH>
            <wp:positionV relativeFrom="paragraph">
              <wp:posOffset>1611081</wp:posOffset>
            </wp:positionV>
            <wp:extent cx="5246370" cy="1524000"/>
            <wp:effectExtent l="0" t="0" r="0" b="0"/>
            <wp:wrapSquare wrapText="bothSides"/>
            <wp:docPr id="17372319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231981" name="Picture 1737231981"/>
                    <pic:cNvPicPr/>
                  </pic:nvPicPr>
                  <pic:blipFill>
                    <a:blip r:embed="rId74">
                      <a:extLst>
                        <a:ext uri="{28A0092B-C50C-407E-A947-70E740481C1C}">
                          <a14:useLocalDpi xmlns:a14="http://schemas.microsoft.com/office/drawing/2010/main" val="0"/>
                        </a:ext>
                      </a:extLst>
                    </a:blip>
                    <a:stretch>
                      <a:fillRect/>
                    </a:stretch>
                  </pic:blipFill>
                  <pic:spPr>
                    <a:xfrm>
                      <a:off x="0" y="0"/>
                      <a:ext cx="5246370" cy="152400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Times New Roman"/>
        </w:rPr>
        <w:t xml:space="preserve">Together, experiments in </w:t>
      </w:r>
      <w:r w:rsidR="00F76221">
        <w:rPr>
          <w:rFonts w:eastAsia="Calibri" w:cs="Times New Roman"/>
        </w:rPr>
        <w:t xml:space="preserve">sections </w:t>
      </w:r>
      <w:r>
        <w:rPr>
          <w:rFonts w:eastAsia="Calibri" w:cs="Times New Roman"/>
        </w:rPr>
        <w:t xml:space="preserve">3.2 and 4.3 have suggested that SVS is highly mobile therefore is likely to be a root exuded chemical of low molecular weight </w:t>
      </w:r>
      <w:r>
        <w:rPr>
          <w:rFonts w:eastAsia="Calibri" w:cs="Times New Roman"/>
        </w:rPr>
        <w:fldChar w:fldCharType="begin" w:fldLock="1"/>
      </w:r>
      <w:r>
        <w:rPr>
          <w:rFonts w:eastAsia="Calibri" w:cs="Times New Roman"/>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eastAsia="Calibri" w:hAnsi="Cambria Math" w:cs="Cambria Math"/>
        </w:rPr>
        <w:instrText>‐</w:instrText>
      </w:r>
      <w:r>
        <w:rPr>
          <w:rFonts w:eastAsia="Calibri" w:cs="Times New Roman"/>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eastAsia="Calibri" w:cs="Times New Roman"/>
        </w:rPr>
        <w:fldChar w:fldCharType="separate"/>
      </w:r>
      <w:r w:rsidRPr="00BB6408">
        <w:rPr>
          <w:rFonts w:eastAsia="Calibri" w:cs="Times New Roman"/>
          <w:noProof/>
        </w:rPr>
        <w:t>(Wheeldon et al., 2021)</w:t>
      </w:r>
      <w:r>
        <w:rPr>
          <w:rFonts w:eastAsia="Calibri" w:cs="Times New Roman"/>
        </w:rPr>
        <w:fldChar w:fldCharType="end"/>
      </w:r>
      <w:r>
        <w:rPr>
          <w:rFonts w:eastAsia="Calibri" w:cs="Times New Roman"/>
        </w:rPr>
        <w:t>. The likely identity of SVS will be discussed in chapter 5.</w:t>
      </w:r>
    </w:p>
    <w:p w14:paraId="1CB38379" w14:textId="77777777" w:rsidR="00C97D34" w:rsidRDefault="00C97D34" w:rsidP="00C97D34"/>
    <w:p w14:paraId="54A944D4" w14:textId="2A833379" w:rsidR="00C97D34" w:rsidRDefault="00C97D34" w:rsidP="00C97D34">
      <w:pPr>
        <w:pStyle w:val="Caption"/>
      </w:pPr>
      <w:bookmarkStart w:id="217" w:name="_Toc154331585"/>
      <w:r>
        <w:t xml:space="preserve">Figure </w:t>
      </w:r>
      <w:fldSimple w:instr=" STYLEREF 1 \s ">
        <w:r w:rsidR="004B7F70">
          <w:rPr>
            <w:noProof/>
          </w:rPr>
          <w:t>4</w:t>
        </w:r>
      </w:fldSimple>
      <w:r>
        <w:t>.</w:t>
      </w:r>
      <w:fldSimple w:instr=" SEQ Figure \* ARABIC \s 1 ">
        <w:r w:rsidR="004B7F70">
          <w:rPr>
            <w:noProof/>
          </w:rPr>
          <w:t>17</w:t>
        </w:r>
      </w:fldSimple>
      <w:r>
        <w:t xml:space="preserve"> </w:t>
      </w:r>
      <w:r w:rsidRPr="00F52213">
        <w:t>The substrate volume sensing signal (SVS) is used to detect available space early in plant growth</w:t>
      </w:r>
      <w:bookmarkEnd w:id="217"/>
    </w:p>
    <w:p w14:paraId="64EAB152" w14:textId="024BB7EA" w:rsidR="00C97D34" w:rsidRDefault="00C97D34" w:rsidP="00C97D34">
      <w:pPr>
        <w:pStyle w:val="Description"/>
      </w:pPr>
      <w:r>
        <w:t>Cartoon showing the first few weeks of life</w:t>
      </w:r>
      <w:r w:rsidR="00F76221">
        <w:t xml:space="preserve"> in wheat plants</w:t>
      </w:r>
      <w:r>
        <w:t>. Blue dots represent the substrate volume sensing signal (SVS). In large soil volumes (</w:t>
      </w:r>
      <w:r w:rsidR="00DD4D44">
        <w:t>middle</w:t>
      </w:r>
      <w:r>
        <w:t>) this is diluted in the available substrate volume more than in small soil volumes. This allows shoot growth to continue for longer in large pots. In crowded pots</w:t>
      </w:r>
      <w:r w:rsidR="00DD4D44">
        <w:t xml:space="preserve"> (right)</w:t>
      </w:r>
      <w:r>
        <w:t>, the concentration of SVS increases faster than in singly sown pots due to the additional plants exuding SVS.</w:t>
      </w:r>
    </w:p>
    <w:p w14:paraId="2E0BF268" w14:textId="1AA18DC7" w:rsidR="00C97D34" w:rsidRDefault="00C97D34" w:rsidP="00C97D34">
      <w:pPr>
        <w:pStyle w:val="Description"/>
      </w:pPr>
      <w:r>
        <w:t>Modified from Wheeldon et al (2021)</w:t>
      </w:r>
    </w:p>
    <w:p w14:paraId="6E019167" w14:textId="77777777" w:rsidR="00DA3228" w:rsidRDefault="00DA3228" w:rsidP="00DA3228"/>
    <w:p w14:paraId="5F60DDCA" w14:textId="77777777" w:rsidR="00DA3228" w:rsidRPr="00DA3228" w:rsidRDefault="00DA3228" w:rsidP="00DA3228"/>
    <w:p w14:paraId="61794BAD" w14:textId="77777777" w:rsidR="00C97D34" w:rsidRDefault="00C97D34" w:rsidP="00C97D34"/>
    <w:p w14:paraId="53344655" w14:textId="77777777" w:rsidR="00C97D34" w:rsidRPr="005E23DB" w:rsidRDefault="00C97D34" w:rsidP="00C97D34">
      <w:pPr>
        <w:spacing w:line="480" w:lineRule="auto"/>
        <w:rPr>
          <w:rFonts w:eastAsia="Calibri" w:cs="Times New Roman"/>
          <w:u w:val="single"/>
        </w:rPr>
      </w:pPr>
      <w:r w:rsidRPr="005E23DB">
        <w:rPr>
          <w:rFonts w:eastAsia="Calibri" w:cs="Times New Roman"/>
          <w:u w:val="single"/>
        </w:rPr>
        <w:lastRenderedPageBreak/>
        <w:t>Substrate volume responses later in life are the result of root density</w:t>
      </w:r>
    </w:p>
    <w:p w14:paraId="177B1D99" w14:textId="221B6F31" w:rsidR="00C97D34" w:rsidRDefault="00C97D34" w:rsidP="00C97D34">
      <w:pPr>
        <w:spacing w:line="480" w:lineRule="auto"/>
        <w:rPr>
          <w:rFonts w:eastAsia="Calibri" w:cs="Times New Roman"/>
        </w:rPr>
      </w:pPr>
      <w:r>
        <w:rPr>
          <w:rFonts w:eastAsia="Calibri" w:cs="Times New Roman"/>
        </w:rPr>
        <w:t>While SVS appears to be important early in life, the growth of plants after 5 weeks post-germination shows different properties</w:t>
      </w:r>
      <w:r w:rsidR="00CA3D07">
        <w:rPr>
          <w:rFonts w:eastAsia="Calibri" w:cs="Times New Roman"/>
        </w:rPr>
        <w:t xml:space="preserve"> </w:t>
      </w:r>
      <w:r w:rsidR="00CA3D07" w:rsidRPr="008D1F1E">
        <w:rPr>
          <w:rFonts w:eastAsia="Calibri" w:cs="Times New Roman"/>
        </w:rPr>
        <w:t>compared</w:t>
      </w:r>
      <w:r>
        <w:rPr>
          <w:rFonts w:eastAsia="Calibri" w:cs="Times New Roman"/>
        </w:rPr>
        <w:t xml:space="preserve"> to the defined effects of SVS. The soil-based transfer experiment discussed in section 4.3.2 showed that treatment E plants (mesh pot in </w:t>
      </w:r>
      <w:r w:rsidR="00F76221">
        <w:rPr>
          <w:rFonts w:eastAsia="Calibri" w:cs="Times New Roman"/>
        </w:rPr>
        <w:t xml:space="preserve">1900ml </w:t>
      </w:r>
      <w:r>
        <w:rPr>
          <w:rFonts w:eastAsia="Calibri" w:cs="Times New Roman"/>
        </w:rPr>
        <w:t xml:space="preserve">of soil) showed reduced shoot growth relative to treatment C and D plants which were not subjected to a small physical substrate volume </w:t>
      </w:r>
      <w:r>
        <w:rPr>
          <w:rFonts w:eastAsia="Calibri" w:cs="Times New Roman"/>
        </w:rPr>
        <w:fldChar w:fldCharType="begin" w:fldLock="1"/>
      </w:r>
      <w:r>
        <w:rPr>
          <w:rFonts w:eastAsia="Calibri" w:cs="Times New Roman"/>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eastAsia="Calibri" w:hAnsi="Cambria Math" w:cs="Cambria Math"/>
        </w:rPr>
        <w:instrText>‐</w:instrText>
      </w:r>
      <w:r>
        <w:rPr>
          <w:rFonts w:eastAsia="Calibri" w:cs="Times New Roman"/>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eastAsia="Calibri" w:cs="Times New Roman"/>
        </w:rPr>
        <w:fldChar w:fldCharType="separate"/>
      </w:r>
      <w:r w:rsidRPr="0013437A">
        <w:rPr>
          <w:rFonts w:eastAsia="Calibri" w:cs="Times New Roman"/>
          <w:noProof/>
        </w:rPr>
        <w:t>(Wheeldon et al., 2021)</w:t>
      </w:r>
      <w:r>
        <w:rPr>
          <w:rFonts w:eastAsia="Calibri" w:cs="Times New Roman"/>
        </w:rPr>
        <w:fldChar w:fldCharType="end"/>
      </w:r>
      <w:r>
        <w:rPr>
          <w:rFonts w:eastAsia="Calibri" w:cs="Times New Roman"/>
        </w:rPr>
        <w:t xml:space="preserve">. Additionally, the ‘enclosed’ roots of plants grown hydroponically showed a reduced shoot growth later in life, that was accompanied by a much lower root growth than ‘free’ root systems (Section 4.3.7) </w:t>
      </w:r>
      <w:r>
        <w:rPr>
          <w:rFonts w:eastAsia="Calibri" w:cs="Times New Roman"/>
        </w:rPr>
        <w:fldChar w:fldCharType="begin" w:fldLock="1"/>
      </w:r>
      <w:r>
        <w:rPr>
          <w:rFonts w:eastAsia="Calibri" w:cs="Times New Roman"/>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eastAsia="Calibri" w:hAnsi="Cambria Math" w:cs="Cambria Math"/>
        </w:rPr>
        <w:instrText>‐</w:instrText>
      </w:r>
      <w:r>
        <w:rPr>
          <w:rFonts w:eastAsia="Calibri" w:cs="Times New Roman"/>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eastAsia="Calibri" w:cs="Times New Roman"/>
        </w:rPr>
        <w:fldChar w:fldCharType="separate"/>
      </w:r>
      <w:r w:rsidRPr="0013437A">
        <w:rPr>
          <w:rFonts w:eastAsia="Calibri" w:cs="Times New Roman"/>
          <w:noProof/>
        </w:rPr>
        <w:t>(Wheeldon et al., 2021)</w:t>
      </w:r>
      <w:r>
        <w:rPr>
          <w:rFonts w:eastAsia="Calibri" w:cs="Times New Roman"/>
        </w:rPr>
        <w:fldChar w:fldCharType="end"/>
      </w:r>
      <w:r>
        <w:rPr>
          <w:rFonts w:eastAsia="Calibri" w:cs="Times New Roman"/>
        </w:rPr>
        <w:t xml:space="preserve">. This latter idea is supported by the root density measurements carried out in Figure 4.10. This showed that early in life root growth continued in both substrate volumes, but later in life, root growth ceased in small pots and slowed down in large pots </w:t>
      </w:r>
      <w:r>
        <w:rPr>
          <w:rFonts w:eastAsia="Calibri" w:cs="Times New Roman"/>
        </w:rPr>
        <w:fldChar w:fldCharType="begin" w:fldLock="1"/>
      </w:r>
      <w:r>
        <w:rPr>
          <w:rFonts w:eastAsia="Calibri" w:cs="Times New Roman"/>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eastAsia="Calibri" w:hAnsi="Cambria Math" w:cs="Cambria Math"/>
        </w:rPr>
        <w:instrText>‐</w:instrText>
      </w:r>
      <w:r>
        <w:rPr>
          <w:rFonts w:eastAsia="Calibri" w:cs="Times New Roman"/>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eastAsia="Calibri" w:cs="Times New Roman"/>
        </w:rPr>
        <w:fldChar w:fldCharType="separate"/>
      </w:r>
      <w:r w:rsidRPr="007954D2">
        <w:rPr>
          <w:rFonts w:eastAsia="Calibri" w:cs="Times New Roman"/>
          <w:noProof/>
        </w:rPr>
        <w:t>(Wheeldon et al., 2021)</w:t>
      </w:r>
      <w:r>
        <w:rPr>
          <w:rFonts w:eastAsia="Calibri" w:cs="Times New Roman"/>
        </w:rPr>
        <w:fldChar w:fldCharType="end"/>
      </w:r>
      <w:r>
        <w:rPr>
          <w:rFonts w:eastAsia="Calibri" w:cs="Times New Roman"/>
        </w:rPr>
        <w:t xml:space="preserve">. </w:t>
      </w:r>
      <w:r w:rsidR="00E30B88" w:rsidRPr="008D1F1E">
        <w:rPr>
          <w:rFonts w:eastAsia="Calibri" w:cs="Times New Roman"/>
        </w:rPr>
        <w:t>Work in</w:t>
      </w:r>
      <w:r w:rsidR="00E30B88">
        <w:rPr>
          <w:rFonts w:eastAsia="Calibri" w:cs="Times New Roman"/>
        </w:rPr>
        <w:t xml:space="preserve"> s</w:t>
      </w:r>
      <w:r>
        <w:rPr>
          <w:rFonts w:eastAsia="Calibri" w:cs="Times New Roman"/>
        </w:rPr>
        <w:t>ection 3.4.1 suggested that although plants grown in 150ml rhizoboxes had a higher root density than those in 1100ml rhizoboxes for most of the experiment, later in life the root density in 1100ml rhizoboxes ultimately matched that of the 150ml rhizobox plants. Together, these data suggests that root growth is strongly affected in the second stage of growth, as well as shoot growth.  Moreover, data presented in this thesis suggest</w:t>
      </w:r>
      <w:r w:rsidR="00BF1DAC">
        <w:rPr>
          <w:rFonts w:eastAsia="Calibri" w:cs="Times New Roman"/>
        </w:rPr>
        <w:t>s</w:t>
      </w:r>
      <w:r>
        <w:rPr>
          <w:rFonts w:eastAsia="Calibri" w:cs="Times New Roman"/>
        </w:rPr>
        <w:t xml:space="preserve"> that when a critical threshold of root density is reached in this second phase, this results in the inhibition of both root and shoot growth. </w:t>
      </w:r>
    </w:p>
    <w:p w14:paraId="5A63C47E" w14:textId="617AB87E" w:rsidR="00C97D34" w:rsidRDefault="00C97D34" w:rsidP="00C97D34">
      <w:pPr>
        <w:spacing w:line="480" w:lineRule="auto"/>
        <w:rPr>
          <w:rFonts w:eastAsia="Calibri" w:cs="Times New Roman"/>
        </w:rPr>
      </w:pPr>
      <w:r>
        <w:rPr>
          <w:rFonts w:eastAsia="Calibri" w:cs="Times New Roman"/>
        </w:rPr>
        <w:t xml:space="preserve">Nevertheless, the shoot and root growth of plants with a small physical substrate volume, but a larger chemical volume, is higher than would be predicted purely on the basis of physical substrate volume (Fig. 4.7-4.8). This suggests that the accumulation of a second diffusible, exuded chemical might </w:t>
      </w:r>
      <w:r>
        <w:rPr>
          <w:rFonts w:eastAsia="Calibri" w:cs="Times New Roman"/>
        </w:rPr>
        <w:lastRenderedPageBreak/>
        <w:t>regulate growth responses later in life. However, since growth does not match the chemical volume available, this suggest</w:t>
      </w:r>
      <w:r w:rsidR="00677013">
        <w:rPr>
          <w:rFonts w:eastAsia="Calibri" w:cs="Times New Roman"/>
        </w:rPr>
        <w:t>s</w:t>
      </w:r>
      <w:r>
        <w:rPr>
          <w:rFonts w:eastAsia="Calibri" w:cs="Times New Roman"/>
        </w:rPr>
        <w:t xml:space="preserve"> that this</w:t>
      </w:r>
      <w:r w:rsidRPr="00541CAC">
        <w:rPr>
          <w:rFonts w:eastAsia="Calibri" w:cs="Times New Roman"/>
        </w:rPr>
        <w:t xml:space="preserve"> </w:t>
      </w:r>
      <w:r>
        <w:rPr>
          <w:rFonts w:eastAsia="Calibri" w:cs="Times New Roman"/>
        </w:rPr>
        <w:t xml:space="preserve">hypothesised ‘root density sensing’ (RDS) is relatively immobile in the substrate </w:t>
      </w:r>
      <w:r>
        <w:rPr>
          <w:rFonts w:eastAsia="Calibri" w:cs="Times New Roman"/>
        </w:rPr>
        <w:fldChar w:fldCharType="begin" w:fldLock="1"/>
      </w:r>
      <w:r>
        <w:rPr>
          <w:rFonts w:eastAsia="Calibri" w:cs="Times New Roman"/>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eastAsia="Calibri" w:hAnsi="Cambria Math" w:cs="Cambria Math"/>
        </w:rPr>
        <w:instrText>‐</w:instrText>
      </w:r>
      <w:r>
        <w:rPr>
          <w:rFonts w:eastAsia="Calibri" w:cs="Times New Roman"/>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eastAsia="Calibri" w:cs="Times New Roman"/>
        </w:rPr>
        <w:fldChar w:fldCharType="separate"/>
      </w:r>
      <w:r w:rsidRPr="00713F2D">
        <w:rPr>
          <w:rFonts w:eastAsia="Calibri" w:cs="Times New Roman"/>
          <w:noProof/>
        </w:rPr>
        <w:t>(Wheeldon et al., 2021)</w:t>
      </w:r>
      <w:r>
        <w:rPr>
          <w:rFonts w:eastAsia="Calibri" w:cs="Times New Roman"/>
        </w:rPr>
        <w:fldChar w:fldCharType="end"/>
      </w:r>
      <w:r>
        <w:rPr>
          <w:rFonts w:eastAsia="Calibri" w:cs="Times New Roman"/>
        </w:rPr>
        <w:t>.</w:t>
      </w:r>
      <w:r w:rsidRPr="008338DC">
        <w:rPr>
          <w:rFonts w:eastAsia="Calibri" w:cs="Times New Roman"/>
        </w:rPr>
        <w:t xml:space="preserve"> </w:t>
      </w:r>
    </w:p>
    <w:p w14:paraId="542C7A37" w14:textId="5B26F08D" w:rsidR="00C97D34" w:rsidRDefault="00901F6F" w:rsidP="00C97D34">
      <w:pPr>
        <w:spacing w:line="480" w:lineRule="auto"/>
        <w:rPr>
          <w:rFonts w:eastAsia="Calibri" w:cs="Times New Roman"/>
        </w:rPr>
      </w:pPr>
      <w:r w:rsidRPr="00073BA4">
        <w:rPr>
          <w:rFonts w:eastAsia="Calibri" w:cs="Times New Roman"/>
        </w:rPr>
        <w:t>The experiment which tested the influence of container shape on shoot growth</w:t>
      </w:r>
      <w:r>
        <w:rPr>
          <w:rFonts w:eastAsia="Calibri" w:cs="Times New Roman"/>
        </w:rPr>
        <w:t xml:space="preserve"> i</w:t>
      </w:r>
      <w:r w:rsidR="00C97D34">
        <w:rPr>
          <w:rFonts w:eastAsia="Calibri" w:cs="Times New Roman"/>
        </w:rPr>
        <w:t xml:space="preserve">n section 4.2.5, when the substrate volume is equal but the shape in which the roots can explore is different, resulted in changes in shoot growth in the second phase of growth. When the roots were able to spread in a ‘natural’ way suited to their cone shaped root architecture, this allowed for increased shoot growth. However, when roots were tightly aggregated and unable to spread, this inhibited shoot growth. These data are consistent with a model in which the concentration of the root density signal (RDS) builds up faster than in the more ‘natural’ shaped pot (Fig. 4.11-4.12). </w:t>
      </w:r>
    </w:p>
    <w:p w14:paraId="3956346A" w14:textId="77777777" w:rsidR="00EB7DFC" w:rsidRDefault="00EB7DFC" w:rsidP="00C97D34">
      <w:pPr>
        <w:spacing w:line="480" w:lineRule="auto"/>
        <w:rPr>
          <w:rFonts w:eastAsia="Calibri" w:cs="Times New Roman"/>
        </w:rPr>
      </w:pPr>
    </w:p>
    <w:p w14:paraId="2E45DF57" w14:textId="77777777" w:rsidR="00EB7DFC" w:rsidRDefault="00EB7DFC" w:rsidP="00C97D34">
      <w:pPr>
        <w:spacing w:line="480" w:lineRule="auto"/>
        <w:rPr>
          <w:rFonts w:eastAsia="Calibri" w:cs="Times New Roman"/>
        </w:rPr>
      </w:pPr>
    </w:p>
    <w:p w14:paraId="1582E2ED" w14:textId="77777777" w:rsidR="00EB7DFC" w:rsidRDefault="00EB7DFC" w:rsidP="00C97D34">
      <w:pPr>
        <w:spacing w:line="480" w:lineRule="auto"/>
        <w:rPr>
          <w:rFonts w:eastAsia="Calibri" w:cs="Times New Roman"/>
        </w:rPr>
      </w:pPr>
    </w:p>
    <w:p w14:paraId="49344621" w14:textId="77777777" w:rsidR="00EB7DFC" w:rsidRDefault="00EB7DFC" w:rsidP="00C97D34">
      <w:pPr>
        <w:spacing w:line="480" w:lineRule="auto"/>
        <w:rPr>
          <w:rFonts w:eastAsia="Calibri" w:cs="Times New Roman"/>
        </w:rPr>
      </w:pPr>
    </w:p>
    <w:p w14:paraId="631C0D8D" w14:textId="77777777" w:rsidR="00EB7DFC" w:rsidRDefault="00EB7DFC" w:rsidP="00C97D34">
      <w:pPr>
        <w:spacing w:line="480" w:lineRule="auto"/>
        <w:rPr>
          <w:rFonts w:eastAsia="Calibri" w:cs="Times New Roman"/>
        </w:rPr>
      </w:pPr>
    </w:p>
    <w:p w14:paraId="5B3C9232" w14:textId="4A7A1739" w:rsidR="00C97D34" w:rsidRDefault="00C97D34" w:rsidP="00C97D34">
      <w:pPr>
        <w:spacing w:line="480" w:lineRule="auto"/>
        <w:rPr>
          <w:rFonts w:eastAsia="Calibri" w:cs="Times New Roman"/>
        </w:rPr>
      </w:pPr>
      <w:r>
        <w:rPr>
          <w:rFonts w:eastAsia="Calibri" w:cs="Times New Roman"/>
          <w:noProof/>
        </w:rPr>
        <w:lastRenderedPageBreak/>
        <w:drawing>
          <wp:anchor distT="0" distB="0" distL="114300" distR="114300" simplePos="0" relativeHeight="251811328" behindDoc="1" locked="0" layoutInCell="1" allowOverlap="1" wp14:anchorId="48D9C401" wp14:editId="654137DF">
            <wp:simplePos x="0" y="0"/>
            <wp:positionH relativeFrom="margin">
              <wp:posOffset>0</wp:posOffset>
            </wp:positionH>
            <wp:positionV relativeFrom="paragraph">
              <wp:posOffset>421640</wp:posOffset>
            </wp:positionV>
            <wp:extent cx="4036695" cy="1805305"/>
            <wp:effectExtent l="0" t="0" r="1905" b="4445"/>
            <wp:wrapTight wrapText="bothSides">
              <wp:wrapPolygon edited="0">
                <wp:start x="0" y="0"/>
                <wp:lineTo x="0" y="21425"/>
                <wp:lineTo x="21508" y="21425"/>
                <wp:lineTo x="21508" y="0"/>
                <wp:lineTo x="0" y="0"/>
              </wp:wrapPolygon>
            </wp:wrapTight>
            <wp:docPr id="7600901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090140" name="Picture 760090140"/>
                    <pic:cNvPicPr/>
                  </pic:nvPicPr>
                  <pic:blipFill>
                    <a:blip r:embed="rId75">
                      <a:extLst>
                        <a:ext uri="{28A0092B-C50C-407E-A947-70E740481C1C}">
                          <a14:useLocalDpi xmlns:a14="http://schemas.microsoft.com/office/drawing/2010/main" val="0"/>
                        </a:ext>
                      </a:extLst>
                    </a:blip>
                    <a:stretch>
                      <a:fillRect/>
                    </a:stretch>
                  </pic:blipFill>
                  <pic:spPr>
                    <a:xfrm>
                      <a:off x="0" y="0"/>
                      <a:ext cx="4036695" cy="1805305"/>
                    </a:xfrm>
                    <a:prstGeom prst="rect">
                      <a:avLst/>
                    </a:prstGeom>
                  </pic:spPr>
                </pic:pic>
              </a:graphicData>
            </a:graphic>
            <wp14:sizeRelH relativeFrom="margin">
              <wp14:pctWidth>0</wp14:pctWidth>
            </wp14:sizeRelH>
            <wp14:sizeRelV relativeFrom="margin">
              <wp14:pctHeight>0</wp14:pctHeight>
            </wp14:sizeRelV>
          </wp:anchor>
        </w:drawing>
      </w:r>
    </w:p>
    <w:p w14:paraId="4746D40D" w14:textId="77777777" w:rsidR="00C97D34" w:rsidRDefault="00C97D34" w:rsidP="00C97D34"/>
    <w:p w14:paraId="21E86FD9" w14:textId="77777777" w:rsidR="00C97D34" w:rsidRDefault="00C97D34" w:rsidP="00C97D34"/>
    <w:p w14:paraId="3DD789E3" w14:textId="77777777" w:rsidR="00C97D34" w:rsidRDefault="00C97D34" w:rsidP="00C97D34"/>
    <w:p w14:paraId="66D42837" w14:textId="77777777" w:rsidR="00C97D34" w:rsidRDefault="00C97D34" w:rsidP="00C97D34"/>
    <w:p w14:paraId="01E0783C" w14:textId="77777777" w:rsidR="00C97D34" w:rsidRDefault="00C97D34" w:rsidP="00C97D34"/>
    <w:p w14:paraId="399B0484" w14:textId="77777777" w:rsidR="00C97D34" w:rsidRDefault="00C97D34" w:rsidP="00C97D34"/>
    <w:p w14:paraId="1EFCD1A8" w14:textId="7E384CC6" w:rsidR="00C97D34" w:rsidRDefault="00C97D34" w:rsidP="00C97D34">
      <w:pPr>
        <w:pStyle w:val="Caption"/>
      </w:pPr>
      <w:bookmarkStart w:id="218" w:name="_Toc154331586"/>
      <w:r>
        <w:t xml:space="preserve">Figure </w:t>
      </w:r>
      <w:fldSimple w:instr=" STYLEREF 1 \s ">
        <w:r w:rsidR="004B7F70">
          <w:rPr>
            <w:noProof/>
          </w:rPr>
          <w:t>4</w:t>
        </w:r>
      </w:fldSimple>
      <w:r>
        <w:t>.</w:t>
      </w:r>
      <w:fldSimple w:instr=" SEQ Figure \* ARABIC \s 1 ">
        <w:r w:rsidR="004B7F70">
          <w:rPr>
            <w:noProof/>
          </w:rPr>
          <w:t>18</w:t>
        </w:r>
      </w:fldSimple>
      <w:r>
        <w:t xml:space="preserve"> </w:t>
      </w:r>
      <w:r w:rsidRPr="00D70163">
        <w:t>The concentration of the root density signal (RDS) increases faster during root aggregation, inhibiting shoot growth</w:t>
      </w:r>
      <w:bookmarkEnd w:id="218"/>
    </w:p>
    <w:p w14:paraId="638228D6" w14:textId="349BB8FE" w:rsidR="00C97D34" w:rsidRDefault="00C97D34" w:rsidP="00C97D34">
      <w:pPr>
        <w:pStyle w:val="Description"/>
        <w:rPr>
          <w:rFonts w:eastAsia="Calibri"/>
        </w:rPr>
      </w:pPr>
      <w:r w:rsidRPr="007C4011">
        <w:rPr>
          <w:rFonts w:eastAsia="Calibri"/>
        </w:rPr>
        <w:t xml:space="preserve">Cartoon representing </w:t>
      </w:r>
      <w:r>
        <w:rPr>
          <w:rFonts w:eastAsia="Calibri"/>
        </w:rPr>
        <w:t>the second phase of the soil volume sensing mechanism. W</w:t>
      </w:r>
      <w:r w:rsidRPr="007C4011">
        <w:rPr>
          <w:rFonts w:eastAsia="Calibri"/>
        </w:rPr>
        <w:t xml:space="preserve">heat plants experiencing different degrees of root aggregation, adapted from </w:t>
      </w:r>
      <w:r>
        <w:rPr>
          <w:rFonts w:eastAsia="Calibri"/>
        </w:rPr>
        <w:t>F</w:t>
      </w:r>
      <w:r w:rsidRPr="007C4011">
        <w:rPr>
          <w:rFonts w:eastAsia="Calibri"/>
        </w:rPr>
        <w:t>igure 4.</w:t>
      </w:r>
      <w:r>
        <w:rPr>
          <w:rFonts w:eastAsia="Calibri"/>
        </w:rPr>
        <w:t>11A</w:t>
      </w:r>
      <w:r w:rsidRPr="007C4011">
        <w:rPr>
          <w:rFonts w:eastAsia="Calibri"/>
        </w:rPr>
        <w:t xml:space="preserve">. </w:t>
      </w:r>
      <w:r>
        <w:rPr>
          <w:rFonts w:eastAsia="Calibri"/>
        </w:rPr>
        <w:t>Left:</w:t>
      </w:r>
      <w:r w:rsidRPr="007C4011">
        <w:rPr>
          <w:rFonts w:eastAsia="Calibri"/>
        </w:rPr>
        <w:t xml:space="preserve"> plants can spread their roots in a more natural way</w:t>
      </w:r>
      <w:r w:rsidRPr="00632D35">
        <w:rPr>
          <w:rFonts w:eastAsia="Calibri"/>
        </w:rPr>
        <w:t xml:space="preserve"> </w:t>
      </w:r>
      <w:r>
        <w:rPr>
          <w:rFonts w:eastAsia="Calibri"/>
        </w:rPr>
        <w:t>allowing</w:t>
      </w:r>
      <w:r w:rsidRPr="007C4011">
        <w:rPr>
          <w:rFonts w:eastAsia="Calibri"/>
        </w:rPr>
        <w:t xml:space="preserve"> RDS </w:t>
      </w:r>
      <w:r>
        <w:rPr>
          <w:rFonts w:eastAsia="Calibri"/>
        </w:rPr>
        <w:t>(peach dots) to be</w:t>
      </w:r>
      <w:r w:rsidRPr="007C4011">
        <w:rPr>
          <w:rFonts w:eastAsia="Calibri"/>
        </w:rPr>
        <w:t xml:space="preserve"> distributed throughout the substrate volume</w:t>
      </w:r>
      <w:r>
        <w:rPr>
          <w:rFonts w:eastAsia="Calibri"/>
        </w:rPr>
        <w:t>.</w:t>
      </w:r>
      <w:r w:rsidRPr="007C4011">
        <w:rPr>
          <w:rFonts w:eastAsia="Calibri"/>
        </w:rPr>
        <w:t xml:space="preserve"> </w:t>
      </w:r>
      <w:r>
        <w:rPr>
          <w:rFonts w:eastAsia="Calibri"/>
        </w:rPr>
        <w:t>Right: roots</w:t>
      </w:r>
      <w:r w:rsidRPr="007C4011">
        <w:rPr>
          <w:rFonts w:eastAsia="Calibri"/>
        </w:rPr>
        <w:t xml:space="preserve"> are highly aggregated in a smaller surface area of soil despite being grown in the same substrate volume as </w:t>
      </w:r>
      <w:r>
        <w:rPr>
          <w:rFonts w:eastAsia="Calibri"/>
        </w:rPr>
        <w:t>those on the left therefore</w:t>
      </w:r>
      <w:r w:rsidRPr="007C4011">
        <w:rPr>
          <w:rFonts w:eastAsia="Calibri"/>
        </w:rPr>
        <w:t xml:space="preserve"> </w:t>
      </w:r>
      <w:r>
        <w:rPr>
          <w:rFonts w:eastAsia="Calibri"/>
        </w:rPr>
        <w:t xml:space="preserve">RDS is </w:t>
      </w:r>
      <w:r w:rsidRPr="007C4011">
        <w:rPr>
          <w:rFonts w:eastAsia="Calibri"/>
        </w:rPr>
        <w:t xml:space="preserve">concentrated in the area of high root </w:t>
      </w:r>
      <w:r>
        <w:rPr>
          <w:rFonts w:eastAsia="Calibri"/>
        </w:rPr>
        <w:t>density</w:t>
      </w:r>
      <w:r w:rsidRPr="007C4011">
        <w:rPr>
          <w:rFonts w:eastAsia="Calibri"/>
        </w:rPr>
        <w:t>. Subsequently, th</w:t>
      </w:r>
      <w:r>
        <w:rPr>
          <w:rFonts w:eastAsia="Calibri"/>
        </w:rPr>
        <w:t>e</w:t>
      </w:r>
      <w:r w:rsidRPr="007C4011">
        <w:rPr>
          <w:rFonts w:eastAsia="Calibri"/>
        </w:rPr>
        <w:t xml:space="preserve"> increased concentration </w:t>
      </w:r>
      <w:r>
        <w:rPr>
          <w:rFonts w:eastAsia="Calibri"/>
        </w:rPr>
        <w:t xml:space="preserve">of RDS </w:t>
      </w:r>
      <w:r w:rsidRPr="007C4011">
        <w:rPr>
          <w:rFonts w:eastAsia="Calibri"/>
        </w:rPr>
        <w:t xml:space="preserve">in a small area </w:t>
      </w:r>
      <w:r>
        <w:rPr>
          <w:rFonts w:eastAsia="Calibri"/>
        </w:rPr>
        <w:t>in plants on the right</w:t>
      </w:r>
      <w:r w:rsidRPr="007C4011">
        <w:rPr>
          <w:rFonts w:eastAsia="Calibri"/>
        </w:rPr>
        <w:t xml:space="preserve"> resulted in the inhibition of both root and shoot growth. </w:t>
      </w:r>
    </w:p>
    <w:p w14:paraId="60EA2E16" w14:textId="77777777" w:rsidR="00C97D34" w:rsidRDefault="00C97D34" w:rsidP="00C97D34">
      <w:pPr>
        <w:rPr>
          <w:rFonts w:eastAsia="Calibri"/>
        </w:rPr>
      </w:pPr>
    </w:p>
    <w:p w14:paraId="4FDCA20E" w14:textId="039FD0AB" w:rsidR="00C97D34" w:rsidRDefault="00C97D34" w:rsidP="00C97D34">
      <w:pPr>
        <w:spacing w:line="480" w:lineRule="auto"/>
        <w:rPr>
          <w:rFonts w:eastAsia="Calibri" w:cs="Times New Roman"/>
        </w:rPr>
      </w:pPr>
      <w:r>
        <w:rPr>
          <w:rFonts w:eastAsia="Calibri" w:cs="Times New Roman"/>
        </w:rPr>
        <w:t xml:space="preserve">Additionally, I explored the mobility of RDS further. Section 4.3.6, highlighted that RDS acts locally on root systems by inhibiting root growth. In </w:t>
      </w:r>
      <w:r w:rsidR="00677013">
        <w:rPr>
          <w:rFonts w:eastAsia="Calibri" w:cs="Times New Roman"/>
        </w:rPr>
        <w:t>th</w:t>
      </w:r>
      <w:r>
        <w:rPr>
          <w:rFonts w:eastAsia="Calibri" w:cs="Times New Roman"/>
        </w:rPr>
        <w:t xml:space="preserve">is scenario plants are able to redirect their growth to areas where roots are not highly dense. This suggests that RDS is not a very mobile signal, and its local effects on root growth have subsequent inhibitory properties on shoot growth. Any amount of root-based inhibition affects final shoot biomass. </w:t>
      </w:r>
    </w:p>
    <w:p w14:paraId="545E5037" w14:textId="77777777" w:rsidR="000A6081" w:rsidRDefault="000A6081" w:rsidP="00C97D34">
      <w:pPr>
        <w:spacing w:line="480" w:lineRule="auto"/>
        <w:rPr>
          <w:rFonts w:eastAsia="Calibri" w:cs="Times New Roman"/>
        </w:rPr>
      </w:pPr>
    </w:p>
    <w:p w14:paraId="245660CD" w14:textId="6A08739E" w:rsidR="00C97D34" w:rsidRPr="00C97D34" w:rsidRDefault="00C97D34" w:rsidP="00C97D34">
      <w:pPr>
        <w:rPr>
          <w:rFonts w:eastAsia="Calibri"/>
        </w:rPr>
      </w:pPr>
      <w:r>
        <w:rPr>
          <w:rFonts w:eastAsia="Calibri" w:cs="Times New Roman"/>
          <w:noProof/>
        </w:rPr>
        <w:lastRenderedPageBreak/>
        <w:drawing>
          <wp:anchor distT="0" distB="0" distL="114300" distR="114300" simplePos="0" relativeHeight="251816448" behindDoc="0" locked="0" layoutInCell="1" allowOverlap="1" wp14:anchorId="5E41DD7C" wp14:editId="29AB0999">
            <wp:simplePos x="0" y="0"/>
            <wp:positionH relativeFrom="margin">
              <wp:align>right</wp:align>
            </wp:positionH>
            <wp:positionV relativeFrom="paragraph">
              <wp:posOffset>439</wp:posOffset>
            </wp:positionV>
            <wp:extent cx="5183505" cy="1837055"/>
            <wp:effectExtent l="0" t="0" r="0" b="0"/>
            <wp:wrapSquare wrapText="bothSides"/>
            <wp:docPr id="1945437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43718" name="Picture 194543718"/>
                    <pic:cNvPicPr/>
                  </pic:nvPicPr>
                  <pic:blipFill>
                    <a:blip r:embed="rId76">
                      <a:extLst>
                        <a:ext uri="{28A0092B-C50C-407E-A947-70E740481C1C}">
                          <a14:useLocalDpi xmlns:a14="http://schemas.microsoft.com/office/drawing/2010/main" val="0"/>
                        </a:ext>
                      </a:extLst>
                    </a:blip>
                    <a:stretch>
                      <a:fillRect/>
                    </a:stretch>
                  </pic:blipFill>
                  <pic:spPr>
                    <a:xfrm>
                      <a:off x="0" y="0"/>
                      <a:ext cx="5183505" cy="1837055"/>
                    </a:xfrm>
                    <a:prstGeom prst="rect">
                      <a:avLst/>
                    </a:prstGeom>
                  </pic:spPr>
                </pic:pic>
              </a:graphicData>
            </a:graphic>
            <wp14:sizeRelH relativeFrom="margin">
              <wp14:pctWidth>0</wp14:pctWidth>
            </wp14:sizeRelH>
            <wp14:sizeRelV relativeFrom="margin">
              <wp14:pctHeight>0</wp14:pctHeight>
            </wp14:sizeRelV>
          </wp:anchor>
        </w:drawing>
      </w:r>
    </w:p>
    <w:p w14:paraId="466D3FE3" w14:textId="59D6DA62" w:rsidR="00C97D34" w:rsidRDefault="00C97D34" w:rsidP="00C97D34">
      <w:pPr>
        <w:pStyle w:val="Caption"/>
      </w:pPr>
      <w:bookmarkStart w:id="219" w:name="_Toc154331587"/>
      <w:r>
        <w:t xml:space="preserve">Figure </w:t>
      </w:r>
      <w:fldSimple w:instr=" STYLEREF 1 \s ">
        <w:r w:rsidR="004B7F70">
          <w:rPr>
            <w:noProof/>
          </w:rPr>
          <w:t>4</w:t>
        </w:r>
      </w:fldSimple>
      <w:r>
        <w:t>.</w:t>
      </w:r>
      <w:fldSimple w:instr=" SEQ Figure \* ARABIC \s 1 ">
        <w:r w:rsidR="004B7F70">
          <w:rPr>
            <w:noProof/>
          </w:rPr>
          <w:t>19</w:t>
        </w:r>
      </w:fldSimple>
      <w:r>
        <w:t xml:space="preserve"> </w:t>
      </w:r>
      <w:r w:rsidRPr="00DC60A9">
        <w:t>The root density signal (RDS) inhibits root growth locally with global shoot and root growth consequences</w:t>
      </w:r>
      <w:bookmarkEnd w:id="219"/>
    </w:p>
    <w:p w14:paraId="1CEC6A7F" w14:textId="74C55C98" w:rsidR="00C97D34" w:rsidRDefault="00C97D34" w:rsidP="00C97D34">
      <w:pPr>
        <w:pStyle w:val="Description"/>
      </w:pPr>
      <w:r w:rsidRPr="00C97D34">
        <w:t>Cartoon describing the second phase of the soil volume sensing mechanism, modified from Fig</w:t>
      </w:r>
      <w:r>
        <w:t>ure</w:t>
      </w:r>
      <w:r w:rsidRPr="00C97D34">
        <w:t xml:space="preserve"> 4.13A. Later in life as root density in the soil environment increases, the roots produce and exude a root density signal (RDS) (peach dots). This signal is immobile hence stays close to the roots. In scenarios of low root density, the RDS signal is widespread (left) whereas when the root system is highly dense in a small area, the concentration of RDS is higher in this area and does not diffuse away (right). This results in shoot and root growth inhibition. When part of the root system is highly dense with high concentrations of RDS (middle), if the plant is able to, it prioritises growth to part of the root system that is not densely aggregated. Nevertheless, the shoot system is still subjected to growth inhibition.</w:t>
      </w:r>
    </w:p>
    <w:p w14:paraId="4DA75211" w14:textId="77777777" w:rsidR="00C97D34" w:rsidRDefault="00C97D34" w:rsidP="00C97D34"/>
    <w:p w14:paraId="20BF2590" w14:textId="2D576F41" w:rsidR="00C97D34" w:rsidRDefault="00C97D34" w:rsidP="00C97D34">
      <w:pPr>
        <w:spacing w:line="480" w:lineRule="auto"/>
        <w:rPr>
          <w:szCs w:val="24"/>
        </w:rPr>
      </w:pPr>
      <w:r>
        <w:rPr>
          <w:szCs w:val="24"/>
        </w:rPr>
        <w:t xml:space="preserve">While RDS is currently hypothetical, its characteristics are similar to the proposed self-inhibitory signal discussed by Semchenko et al (2007). </w:t>
      </w:r>
      <w:r w:rsidRPr="003F2257">
        <w:rPr>
          <w:szCs w:val="24"/>
        </w:rPr>
        <w:t xml:space="preserve">In their experiments they grew plants in treatments where activated carbon was added to the pots and </w:t>
      </w:r>
      <w:r w:rsidR="00002552" w:rsidRPr="00073BA4">
        <w:rPr>
          <w:szCs w:val="24"/>
        </w:rPr>
        <w:t xml:space="preserve">then the authors </w:t>
      </w:r>
      <w:r w:rsidRPr="00073BA4">
        <w:rPr>
          <w:szCs w:val="24"/>
        </w:rPr>
        <w:t>assessed</w:t>
      </w:r>
      <w:r w:rsidRPr="003F2257">
        <w:rPr>
          <w:szCs w:val="24"/>
        </w:rPr>
        <w:t xml:space="preserve"> root growth with and without it. Activated carbon is known to absorb organic root exudates </w:t>
      </w:r>
      <w:r w:rsidRPr="003F2257">
        <w:rPr>
          <w:szCs w:val="24"/>
        </w:rPr>
        <w:fldChar w:fldCharType="begin" w:fldLock="1"/>
      </w:r>
      <w:r w:rsidRPr="003F2257">
        <w:rPr>
          <w:szCs w:val="24"/>
        </w:rPr>
        <w:instrText>ADDIN CSL_CITATION {"citationItems":[{"id":"ITEM-1","itemData":{"DOI":"10.2307/1941462","ISSN":"00129658","author":[{"dropping-particle":"","family":"Mahall","given":"B. E.","non-dropping-particle":"","parse-names":false,"suffix":""},{"dropping-particle":"","family":"Callaway","given":"R. M.","non-dropping-particle":"","parse-names":false,"suffix":""}],"container-title":"Ecology","id":"ITEM-1","issue":"6","issued":{"date-parts":[["1992","12"]]},"page":"2145-2151","title":"Root communication mechanisms and intracommunity distributions of two Mojave Desert shrubs","type":"article-journal","volume":"73"},"uris":["http://www.mendeley.com/documents/?uuid=a4c48308-7b51-3148-9dd8-5036e5cdf59e"]}],"mendeley":{"formattedCitation":"(Mahall and Callaway, 1992)","plainTextFormattedCitation":"(Mahall and Callaway, 1992)","previouslyFormattedCitation":"(Mahall and Callaway, 1992)"},"properties":{"noteIndex":0},"schema":"https://github.com/citation-style-language/schema/raw/master/csl-citation.json"}</w:instrText>
      </w:r>
      <w:r w:rsidRPr="003F2257">
        <w:rPr>
          <w:szCs w:val="24"/>
        </w:rPr>
        <w:fldChar w:fldCharType="separate"/>
      </w:r>
      <w:r w:rsidRPr="003F2257">
        <w:rPr>
          <w:noProof/>
          <w:szCs w:val="24"/>
        </w:rPr>
        <w:t>(Mahall and Callaway, 1992)</w:t>
      </w:r>
      <w:r w:rsidRPr="003F2257">
        <w:rPr>
          <w:szCs w:val="24"/>
        </w:rPr>
        <w:fldChar w:fldCharType="end"/>
      </w:r>
      <w:r w:rsidRPr="003F2257">
        <w:rPr>
          <w:szCs w:val="24"/>
        </w:rPr>
        <w:t>. They found that root and shoot biomass increased in the treatments with activated carbon, suggesting the existence of a root growth self-inhibitory signal</w:t>
      </w:r>
      <w:r>
        <w:rPr>
          <w:szCs w:val="24"/>
        </w:rPr>
        <w:t>, which is</w:t>
      </w:r>
      <w:r w:rsidRPr="003F2257">
        <w:rPr>
          <w:szCs w:val="24"/>
        </w:rPr>
        <w:t xml:space="preserve"> organic </w:t>
      </w:r>
      <w:r>
        <w:rPr>
          <w:szCs w:val="24"/>
        </w:rPr>
        <w:t>in nature</w:t>
      </w:r>
      <w:r w:rsidRPr="003F2257">
        <w:rPr>
          <w:szCs w:val="24"/>
        </w:rPr>
        <w:t xml:space="preserve"> </w:t>
      </w:r>
      <w:r>
        <w:rPr>
          <w:szCs w:val="24"/>
        </w:rPr>
        <w:fldChar w:fldCharType="begin" w:fldLock="1"/>
      </w:r>
      <w:r>
        <w:rPr>
          <w:szCs w:val="24"/>
        </w:rPr>
        <w:instrText>ADDIN CSL_CITATION {"citationItems":[{"id":"ITEM-1","itemData":{"DOI":"10.1111/j.1365-2745.2007.01210.x","ISSN":"00220477","author":[{"dropping-particle":"","family":"Semchenko","given":"Marina","non-dropping-particle":"","parse-names":false,"suffix":""},{"dropping-particle":"","family":"Hutchings","given":"Michael J.","non-dropping-particle":"","parse-names":false,"suffix":""},{"dropping-particle":"","family":"John","given":"Elizabeth A.","non-dropping-particle":"","parse-names":false,"suffix":""}],"container-title":"Journal of Ecology","id":"ITEM-1","issue":"2","issued":{"date-parts":[["2007","3","1"]]},"page":"252-260","publisher":"John Wiley &amp; Sons, Ltd (10.1111)","title":"Challenging the tragedy of the commons in root competition: confounding effects of neighbour presence and substrate volume","type":"article-journal","volume":"95"},"uris":["http://www.mendeley.com/documents/?uuid=1946910d-5607-3724-afcf-b4a59cdcaea6"]}],"mendeley":{"formattedCitation":"(Semchenko et al., 2007)","plainTextFormattedCitation":"(Semchenko et al., 2007)","previouslyFormattedCitation":"(Semchenko et al., 2007)"},"properties":{"noteIndex":0},"schema":"https://github.com/citation-style-language/schema/raw/master/csl-citation.json"}</w:instrText>
      </w:r>
      <w:r>
        <w:rPr>
          <w:szCs w:val="24"/>
        </w:rPr>
        <w:fldChar w:fldCharType="separate"/>
      </w:r>
      <w:r w:rsidRPr="00565D01">
        <w:rPr>
          <w:noProof/>
          <w:szCs w:val="24"/>
        </w:rPr>
        <w:t>(Semchenko et al., 2007)</w:t>
      </w:r>
      <w:r>
        <w:rPr>
          <w:szCs w:val="24"/>
        </w:rPr>
        <w:fldChar w:fldCharType="end"/>
      </w:r>
      <w:r>
        <w:rPr>
          <w:szCs w:val="24"/>
        </w:rPr>
        <w:t xml:space="preserve">. The immobile nature of RDS could suggest it remains in the rhizosheath of the roots therefore indicate that it is of a much higher molecular weight than the first phase signal SVS </w:t>
      </w:r>
      <w:r>
        <w:rPr>
          <w:szCs w:val="24"/>
        </w:rPr>
        <w:fldChar w:fldCharType="begin" w:fldLock="1"/>
      </w:r>
      <w:r>
        <w:rPr>
          <w:szCs w:val="24"/>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hAnsi="Cambria Math" w:cs="Cambria Math"/>
          <w:szCs w:val="24"/>
        </w:rPr>
        <w:instrText>‐</w:instrText>
      </w:r>
      <w:r>
        <w:rPr>
          <w:szCs w:val="24"/>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szCs w:val="24"/>
        </w:rPr>
        <w:fldChar w:fldCharType="separate"/>
      </w:r>
      <w:r w:rsidRPr="00151C84">
        <w:rPr>
          <w:noProof/>
          <w:szCs w:val="24"/>
        </w:rPr>
        <w:t>(Wheeldon et al., 2021)</w:t>
      </w:r>
      <w:r>
        <w:rPr>
          <w:szCs w:val="24"/>
        </w:rPr>
        <w:fldChar w:fldCharType="end"/>
      </w:r>
      <w:r>
        <w:rPr>
          <w:szCs w:val="24"/>
        </w:rPr>
        <w:t>.</w:t>
      </w:r>
    </w:p>
    <w:p w14:paraId="69DA96C8" w14:textId="77777777" w:rsidR="00C97D34" w:rsidRDefault="00C97D34" w:rsidP="00C97D34"/>
    <w:p w14:paraId="694A04B1" w14:textId="77777777" w:rsidR="00C97D34" w:rsidRPr="005E23DB" w:rsidRDefault="00C97D34" w:rsidP="00C97D34">
      <w:pPr>
        <w:spacing w:line="480" w:lineRule="auto"/>
        <w:rPr>
          <w:szCs w:val="24"/>
          <w:u w:val="single"/>
        </w:rPr>
      </w:pPr>
      <w:r w:rsidRPr="005E23DB">
        <w:rPr>
          <w:szCs w:val="24"/>
          <w:u w:val="single"/>
        </w:rPr>
        <w:lastRenderedPageBreak/>
        <w:t>Plants detect and respond to their available space and the presence of neighbouring plants using a two-phase root exudate based mechanism</w:t>
      </w:r>
    </w:p>
    <w:p w14:paraId="57A2FB7A" w14:textId="77777777" w:rsidR="00C97D34" w:rsidRDefault="00C97D34" w:rsidP="00C97D34">
      <w:pPr>
        <w:spacing w:line="480" w:lineRule="auto"/>
        <w:rPr>
          <w:szCs w:val="24"/>
        </w:rPr>
      </w:pPr>
      <w:r>
        <w:rPr>
          <w:szCs w:val="24"/>
        </w:rPr>
        <w:t xml:space="preserve">Bringing these ideas together, I therefore propose that plants detect and respond to their available belowground space in a two-phase root exudate-based mechanism. Early in plant life, the concentration of SVS exuded by the plant is monitored and this determines the rate of shoot growth. Because SVS is highly mobile, this growth corresponds to the chemical substrate volume available to the plant, not the physical substrate volume </w:t>
      </w:r>
      <w:r>
        <w:rPr>
          <w:szCs w:val="24"/>
        </w:rPr>
        <w:fldChar w:fldCharType="begin" w:fldLock="1"/>
      </w:r>
      <w:r>
        <w:rPr>
          <w:szCs w:val="24"/>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hAnsi="Cambria Math" w:cs="Cambria Math"/>
          <w:szCs w:val="24"/>
        </w:rPr>
        <w:instrText>‐</w:instrText>
      </w:r>
      <w:r>
        <w:rPr>
          <w:szCs w:val="24"/>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szCs w:val="24"/>
        </w:rPr>
        <w:fldChar w:fldCharType="separate"/>
      </w:r>
      <w:r w:rsidRPr="00162520">
        <w:rPr>
          <w:noProof/>
          <w:szCs w:val="24"/>
        </w:rPr>
        <w:t>(Wheeldon et al., 2021)</w:t>
      </w:r>
      <w:r>
        <w:rPr>
          <w:szCs w:val="24"/>
        </w:rPr>
        <w:fldChar w:fldCharType="end"/>
      </w:r>
      <w:r>
        <w:rPr>
          <w:szCs w:val="24"/>
        </w:rPr>
        <w:t xml:space="preserve">. Later on in life, plants exude a second signal, RDS, which accumulates primarily according to the physical substrate volume </w:t>
      </w:r>
      <w:r>
        <w:rPr>
          <w:szCs w:val="24"/>
        </w:rPr>
        <w:fldChar w:fldCharType="begin" w:fldLock="1"/>
      </w:r>
      <w:r>
        <w:rPr>
          <w:szCs w:val="24"/>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hAnsi="Cambria Math" w:cs="Cambria Math"/>
          <w:szCs w:val="24"/>
        </w:rPr>
        <w:instrText>‐</w:instrText>
      </w:r>
      <w:r>
        <w:rPr>
          <w:szCs w:val="24"/>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szCs w:val="24"/>
        </w:rPr>
        <w:fldChar w:fldCharType="separate"/>
      </w:r>
      <w:r w:rsidRPr="00162520">
        <w:rPr>
          <w:noProof/>
          <w:szCs w:val="24"/>
        </w:rPr>
        <w:t>(Wheeldon et al., 2021)</w:t>
      </w:r>
      <w:r>
        <w:rPr>
          <w:szCs w:val="24"/>
        </w:rPr>
        <w:fldChar w:fldCharType="end"/>
      </w:r>
      <w:r>
        <w:rPr>
          <w:szCs w:val="24"/>
        </w:rPr>
        <w:t>, and reaches a genotype-defined critical concentration which inhibits root growth, with the secondary effect of shoot-based inhibition. RDS acts locally on areas of the root system experiencing high root density to inhibit their growth but areas of the root system which are able to escape the high root density are able to grow preferentially. Despite plants being able to prioritise growth into areas of low root density, the negative effects caused by the area of high root density cause knock on effects in the shoot system as shoot growth becomes inhibited.</w:t>
      </w:r>
    </w:p>
    <w:p w14:paraId="671339FA" w14:textId="77777777" w:rsidR="00C97D34" w:rsidRDefault="00C97D34" w:rsidP="00C97D34"/>
    <w:p w14:paraId="3621DA51" w14:textId="77777777" w:rsidR="00C97D34" w:rsidRPr="004A3B3D" w:rsidRDefault="00C97D34" w:rsidP="00C97D34">
      <w:pPr>
        <w:spacing w:line="480" w:lineRule="auto"/>
        <w:rPr>
          <w:szCs w:val="24"/>
          <w:u w:val="single"/>
        </w:rPr>
      </w:pPr>
      <w:r w:rsidRPr="004A3B3D">
        <w:rPr>
          <w:szCs w:val="24"/>
          <w:u w:val="single"/>
        </w:rPr>
        <w:t>Future directions</w:t>
      </w:r>
    </w:p>
    <w:p w14:paraId="4BC114D1" w14:textId="1D6120BD" w:rsidR="00C97D34" w:rsidRPr="004A3B3D" w:rsidRDefault="00C97D34" w:rsidP="00C97D34">
      <w:pPr>
        <w:spacing w:line="480" w:lineRule="auto"/>
        <w:rPr>
          <w:szCs w:val="24"/>
        </w:rPr>
      </w:pPr>
      <w:r w:rsidRPr="004A3B3D">
        <w:rPr>
          <w:szCs w:val="24"/>
        </w:rPr>
        <w:t xml:space="preserve">The proposition of the two-phase model elegantly provides a mechanism for how plants detect and respond to their available soil volume and neighbour density, which has failed to be achieved previously. </w:t>
      </w:r>
      <w:r>
        <w:rPr>
          <w:szCs w:val="24"/>
        </w:rPr>
        <w:t xml:space="preserve">This model allows the plants to detect the resources they currently have available to them, but the detection of physical substrate volume and any other plants in their </w:t>
      </w:r>
      <w:r>
        <w:rPr>
          <w:szCs w:val="24"/>
        </w:rPr>
        <w:lastRenderedPageBreak/>
        <w:t xml:space="preserve">environment, allows them to make a prediction about what resources they may have available later on in life and as such they plan their growth accordingly </w:t>
      </w:r>
      <w:r>
        <w:rPr>
          <w:szCs w:val="24"/>
        </w:rPr>
        <w:fldChar w:fldCharType="begin" w:fldLock="1"/>
      </w:r>
      <w:r w:rsidR="0008677B">
        <w:rPr>
          <w:szCs w:val="24"/>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sidR="0008677B">
        <w:rPr>
          <w:rFonts w:ascii="Cambria Math" w:hAnsi="Cambria Math" w:cs="Cambria Math"/>
          <w:szCs w:val="24"/>
        </w:rPr>
        <w:instrText>‐</w:instrText>
      </w:r>
      <w:r w:rsidR="0008677B">
        <w:rPr>
          <w:szCs w:val="24"/>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szCs w:val="24"/>
        </w:rPr>
        <w:fldChar w:fldCharType="separate"/>
      </w:r>
      <w:r w:rsidRPr="008072AD">
        <w:rPr>
          <w:noProof/>
          <w:szCs w:val="24"/>
        </w:rPr>
        <w:t>(Wheeldon et al., 2021)</w:t>
      </w:r>
      <w:r>
        <w:rPr>
          <w:szCs w:val="24"/>
        </w:rPr>
        <w:fldChar w:fldCharType="end"/>
      </w:r>
      <w:r>
        <w:rPr>
          <w:szCs w:val="24"/>
        </w:rPr>
        <w:t xml:space="preserve">. </w:t>
      </w:r>
      <w:r w:rsidRPr="004A3B3D">
        <w:rPr>
          <w:szCs w:val="24"/>
        </w:rPr>
        <w:t>The wider applications of this model could be beneficial for improving crop growth in monocultures. Developing crops able to grow larger in a given space could have societal, environmental and economic benefits, such that growth and yield gains could potentially be made without the addition of excess fertilisers. If plants were unable to sense the limited space or presence of neighbours by turning off or turning down SVS and RDS this could allow them to grow larger in a given space. This would be an exciting application of the model, but this would require much more investigation and most importantly the identification of the two root exudate signals. However, the most pertinent next steps would involve elucidating the identities of the SVS and RDS signals.</w:t>
      </w:r>
    </w:p>
    <w:p w14:paraId="01C322FC" w14:textId="77777777" w:rsidR="00C97D34" w:rsidRDefault="00C97D34" w:rsidP="00C97D34"/>
    <w:p w14:paraId="23146CB0" w14:textId="77777777" w:rsidR="000A6081" w:rsidRDefault="000A6081" w:rsidP="00C97D34"/>
    <w:p w14:paraId="788C1FAD" w14:textId="77777777" w:rsidR="000A6081" w:rsidRDefault="000A6081" w:rsidP="00C97D34"/>
    <w:p w14:paraId="34828293" w14:textId="77777777" w:rsidR="000A6081" w:rsidRDefault="000A6081" w:rsidP="00C97D34"/>
    <w:p w14:paraId="3E8A2116" w14:textId="77777777" w:rsidR="000A6081" w:rsidRDefault="000A6081" w:rsidP="00C97D34"/>
    <w:p w14:paraId="6CA291FF" w14:textId="77777777" w:rsidR="000A6081" w:rsidRDefault="000A6081" w:rsidP="00C97D34"/>
    <w:p w14:paraId="20060A52" w14:textId="77777777" w:rsidR="000A6081" w:rsidRDefault="000A6081" w:rsidP="00C97D34"/>
    <w:p w14:paraId="41321826" w14:textId="77777777" w:rsidR="000A6081" w:rsidRDefault="000A6081" w:rsidP="00C97D34"/>
    <w:p w14:paraId="35F13C6C" w14:textId="77777777" w:rsidR="000A6081" w:rsidRPr="00C97D34" w:rsidRDefault="000A6081" w:rsidP="00C97D34"/>
    <w:p w14:paraId="2F602742" w14:textId="45225268" w:rsidR="00687AEF" w:rsidRDefault="00BC0FB9" w:rsidP="00F3071B">
      <w:pPr>
        <w:pStyle w:val="Heading1"/>
      </w:pPr>
      <w:bookmarkStart w:id="220" w:name="_Toc154331502"/>
      <w:r w:rsidRPr="00BC0FB9">
        <w:lastRenderedPageBreak/>
        <w:t>Strigolactone as a root exuded signal for neighbour and volume detection</w:t>
      </w:r>
      <w:bookmarkEnd w:id="220"/>
      <w:r w:rsidR="00687AEF">
        <w:br/>
      </w:r>
    </w:p>
    <w:p w14:paraId="78E84082" w14:textId="2DB99AF7" w:rsidR="00BC0FB9" w:rsidRDefault="00BC0FB9" w:rsidP="00743E4C">
      <w:pPr>
        <w:pStyle w:val="Heading2"/>
      </w:pPr>
      <w:bookmarkStart w:id="221" w:name="_Toc154331503"/>
      <w:r>
        <w:t>Introduction</w:t>
      </w:r>
      <w:bookmarkEnd w:id="221"/>
    </w:p>
    <w:p w14:paraId="33D6641B" w14:textId="77777777" w:rsidR="00BC0FB9" w:rsidRDefault="00BC0FB9" w:rsidP="00BC0FB9"/>
    <w:p w14:paraId="648F5BC6" w14:textId="750AA9C2" w:rsidR="00BC0FB9" w:rsidRDefault="00BC0FB9" w:rsidP="000A4865">
      <w:pPr>
        <w:numPr>
          <w:ilvl w:val="1"/>
          <w:numId w:val="0"/>
        </w:numPr>
        <w:spacing w:before="160" w:line="480" w:lineRule="auto"/>
        <w:outlineLvl w:val="1"/>
        <w:rPr>
          <w:rFonts w:cs="Times New Roman"/>
          <w:bCs/>
        </w:rPr>
      </w:pPr>
      <w:r>
        <w:rPr>
          <w:rFonts w:cs="Times New Roman"/>
          <w:bCs/>
        </w:rPr>
        <w:t xml:space="preserve">Over the last 30 years, research into how plants detect neighbouring plants has increased greatly and has showed that plants can actively detect, and indeed respond, to other plants in their environment </w:t>
      </w:r>
      <w:sdt>
        <w:sdtPr>
          <w:rPr>
            <w:rFonts w:cs="Times New Roman"/>
            <w:bCs/>
            <w:color w:val="000000"/>
          </w:rPr>
          <w:tag w:val="MENDELEY_CITATION_v3_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"/>
          <w:id w:val="499240657"/>
          <w:placeholder>
            <w:docPart w:val="21D140EE15AB4063A03EEF901B40CE4F"/>
          </w:placeholder>
        </w:sdtPr>
        <w:sdtContent>
          <w:r w:rsidRPr="00276413">
            <w:rPr>
              <w:rFonts w:cs="Times New Roman"/>
              <w:bCs/>
              <w:color w:val="000000"/>
            </w:rPr>
            <w:t>(Bilas et al., 2021)</w:t>
          </w:r>
        </w:sdtContent>
      </w:sdt>
      <w:r>
        <w:rPr>
          <w:rFonts w:cs="Times New Roman"/>
          <w:bCs/>
        </w:rPr>
        <w:t xml:space="preserve">. Root exudates have been shown to be one such mechanism of neighbour detection in the roots. However, there has been a difficulty in determining the importance of these due to issues surrounding confounding variables in studies </w:t>
      </w:r>
      <w:r>
        <w:rPr>
          <w:rFonts w:cs="Times New Roman"/>
          <w:bCs/>
        </w:rPr>
        <w:fldChar w:fldCharType="begin" w:fldLock="1"/>
      </w:r>
      <w:r w:rsidR="00672EFF">
        <w:rPr>
          <w:rFonts w:cs="Times New Roman"/>
          <w:bCs/>
        </w:rPr>
        <w:instrText>ADDIN CSL_CITATION {"citationItems":[{"id":"ITEM-1","itemData":{"DOI":"10.1111/j.1365-2745.2006.01204.x","ISSN":"00220477","author":[{"dropping-particle":"","family":"Hess","given":"LINDE","non-dropping-particle":"","parse-names":false,"suffix":""},{"dropping-particle":"","family":"Kroon","given":"HANS","non-dropping-particle":"De","parse-names":false,"suffix":""}],"container-title":"Journal of Ecology","id":"ITEM-1","issue":"2","issued":{"date-parts":[["2007","3","1"]]},"page":"241-251","publisher":"Blackwell Publishing Ltd","title":"Effects of rooting volume and nutrient availability as an alternative explanation for root self/non-self discrimination","type":"article-journal","volume":"95"},"uris":["http://www.mendeley.com/documents/?uuid=5fc49568-90d0-3a0e-a766-6790f0134f1f"]},{"id":"ITEM-2","itemData":{"DOI":"10.1111/j.1365-2745.2007.01210.x","ISSN":"00220477","author":[{"dropping-particle":"","family":"Semchenko","given":"Marina","non-dropping-particle":"","parse-names":false,"suffix":""},{"dropping-particle":"","family":"Hutchings","given":"Michael J.","non-dropping-particle":"","parse-names":false,"suffix":""},{"dropping-particle":"","family":"John","given":"Elizabeth A.","non-dropping-particle":"","parse-names":false,"suffix":""}],"container-title":"Journal of Ecology","id":"ITEM-2","issue":"2","issued":{"date-parts":[["2007","3","1"]]},"page":"252-260","publisher":"John Wiley &amp; Sons, Ltd (10.1111)","title":"Challenging the tragedy of the commons in root competition: confounding effects of neighbour presence and substrate volume","type":"article-journal","volume":"95"},"uris":["http://www.mendeley.com/documents/?uuid=1946910d-5607-3724-afcf-b4a59cdcaea6"]}],"mendeley":{"formattedCitation":"(Hess and De Kroon, 2007; Semchenko et al., 2007)","plainTextFormattedCitation":"(Hess and De Kroon, 2007; Semchenko et al., 2007)","previouslyFormattedCitation":"(Hess and De Kroon, 2007; Semchenko et al., 2007)"},"properties":{"noteIndex":0},"schema":"https://github.com/citation-style-language/schema/raw/master/csl-citation.json"}</w:instrText>
      </w:r>
      <w:r>
        <w:rPr>
          <w:rFonts w:cs="Times New Roman"/>
          <w:bCs/>
        </w:rPr>
        <w:fldChar w:fldCharType="separate"/>
      </w:r>
      <w:r w:rsidRPr="004F0317">
        <w:rPr>
          <w:rFonts w:cs="Times New Roman"/>
          <w:bCs/>
          <w:noProof/>
        </w:rPr>
        <w:t>(Hess and De Kroon, 2007; Semchenko et al., 2007)</w:t>
      </w:r>
      <w:r>
        <w:rPr>
          <w:rFonts w:cs="Times New Roman"/>
          <w:bCs/>
        </w:rPr>
        <w:fldChar w:fldCharType="end"/>
      </w:r>
      <w:r>
        <w:rPr>
          <w:rFonts w:cs="Times New Roman"/>
          <w:bCs/>
        </w:rPr>
        <w:t xml:space="preserve">. Enhanced understanding of plant responses to neighbours both above and belowground will aid in </w:t>
      </w:r>
      <w:r w:rsidR="00F849A7">
        <w:rPr>
          <w:rFonts w:cs="Times New Roman"/>
          <w:bCs/>
        </w:rPr>
        <w:t xml:space="preserve">the </w:t>
      </w:r>
      <w:r>
        <w:rPr>
          <w:rFonts w:cs="Times New Roman"/>
          <w:bCs/>
        </w:rPr>
        <w:t xml:space="preserve">development of more density resistant crops, which could potentially increase yield in a given area of land. </w:t>
      </w:r>
    </w:p>
    <w:p w14:paraId="6AC0B8CF" w14:textId="0605F9B2" w:rsidR="00BC0FB9" w:rsidRDefault="00BC0FB9" w:rsidP="000A4865">
      <w:pPr>
        <w:numPr>
          <w:ilvl w:val="1"/>
          <w:numId w:val="0"/>
        </w:numPr>
        <w:spacing w:before="160" w:line="480" w:lineRule="auto"/>
        <w:outlineLvl w:val="1"/>
        <w:rPr>
          <w:rFonts w:cs="Times New Roman"/>
          <w:bCs/>
        </w:rPr>
      </w:pPr>
      <w:r>
        <w:rPr>
          <w:rFonts w:cs="Times New Roman"/>
          <w:bCs/>
        </w:rPr>
        <w:t>Neighbour density experiments carried out in chapter 3.</w:t>
      </w:r>
      <w:r w:rsidR="00F849A7">
        <w:rPr>
          <w:rFonts w:cs="Times New Roman"/>
          <w:bCs/>
        </w:rPr>
        <w:t>2</w:t>
      </w:r>
      <w:r>
        <w:rPr>
          <w:rFonts w:cs="Times New Roman"/>
          <w:bCs/>
        </w:rPr>
        <w:t xml:space="preserve"> determined that the shoot growth responses to neighbour presence was due to neighbour detection via the roots. In chapter 4, I proposed that the detection and response to soil volume and neighbour density likely share the same two-stage mechanism based on the exudation and detection of two distinct root exudates. From the experiments presented in chapter 4, </w:t>
      </w:r>
      <w:r w:rsidR="00F849A7">
        <w:rPr>
          <w:rFonts w:cs="Times New Roman"/>
          <w:bCs/>
        </w:rPr>
        <w:t xml:space="preserve">my work has shown that </w:t>
      </w:r>
      <w:r w:rsidRPr="00714628">
        <w:rPr>
          <w:rFonts w:cs="Times New Roman"/>
          <w:bCs/>
        </w:rPr>
        <w:t xml:space="preserve">the </w:t>
      </w:r>
      <w:r>
        <w:rPr>
          <w:rFonts w:cs="Times New Roman"/>
          <w:bCs/>
        </w:rPr>
        <w:t xml:space="preserve">early </w:t>
      </w:r>
      <w:r w:rsidRPr="00714628">
        <w:rPr>
          <w:rFonts w:cs="Times New Roman"/>
          <w:bCs/>
        </w:rPr>
        <w:t>shoot</w:t>
      </w:r>
      <w:r>
        <w:rPr>
          <w:rFonts w:cs="Times New Roman"/>
          <w:bCs/>
        </w:rPr>
        <w:t xml:space="preserve"> growth responses to</w:t>
      </w:r>
      <w:r w:rsidRPr="00714628">
        <w:rPr>
          <w:rFonts w:cs="Times New Roman"/>
          <w:bCs/>
        </w:rPr>
        <w:t xml:space="preserve"> </w:t>
      </w:r>
      <w:r>
        <w:rPr>
          <w:rFonts w:cs="Times New Roman"/>
          <w:bCs/>
        </w:rPr>
        <w:t xml:space="preserve">soil volume, due to the detection of the hypothetical SVS signal, </w:t>
      </w:r>
      <w:r w:rsidRPr="00714628">
        <w:rPr>
          <w:rFonts w:cs="Times New Roman"/>
          <w:bCs/>
        </w:rPr>
        <w:t>were much more pronounced than root</w:t>
      </w:r>
      <w:r>
        <w:rPr>
          <w:rFonts w:cs="Times New Roman"/>
          <w:bCs/>
        </w:rPr>
        <w:t xml:space="preserve"> growth</w:t>
      </w:r>
      <w:r w:rsidRPr="00714628">
        <w:rPr>
          <w:rFonts w:cs="Times New Roman"/>
          <w:bCs/>
        </w:rPr>
        <w:t xml:space="preserve"> responses.</w:t>
      </w:r>
      <w:r>
        <w:rPr>
          <w:rFonts w:cs="Times New Roman"/>
          <w:bCs/>
        </w:rPr>
        <w:t xml:space="preserve"> I hypothesised that SVS is likely to be highly mobile in both soil and hydroponic conditions and therefore is likely to be of low molecular weight </w:t>
      </w:r>
      <w:r>
        <w:rPr>
          <w:rFonts w:cs="Times New Roman"/>
          <w:bCs/>
        </w:rPr>
        <w:fldChar w:fldCharType="begin" w:fldLock="1"/>
      </w:r>
      <w:r>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hAnsi="Cambria Math" w:cs="Cambria Math"/>
          <w:bCs/>
        </w:rPr>
        <w:instrText>‐</w:instrText>
      </w:r>
      <w:r>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cs="Times New Roman"/>
          <w:bCs/>
        </w:rPr>
        <w:fldChar w:fldCharType="separate"/>
      </w:r>
      <w:r w:rsidRPr="004F6FB4">
        <w:rPr>
          <w:rFonts w:cs="Times New Roman"/>
          <w:bCs/>
          <w:noProof/>
        </w:rPr>
        <w:t>(Wheeldon et al., 2021)</w:t>
      </w:r>
      <w:r>
        <w:rPr>
          <w:rFonts w:cs="Times New Roman"/>
          <w:bCs/>
        </w:rPr>
        <w:fldChar w:fldCharType="end"/>
      </w:r>
      <w:r>
        <w:rPr>
          <w:rFonts w:cs="Times New Roman"/>
          <w:bCs/>
        </w:rPr>
        <w:t xml:space="preserve">. </w:t>
      </w:r>
    </w:p>
    <w:p w14:paraId="7E7EBD07" w14:textId="54FFD9A1" w:rsidR="00BC0FB9" w:rsidRPr="00DE2884" w:rsidRDefault="00BC0FB9" w:rsidP="00BC0FB9">
      <w:pPr>
        <w:numPr>
          <w:ilvl w:val="1"/>
          <w:numId w:val="0"/>
        </w:numPr>
        <w:spacing w:before="160" w:line="480" w:lineRule="auto"/>
        <w:outlineLvl w:val="1"/>
        <w:rPr>
          <w:rFonts w:cs="Times New Roman"/>
          <w:bCs/>
          <w:color w:val="000000" w:themeColor="text1"/>
        </w:rPr>
      </w:pPr>
      <w:r>
        <w:rPr>
          <w:rFonts w:cs="Times New Roman"/>
          <w:bCs/>
        </w:rPr>
        <w:lastRenderedPageBreak/>
        <w:t xml:space="preserve">Strigolactones (SLs) are small signalling molecules of low molecular weight </w:t>
      </w:r>
      <w:r>
        <w:rPr>
          <w:rFonts w:cs="Times New Roman"/>
          <w:bCs/>
        </w:rPr>
        <w:fldChar w:fldCharType="begin" w:fldLock="1"/>
      </w:r>
      <w:r w:rsidR="00452A84">
        <w:rPr>
          <w:rFonts w:cs="Times New Roman"/>
          <w:bCs/>
        </w:rPr>
        <w:instrText>ADDIN CSL_CITATION {"citationItems":[{"id":"ITEM-1","itemData":{"DOI":"10.1146/ANNUREV-PHYTO-073009-114453","ISSN":"00664286","PMID":"20687831","abstract":"Strigolactones (SLs) were originally isolated from plant root exudates as germination stimulants for root parasitic plants of the family Orobanchaceae, including witchweeds (Striga spp.), broomrape...","author":[{"dropping-particle":"","family":"Xie","given":"Xiaonan","non-dropping-particle":"","parse-names":false,"suffix":""},{"dropping-particle":"","family":"Yoneyama","given":"Kaori","non-dropping-particle":"","parse-names":false,"suffix":""},{"dropping-particle":"","family":"Yoneyama","given":"Koichi","non-dropping-particle":"","parse-names":false,"suffix":""}],"container-title":"https://doi.org/10.1146/annurev-phyto-073009-114453","id":"ITEM-1","issued":{"date-parts":[["2010","8","5"]]},"page":"93-117","publisher":"Annual Reviews","title":"The strigolactone story","type":"article-journal","volume":"48"},"uris":["http://www.mendeley.com/documents/?uuid=8634f2b5-cf9b-345c-b0b9-a145fcd65b5e"]}],"mendeley":{"formattedCitation":"(Xie et al., 2010)","plainTextFormattedCitation":"(Xie et al., 2010)","previouslyFormattedCitation":"(Xie et al., 2010)"},"properties":{"noteIndex":0},"schema":"https://github.com/citation-style-language/schema/raw/master/csl-citation.json"}</w:instrText>
      </w:r>
      <w:r>
        <w:rPr>
          <w:rFonts w:cs="Times New Roman"/>
          <w:bCs/>
        </w:rPr>
        <w:fldChar w:fldCharType="separate"/>
      </w:r>
      <w:r w:rsidRPr="00425D3A">
        <w:rPr>
          <w:rFonts w:cs="Times New Roman"/>
          <w:bCs/>
          <w:noProof/>
        </w:rPr>
        <w:t>(Xie et al., 2010)</w:t>
      </w:r>
      <w:r>
        <w:rPr>
          <w:rFonts w:cs="Times New Roman"/>
          <w:bCs/>
        </w:rPr>
        <w:fldChar w:fldCharType="end"/>
      </w:r>
      <w:r>
        <w:rPr>
          <w:rFonts w:cs="Times New Roman"/>
          <w:bCs/>
        </w:rPr>
        <w:t xml:space="preserve"> that are exuded by flowering plants</w:t>
      </w:r>
      <w:r w:rsidR="00F849A7">
        <w:rPr>
          <w:rFonts w:cs="Times New Roman"/>
          <w:bCs/>
        </w:rPr>
        <w:t>,</w:t>
      </w:r>
      <w:r>
        <w:rPr>
          <w:rFonts w:cs="Times New Roman"/>
          <w:bCs/>
        </w:rPr>
        <w:t xml:space="preserve"> resulting in arbuscular mycorrhizal fungi (AMF) recruitment to the roots </w:t>
      </w:r>
      <w:r>
        <w:rPr>
          <w:rFonts w:cs="Times New Roman"/>
          <w:bCs/>
        </w:rPr>
        <w:fldChar w:fldCharType="begin" w:fldLock="1"/>
      </w:r>
      <w:r>
        <w:rPr>
          <w:rFonts w:cs="Times New Roman"/>
          <w:bCs/>
        </w:rPr>
        <w:instrText>ADDIN CSL_CITATION {"citationItems":[{"id":"ITEM-1","itemData":{"DOI":"10.1038/nature03608","ISSN":"00280836","abstract":"Arbuscular mycorrhizal (AM) fungi form mutualistic, symbiotic associations with the roots of more than 80% of land plants. The fungi are incapable of completing their life cycle in the absence of a host root. Their spores can germinate and grow in the absence of a host, but their hyphal growth is very limited. Little is known about the molecular mechanisms that govern signalling and recognition between AM fungi and their host plants. In one of the first stages of host recognition, the hyphae of AM fungi show extensive branching in the vicinity of host roots before formation of the appressorium, the structure used to penetrate the plant root. Host roots are known to release signalling molecules that trigger hyphal branching, but these branching factors have not been isolated. Here we have isolated a branching factor from the root exudates of Lotus japonicus and used spectroscopic analysis and chemical synthesis to identify it as a strigolactone, 5-deoxy-strigol. Strigolactones are a group of sesquiterpene lactones, previously isolated as seed-germination stimulants for the parasitic weeds Striga and Orobanche. The natural strigolactones 5-deoxy-strigol, sorgolactone and strigol, and a synthetic analogue, GR24, induced extensive hyphal branching in germinating spores of the AM fungus Gigaspora margarita at very low concentrations.","author":[{"dropping-particle":"","family":"Akiyama","given":"Kohki","non-dropping-particle":"","parse-names":false,"suffix":""},{"dropping-particle":"","family":"Matsuzaki","given":"Ken Ichi","non-dropping-particle":"","parse-names":false,"suffix":""},{"dropping-particle":"","family":"Hayashi","given":"Hideo","non-dropping-particle":"","parse-names":false,"suffix":""}],"container-title":"Nature","id":"ITEM-1","issue":"7043","issued":{"date-parts":[["2005","6","9"]]},"page":"824-827","title":"Plant sesquiterpenes induce hyphal branching in arbuscular mycorrhizal fungi","type":"article-journal","volume":"435"},"uris":["http://www.mendeley.com/documents/?uuid=46db45e2-f5d5-3c3a-a373-f5a032120231"]}],"mendeley":{"formattedCitation":"(Akiyama et al., 2005)","plainTextFormattedCitation":"(Akiyama et al., 2005)","previouslyFormattedCitation":"(Akiyama et al., 2005)"},"properties":{"noteIndex":0},"schema":"https://github.com/citation-style-language/schema/raw/master/csl-citation.json"}</w:instrText>
      </w:r>
      <w:r>
        <w:rPr>
          <w:rFonts w:cs="Times New Roman"/>
          <w:bCs/>
        </w:rPr>
        <w:fldChar w:fldCharType="separate"/>
      </w:r>
      <w:r w:rsidRPr="004F4BAA">
        <w:rPr>
          <w:rFonts w:cs="Times New Roman"/>
          <w:bCs/>
          <w:noProof/>
        </w:rPr>
        <w:t>(Akiyama et al., 2005)</w:t>
      </w:r>
      <w:r>
        <w:rPr>
          <w:rFonts w:cs="Times New Roman"/>
          <w:bCs/>
        </w:rPr>
        <w:fldChar w:fldCharType="end"/>
      </w:r>
      <w:r>
        <w:rPr>
          <w:rFonts w:cs="Times New Roman"/>
          <w:bCs/>
        </w:rPr>
        <w:t xml:space="preserve">. Their existence was first identified as exuded germination stimulants for parasitic plants </w:t>
      </w:r>
      <w:r>
        <w:rPr>
          <w:rFonts w:cs="Times New Roman"/>
          <w:bCs/>
        </w:rPr>
        <w:fldChar w:fldCharType="begin" w:fldLock="1"/>
      </w:r>
      <w:r>
        <w:rPr>
          <w:rFonts w:cs="Times New Roman"/>
          <w:bCs/>
        </w:rPr>
        <w:instrText>ADDIN CSL_CITATION {"citationItems":[{"id":"ITEM-1","itemData":{"DOI":"10.1126/science.154.3753.1189","ISSN":"0036-8075","PMID":"17780042","abstract":"A crystalline germination stimulant (trivial name strigol) for the rootparasite, witchweed (Striga lutea Lour.), has been isolated from cotton rootexudates and characterized as a C(19)H(22)O(6) compound. Although apparently different from known plant hormones, the stimulant is active at hormonal levels, causing germination at concentrations less than 1O(-5) part per million.","author":[{"dropping-particle":"","family":"Cook","given":"C E","non-dropping-particle":"","parse-names":false,"suffix":""},{"dropping-particle":"","family":"Whichard","given":"L P","non-dropping-particle":"","parse-names":false,"suffix":""},{"dropping-particle":"","family":"Turner","given":"B","non-dropping-particle":"","parse-names":false,"suffix":""},{"dropping-particle":"","family":"Wall","given":"M E","non-dropping-particle":"","parse-names":false,"suffix":""},{"dropping-particle":"","family":"Egley","given":"G H","non-dropping-particle":"","parse-names":false,"suffix":""}],"container-title":"Science (New York, N.Y.)","id":"ITEM-1","issue":"3753","issued":{"date-parts":[["1966","12","2"]]},"page":"1189-1190","publisher":"American Association for the Advancement of Science","title":"Germination of Witchweed (Striga lutea Lour.): Isolation and properties of a potent stimulant.","type":"article-journal","volume":"154"},"uris":["http://www.mendeley.com/documents/?uuid=8c3fecbd-b8bc-3d26-8526-b366791979a1"]},{"id":"ITEM-2","itemData":{"DOI":"10.1016/j.tplants.2007.03.009","ISSN":"13601385","abstract":"Plants use an array of secondary metabolites to defend themselves against harmful organisms and to attract others that are beneficial. However, the attraction of beneficial organisms could also lead to abuse by malevolent organisms. An exciting example of such abuse is the relationship between plants, beneficial mutualistic arbuscular mycorrhizal fungi and harmful parasitic plants. Signalling molecules called strigolactones, which are secreted by plant roots in low concentrations, induce the growth of both obligate biotrophs. Here, we review the importance of strigolactones for these two interactions and discuss possible developments that should further clarify the role of these signalling molecules in rhizosphere processes. © 2007 Elsevier Ltd. All rights reserved.","author":[{"dropping-particle":"","family":"Bouwmeester","given":"Harro J.","non-dropping-particle":"","parse-names":false,"suffix":""},{"dropping-particle":"","family":"Roux","given":"Christophe","non-dropping-particle":"","parse-names":false,"suffix":""},{"dropping-particle":"","family":"Lopez-Raez","given":"Juan Antonio","non-dropping-particle":"","parse-names":false,"suffix":""},{"dropping-particle":"","family":"Bécard","given":"Guillaume","non-dropping-particle":"","parse-names":false,"suffix":""}],"container-title":"Trends in Plant Science","id":"ITEM-2","issue":"5","issued":{"date-parts":[["2007","5"]]},"page":"224-230","title":"Rhizosphere communication of plants, parasitic plants and AM fungi","type":"article","volume":"12"},"uris":["http://www.mendeley.com/documents/?uuid=d08dba5e-0683-3714-a98f-78ce04fbd359"]}],"mendeley":{"formattedCitation":"(Cook et al., 1966; Bouwmeester et al., 2007)","plainTextFormattedCitation":"(Cook et al., 1966; Bouwmeester et al., 2007)","previouslyFormattedCitation":"(Cook et al., 1966; Bouwmeester et al., 2007)"},"properties":{"noteIndex":0},"schema":"https://github.com/citation-style-language/schema/raw/master/csl-citation.json"}</w:instrText>
      </w:r>
      <w:r>
        <w:rPr>
          <w:rFonts w:cs="Times New Roman"/>
          <w:bCs/>
        </w:rPr>
        <w:fldChar w:fldCharType="separate"/>
      </w:r>
      <w:r w:rsidRPr="00901E6D">
        <w:rPr>
          <w:rFonts w:cs="Times New Roman"/>
          <w:bCs/>
          <w:noProof/>
        </w:rPr>
        <w:t>(Cook et al., 1966; Bouwmeester et al., 2007)</w:t>
      </w:r>
      <w:r>
        <w:rPr>
          <w:rFonts w:cs="Times New Roman"/>
          <w:bCs/>
        </w:rPr>
        <w:fldChar w:fldCharType="end"/>
      </w:r>
      <w:r>
        <w:rPr>
          <w:rFonts w:cs="Times New Roman"/>
          <w:bCs/>
        </w:rPr>
        <w:t>, hence their presence as root exudates in the soil environment could also have other rhizospheric functions which have not yet been uncovered. Thus, SLs could be candidates for neighbour detection signals in plants.</w:t>
      </w:r>
      <w:r>
        <w:rPr>
          <w:rFonts w:cs="Times New Roman"/>
          <w:bCs/>
          <w:color w:val="00B050"/>
        </w:rPr>
        <w:t xml:space="preserve"> </w:t>
      </w:r>
      <w:r w:rsidRPr="00DE2884">
        <w:rPr>
          <w:rFonts w:cs="Times New Roman"/>
          <w:bCs/>
          <w:color w:val="000000" w:themeColor="text1"/>
        </w:rPr>
        <w:t>Indeed, this idea has previously been suggested by a study in moss (</w:t>
      </w:r>
      <w:r w:rsidRPr="00DE2884">
        <w:rPr>
          <w:rFonts w:cs="Times New Roman"/>
          <w:bCs/>
          <w:i/>
          <w:iCs/>
          <w:color w:val="000000" w:themeColor="text1"/>
        </w:rPr>
        <w:t>Physcomitrium patens</w:t>
      </w:r>
      <w:r w:rsidRPr="00DE2884">
        <w:rPr>
          <w:rFonts w:cs="Times New Roman"/>
          <w:bCs/>
          <w:color w:val="000000" w:themeColor="text1"/>
        </w:rPr>
        <w:t xml:space="preserve">) which showed that SLs exuded by wild-type (WT) colonies influenced the growth of other moss colonies </w:t>
      </w:r>
      <w:r w:rsidRPr="00DE2884">
        <w:rPr>
          <w:rFonts w:cs="Times New Roman"/>
          <w:bCs/>
          <w:color w:val="000000" w:themeColor="text1"/>
        </w:rPr>
        <w:fldChar w:fldCharType="begin" w:fldLock="1"/>
      </w:r>
      <w:r w:rsidRPr="00DE2884">
        <w:rPr>
          <w:rFonts w:cs="Times New Roman"/>
          <w:bCs/>
          <w:color w:val="000000" w:themeColor="text1"/>
        </w:rPr>
        <w:instrText>ADDIN CSL_CITATION {"citationItems":[{"id":"ITEM-1","itemData":{"DOI":"10.1242/dev.058495","ISSN":"1477-9129","PMID":"21367820","abstract":"Strigolactones are a novel class of plant hormones controlling shoot branching in seed plants. They also signal host root proximity during symbiotic and parasitic interactions. To gain a better understanding of the origin of strigolactone functions, we characterised a moss mutant strongly affected in strigolactone biosynthesis following deletion of the CAROTENOID CLEAVAGE DIOXYGENASE 8 (CCD8) gene. Here, we show that wild-type Physcomitrella patens produces and releases strigolactones into the medium where they control branching of protonemal filaments and colony extension. We further show that Ppccd8 mutant colonies fail to sense the proximity of neighbouring colonies, which in wild-type plants causes the arrest of colony extension. The mutant phenotype is rescued when grown in the proximity of wild-type colonies, by exogenous supply of synthetic strigolactones or by ectopic expression of seed plant CCD8. Thus, our data demonstrate for the first time that Bryophytes (P. patens) produce strigolactones that act as signalling factors controlling developmental and potentially ecophysiological processes. We propose that in P. patens, strigolactones are reminiscent of quorum-sensing molecules used by bacteria to communicate with one another.","author":[{"dropping-particle":"","family":"Proust","given":"Hélène","non-dropping-particle":"","parse-names":false,"suffix":""},{"dropping-particle":"","family":"Hoffmann","given":"Beate","non-dropping-particle":"","parse-names":false,"suffix":""},{"dropping-particle":"","family":"Xie","given":"Xiaonan","non-dropping-particle":"","parse-names":false,"suffix":""},{"dropping-particle":"","family":"Yoneyama","given":"Kaori","non-dropping-particle":"","parse-names":false,"suffix":""},{"dropping-particle":"","family":"Schaefer","given":"Didier G","non-dropping-particle":"","parse-names":false,"suffix":""},{"dropping-particle":"","family":"Yoneyama","given":"Koichi","non-dropping-particle":"","parse-names":false,"suffix":""},{"dropping-particle":"","family":"Nogué","given":"Fabien","non-dropping-particle":"","parse-names":false,"suffix":""},{"dropping-particle":"","family":"Rameau","given":"Catherine","non-dropping-particle":"","parse-names":false,"suffix":""}],"container-title":"Development (Cambridge, England)","id":"ITEM-1","issue":"8","issued":{"date-parts":[["2011","4","15"]]},"page":"1531-1539","publisher":"Oxford University Press for The Company of Biologists Limited","title":"Strigolactones regulate protonema branching and act as a quorum sensing-like signal in the moss Physcomitrella patens.","type":"article-journal","volume":"138"},"uris":["http://www.mendeley.com/documents/?uuid=554cb5af-16d6-3674-8b70-be92e70cee8e"]}],"mendeley":{"formattedCitation":"(Proust et al., 2011)","plainTextFormattedCitation":"(Proust et al., 2011)","previouslyFormattedCitation":"(Proust et al., 2011)"},"properties":{"noteIndex":0},"schema":"https://github.com/citation-style-language/schema/raw/master/csl-citation.json"}</w:instrText>
      </w:r>
      <w:r w:rsidRPr="00DE2884">
        <w:rPr>
          <w:rFonts w:cs="Times New Roman"/>
          <w:bCs/>
          <w:color w:val="000000" w:themeColor="text1"/>
        </w:rPr>
        <w:fldChar w:fldCharType="separate"/>
      </w:r>
      <w:r w:rsidRPr="00DE2884">
        <w:rPr>
          <w:rFonts w:cs="Times New Roman"/>
          <w:bCs/>
          <w:noProof/>
          <w:color w:val="000000" w:themeColor="text1"/>
        </w:rPr>
        <w:t>(Proust et al., 2011)</w:t>
      </w:r>
      <w:r w:rsidRPr="00DE2884">
        <w:rPr>
          <w:rFonts w:cs="Times New Roman"/>
          <w:bCs/>
          <w:color w:val="000000" w:themeColor="text1"/>
        </w:rPr>
        <w:fldChar w:fldCharType="end"/>
      </w:r>
      <w:r w:rsidRPr="00DE2884">
        <w:rPr>
          <w:rFonts w:cs="Times New Roman"/>
          <w:bCs/>
          <w:color w:val="000000" w:themeColor="text1"/>
        </w:rPr>
        <w:t xml:space="preserve">. WT colonies show reduced growth in the presence of neighbouring colonies, whereas </w:t>
      </w:r>
      <w:r w:rsidRPr="00DE2884">
        <w:rPr>
          <w:rFonts w:cs="Times New Roman"/>
          <w:bCs/>
          <w:i/>
          <w:iCs/>
          <w:color w:val="000000" w:themeColor="text1"/>
        </w:rPr>
        <w:t>Ppccd8</w:t>
      </w:r>
      <w:r w:rsidRPr="00DE2884">
        <w:rPr>
          <w:rFonts w:cs="Times New Roman"/>
          <w:bCs/>
          <w:color w:val="000000" w:themeColor="text1"/>
        </w:rPr>
        <w:t xml:space="preserve"> mutant colonies lacking </w:t>
      </w:r>
      <w:r w:rsidR="00C85FD4">
        <w:rPr>
          <w:rFonts w:cs="Times New Roman"/>
          <w:bCs/>
          <w:color w:val="000000" w:themeColor="text1"/>
        </w:rPr>
        <w:t xml:space="preserve">the </w:t>
      </w:r>
      <w:r w:rsidRPr="00DE2884">
        <w:rPr>
          <w:rFonts w:cs="Times New Roman"/>
          <w:bCs/>
          <w:color w:val="000000" w:themeColor="text1"/>
        </w:rPr>
        <w:t xml:space="preserve">CCD8 SL biosynthesis gene spread into other </w:t>
      </w:r>
      <w:r w:rsidRPr="00DE2884">
        <w:rPr>
          <w:rFonts w:cs="Times New Roman"/>
          <w:bCs/>
          <w:i/>
          <w:iCs/>
          <w:color w:val="000000" w:themeColor="text1"/>
        </w:rPr>
        <w:t>Ppccd8</w:t>
      </w:r>
      <w:r w:rsidRPr="00DE2884">
        <w:rPr>
          <w:rFonts w:cs="Times New Roman"/>
          <w:bCs/>
          <w:color w:val="000000" w:themeColor="text1"/>
        </w:rPr>
        <w:t xml:space="preserve"> colonies. When WT and </w:t>
      </w:r>
      <w:r w:rsidRPr="00DE2884">
        <w:rPr>
          <w:rFonts w:cs="Times New Roman"/>
          <w:bCs/>
          <w:i/>
          <w:iCs/>
          <w:color w:val="000000" w:themeColor="text1"/>
        </w:rPr>
        <w:t>Ppccd8</w:t>
      </w:r>
      <w:r w:rsidRPr="00DE2884">
        <w:rPr>
          <w:rFonts w:cs="Times New Roman"/>
          <w:bCs/>
          <w:color w:val="000000" w:themeColor="text1"/>
        </w:rPr>
        <w:t xml:space="preserve"> mutant colonies were grown in the same plate, the SL exuded from the WT colonies inhibited the </w:t>
      </w:r>
      <w:r w:rsidRPr="00DE2884">
        <w:rPr>
          <w:rFonts w:cs="Times New Roman"/>
          <w:bCs/>
          <w:i/>
          <w:iCs/>
          <w:color w:val="000000" w:themeColor="text1"/>
        </w:rPr>
        <w:t>Ppccd8</w:t>
      </w:r>
      <w:r w:rsidRPr="00DE2884">
        <w:rPr>
          <w:rFonts w:cs="Times New Roman"/>
          <w:bCs/>
          <w:color w:val="000000" w:themeColor="text1"/>
        </w:rPr>
        <w:t xml:space="preserve"> colonies from extending </w:t>
      </w:r>
      <w:r w:rsidRPr="00DE2884">
        <w:rPr>
          <w:rFonts w:cs="Times New Roman"/>
          <w:bCs/>
          <w:color w:val="000000" w:themeColor="text1"/>
        </w:rPr>
        <w:fldChar w:fldCharType="begin" w:fldLock="1"/>
      </w:r>
      <w:r w:rsidRPr="00DE2884">
        <w:rPr>
          <w:rFonts w:cs="Times New Roman"/>
          <w:bCs/>
          <w:color w:val="000000" w:themeColor="text1"/>
        </w:rPr>
        <w:instrText>ADDIN CSL_CITATION {"citationItems":[{"id":"ITEM-1","itemData":{"DOI":"10.1242/dev.058495","ISSN":"1477-9129","PMID":"21367820","abstract":"Strigolactones are a novel class of plant hormones controlling shoot branching in seed plants. They also signal host root proximity during symbiotic and parasitic interactions. To gain a better understanding of the origin of strigolactone functions, we characterised a moss mutant strongly affected in strigolactone biosynthesis following deletion of the CAROTENOID CLEAVAGE DIOXYGENASE 8 (CCD8) gene. Here, we show that wild-type Physcomitrella patens produces and releases strigolactones into the medium where they control branching of protonemal filaments and colony extension. We further show that Ppccd8 mutant colonies fail to sense the proximity of neighbouring colonies, which in wild-type plants causes the arrest of colony extension. The mutant phenotype is rescued when grown in the proximity of wild-type colonies, by exogenous supply of synthetic strigolactones or by ectopic expression of seed plant CCD8. Thus, our data demonstrate for the first time that Bryophytes (P. patens) produce strigolactones that act as signalling factors controlling developmental and potentially ecophysiological processes. We propose that in P. patens, strigolactones are reminiscent of quorum-sensing molecules used by bacteria to communicate with one another.","author":[{"dropping-particle":"","family":"Proust","given":"Hélène","non-dropping-particle":"","parse-names":false,"suffix":""},{"dropping-particle":"","family":"Hoffmann","given":"Beate","non-dropping-particle":"","parse-names":false,"suffix":""},{"dropping-particle":"","family":"Xie","given":"Xiaonan","non-dropping-particle":"","parse-names":false,"suffix":""},{"dropping-particle":"","family":"Yoneyama","given":"Kaori","non-dropping-particle":"","parse-names":false,"suffix":""},{"dropping-particle":"","family":"Schaefer","given":"Didier G","non-dropping-particle":"","parse-names":false,"suffix":""},{"dropping-particle":"","family":"Yoneyama","given":"Koichi","non-dropping-particle":"","parse-names":false,"suffix":""},{"dropping-particle":"","family":"Nogué","given":"Fabien","non-dropping-particle":"","parse-names":false,"suffix":""},{"dropping-particle":"","family":"Rameau","given":"Catherine","non-dropping-particle":"","parse-names":false,"suffix":""}],"container-title":"Development (Cambridge, England)","id":"ITEM-1","issue":"8","issued":{"date-parts":[["2011","4","15"]]},"page":"1531-1539","publisher":"Oxford University Press for The Company of Biologists Limited","title":"Strigolactones regulate protonema branching and act as a quorum sensing-like signal in the moss Physcomitrella patens.","type":"article-journal","volume":"138"},"uris":["http://www.mendeley.com/documents/?uuid=554cb5af-16d6-3674-8b70-be92e70cee8e"]}],"mendeley":{"formattedCitation":"(Proust et al., 2011)","plainTextFormattedCitation":"(Proust et al., 2011)","previouslyFormattedCitation":"(Proust et al., 2011)"},"properties":{"noteIndex":0},"schema":"https://github.com/citation-style-language/schema/raw/master/csl-citation.json"}</w:instrText>
      </w:r>
      <w:r w:rsidRPr="00DE2884">
        <w:rPr>
          <w:rFonts w:cs="Times New Roman"/>
          <w:bCs/>
          <w:color w:val="000000" w:themeColor="text1"/>
        </w:rPr>
        <w:fldChar w:fldCharType="separate"/>
      </w:r>
      <w:r w:rsidRPr="00DE2884">
        <w:rPr>
          <w:rFonts w:cs="Times New Roman"/>
          <w:bCs/>
          <w:noProof/>
          <w:color w:val="000000" w:themeColor="text1"/>
        </w:rPr>
        <w:t>(Proust et al., 2011)</w:t>
      </w:r>
      <w:r w:rsidRPr="00DE2884">
        <w:rPr>
          <w:rFonts w:cs="Times New Roman"/>
          <w:bCs/>
          <w:color w:val="000000" w:themeColor="text1"/>
        </w:rPr>
        <w:fldChar w:fldCharType="end"/>
      </w:r>
      <w:r w:rsidRPr="00DE2884">
        <w:rPr>
          <w:rFonts w:cs="Times New Roman"/>
          <w:bCs/>
          <w:color w:val="000000" w:themeColor="text1"/>
        </w:rPr>
        <w:t>. This suggested that the SLs exuded from WT colonies causes growth inhibition in neighbouring colonies and hence highlights the potential of SLs acting as a plant-to-plant signal.</w:t>
      </w:r>
    </w:p>
    <w:p w14:paraId="5F26C1F5" w14:textId="57544DC3" w:rsidR="00BC0FB9" w:rsidRDefault="00BC0FB9" w:rsidP="00BC0FB9">
      <w:pPr>
        <w:numPr>
          <w:ilvl w:val="1"/>
          <w:numId w:val="0"/>
        </w:numPr>
        <w:spacing w:before="160" w:line="480" w:lineRule="auto"/>
        <w:outlineLvl w:val="1"/>
        <w:rPr>
          <w:rFonts w:cs="Times New Roman"/>
          <w:bCs/>
        </w:rPr>
      </w:pPr>
      <w:r>
        <w:rPr>
          <w:rFonts w:cs="Times New Roman"/>
          <w:bCs/>
        </w:rPr>
        <w:t xml:space="preserve">In the shoot, SLs strongly inhibit shoot branching, and mutations in any part of both the SL biosynthesis and signalling pathways </w:t>
      </w:r>
      <w:r w:rsidRPr="006373DA">
        <w:rPr>
          <w:rFonts w:cs="Times New Roman"/>
          <w:bCs/>
        </w:rPr>
        <w:t>cause</w:t>
      </w:r>
      <w:r>
        <w:rPr>
          <w:rFonts w:cs="Times New Roman"/>
          <w:bCs/>
        </w:rPr>
        <w:t xml:space="preserve"> extreme changes to shoot development </w:t>
      </w:r>
      <w:r>
        <w:rPr>
          <w:rFonts w:cs="Times New Roman"/>
          <w:bCs/>
        </w:rPr>
        <w:fldChar w:fldCharType="begin" w:fldLock="1"/>
      </w:r>
      <w:r>
        <w:rPr>
          <w:rFonts w:cs="Times New Roman"/>
          <w:bCs/>
        </w:rPr>
        <w:instrText>ADDIN CSL_CITATION {"citationItems":[{"id":"ITEM-1","itemData":{"DOI":"10.1038/nature07271","ISSN":"00280836","abstract":"A carotenoid-derived hormonal signal that inhibits shoot branching in plants has long escaped identification. Strigolactones are compounds thought to be derived from carotenoids and are known to trigger the germination of parasitic plant seeds and stimulate symbiotic fungi. Here we present evidence that carotenoid cleavage dioxygenase 8 shoot branching mutants of pea are strigolactone deficient and that strigolactone application restores the wild-type branching phenotype to ccd8 mutants. Moreover, we show that other branching mutants previously characterized as lacking a response to the branching inhibition signal also lack strigolactone response, and are not deficient in strigolactones. These responses are conserved in Arabidopsis. In agreement with the expected properties of the hormonal signal, exogenous strigolactone can be transported in shoots and act at low concentrations. We suggest that endogenous strigolactones or related compounds inhibit shoot branching in plants. Furthermore, ccd8 mutants demonstrate the diverse effects of strigolactones in shoot branching, mycorrhizal symbiosis and parasitic weed interaction.","author":[{"dropping-particle":"","family":"Gomez-Roldan","given":"Victoria","non-dropping-particle":"","parse-names":false,"suffix":""},{"dropping-particle":"","family":"Fermas","given":"Soraya","non-dropping-particle":"","parse-names":false,"suffix":""},{"dropping-particle":"","family":"Brewer","given":"Philip B.","non-dropping-particle":"","parse-names":false,"suffix":""},{"dropping-particle":"","family":"Puech-Pagès","given":"Virginie","non-dropping-particle":"","parse-names":false,"suffix":""},{"dropping-particle":"","family":"Dun","given":"Elizabeth A.","non-dropping-particle":"","parse-names":false,"suffix":""},{"dropping-particle":"","family":"Pillot","given":"Jean Paul","non-dropping-particle":"","parse-names":false,"suffix":""},{"dropping-particle":"","family":"Letisse","given":"Fabien","non-dropping-particle":"","parse-names":false,"suffix":""},{"dropping-particle":"","family":"Matusova","given":"Radoslava","non-dropping-particle":"","parse-names":false,"suffix":""},{"dropping-particle":"","family":"Danoun","given":"Saida","non-dropping-particle":"","parse-names":false,"suffix":""},{"dropping-particle":"","family":"Portais","given":"Jean Charles","non-dropping-particle":"","parse-names":false,"suffix":""},{"dropping-particle":"","family":"Bouwmeester","given":"Harro","non-dropping-particle":"","parse-names":false,"suffix":""},{"dropping-particle":"","family":"Bécard","given":"Guillaume","non-dropping-particle":"","parse-names":false,"suffix":""},{"dropping-particle":"","family":"Beveridge","given":"Christine A.","non-dropping-particle":"","parse-names":false,"suffix":""},{"dropping-particle":"","family":"Rameau","given":"Catherine","non-dropping-particle":"","parse-names":false,"suffix":""},{"dropping-particle":"","family":"Rochange","given":"Soizic F.","non-dropping-particle":"","parse-names":false,"suffix":""}],"container-title":"Nature","id":"ITEM-1","issue":"7210","issued":{"date-parts":[["2008","9"]]},"page":"189-194","title":"Strigolactone inhibition of shoot branching","type":"article-journal","volume":"455"},"uris":["http://www.mendeley.com/documents/?uuid=ec1a41e3-3358-357b-a7fb-54308a4379c1"]},{"id":"ITEM-2","itemData":{"DOI":"10.1038/nature07272","ISSN":"00280836","PMID":"18690207","abstract":"Shoot branching is a major determinant of plant architecture and is highly regulated by endogenous and environmental cues. Two classes of hormones, auxin and cytokinin, have long been known to have an important involvement in controlling shoot branching. Previous studies using a series of mutants with enhanced shoot branching suggested the existence of a third class of hormone(s) that is derived from carotenoids, but its chemical identity has been unknown. Here we show that levels of strigolactones, a group of terpenoid lactones, are significantly reduced in some of the branching mutants. Furthermore, application of strigolactones inhibits shoot branching in these mutants. Strigolactones were previously found in root exudates acting as communication chemicals with parasitic weeds and symbiotic arbuscular mycorrhizal fungi. Thus, we propose that strigolactones act as a new hormone class - or their biosynthetic precursors - in regulating above-ground plant architecture, and also have a function in underground communication with other neighbouring organisms. ©2008 Macmillan Publishers Limited. All rights reserved.","author":[{"dropping-particle":"","family":"Umehara","given":"Mikihisa","non-dropping-particle":"","parse-names":false,"suffix":""},{"dropping-particle":"","family":"Hanada","given":"Atsushi","non-dropping-particle":"","parse-names":false,"suffix":""},{"dropping-particle":"","family":"Yoshida","given":"Satoko","non-dropping-particle":"","parse-names":false,"suffix":""},{"dropping-particle":"","family":"Akiyama","given":"Kohki","non-dropping-particle":"","parse-names":false,"suffix":""},{"dropping-particle":"","family":"Arite","given":"Tomotsugu","non-dropping-particle":"","parse-names":false,"suffix":""},{"dropping-particle":"","family":"Takeda-Kamiya","given":"Noriko","non-dropping-particle":"","parse-names":false,"suffix":""},{"dropping-particle":"","family":"Magome","given":"Hiroshi","non-dropping-particle":"","parse-names":false,"suffix":""},{"dropping-particle":"","family":"Kamiya","given":"Yuji","non-dropping-particle":"","parse-names":false,"suffix":""},{"dropping-particle":"","family":"Shirasu","given":"Ken","non-dropping-particle":"","parse-names":false,"suffix":""},{"dropping-particle":"","family":"Yoneyama","given":"Koichi","non-dropping-particle":"","parse-names":false,"suffix":""},{"dropping-particle":"","family":"Kyozuka","given":"Junko","non-dropping-particle":"","parse-names":false,"suffix":""},{"dropping-particle":"","family":"Yamaguchi","given":"Shinjiro","non-dropping-particle":"","parse-names":false,"suffix":""}],"container-title":"Nature","id":"ITEM-2","issue":"7210","issued":{"date-parts":[["2008","9"]]},"page":"195-200","title":"Inhibition of shoot branching by new terpenoid plant hormones","type":"article-journal","volume":"455"},"uris":["http://www.mendeley.com/documents/?uuid=7319a5c9-fe7f-39d1-97d8-0c2381bd399e"]}],"mendeley":{"formattedCitation":"(Gomez-Roldan et al., 2008; Umehara et al., 2008)","plainTextFormattedCitation":"(Gomez-Roldan et al., 2008; Umehara et al., 2008)","previouslyFormattedCitation":"(Gomez-Roldan et al., 2008; Umehara et al., 2008)"},"properties":{"noteIndex":0},"schema":"https://github.com/citation-style-language/schema/raw/master/csl-citation.json"}</w:instrText>
      </w:r>
      <w:r>
        <w:rPr>
          <w:rFonts w:cs="Times New Roman"/>
          <w:bCs/>
        </w:rPr>
        <w:fldChar w:fldCharType="separate"/>
      </w:r>
      <w:r w:rsidRPr="0058683F">
        <w:rPr>
          <w:rFonts w:cs="Times New Roman"/>
          <w:bCs/>
          <w:noProof/>
        </w:rPr>
        <w:t>(Gomez-Roldan et al., 2008; Umehara et al., 2008)</w:t>
      </w:r>
      <w:r>
        <w:rPr>
          <w:rFonts w:cs="Times New Roman"/>
          <w:bCs/>
        </w:rPr>
        <w:fldChar w:fldCharType="end"/>
      </w:r>
      <w:r>
        <w:rPr>
          <w:rFonts w:cs="Times New Roman"/>
          <w:bCs/>
        </w:rPr>
        <w:t xml:space="preserve">. However their effect on root development is minimal and does not follow consistent trends between species </w:t>
      </w:r>
      <w:r>
        <w:rPr>
          <w:rFonts w:cs="Times New Roman"/>
          <w:bCs/>
        </w:rPr>
        <w:fldChar w:fldCharType="begin" w:fldLock="1"/>
      </w:r>
      <w:r w:rsidR="00CE53CB">
        <w:rPr>
          <w:rFonts w:cs="Times New Roman"/>
          <w:bCs/>
        </w:rPr>
        <w:instrText>ADDIN CSL_CITATION {"citationItems":[{"id":"ITEM-1","itemData":{"DOI":"10.1111/nph.16135","ISSN":"0028-646X","author":[{"dropping-particle":"","family":"Machin","given":"Darren C.","non-dropping-particle":"","parse-names":false,"suffix":""},{"dropping-particle":"","family":"Hamon</w:instrText>
      </w:r>
      <w:r w:rsidR="00CE53CB">
        <w:rPr>
          <w:rFonts w:ascii="Cambria Math" w:hAnsi="Cambria Math" w:cs="Cambria Math"/>
          <w:bCs/>
        </w:rPr>
        <w:instrText>‐</w:instrText>
      </w:r>
      <w:r w:rsidR="00CE53CB">
        <w:rPr>
          <w:rFonts w:cs="Times New Roman"/>
          <w:bCs/>
        </w:rPr>
        <w:instrText>Josse","given":"Maxime","non-dropping-particle":"","parse-names":false,"suffix":""},{"dropping-particle":"","family":"Bennett","given":"Tom","non-dropping-particle":"","parse-names":false,"suffix":""}],"container-title":"New Phytologist","id":"ITEM-1","issue":"2","issued":{"date-parts":[["2019","1","17"]]},"page":"621-636","title":"Fellowship of the rings: a saga of strigolactones and other small signals","type":"article-journal","volume":"225"},"uris":["http://www.mendeley.com/documents/?uuid=3503036a-5cde-3273-bae2-6d8a696d9afb"]},{"id":"ITEM-2","itemData":{"DOI":"10.1371/journal.pgen.1008327","ISSN":"1553-7404","abstract":"Karrikins are smoke-derived compounds presumed to mimic endogenous signalling molecules (KAI2-ligand, KL), whose signalling pathway is closely related to that of strigolactones (SLs), important regulators of plant development. Both karrikins/KLs and SLs are perceived by closely related a/ß hydrolase receptors (KAI2 and D14 respectively), and signalling through both receptors requires the F-box protein MAX2. Furthermore, both pathways trigger proteasome-mediated degradation of related SMAX1-LIKE (SMXL) proteins, to influence development. It has previously been suggested in multiple studies that SLs are important regulators of root and root hair development in Arabidopsis, but these conclusions are based on phenotypes observed in the non-specific max2 mutants and by use of racemic-GR24, a mixture of stereoisomers that activates both D14 and KAI2 signalling pathways. Here, we demonstrate that the majority of the effects on Arabidopsis root development previously attributed to SL signalling are actually mediated by the KAI2 signalling pathway. Using mutants defective in SL or KL synthesis and/or perception, we show that KAI2-mediated signalling alone regulates root hair density and root hair length as well as root skewing, straightness and diameter, while both KAI2 and D14 pathways regulate lateral root density and epidermal cell length. We test the key hypothesis that KAI2 signals by a non-canonical receptor-target mechanism in the context of root development. Our results provide no evidence for this, and we instead show that all effects of KAI2 in the root can be explained by canonical SMAX1/SMXL2 activity. However, we do find evidence for non-canonical GR24 ligand-receptor interactions in D14/KAI2-mediated root hair development. Overall, our results demonstrate that the KAI2 signalling pathway is an important new regulator of root hair and root development in Arabidopsis and lay an important basis for research into a molecular understanding of how very similar and partially overlapping hormone signalling pathways regulate different phenotypic outputs.","author":[{"dropping-particle":"","family":"Villaécija-Aguilar","given":"José Antonio","non-dropping-particle":"","parse-names":false,"suffix":""},{"dropping-particle":"","family":"Hamon-Josse","given":"Maxime","non-dropping-particle":"","parse-names":false,"suffix":""},{"dropping-particle":"","family":"Carbonnel","given":"Samy","non-dropping-particle":"","parse-names":false,"suffix":""},{"dropping-particle":"","family":"Kretschmar","given":"Annika","non-dropping-particle":"","parse-names":false,"suffix":""},{"dropping-particle":"","family":"Schmidt","given":"Christian","non-dropping-particle":"","parse-names":false,"suffix":""},{"dropping-particle":"","family":"Dawid","given":"Corinna","non-dropping-particle":"","parse-names":false,"suffix":""},{"dropping-particle":"","family":"Bennett","given":"Tom","non-dropping-particle":"","parse-names":false,"suffix":""},{"dropping-particle":"","family":"Gutjahr","given":"Caroline","non-dropping-particle":"","parse-names":false,"suffix":""}],"container-title":"PLOS Genetics","editor":[{"dropping-particle":"","family":"Muday","given":"Gloria K.","non-dropping-particle":"","parse-names":false,"suffix":""}],"id":"ITEM-2","issue":"8","issued":{"date-parts":[["2019","8","29"]]},"page":"e1008327","publisher":"Public Library of Science","title":"SMAX1/SMXL2 regulate root and root hair development downstream of KAI2-mediated signalling in Arabidopsis","type":"article-journal","volume":"15"},"uris":["http://www.mendeley.com/documents/?uuid=95387017-c37d-3ca4-9b47-d295a4061319"]},{"id":"ITEM-3","itemData":{"DOI":"10.1146/annurev-arplant-042916-040925","ISSN":"1543-5008","PMID":"28125281","abstract":"Strigolactones are a structurally diverse class of plant hormones that con- trol many aspects of shoot and root growth. Strigolactones are also exuded by plants into the rhizosphere, where they promote symbiotic interac- tions with arbuscular mycorrhizal fungi and germination of root parasitic plants in the Orobanchaceae family. Therefore, understanding how strigo- lactones are made, transported, and perceived may lead to agricultural innovations as well as a deeper knowledge of how plants function. Sub- stantial progress has been made in these areas over the past decade. In this review, we focus on the molecular mechanisms, core developmental roles, and evolutionary history of strigolactone signaling. We also propose poten- tial translational applications of strigolactone research to agriculture.","author":[{"dropping-particle":"","family":"Waters","given":"Mark T.","non-dropping-particle":"","parse-names":false,"suffix":""},{"dropping-particle":"","family":"Gutjahr","given":"Caroline","non-dropping-particle":"","parse-names":false,"suffix":""},{"dropping-particle":"","family":"Bennett","given":"Tom","non-dropping-particle":"","parse-names":false,"suffix":""},{"dropping-particle":"","family":"Nelson","given":"David C.","non-dropping-particle":"","parse-names":false,"suffix":""}],"container-title":"Annual Review of Plant Biology","id":"ITEM-3","issue":"1","issued":{"date-parts":[["2017","4","28"]]},"page":"291-322","publisher":"Annual Reviews","title":"Strigolactone signaling and evolution","type":"article-journal","volume":"68"},"uris":["http://www.mendeley.com/documents/?uuid=2ff4fa40-4212-3ef4-a9ee-7b110eaa8e01"]}],"mendeley":{"formattedCitation":"(Waters et al., 2017; Machin et al., 2019; Villaécija-Aguilar et al., 2019)","plainTextFormattedCitation":"(Waters et al., 2017; Machin et al., 2019; Villaécija-Aguilar et al., 2019)","previouslyFormattedCitation":"(Waters et al., 2017; Machin et al., 2019; Villaécija-Aguilar et al., 2019)"},"properties":{"noteIndex":0},"schema":"https://github.com/citation-style-language/schema/raw/master/csl-citation.json"}</w:instrText>
      </w:r>
      <w:r>
        <w:rPr>
          <w:rFonts w:cs="Times New Roman"/>
          <w:bCs/>
        </w:rPr>
        <w:fldChar w:fldCharType="separate"/>
      </w:r>
      <w:r w:rsidRPr="00E44598">
        <w:rPr>
          <w:rFonts w:cs="Times New Roman"/>
          <w:bCs/>
          <w:noProof/>
        </w:rPr>
        <w:t>(Waters et al., 2017; Machin et al., 2019; Villaécija-Aguilar et al., 2019)</w:t>
      </w:r>
      <w:r>
        <w:rPr>
          <w:rFonts w:cs="Times New Roman"/>
          <w:bCs/>
        </w:rPr>
        <w:fldChar w:fldCharType="end"/>
      </w:r>
      <w:r>
        <w:rPr>
          <w:rFonts w:cs="Times New Roman"/>
          <w:bCs/>
        </w:rPr>
        <w:t xml:space="preserve">. Grafting studies have suggested that SLs are primarily synthesised in the roots and can move from the root to the shoots </w:t>
      </w:r>
      <w:r>
        <w:rPr>
          <w:rFonts w:cs="Times New Roman"/>
          <w:bCs/>
        </w:rPr>
        <w:fldChar w:fldCharType="begin" w:fldLock="1"/>
      </w:r>
      <w:r>
        <w:rPr>
          <w:rFonts w:cs="Times New Roman"/>
          <w:bCs/>
        </w:rPr>
        <w:instrText>ADDIN CSL_CITATION {"citationItems":[{"id":"ITEM-1","itemData":{"DOI":"10.1016/j.pbi.2005.11.006","ISSN":"13695266","abstract":"Mutants that branch profusely in the presence of a growing shoot tip have highlighted the role of graft-transmissible signals that are produced in roots and stem. Orthologous genes in Arabidopsis, pea and petunia are involved in the transmission of a novel long-distance message. These genes show varying degrees of regulation by auxin and an auxin-independent feedback system, and encode enzymes that might act on carotenoid-like substrates. Axillary bud outgrowth is under homeostatic control, involving developmental stages or checkpoints. Perturbation of the long-range messaging and auxin depletion does not guarantee that bud outgrowth will ensue at a particular node. © 2005 Elsevier Ltd. All rights reserved.","author":[{"dropping-particle":"","family":"Beveridge","given":"Christine A.","non-dropping-particle":"","parse-names":false,"suffix":""}],"container-title":"Current Opinion in Plant Biology","id":"ITEM-1","issue":"1","issued":{"date-parts":[["2006","2"]]},"page":"35-40","title":"Axillary bud outgrowth: Sending a message","type":"article","volume":"9"},"uris":["http://www.mendeley.com/documents/?uuid=e39c81db-a8ec-321c-b888-845d73fbfb3e"]},{"id":"ITEM-2","itemData":{"DOI":"10.1016/j.tplants.2009.04.003","ISSN":"13601385","abstract":"The control of axillary bud outgrowth involves a network of hormonal signals and feedback regulation. A repressor of bud outgrowth that is central to the story has been missing since it was first postulated more than 70 years ago. This hormone moves upward in plant stems and can act as a long-distance messenger for auxin. Strigolactones, previously known as carotenoid-derived signals exuded from roots, fit the role of this elusive hormone. The discovery of branching inhibition by strigolactones will help solve many confusing aspects of branch control, including interactions with other signals, and is a great step forward toward uncovering the links between environment, genetics and plant form. © 2009 Elsevier Ltd. All rights reserved.","author":[{"dropping-particle":"","family":"Dun","given":"Elizabeth A.","non-dropping-particle":"","parse-names":false,"suffix":""},{"dropping-particle":"","family":"Brewer","given":"Philip B.","non-dropping-particle":"","parse-names":false,"suffix":""},{"dropping-particle":"","family":"Beveridge","given":"Christine A.","non-dropping-particle":"","parse-names":false,"suffix":""}],"container-title":"Trends in Plant Science","id":"ITEM-2","issue":"7","issued":{"date-parts":[["2009","7"]]},"page":"364-372","title":"Strigolactones: discovery of the elusive shoot branching hormone","type":"article","volume":"14"},"uris":["http://www.mendeley.com/documents/?uuid=c8d8456a-231d-330b-8c59-8b546fe9a9e9"]}],"mendeley":{"formattedCitation":"(Beveridge, 2006; Dun et al., 2009)","plainTextFormattedCitation":"(Beveridge, 2006; Dun et al., 2009)","previouslyFormattedCitation":"(Beveridge, 2006; Dun et al., 2009)"},"properties":{"noteIndex":0},"schema":"https://github.com/citation-style-language/schema/raw/master/csl-citation.json"}</w:instrText>
      </w:r>
      <w:r>
        <w:rPr>
          <w:rFonts w:cs="Times New Roman"/>
          <w:bCs/>
        </w:rPr>
        <w:fldChar w:fldCharType="separate"/>
      </w:r>
      <w:r w:rsidRPr="00B217B0">
        <w:rPr>
          <w:rFonts w:cs="Times New Roman"/>
          <w:bCs/>
          <w:noProof/>
        </w:rPr>
        <w:t>(Beveridge, 2006; Dun et al., 2009)</w:t>
      </w:r>
      <w:r>
        <w:rPr>
          <w:rFonts w:cs="Times New Roman"/>
          <w:bCs/>
        </w:rPr>
        <w:fldChar w:fldCharType="end"/>
      </w:r>
      <w:r>
        <w:rPr>
          <w:rFonts w:cs="Times New Roman"/>
          <w:bCs/>
        </w:rPr>
        <w:t xml:space="preserve">, in addition to their high concentration in </w:t>
      </w:r>
      <w:r>
        <w:rPr>
          <w:rFonts w:cs="Times New Roman"/>
          <w:bCs/>
        </w:rPr>
        <w:lastRenderedPageBreak/>
        <w:t xml:space="preserve">root tissues compared to the shoots </w:t>
      </w:r>
      <w:r>
        <w:rPr>
          <w:rFonts w:cs="Times New Roman"/>
          <w:bCs/>
        </w:rPr>
        <w:fldChar w:fldCharType="begin" w:fldLock="1"/>
      </w:r>
      <w:r>
        <w:rPr>
          <w:rFonts w:cs="Times New Roman"/>
          <w:bCs/>
        </w:rPr>
        <w:instrText>ADDIN CSL_CITATION {"citationItems":[{"id":"ITEM-1","itemData":{"DOI":"10.1007/s00425-007-0600-5","ISSN":"00320935","abstract":"Strigolactones released from plant roots induce hyphal branching of symbiotic arbuscular mycorrhizal (AM) fungi and germination of root parasitic weeds, Striga and Orobanche spp. We already demonstrated that, in red clover plants (Trifolium pratense L.), a host for both AM fungi and the root holoparasitic plant Orobanche minor Sm., reduced supply of phosphorus (P) but not of other elements examined (N, K, Ca, Mg) in the culture medium significantly promoted the secretion of a strigolactone, orobanchol, by the roots of this plant. Here we show that in the case of sorghum [Sorghum bicolor (L.) Moench], a host of both the root hemiparasitic plant Striga hermonthica and AM fungi, N deficiency as well as P deficiency markedly enhanced the secretion of a strigolactone, 5-deoxystrigol. The 5-deoxystrigol content in sorghum root tissues also increased under both N deficiency and P deficiency, comparable to the increase in the root exudates. These results suggest that strigolactones may be rapidly released after their production in the roots. Unlike the situation in the roots, neither N nor P deficiency affected the low content of 5-deoxystrigol in sorghum shoot tissues. © 2007 Springer-Verlag.","author":[{"dropping-particle":"","family":"Yoneyama","given":"Kaori","non-dropping-particle":"","parse-names":false,"suffix":""},{"dropping-particle":"","family":"Xie","given":"Xiaonan","non-dropping-particle":"","parse-names":false,"suffix":""},{"dropping-particle":"","family":"Kusumoto","given":"Dai","non-dropping-particle":"","parse-names":false,"suffix":""},{"dropping-particle":"","family":"Sekimoto","given":"Hitoshi","non-dropping-particle":"","parse-names":false,"suffix":""},{"dropping-particle":"","family":"Sugimoto","given":"Yukihiro","non-dropping-particle":"","parse-names":false,"suffix":""},{"dropping-particle":"","family":"Takeuchi","given":"Yasutomo","non-dropping-particle":"","parse-names":false,"suffix":""},{"dropping-particle":"","family":"Yoneyama","given":"Koichi","non-dropping-particle":"","parse-names":false,"suffix":""}],"container-title":"Planta","id":"ITEM-1","issue":"1","issued":{"date-parts":[["2007","12"]]},"page":"125-132","title":"Nitrogen deficiency as well as phosphorus deficiency in sorghum promotes the production and exudation of 5-deoxystrigol, the host recognition signal for arbuscular mycorrhizal fungi and root parasites","type":"article-journal","volume":"227"},"uris":["http://www.mendeley.com/documents/?uuid=2c22b4bc-ea2b-3579-8fc6-b1ca469d67cc"]},{"id":"ITEM-2","itemData":{"DOI":"10.1093/pcp/pcq084","ISSN":"00320781","abstract":"Strigolactones (SLs) or SL-derived metabolite(s) have recently been shown to act as endogenous inhibitors of axillary bud outgrowth. SLs released from roots induce hyphal branching of arbuscular mycorrhizal (AM) fungi that facilitate the uptake of inorganic nutrients, such as phosphate (Pi) and nitrate, by the host plants. Previous studies have shown that SL levels in root exudates are highly elevated by Pi starvation, which might contribute to successful symbiosis with AM fungi in the rhizosphere. However, how endogenous SL levels elevated by Pi starvation contribute to its hormonal action has been unknown. Here, we show that tiller bud outgrowth in wild-type rice seedlings is inhibited, while root 2'-epi-5-deoxystrigol (epi-5DS) levels are elevated, in response to decreasing Pi concentrations in the media. However, the suppression of tiller bud outgrowth under Pi deficiency does not occur in the SL-deficient and -insensitive mutants. We also show that the responsiveness to exogenous SL is slightly increased by Pi deficiency. When Pi-starved seedlings are transferred to Pi-sufficient media, tiller bud outgrowth is induced following a decrease in root epi-5DS levels. Taken together, these results suggest that elevated SL levels by Pi starvation contribute to the inhibition of tiller bud outgrowth in rice seedlings. We speculate that SL plays a dual role in the adaptation to Pi deficiency; one as a rhizosphere signal to maximize AM fungi symbiosis for improved Pi acquisition and the other as an endogenous hormone or its biosynthetic precursor to optimize shoot branching for efficient Pi utilization.","author":[{"dropping-particle":"","family":"Umehara","given":"Mikihisa","non-dropping-particle":"","parse-names":false,"suffix":""},{"dropping-particle":"","family":"Hanada","given":"Atsushi","non-dropping-particle":"","parse-names":false,"suffix":""},{"dropping-particle":"","family":"Magome","given":"Hiroshi","non-dropping-particle":"","parse-names":false,"suffix":""},{"dropping-particle":"","family":"Takeda-Kamiya","given":"Noriko","non-dropping-particle":"","parse-names":false,"suffix":""},{"dropping-particle":"","family":"Yamaguchi","given":"Shinjiro","non-dropping-particle":"","parse-names":false,"suffix":""}],"container-title":"Plant and Cell Physiology","id":"ITEM-2","issue":"7","issued":{"date-parts":[["2010","7"]]},"page":"1118-1126","title":"Contribution of strigolactones to the inhibition of tiller bud outgrowth under phosphate deficiency in rice","type":"article-journal","volume":"51"},"uris":["http://www.mendeley.com/documents/?uuid=a47ad1a8-cb31-3afe-bc6b-02e4209afd92"]},{"id":"ITEM-3","itemData":{"DOI":"10.1584/jpestics.D15-045","ISSN":"1348-589X","author":[{"dropping-particle":"","family":"Xie","given":"Xiaonan","non-dropping-particle":"","parse-names":false,"suffix":""},{"dropping-particle":"","family":"Yoneyama","given":"Kaori","non-dropping-particle":"","parse-names":false,"suffix":""},{"dropping-particle":"","family":"Kisugi","given":"Takaya","non-dropping-particle":"","parse-names":false,"suffix":""},{"dropping-particle":"","family":"Nomura","given":"Takahito","non-dropping-particle":"","parse-names":false,"suffix":""},{"dropping-particle":"","family":"Akiyama","given":"Kohki","non-dropping-particle":"","parse-names":false,"suffix":""},{"dropping-particle":"","family":"Asami","given":"Tadao","non-dropping-particle":"","parse-names":false,"suffix":""},{"dropping-particle":"","family":"Yoneyama","given":"Koichi","non-dropping-particle":"","parse-names":false,"suffix":""}],"container-title":"Journal of Pesticide Science","id":"ITEM-3","issue":"4","issued":{"date-parts":[["2015"]]},"page":"214-216","title":"Strigolactones are transported from roots to shoots, although not through the xylem","type":"article-journal","volume":"40"},"uris":["http://www.mendeley.com/documents/?uuid=49b0e082-52c6-3981-829e-d48614ea9a80"]}],"mendeley":{"formattedCitation":"(Yoneyama et al., 2007; Umehara et al., 2010; Xie et al., 2015)","plainTextFormattedCitation":"(Yoneyama et al., 2007; Umehara et al., 2010; Xie et al., 2015)","previouslyFormattedCitation":"(Yoneyama et al., 2007; Umehara et al., 2010; Xie et al., 2015)"},"properties":{"noteIndex":0},"schema":"https://github.com/citation-style-language/schema/raw/master/csl-citation.json"}</w:instrText>
      </w:r>
      <w:r>
        <w:rPr>
          <w:rFonts w:cs="Times New Roman"/>
          <w:bCs/>
        </w:rPr>
        <w:fldChar w:fldCharType="separate"/>
      </w:r>
      <w:r w:rsidRPr="00595475">
        <w:rPr>
          <w:rFonts w:cs="Times New Roman"/>
          <w:bCs/>
          <w:noProof/>
        </w:rPr>
        <w:t>(Yoneyama et al., 2007; Umehara et al., 2010; Xie et al., 2015)</w:t>
      </w:r>
      <w:r>
        <w:rPr>
          <w:rFonts w:cs="Times New Roman"/>
          <w:bCs/>
        </w:rPr>
        <w:fldChar w:fldCharType="end"/>
      </w:r>
      <w:r>
        <w:rPr>
          <w:rFonts w:cs="Times New Roman"/>
          <w:bCs/>
        </w:rPr>
        <w:t xml:space="preserve">. </w:t>
      </w:r>
    </w:p>
    <w:p w14:paraId="6CEBBD20" w14:textId="1C16D3C5" w:rsidR="00BC0FB9" w:rsidRDefault="00BC0FB9" w:rsidP="00BC0FB9">
      <w:pPr>
        <w:numPr>
          <w:ilvl w:val="1"/>
          <w:numId w:val="0"/>
        </w:numPr>
        <w:spacing w:before="160" w:line="480" w:lineRule="auto"/>
        <w:outlineLvl w:val="1"/>
        <w:rPr>
          <w:rFonts w:cs="Times New Roman"/>
          <w:bCs/>
        </w:rPr>
      </w:pPr>
      <w:r>
        <w:rPr>
          <w:rFonts w:cs="Times New Roman"/>
          <w:bCs/>
        </w:rPr>
        <w:t>Thus, SLs have characteristics that are similar to the hypothetical SVS signal. In addition, preliminary experiments from my MSc by Research project indicated that SLs may be important for plant-plant responses</w:t>
      </w:r>
      <w:r w:rsidR="00C60AE3">
        <w:rPr>
          <w:rFonts w:cs="Times New Roman"/>
          <w:bCs/>
        </w:rPr>
        <w:t xml:space="preserve"> </w:t>
      </w:r>
      <w:r w:rsidR="00C60AE3">
        <w:rPr>
          <w:rFonts w:cs="Times New Roman"/>
          <w:bCs/>
        </w:rPr>
        <w:fldChar w:fldCharType="begin" w:fldLock="1"/>
      </w:r>
      <w:r w:rsidR="00490FF4">
        <w:rPr>
          <w:rFonts w:cs="Times New Roman"/>
          <w:bCs/>
        </w:rPr>
        <w:instrText>ADDIN CSL_CITATION {"citationItems":[{"id":"ITEM-1","itemData":{"author":[{"dropping-particle":"","family":"Wheeldon","given":"Cara D.","non-dropping-particle":"","parse-names":false,"suffix":""}],"id":"ITEM-1","issued":{"date-parts":[["2019"]]},"number-of-pages":"1-76","publisher":"University Of Leeds","title":"Coordination of shoot growth with the soil environment by long-distance signalling","type":"thesis"},"uris":["http://www.mendeley.com/documents/?uuid=fe79d354-a09a-4bcc-bc01-d6476d25a5da"]}],"mendeley":{"formattedCitation":"(Wheeldon, 2019)","plainTextFormattedCitation":"(Wheeldon, 2019)","previouslyFormattedCitation":"(Wheeldon, 2019)"},"properties":{"noteIndex":0},"schema":"https://github.com/citation-style-language/schema/raw/master/csl-citation.json"}</w:instrText>
      </w:r>
      <w:r w:rsidR="00C60AE3">
        <w:rPr>
          <w:rFonts w:cs="Times New Roman"/>
          <w:bCs/>
        </w:rPr>
        <w:fldChar w:fldCharType="separate"/>
      </w:r>
      <w:r w:rsidR="00C60AE3" w:rsidRPr="00C60AE3">
        <w:rPr>
          <w:rFonts w:cs="Times New Roman"/>
          <w:bCs/>
          <w:noProof/>
        </w:rPr>
        <w:t>(Wheeldon, 2019)</w:t>
      </w:r>
      <w:r w:rsidR="00C60AE3">
        <w:rPr>
          <w:rFonts w:cs="Times New Roman"/>
          <w:bCs/>
        </w:rPr>
        <w:fldChar w:fldCharType="end"/>
      </w:r>
      <w:r>
        <w:rPr>
          <w:rFonts w:cs="Times New Roman"/>
          <w:bCs/>
        </w:rPr>
        <w:t>, but the details were yet to be explored. I therefore hypothesised that rhizospheric strigolactones are the hypothesised SVS signal.</w:t>
      </w:r>
    </w:p>
    <w:p w14:paraId="15CDCEDD" w14:textId="2EB74C05" w:rsidR="00BC0FB9" w:rsidRPr="00D6249C" w:rsidRDefault="00BC0FB9" w:rsidP="00BC0FB9">
      <w:pPr>
        <w:numPr>
          <w:ilvl w:val="1"/>
          <w:numId w:val="0"/>
        </w:numPr>
        <w:spacing w:before="160" w:line="480" w:lineRule="auto"/>
        <w:outlineLvl w:val="1"/>
        <w:rPr>
          <w:rFonts w:cs="Times New Roman"/>
          <w:bCs/>
          <w:color w:val="000000" w:themeColor="text1"/>
        </w:rPr>
      </w:pPr>
      <w:r w:rsidRPr="00D6249C">
        <w:rPr>
          <w:rFonts w:cs="Times New Roman"/>
          <w:bCs/>
          <w:color w:val="000000" w:themeColor="text1"/>
        </w:rPr>
        <w:t>In this chapter, I aimed to explore if SLs could act as plant-to-plant signal</w:t>
      </w:r>
      <w:r w:rsidR="0041425A">
        <w:rPr>
          <w:rFonts w:cs="Times New Roman"/>
          <w:bCs/>
          <w:color w:val="000000" w:themeColor="text1"/>
        </w:rPr>
        <w:t>s</w:t>
      </w:r>
      <w:r w:rsidRPr="00D6249C">
        <w:rPr>
          <w:rFonts w:cs="Times New Roman"/>
          <w:bCs/>
          <w:color w:val="000000" w:themeColor="text1"/>
        </w:rPr>
        <w:t xml:space="preserve"> and determine if SLs could also be the soil volume sensing signal (SVS).</w:t>
      </w:r>
    </w:p>
    <w:p w14:paraId="130DDC6C" w14:textId="77777777" w:rsidR="00BC0FB9" w:rsidRDefault="00BC0FB9" w:rsidP="00BC0FB9">
      <w:pPr>
        <w:numPr>
          <w:ilvl w:val="1"/>
          <w:numId w:val="0"/>
        </w:numPr>
        <w:spacing w:before="160" w:line="480" w:lineRule="auto"/>
        <w:outlineLvl w:val="1"/>
        <w:rPr>
          <w:rFonts w:cs="Times New Roman"/>
          <w:bCs/>
        </w:rPr>
      </w:pPr>
    </w:p>
    <w:p w14:paraId="0505B9CE" w14:textId="5D92A4C6" w:rsidR="00BC0FB9" w:rsidRDefault="00BC0FB9" w:rsidP="00743E4C">
      <w:pPr>
        <w:pStyle w:val="Heading2"/>
      </w:pPr>
      <w:bookmarkStart w:id="222" w:name="_Toc154331504"/>
      <w:r w:rsidRPr="00BC0FB9">
        <w:t>Environmental strigolactone is required for early neighbour and soil volume detection</w:t>
      </w:r>
      <w:bookmarkEnd w:id="222"/>
    </w:p>
    <w:p w14:paraId="624C1852" w14:textId="77777777" w:rsidR="00BC0FB9" w:rsidRDefault="00BC0FB9" w:rsidP="00BC0FB9"/>
    <w:p w14:paraId="747EE3AC" w14:textId="0D416128" w:rsidR="00BC0FB9" w:rsidRDefault="00BC0FB9" w:rsidP="00743E4C">
      <w:pPr>
        <w:pStyle w:val="Heading3"/>
      </w:pPr>
      <w:bookmarkStart w:id="223" w:name="_Toc154331505"/>
      <w:r w:rsidRPr="00B84192">
        <w:t xml:space="preserve">Strigolactone </w:t>
      </w:r>
      <w:r>
        <w:t>mutants lack early neighbour-induced shoot growth responses</w:t>
      </w:r>
      <w:bookmarkEnd w:id="223"/>
    </w:p>
    <w:p w14:paraId="48C26F1B" w14:textId="77777777" w:rsidR="00BC0FB9" w:rsidRDefault="00BC0FB9" w:rsidP="00BC0FB9"/>
    <w:p w14:paraId="78B15FEB" w14:textId="493A3747" w:rsidR="00BC0FB9" w:rsidRDefault="00BC0FB9" w:rsidP="00FB4EDD">
      <w:pPr>
        <w:numPr>
          <w:ilvl w:val="1"/>
          <w:numId w:val="0"/>
        </w:numPr>
        <w:spacing w:before="160" w:line="480" w:lineRule="auto"/>
        <w:outlineLvl w:val="1"/>
        <w:rPr>
          <w:rFonts w:cs="Times New Roman"/>
          <w:bCs/>
        </w:rPr>
      </w:pPr>
      <w:r>
        <w:rPr>
          <w:rFonts w:cs="Times New Roman"/>
          <w:bCs/>
        </w:rPr>
        <w:t>If rhizospheric SLs acts as the SVS signal, then mutants that do not synthesise SLs should fail to respond to the presence of neighbours early in the</w:t>
      </w:r>
      <w:r w:rsidR="002D5D39">
        <w:rPr>
          <w:rFonts w:cs="Times New Roman"/>
          <w:bCs/>
        </w:rPr>
        <w:t>ir</w:t>
      </w:r>
      <w:r>
        <w:rPr>
          <w:rFonts w:cs="Times New Roman"/>
          <w:bCs/>
        </w:rPr>
        <w:t xml:space="preserve"> life-cycle. Wild-type (WT) pea plants are able to synthesise and exude SLs however </w:t>
      </w:r>
      <w:r w:rsidRPr="00D954B1">
        <w:rPr>
          <w:rFonts w:cs="Times New Roman"/>
          <w:bCs/>
          <w:i/>
          <w:iCs/>
        </w:rPr>
        <w:t>ramosus</w:t>
      </w:r>
      <w:r>
        <w:rPr>
          <w:rFonts w:cs="Times New Roman"/>
          <w:bCs/>
          <w:i/>
          <w:iCs/>
        </w:rPr>
        <w:t>1</w:t>
      </w:r>
      <w:r>
        <w:rPr>
          <w:rFonts w:cs="Times New Roman"/>
          <w:bCs/>
        </w:rPr>
        <w:t xml:space="preserve"> (</w:t>
      </w:r>
      <w:r w:rsidRPr="00C263C8">
        <w:rPr>
          <w:rFonts w:cs="Times New Roman"/>
          <w:bCs/>
          <w:i/>
          <w:iCs/>
        </w:rPr>
        <w:t>rms1</w:t>
      </w:r>
      <w:r>
        <w:rPr>
          <w:rFonts w:cs="Times New Roman"/>
          <w:bCs/>
          <w:i/>
          <w:iCs/>
        </w:rPr>
        <w:t xml:space="preserve">) </w:t>
      </w:r>
      <w:r>
        <w:rPr>
          <w:rFonts w:cs="Times New Roman"/>
          <w:bCs/>
        </w:rPr>
        <w:t xml:space="preserve">mutants that lack the CCD8 enzyme </w:t>
      </w:r>
      <w:sdt>
        <w:sdtPr>
          <w:rPr>
            <w:rFonts w:cs="Times New Roman"/>
            <w:bCs/>
            <w:color w:val="000000"/>
          </w:rPr>
          <w:tag w:val="MENDELEY_CITATION_v3_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"/>
          <w:id w:val="-1504972962"/>
          <w:placeholder>
            <w:docPart w:val="C15A993F57C646B3BAD26E45A9E7AF44"/>
          </w:placeholder>
        </w:sdtPr>
        <w:sdtContent>
          <w:r w:rsidRPr="00C077E0">
            <w:rPr>
              <w:rFonts w:cs="Times New Roman"/>
              <w:bCs/>
              <w:color w:val="000000"/>
            </w:rPr>
            <w:t>(Sorefan et al., 2003)</w:t>
          </w:r>
        </w:sdtContent>
      </w:sdt>
      <w:r>
        <w:rPr>
          <w:rFonts w:cs="Times New Roman"/>
          <w:bCs/>
          <w:color w:val="000000"/>
        </w:rPr>
        <w:t xml:space="preserve"> (Fig 5.1A) </w:t>
      </w:r>
      <w:r>
        <w:rPr>
          <w:rFonts w:cs="Times New Roman"/>
          <w:bCs/>
        </w:rPr>
        <w:t xml:space="preserve">cannot synthesise SLs, and hence </w:t>
      </w:r>
      <w:r w:rsidRPr="00246199">
        <w:rPr>
          <w:rFonts w:cs="Times New Roman"/>
          <w:bCs/>
          <w:i/>
          <w:iCs/>
        </w:rPr>
        <w:t>rms1</w:t>
      </w:r>
      <w:r>
        <w:rPr>
          <w:rFonts w:cs="Times New Roman"/>
          <w:bCs/>
        </w:rPr>
        <w:t xml:space="preserve"> plants are highly branched and short in stature compared to WT plants. Together with Hannah Lund and Maxime Hamon-Josse, I grew WT (L77) and </w:t>
      </w:r>
      <w:r w:rsidRPr="00C263C8">
        <w:rPr>
          <w:rFonts w:cs="Times New Roman"/>
          <w:bCs/>
          <w:i/>
          <w:iCs/>
        </w:rPr>
        <w:t>rms1</w:t>
      </w:r>
      <w:r>
        <w:rPr>
          <w:rFonts w:cs="Times New Roman"/>
          <w:bCs/>
          <w:i/>
          <w:iCs/>
        </w:rPr>
        <w:t xml:space="preserve">-1 </w:t>
      </w:r>
      <w:r w:rsidRPr="00743F86">
        <w:rPr>
          <w:rFonts w:cs="Times New Roman"/>
          <w:bCs/>
        </w:rPr>
        <w:t>(</w:t>
      </w:r>
      <w:r>
        <w:rPr>
          <w:rFonts w:cs="Times New Roman"/>
          <w:bCs/>
          <w:i/>
          <w:iCs/>
        </w:rPr>
        <w:t xml:space="preserve">rms1 </w:t>
      </w:r>
      <w:r w:rsidRPr="00743F86">
        <w:rPr>
          <w:rFonts w:cs="Times New Roman"/>
          <w:bCs/>
        </w:rPr>
        <w:t>from here</w:t>
      </w:r>
      <w:r>
        <w:rPr>
          <w:rFonts w:cs="Times New Roman"/>
          <w:bCs/>
        </w:rPr>
        <w:t>after</w:t>
      </w:r>
      <w:r w:rsidRPr="00743F86">
        <w:rPr>
          <w:rFonts w:cs="Times New Roman"/>
          <w:bCs/>
        </w:rPr>
        <w:t>)</w:t>
      </w:r>
      <w:r>
        <w:rPr>
          <w:rFonts w:cs="Times New Roman"/>
          <w:bCs/>
        </w:rPr>
        <w:t xml:space="preserve"> pea plants in 1L hydroponic pots</w:t>
      </w:r>
      <w:r w:rsidR="002D5D39">
        <w:rPr>
          <w:rFonts w:cs="Times New Roman"/>
          <w:bCs/>
        </w:rPr>
        <w:t>,</w:t>
      </w:r>
      <w:r>
        <w:rPr>
          <w:rFonts w:cs="Times New Roman"/>
          <w:bCs/>
        </w:rPr>
        <w:t xml:space="preserve"> in 1 plant per pot (1/pot) or 4 plants per pot (4/pot) treatments </w:t>
      </w:r>
      <w:sdt>
        <w:sdtPr>
          <w:rPr>
            <w:rFonts w:cs="Times New Roman"/>
            <w:bCs/>
            <w:color w:val="000000"/>
          </w:rPr>
          <w:tag w:val="MENDELEY_CITATION_v3_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"/>
          <w:id w:val="1893155576"/>
          <w:placeholder>
            <w:docPart w:val="5FC6BDD4D8834A9BBD9E47B174EC7338"/>
          </w:placeholder>
        </w:sdtPr>
        <w:sdtContent>
          <w:r w:rsidRPr="00A91DDC">
            <w:rPr>
              <w:rFonts w:cs="Times New Roman"/>
              <w:bCs/>
              <w:color w:val="000000"/>
            </w:rPr>
            <w:t>(Wheeldon et al., 2022)</w:t>
          </w:r>
        </w:sdtContent>
      </w:sdt>
      <w:r>
        <w:rPr>
          <w:rFonts w:cs="Times New Roman"/>
          <w:bCs/>
        </w:rPr>
        <w:t xml:space="preserve">. </w:t>
      </w:r>
      <w:r w:rsidR="002D5D39">
        <w:rPr>
          <w:rFonts w:cs="Times New Roman"/>
          <w:bCs/>
        </w:rPr>
        <w:t xml:space="preserve">As discussed in </w:t>
      </w:r>
      <w:r w:rsidR="002D5D39">
        <w:rPr>
          <w:rFonts w:cs="Times New Roman"/>
          <w:bCs/>
        </w:rPr>
        <w:lastRenderedPageBreak/>
        <w:t>chapter 4, u</w:t>
      </w:r>
      <w:r>
        <w:rPr>
          <w:rFonts w:cs="Times New Roman"/>
          <w:bCs/>
        </w:rPr>
        <w:t xml:space="preserve">sing a hydroponic system allowed for careful control of nutrient availability and easy distribution of any </w:t>
      </w:r>
      <w:r w:rsidR="00B71CA1" w:rsidRPr="006A0C86">
        <w:rPr>
          <w:rFonts w:cs="Times New Roman"/>
          <w:bCs/>
        </w:rPr>
        <w:t>soluble</w:t>
      </w:r>
      <w:r w:rsidR="00B71CA1">
        <w:rPr>
          <w:rFonts w:cs="Times New Roman"/>
          <w:bCs/>
        </w:rPr>
        <w:t xml:space="preserve"> </w:t>
      </w:r>
      <w:r>
        <w:rPr>
          <w:rFonts w:cs="Times New Roman"/>
          <w:bCs/>
        </w:rPr>
        <w:t xml:space="preserve">root exudate throughout the pot. </w:t>
      </w:r>
    </w:p>
    <w:p w14:paraId="47B9BD7F" w14:textId="60064122" w:rsidR="00BC0FB9" w:rsidRDefault="00BC0FB9" w:rsidP="00BC0FB9">
      <w:pPr>
        <w:numPr>
          <w:ilvl w:val="1"/>
          <w:numId w:val="0"/>
        </w:numPr>
        <w:spacing w:before="160" w:line="480" w:lineRule="auto"/>
        <w:outlineLvl w:val="1"/>
        <w:rPr>
          <w:rFonts w:cs="Times New Roman"/>
          <w:bCs/>
        </w:rPr>
      </w:pPr>
      <w:r>
        <w:rPr>
          <w:rFonts w:cs="Times New Roman"/>
          <w:bCs/>
        </w:rPr>
        <w:t>Shoot branches were counted weekly</w:t>
      </w:r>
      <w:r w:rsidRPr="00C238D4">
        <w:rPr>
          <w:rFonts w:cs="Times New Roman"/>
          <w:bCs/>
        </w:rPr>
        <w:t xml:space="preserve"> </w:t>
      </w:r>
      <w:r>
        <w:rPr>
          <w:rFonts w:cs="Times New Roman"/>
          <w:bCs/>
        </w:rPr>
        <w:t>to observe any shoot growth responses to neighbouring plants</w:t>
      </w:r>
      <w:r w:rsidR="00B961B5">
        <w:rPr>
          <w:rFonts w:cs="Times New Roman"/>
          <w:bCs/>
        </w:rPr>
        <w:t xml:space="preserve"> (Fig</w:t>
      </w:r>
      <w:r w:rsidR="00B0128F">
        <w:rPr>
          <w:rFonts w:cs="Times New Roman"/>
          <w:bCs/>
        </w:rPr>
        <w:t>. 5.1B)</w:t>
      </w:r>
      <w:r>
        <w:rPr>
          <w:rFonts w:cs="Times New Roman"/>
          <w:bCs/>
        </w:rPr>
        <w:t xml:space="preserve">. WT plants produced more branches in 1/pot treatments than the 4/pot treatments (per plant) as </w:t>
      </w:r>
      <w:r w:rsidR="007E2CCA" w:rsidRPr="003F0BB8">
        <w:rPr>
          <w:rFonts w:cs="Times New Roman"/>
          <w:bCs/>
        </w:rPr>
        <w:t>found in</w:t>
      </w:r>
      <w:r>
        <w:rPr>
          <w:rFonts w:cs="Times New Roman"/>
          <w:bCs/>
        </w:rPr>
        <w:t xml:space="preserve"> previous experiments (Chapter 3.</w:t>
      </w:r>
      <w:r w:rsidR="002D5D39">
        <w:rPr>
          <w:rFonts w:cs="Times New Roman"/>
          <w:bCs/>
        </w:rPr>
        <w:t>2</w:t>
      </w:r>
      <w:r>
        <w:rPr>
          <w:rFonts w:cs="Times New Roman"/>
          <w:bCs/>
        </w:rPr>
        <w:t>.4). Between week 3 and 4 post-germination there was a divergence in WT branch numbers between the 1/pot and 4/pot treatments</w:t>
      </w:r>
      <w:r w:rsidR="00FA5EC4">
        <w:rPr>
          <w:rFonts w:cs="Times New Roman"/>
          <w:bCs/>
        </w:rPr>
        <w:t xml:space="preserve"> (Fig. 5.1B)</w:t>
      </w:r>
      <w:r>
        <w:rPr>
          <w:rFonts w:cs="Times New Roman"/>
          <w:bCs/>
        </w:rPr>
        <w:t>, consistent with the previously observed SVS effects in wheat (Fig</w:t>
      </w:r>
      <w:r w:rsidR="00FA5EC4">
        <w:rPr>
          <w:rFonts w:cs="Times New Roman"/>
          <w:bCs/>
        </w:rPr>
        <w:t>.</w:t>
      </w:r>
      <w:r>
        <w:rPr>
          <w:rFonts w:cs="Times New Roman"/>
          <w:bCs/>
        </w:rPr>
        <w:t xml:space="preserve"> </w:t>
      </w:r>
      <w:r w:rsidR="002D5D39">
        <w:rPr>
          <w:rFonts w:cs="Times New Roman"/>
          <w:bCs/>
        </w:rPr>
        <w:t>3.2</w:t>
      </w:r>
      <w:r>
        <w:rPr>
          <w:rFonts w:cs="Times New Roman"/>
          <w:bCs/>
        </w:rPr>
        <w:t xml:space="preserve">). As </w:t>
      </w:r>
      <w:r w:rsidRPr="00EB76E8">
        <w:rPr>
          <w:rFonts w:cs="Times New Roman"/>
          <w:bCs/>
          <w:i/>
          <w:iCs/>
        </w:rPr>
        <w:t>rms1</w:t>
      </w:r>
      <w:r>
        <w:rPr>
          <w:rFonts w:cs="Times New Roman"/>
          <w:bCs/>
        </w:rPr>
        <w:t xml:space="preserve"> plants have increased branching due to a lack of SL synthesis, </w:t>
      </w:r>
      <w:r w:rsidRPr="00EB76E8">
        <w:rPr>
          <w:rFonts w:cs="Times New Roman"/>
          <w:bCs/>
          <w:i/>
          <w:iCs/>
        </w:rPr>
        <w:t>rms1</w:t>
      </w:r>
      <w:r>
        <w:rPr>
          <w:rFonts w:cs="Times New Roman"/>
          <w:bCs/>
        </w:rPr>
        <w:t xml:space="preserve"> plants consistently had higher branch numbers than WT plants throughout the experiment</w:t>
      </w:r>
      <w:r w:rsidR="00B0128F">
        <w:rPr>
          <w:rFonts w:cs="Times New Roman"/>
          <w:bCs/>
        </w:rPr>
        <w:t xml:space="preserve"> (Fig. 5.1B)</w:t>
      </w:r>
      <w:r>
        <w:rPr>
          <w:rFonts w:cs="Times New Roman"/>
          <w:bCs/>
        </w:rPr>
        <w:t xml:space="preserve">. Intriguingly, the divergence seen between the WT treatments in weeks 3-4 was not present in </w:t>
      </w:r>
      <w:r w:rsidRPr="00725983">
        <w:rPr>
          <w:rFonts w:cs="Times New Roman"/>
          <w:bCs/>
          <w:i/>
          <w:iCs/>
        </w:rPr>
        <w:t>rms1</w:t>
      </w:r>
      <w:r>
        <w:rPr>
          <w:rFonts w:cs="Times New Roman"/>
          <w:bCs/>
        </w:rPr>
        <w:t xml:space="preserve"> plants. However, by 6 weeks post-germination, the </w:t>
      </w:r>
      <w:r w:rsidRPr="00752187">
        <w:rPr>
          <w:rFonts w:cs="Times New Roman"/>
          <w:bCs/>
          <w:i/>
          <w:iCs/>
        </w:rPr>
        <w:t>rms1</w:t>
      </w:r>
      <w:r>
        <w:rPr>
          <w:rFonts w:cs="Times New Roman"/>
          <w:bCs/>
        </w:rPr>
        <w:t xml:space="preserve"> 1/pot plants produced a higher branch number than their </w:t>
      </w:r>
      <w:r w:rsidRPr="00EB76E8">
        <w:rPr>
          <w:rFonts w:cs="Times New Roman"/>
          <w:bCs/>
          <w:i/>
          <w:iCs/>
        </w:rPr>
        <w:t>rms1</w:t>
      </w:r>
      <w:r>
        <w:rPr>
          <w:rFonts w:cs="Times New Roman"/>
          <w:bCs/>
        </w:rPr>
        <w:t xml:space="preserve"> 4/pot counterparts (Fig 5.1B). WT 1/pot and 4/pot plants continued to diverge in branch number during this timeframe. This suggested that the </w:t>
      </w:r>
      <w:r w:rsidRPr="000B6FF7">
        <w:rPr>
          <w:rFonts w:cs="Times New Roman"/>
          <w:bCs/>
          <w:i/>
          <w:iCs/>
        </w:rPr>
        <w:t>rms1</w:t>
      </w:r>
      <w:r>
        <w:rPr>
          <w:rFonts w:cs="Times New Roman"/>
          <w:bCs/>
        </w:rPr>
        <w:t xml:space="preserve"> plants lack the early shoot growth response to neighbours but respond normally later on. This suggests that responses to neighbour detection follow the same two-stage mechanism as for soil volume,</w:t>
      </w:r>
      <w:r w:rsidR="002A500F">
        <w:rPr>
          <w:rFonts w:cs="Times New Roman"/>
          <w:bCs/>
        </w:rPr>
        <w:t xml:space="preserve"> which is</w:t>
      </w:r>
      <w:r>
        <w:rPr>
          <w:rFonts w:cs="Times New Roman"/>
          <w:bCs/>
        </w:rPr>
        <w:t xml:space="preserve"> consistent with the interchangeability of neighbour density and soil volume responses</w:t>
      </w:r>
      <w:r w:rsidR="002A500F">
        <w:rPr>
          <w:rFonts w:cs="Times New Roman"/>
          <w:bCs/>
        </w:rPr>
        <w:t xml:space="preserve"> (Section 3.2)</w:t>
      </w:r>
      <w:r>
        <w:rPr>
          <w:rFonts w:cs="Times New Roman"/>
          <w:bCs/>
        </w:rPr>
        <w:t xml:space="preserve">. </w:t>
      </w:r>
      <w:r w:rsidR="002A500F">
        <w:rPr>
          <w:rFonts w:cs="Times New Roman"/>
          <w:bCs/>
        </w:rPr>
        <w:t>Together this suggests that i</w:t>
      </w:r>
      <w:r>
        <w:rPr>
          <w:rFonts w:cs="Times New Roman"/>
          <w:bCs/>
        </w:rPr>
        <w:t xml:space="preserve">n the first phase, SL is important for neighbour detection but in the second, later phase, SL is not required </w:t>
      </w:r>
      <w:sdt>
        <w:sdtPr>
          <w:rPr>
            <w:rFonts w:cs="Times New Roman"/>
            <w:bCs/>
            <w:color w:val="000000"/>
          </w:rPr>
          <w:tag w:val="MENDELEY_CITATION_v3_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"/>
          <w:id w:val="2138755544"/>
          <w:placeholder>
            <w:docPart w:val="5FC6BDD4D8834A9BBD9E47B174EC7338"/>
          </w:placeholder>
        </w:sdtPr>
        <w:sdtContent>
          <w:r w:rsidRPr="00EB76E8">
            <w:rPr>
              <w:rFonts w:cs="Times New Roman"/>
              <w:bCs/>
              <w:color w:val="000000"/>
            </w:rPr>
            <w:t>(Wheeldon et al., 2022)</w:t>
          </w:r>
        </w:sdtContent>
      </w:sdt>
      <w:r>
        <w:rPr>
          <w:rFonts w:cs="Times New Roman"/>
          <w:bCs/>
        </w:rPr>
        <w:t xml:space="preserve">. </w:t>
      </w:r>
    </w:p>
    <w:p w14:paraId="55BBB7A3" w14:textId="287CCC95" w:rsidR="00656695" w:rsidRDefault="00963252" w:rsidP="00656695">
      <w:pPr>
        <w:pStyle w:val="Caption"/>
        <w:rPr>
          <w:rFonts w:cs="Times New Roman"/>
          <w:bCs w:val="0"/>
          <w:sz w:val="24"/>
        </w:rPr>
      </w:pPr>
      <w:bookmarkStart w:id="224" w:name="_Toc154331588"/>
      <w:r>
        <w:rPr>
          <w:rFonts w:cs="Times New Roman"/>
          <w:bCs w:val="0"/>
          <w:noProof/>
        </w:rPr>
        <w:lastRenderedPageBreak/>
        <w:drawing>
          <wp:anchor distT="0" distB="0" distL="114300" distR="114300" simplePos="0" relativeHeight="251821568" behindDoc="0" locked="0" layoutInCell="1" allowOverlap="1" wp14:anchorId="7D4DF934" wp14:editId="76FE5D01">
            <wp:simplePos x="0" y="0"/>
            <wp:positionH relativeFrom="margin">
              <wp:align>right</wp:align>
            </wp:positionH>
            <wp:positionV relativeFrom="paragraph">
              <wp:posOffset>3419</wp:posOffset>
            </wp:positionV>
            <wp:extent cx="5182870" cy="6031865"/>
            <wp:effectExtent l="0" t="0" r="0" b="6985"/>
            <wp:wrapSquare wrapText="bothSides"/>
            <wp:docPr id="1160161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161203" name="Picture 116016120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182870" cy="6031865"/>
                    </a:xfrm>
                    <a:prstGeom prst="rect">
                      <a:avLst/>
                    </a:prstGeom>
                  </pic:spPr>
                </pic:pic>
              </a:graphicData>
            </a:graphic>
          </wp:anchor>
        </w:drawing>
      </w:r>
      <w:bookmarkStart w:id="225" w:name="_Toc146657578"/>
      <w:r w:rsidR="00656695" w:rsidRPr="00656695">
        <w:t xml:space="preserve"> </w:t>
      </w:r>
      <w:r w:rsidR="00656695">
        <w:t xml:space="preserve">Figure </w:t>
      </w:r>
      <w:fldSimple w:instr=" STYLEREF 1 \s ">
        <w:r w:rsidR="004B7F70">
          <w:rPr>
            <w:noProof/>
          </w:rPr>
          <w:t>5</w:t>
        </w:r>
      </w:fldSimple>
      <w:r w:rsidR="00656695">
        <w:t>.</w:t>
      </w:r>
      <w:fldSimple w:instr=" SEQ Figure \* ARABIC \s 1 ">
        <w:r w:rsidR="004B7F70">
          <w:rPr>
            <w:noProof/>
          </w:rPr>
          <w:t>1</w:t>
        </w:r>
      </w:fldSimple>
      <w:r w:rsidR="00656695">
        <w:t xml:space="preserve"> </w:t>
      </w:r>
      <w:r w:rsidR="00656695" w:rsidRPr="00C123F0">
        <w:t>Exuded strigolactones (SL) influence the shoot branching of neighbours</w:t>
      </w:r>
      <w:bookmarkEnd w:id="224"/>
      <w:bookmarkEnd w:id="225"/>
    </w:p>
    <w:p w14:paraId="1D80DBC2" w14:textId="7DAD7B65" w:rsidR="00656695" w:rsidRDefault="00656695" w:rsidP="00656695">
      <w:pPr>
        <w:pStyle w:val="Description"/>
      </w:pPr>
      <w:r w:rsidRPr="00DF00AD">
        <w:t xml:space="preserve">Graphs showing wildtype (WT) and </w:t>
      </w:r>
      <w:r w:rsidRPr="00DF00AD">
        <w:rPr>
          <w:i/>
          <w:iCs/>
        </w:rPr>
        <w:t>rms1</w:t>
      </w:r>
      <w:r>
        <w:rPr>
          <w:i/>
          <w:iCs/>
        </w:rPr>
        <w:t>-1</w:t>
      </w:r>
      <w:r w:rsidRPr="00DF00AD">
        <w:t xml:space="preserve"> (background L77) </w:t>
      </w:r>
      <w:r w:rsidRPr="00DF00AD">
        <w:rPr>
          <w:i/>
          <w:iCs/>
        </w:rPr>
        <w:t xml:space="preserve">Pisum sativum </w:t>
      </w:r>
      <w:r w:rsidRPr="00DF00AD">
        <w:t>(pea) plants grown hydroponically in 1 plant per pot (1/pot) and 4 plants per pot (4/pot)</w:t>
      </w:r>
      <w:r>
        <w:t>.</w:t>
      </w:r>
    </w:p>
    <w:p w14:paraId="737B5865" w14:textId="77777777" w:rsidR="00656695" w:rsidRPr="00DF00AD" w:rsidRDefault="00656695" w:rsidP="00656695">
      <w:pPr>
        <w:pStyle w:val="Description"/>
      </w:pPr>
      <w:r>
        <w:t xml:space="preserve">A) Figure showing the strigolactone (SL) biosynthesis and signalling pathways in </w:t>
      </w:r>
      <w:r>
        <w:rPr>
          <w:i/>
          <w:iCs/>
        </w:rPr>
        <w:t>Pi</w:t>
      </w:r>
      <w:r w:rsidRPr="005B4436">
        <w:rPr>
          <w:i/>
          <w:iCs/>
        </w:rPr>
        <w:t>sum sativum</w:t>
      </w:r>
      <w:r>
        <w:t xml:space="preserve"> (pea). Specific gene names in pea are shown in green (black gene names preceding these are used in several other species), large black font connected by arrows are the chemical intermediates, 3 of the products of the SL biosynthesis pathway in pea are shown at the bottom left branch of the diagram. Genes required for SL perception in pea are shown within the box on the right of the diagram.</w:t>
      </w:r>
    </w:p>
    <w:p w14:paraId="5DFB205D" w14:textId="1148485B" w:rsidR="00656695" w:rsidRPr="00DF00AD" w:rsidRDefault="00656695" w:rsidP="00656695">
      <w:pPr>
        <w:pStyle w:val="Description"/>
      </w:pPr>
      <w:r>
        <w:t>B</w:t>
      </w:r>
      <w:r w:rsidRPr="00DF00AD">
        <w:t xml:space="preserve">) Line graph of mean shoot branch number per plant of WT (green) and </w:t>
      </w:r>
      <w:r w:rsidRPr="00DF00AD">
        <w:rPr>
          <w:i/>
          <w:iCs/>
        </w:rPr>
        <w:t>rms1</w:t>
      </w:r>
      <w:r w:rsidRPr="00DF00AD">
        <w:t xml:space="preserve"> (purple) pea plants grown 1/pot (solid line) and 4/pot (dotted line) from weeks 3 to 6 post germination. Error bars are s.e.m, n=4-7. Asterisks show significant difference between the treatments</w:t>
      </w:r>
      <w:r w:rsidR="00EA6C05">
        <w:t xml:space="preserve"> </w:t>
      </w:r>
      <w:r w:rsidRPr="00DF00AD">
        <w:t>(Independent samples t-test, p&lt;0.05).</w:t>
      </w:r>
    </w:p>
    <w:p w14:paraId="06156B6D" w14:textId="67DA49C0" w:rsidR="00656695" w:rsidRDefault="00656695" w:rsidP="00656695">
      <w:pPr>
        <w:pStyle w:val="Description"/>
      </w:pPr>
      <w:r>
        <w:lastRenderedPageBreak/>
        <w:t>C</w:t>
      </w:r>
      <w:r w:rsidRPr="00DF00AD">
        <w:t xml:space="preserve">) Line graph of mean shoot branch number per plant of WT (green) and </w:t>
      </w:r>
      <w:r w:rsidRPr="00DF00AD">
        <w:rPr>
          <w:i/>
          <w:iCs/>
        </w:rPr>
        <w:t>rms1</w:t>
      </w:r>
      <w:r w:rsidRPr="00DF00AD">
        <w:t xml:space="preserve"> (purple) pea plants grown 1/pot (solid line) and 1/pot with GR24 (dotted line) from weeks 3 to 6 post germination. Error bars are s.e.m, n=4-7. Asterisks show significant difference between the treatments</w:t>
      </w:r>
      <w:r w:rsidR="00884A97">
        <w:t xml:space="preserve"> </w:t>
      </w:r>
      <w:r w:rsidRPr="00DF00AD">
        <w:t>(Independent samples t-test, p&lt;0.05).</w:t>
      </w:r>
    </w:p>
    <w:p w14:paraId="7EC6EDB1" w14:textId="77777777" w:rsidR="00656695" w:rsidRDefault="00656695" w:rsidP="00656695">
      <w:pPr>
        <w:pStyle w:val="Description"/>
      </w:pPr>
      <w:r>
        <w:t>Figure modified from Wheeldon et al, 2022.</w:t>
      </w:r>
    </w:p>
    <w:p w14:paraId="3BA7862E" w14:textId="309988E0" w:rsidR="00BC0FB9" w:rsidRDefault="00BC0FB9" w:rsidP="00BC0FB9">
      <w:pPr>
        <w:keepNext/>
        <w:keepLines/>
        <w:numPr>
          <w:ilvl w:val="1"/>
          <w:numId w:val="0"/>
        </w:numPr>
        <w:spacing w:before="160" w:line="480" w:lineRule="auto"/>
        <w:outlineLvl w:val="1"/>
        <w:rPr>
          <w:rFonts w:cs="Times New Roman"/>
          <w:bCs/>
        </w:rPr>
      </w:pPr>
    </w:p>
    <w:p w14:paraId="5EE6C429" w14:textId="0FDF414E" w:rsidR="00BC0FB9" w:rsidRDefault="00BC0FB9" w:rsidP="00BC0FB9">
      <w:pPr>
        <w:numPr>
          <w:ilvl w:val="1"/>
          <w:numId w:val="0"/>
        </w:numPr>
        <w:spacing w:before="160" w:line="480" w:lineRule="auto"/>
        <w:outlineLvl w:val="1"/>
        <w:rPr>
          <w:rFonts w:cs="Times New Roman"/>
          <w:bCs/>
        </w:rPr>
      </w:pPr>
      <w:r>
        <w:rPr>
          <w:rFonts w:cs="Times New Roman"/>
          <w:bCs/>
        </w:rPr>
        <w:t xml:space="preserve">To test this idea more directly, </w:t>
      </w:r>
      <w:r w:rsidR="001614FA">
        <w:rPr>
          <w:rFonts w:cs="Times New Roman"/>
          <w:bCs/>
        </w:rPr>
        <w:t xml:space="preserve">also together with Hannah Lund and Maxime Hamon-Josse, </w:t>
      </w:r>
      <w:r w:rsidR="002A500F">
        <w:rPr>
          <w:rFonts w:cs="Times New Roman"/>
          <w:bCs/>
        </w:rPr>
        <w:t xml:space="preserve">the same experimental design was used as described above except instead of 4/pot plants, </w:t>
      </w:r>
      <w:r>
        <w:rPr>
          <w:rFonts w:cs="Times New Roman"/>
          <w:bCs/>
        </w:rPr>
        <w:t xml:space="preserve">1/pot plants were treated with the synthetic SL </w:t>
      </w:r>
      <w:r w:rsidRPr="00752187">
        <w:rPr>
          <w:rFonts w:cs="Times New Roman"/>
          <w:bCs/>
          <w:i/>
          <w:iCs/>
        </w:rPr>
        <w:t>rac</w:t>
      </w:r>
      <w:r>
        <w:rPr>
          <w:rFonts w:cs="Times New Roman"/>
          <w:bCs/>
        </w:rPr>
        <w:t>-GR24 (</w:t>
      </w:r>
      <w:r w:rsidRPr="00061988">
        <w:rPr>
          <w:rFonts w:cs="Times New Roman"/>
          <w:bCs/>
        </w:rPr>
        <w:t xml:space="preserve">1 </w:t>
      </w:r>
      <w:r>
        <w:rPr>
          <w:bCs/>
        </w:rPr>
        <w:t>µ</w:t>
      </w:r>
      <w:r w:rsidRPr="00061988">
        <w:rPr>
          <w:rFonts w:cs="Times New Roman"/>
          <w:bCs/>
        </w:rPr>
        <w:t>M</w:t>
      </w:r>
      <w:r>
        <w:rPr>
          <w:rFonts w:cs="Times New Roman"/>
          <w:bCs/>
        </w:rPr>
        <w:t xml:space="preserve">). Previous studies have shown that the application of exogenous SLs, such as </w:t>
      </w:r>
      <w:r w:rsidRPr="00E2743C">
        <w:rPr>
          <w:rFonts w:cs="Times New Roman"/>
          <w:bCs/>
          <w:i/>
          <w:iCs/>
        </w:rPr>
        <w:t>rac</w:t>
      </w:r>
      <w:r>
        <w:rPr>
          <w:rFonts w:cs="Times New Roman"/>
          <w:bCs/>
        </w:rPr>
        <w:t xml:space="preserve">-GR24, results in significant reduction in shoot branching </w:t>
      </w:r>
      <w:r>
        <w:rPr>
          <w:rFonts w:cs="Times New Roman"/>
          <w:bCs/>
        </w:rPr>
        <w:fldChar w:fldCharType="begin" w:fldLock="1"/>
      </w:r>
      <w:r>
        <w:rPr>
          <w:rFonts w:cs="Times New Roman"/>
          <w:bCs/>
        </w:rPr>
        <w:instrText>ADDIN CSL_CITATION {"citationItems":[{"id":"ITEM-1","itemData":{"DOI":"10.1038/nature07272","ISSN":"00280836","PMID":"18690207","abstract":"Shoot branching is a major determinant of plant architecture and is highly regulated by endogenous and environmental cues. Two classes of hormones, auxin and cytokinin, have long been known to have an important involvement in controlling shoot branching. Previous studies using a series of mutants with enhanced shoot branching suggested the existence of a third class of hormone(s) that is derived from carotenoids, but its chemical identity has been unknown. Here we show that levels of strigolactones, a group of terpenoid lactones, are significantly reduced in some of the branching mutants. Furthermore, application of strigolactones inhibits shoot branching in these mutants. Strigolactones were previously found in root exudates acting as communication chemicals with parasitic weeds and symbiotic arbuscular mycorrhizal fungi. Thus, we propose that strigolactones act as a new hormone class - or their biosynthetic precursors - in regulating above-ground plant architecture, and also have a function in underground communication with other neighbouring organisms. ©2008 Macmillan Publishers Limited. All rights reserved.","author":[{"dropping-particle":"","family":"Umehara","given":"Mikihisa","non-dropping-particle":"","parse-names":false,"suffix":""},{"dropping-particle":"","family":"Hanada","given":"Atsushi","non-dropping-particle":"","parse-names":false,"suffix":""},{"dropping-particle":"","family":"Yoshida","given":"Satoko","non-dropping-particle":"","parse-names":false,"suffix":""},{"dropping-particle":"","family":"Akiyama","given":"Kohki","non-dropping-particle":"","parse-names":false,"suffix":""},{"dropping-particle":"","family":"Arite","given":"Tomotsugu","non-dropping-particle":"","parse-names":false,"suffix":""},{"dropping-particle":"","family":"Takeda-Kamiya","given":"Noriko","non-dropping-particle":"","parse-names":false,"suffix":""},{"dropping-particle":"","family":"Magome","given":"Hiroshi","non-dropping-particle":"","parse-names":false,"suffix":""},{"dropping-particle":"","family":"Kamiya","given":"Yuji","non-dropping-particle":"","parse-names":false,"suffix":""},{"dropping-particle":"","family":"Shirasu","given":"Ken","non-dropping-particle":"","parse-names":false,"suffix":""},{"dropping-particle":"","family":"Yoneyama","given":"Koichi","non-dropping-particle":"","parse-names":false,"suffix":""},{"dropping-particle":"","family":"Kyozuka","given":"Junko","non-dropping-particle":"","parse-names":false,"suffix":""},{"dropping-particle":"","family":"Yamaguchi","given":"Shinjiro","non-dropping-particle":"","parse-names":false,"suffix":""}],"container-title":"Nature","id":"ITEM-1","issue":"7210","issued":{"date-parts":[["2008","9"]]},"page":"195-200","title":"Inhibition of shoot branching by new terpenoid plant hormones","type":"article-journal","volume":"455"},"uris":["http://www.mendeley.com/documents/?uuid=7319a5c9-fe7f-39d1-97d8-0c2381bd399e"]},{"id":"ITEM-2","itemData":{"DOI":"10.1038/nature07271","ISSN":"00280836","abstract":"A carotenoid-derived hormonal signal that inhibits shoot branching in plants has long escaped identification. Strigolactones are compounds thought to be derived from carotenoids and are known to trigger the germination of parasitic plant seeds and stimulate symbiotic fungi. Here we present evidence that carotenoid cleavage dioxygenase 8 shoot branching mutants of pea are strigolactone deficient and that strigolactone application restores the wild-type branching phenotype to ccd8 mutants. Moreover, we show that other branching mutants previously characterized as lacking a response to the branching inhibition signal also lack strigolactone response, and are not deficient in strigolactones. These responses are conserved in Arabidopsis. In agreement with the expected properties of the hormonal signal, exogenous strigolactone can be transported in shoots and act at low concentrations. We suggest that endogenous strigolactones or related compounds inhibit shoot branching in plants. Furthermore, ccd8 mutants demonstrate the diverse effects of strigolactones in shoot branching, mycorrhizal symbiosis and parasitic weed interaction.","author":[{"dropping-particle":"","family":"Gomez-Roldan","given":"Victoria","non-dropping-particle":"","parse-names":false,"suffix":""},{"dropping-particle":"","family":"Fermas","given":"Soraya","non-dropping-particle":"","parse-names":false,"suffix":""},{"dropping-particle":"","family":"Brewer","given":"Philip B.","non-dropping-particle":"","parse-names":false,"suffix":""},{"dropping-particle":"","family":"Puech-Pagès","given":"Virginie","non-dropping-particle":"","parse-names":false,"suffix":""},{"dropping-particle":"","family":"Dun","given":"Elizabeth A.","non-dropping-particle":"","parse-names":false,"suffix":""},{"dropping-particle":"","family":"Pillot","given":"Jean Paul","non-dropping-particle":"","parse-names":false,"suffix":""},{"dropping-particle":"","family":"Letisse","given":"Fabien","non-dropping-particle":"","parse-names":false,"suffix":""},{"dropping-particle":"","family":"Matusova","given":"Radoslava","non-dropping-particle":"","parse-names":false,"suffix":""},{"dropping-particle":"","family":"Danoun","given":"Saida","non-dropping-particle":"","parse-names":false,"suffix":""},{"dropping-particle":"","family":"Portais","given":"Jean Charles","non-dropping-particle":"","parse-names":false,"suffix":""},{"dropping-particle":"","family":"Bouwmeester","given":"Harro","non-dropping-particle":"","parse-names":false,"suffix":""},{"dropping-particle":"","family":"Bécard","given":"Guillaume","non-dropping-particle":"","parse-names":false,"suffix":""},{"dropping-particle":"","family":"Beveridge","given":"Christine A.","non-dropping-particle":"","parse-names":false,"suffix":""},{"dropping-particle":"","family":"Rameau","given":"Catherine","non-dropping-particle":"","parse-names":false,"suffix":""},{"dropping-particle":"","family":"Rochange","given":"Soizic F.","non-dropping-particle":"","parse-names":false,"suffix":""}],"container-title":"Nature","id":"ITEM-2","issue":"7210","issued":{"date-parts":[["2008","9"]]},"page":"189-194","title":"Strigolactone inhibition of shoot branching","type":"article-journal","volume":"455"},"uris":["http://www.mendeley.com/documents/?uuid=ec1a41e3-3358-357b-a7fb-54308a4379c1"]},{"id":"ITEM-3","itemData":{"DOI":"10.1242/bio.021402","ISSN":"20466390","PMID":"27793831","abstract":"Strigolactones are a recently identified class of hormone that regulate multiple aspects of plant development. The DWARF14 (D14) α/β fold protein has been identified as a strigolactone receptor, which can act through the SCFMAX2 ubiquitin ligase, but the universality of this mechanism is not clear. Multiple proteins have been suggested as targets for strigolactone signalling, including both direct proteolytic targets of SCFMAX2, and downstream targets. However, the relevance and importance of these proteins to strigolactone signalling in many cases has not been fully established. Here we assess the contribution of these targets to strigolactone signalling in adult shoot developmental responses. We find that all examined strigolactone responses are regulated by SCFMAX2 and D14, and not by other D14-like proteins.We further show that all examined strigolactone responses likely depend on degradation of SMXL proteins in the SMXL6 clade, and not on the other proposed proteolytic targets BES1 or DELLAs. Taken together, our results suggest that in the adult shoot, the dominant mode of strigolactone signalling is D14-initiated, MAX2-mediated degradation of SMXL6-related proteins. We confirm that the BRANCHED1 transcription factor and the PIN-FORMED1 auxin efflux carrier are plausible downstream targets of this pathway in the regulation of shoot branching, and show that BRC1 likely acts in parallel to PIN1.","author":[{"dropping-particle":"","family":"Bennett","given":"Tom","non-dropping-particle":"","parse-names":false,"suffix":""},{"dropping-particle":"","family":"Liang","given":"Yueyang","non-dropping-particle":"","parse-names":false,"suffix":""},{"dropping-particle":"","family":"Seale","given":"Madeleine","non-dropping-particle":"","parse-names":false,"suffix":""},{"dropping-particle":"","family":"Ward","given":"Sally","non-dropping-particle":"","parse-names":false,"suffix":""},{"dropping-particle":"","family":"Müller","given":"Dörte","non-dropping-particle":"","parse-names":false,"suffix":""},{"dropping-particle":"","family":"Leyser","given":"Ottoline","non-dropping-particle":"","parse-names":false,"suffix":""}],"container-title":"Biology Open","id":"ITEM-3","issue":"12","issued":{"date-parts":[["2016","12","15"]]},"page":"1806-1820","publisher":"Company of Biologists Ltd","title":"Strigolactone regulates shoot development through a core signalling pathway","type":"article-journal","volume":"5"},"uris":["http://www.mendeley.com/documents/?uuid=bc1d90f6-5d56-33da-8600-99859dc9857a"]},{"id":"ITEM-4","itemData":{"DOI":"10.1242/dev.051987","ISSN":"09501991","abstract":"Strigolactones (SLs), or their derivatives, were recently demonstrated to act as endogenous shoot branching inhibitors, but their biosynthesis and mechanism of action are poorly understood. Here we show that the branching phenotype of mutants in the Arabidopsis P450 family member, MAX1, can be fully rescued by strigolactone addition, suggesting that MAX1 acts in SL synthesis. We demonstrate that SLs modulate polar auxin transport to control branching and that both the synthetic SL GR24 and endogenous SL synthesis significantly reduce the basipetal transport of a second branch-regulating hormone, auxin. Importantly, GR24 inhibits branching only in the presence of auxin in the main stem, and enhances competition between two branches on a common stem. Together, these results support two current hypotheses: that auxin moving down the main stem inhibits branch activity by preventing the establishment of auxin transport out of axillary branches; and that SLs act by dampening auxin transport, thus enhancing competition between branches.","author":[{"dropping-particle":"","family":"Crawford","given":"Scott","non-dropping-particle":"","parse-names":false,"suffix":""},{"dropping-particle":"","family":"Shinohara","given":"Naoki","non-dropping-particle":"","parse-names":false,"suffix":""},{"dropping-particle":"","family":"Sieberer","given":"Tobias","non-dropping-particle":"","parse-names":false,"suffix":""},{"dropping-particle":"","family":"Williamson","given":"Lisa","non-dropping-particle":"","parse-names":false,"suffix":""},{"dropping-particle":"","family":"George","given":"Gilu","non-dropping-particle":"","parse-names":false,"suffix":""},{"dropping-particle":"","family":"Hepworth","given":"Jo","non-dropping-particle":"","parse-names":false,"suffix":""},{"dropping-particle":"","family":"Müller","given":"Dörte","non-dropping-particle":"","parse-names":false,"suffix":""},{"dropping-particle":"","family":"Domagalska","given":"Malgorzata A.","non-dropping-particle":"","parse-names":false,"suffix":""},{"dropping-particle":"","family":"Leyser","given":"Ottoline","non-dropping-particle":"","parse-names":false,"suffix":""}],"container-title":"Development","id":"ITEM-4","issue":"17","issued":{"date-parts":[["2010","9","1"]]},"page":"2905-2913","title":"Strigolactones enhance competition between shoot branches by dampening auxin transport","type":"article-journal","volume":"137"},"uris":["http://www.mendeley.com/documents/?uuid=4033aaef-64cb-32cd-8b43-c0f94103eb2c"]}],"mendeley":{"formattedCitation":"(Umehara et al., 2008; Gomez-Roldan et al., 2008; Crawford et al., 2010; Bennett et al., 2016)","plainTextFormattedCitation":"(Umehara et al., 2008; Gomez-Roldan et al., 2008; Crawford et al., 2010; Bennett et al., 2016)","previouslyFormattedCitation":"(Umehara et al., 2008; Gomez-Roldan et al., 2008; Crawford et al., 2010; Bennett et al., 2016)"},"properties":{"noteIndex":0},"schema":"https://github.com/citation-style-language/schema/raw/master/csl-citation.json"}</w:instrText>
      </w:r>
      <w:r>
        <w:rPr>
          <w:rFonts w:cs="Times New Roman"/>
          <w:bCs/>
        </w:rPr>
        <w:fldChar w:fldCharType="separate"/>
      </w:r>
      <w:r w:rsidRPr="0001203A">
        <w:rPr>
          <w:rFonts w:cs="Times New Roman"/>
          <w:bCs/>
          <w:noProof/>
        </w:rPr>
        <w:t>(Umehara et al., 2008; Gomez-Roldan et al., 2008; Crawford et al., 2010; Bennett et al., 2016)</w:t>
      </w:r>
      <w:r>
        <w:rPr>
          <w:rFonts w:cs="Times New Roman"/>
          <w:bCs/>
        </w:rPr>
        <w:fldChar w:fldCharType="end"/>
      </w:r>
      <w:r>
        <w:rPr>
          <w:rFonts w:cs="Times New Roman"/>
          <w:bCs/>
        </w:rPr>
        <w:t xml:space="preserve">. By applying </w:t>
      </w:r>
      <w:r w:rsidRPr="007A0060">
        <w:rPr>
          <w:rFonts w:cs="Times New Roman"/>
          <w:bCs/>
          <w:i/>
          <w:iCs/>
        </w:rPr>
        <w:t>rac</w:t>
      </w:r>
      <w:r>
        <w:rPr>
          <w:rFonts w:cs="Times New Roman"/>
          <w:bCs/>
        </w:rPr>
        <w:t xml:space="preserve">-GR24 to the hydroponic set up we could be certain it would be distributed through the hydroponate and hence determine if the plants could detect and take it up from the environment. Again, shoot branch number was tracked from week 3-6 and this showed that branch number was strongly reduced in the 1/pot </w:t>
      </w:r>
      <w:r w:rsidRPr="00E2743C">
        <w:rPr>
          <w:rFonts w:cs="Times New Roman"/>
          <w:bCs/>
          <w:i/>
          <w:iCs/>
        </w:rPr>
        <w:t>rms1</w:t>
      </w:r>
      <w:r>
        <w:rPr>
          <w:rFonts w:cs="Times New Roman"/>
          <w:bCs/>
        </w:rPr>
        <w:t xml:space="preserve"> plants which were supplemented with </w:t>
      </w:r>
      <w:r w:rsidRPr="00E2743C">
        <w:rPr>
          <w:rFonts w:cs="Times New Roman"/>
          <w:bCs/>
          <w:i/>
          <w:iCs/>
        </w:rPr>
        <w:t>rac</w:t>
      </w:r>
      <w:r>
        <w:rPr>
          <w:rFonts w:cs="Times New Roman"/>
          <w:bCs/>
        </w:rPr>
        <w:t xml:space="preserve">-GR24 (Fig 5.1C). Branch number in 1/pot + </w:t>
      </w:r>
      <w:r w:rsidR="009D38F0" w:rsidRPr="005A473F">
        <w:rPr>
          <w:rFonts w:cs="Times New Roman"/>
          <w:bCs/>
          <w:i/>
          <w:iCs/>
        </w:rPr>
        <w:t>rms1</w:t>
      </w:r>
      <w:r w:rsidR="009D38F0">
        <w:rPr>
          <w:rFonts w:cs="Times New Roman"/>
          <w:bCs/>
        </w:rPr>
        <w:t xml:space="preserve"> </w:t>
      </w:r>
      <w:r w:rsidRPr="007A0060">
        <w:rPr>
          <w:rFonts w:cs="Times New Roman"/>
          <w:bCs/>
          <w:i/>
          <w:iCs/>
        </w:rPr>
        <w:t>rac</w:t>
      </w:r>
      <w:r>
        <w:rPr>
          <w:rFonts w:cs="Times New Roman"/>
          <w:bCs/>
        </w:rPr>
        <w:t xml:space="preserve">-GR24 plants was significantly different from that of untreated 1/pot </w:t>
      </w:r>
      <w:r w:rsidRPr="00E2743C">
        <w:rPr>
          <w:rFonts w:cs="Times New Roman"/>
          <w:bCs/>
          <w:i/>
          <w:iCs/>
        </w:rPr>
        <w:t>rms1</w:t>
      </w:r>
      <w:r>
        <w:rPr>
          <w:rFonts w:cs="Times New Roman"/>
          <w:bCs/>
        </w:rPr>
        <w:t xml:space="preserve"> plants. This therefore suggested that the </w:t>
      </w:r>
      <w:r w:rsidRPr="00E2743C">
        <w:rPr>
          <w:rFonts w:cs="Times New Roman"/>
          <w:bCs/>
          <w:i/>
          <w:iCs/>
        </w:rPr>
        <w:t>rms1</w:t>
      </w:r>
      <w:r>
        <w:rPr>
          <w:rFonts w:cs="Times New Roman"/>
          <w:bCs/>
        </w:rPr>
        <w:t xml:space="preserve"> plants were able to take up SLs from the environment, and that this compensates for their inability to synthesise SLs </w:t>
      </w:r>
      <w:r>
        <w:rPr>
          <w:rFonts w:cs="Times New Roman"/>
          <w:bCs/>
        </w:rPr>
        <w:fldChar w:fldCharType="begin" w:fldLock="1"/>
      </w:r>
      <w:r>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Pr>
          <w:rFonts w:cs="Times New Roman"/>
          <w:bCs/>
        </w:rPr>
        <w:fldChar w:fldCharType="separate"/>
      </w:r>
      <w:r w:rsidRPr="00D30E09">
        <w:rPr>
          <w:rFonts w:cs="Times New Roman"/>
          <w:bCs/>
          <w:noProof/>
        </w:rPr>
        <w:t>(Wheeldon et al., 2022)</w:t>
      </w:r>
      <w:r>
        <w:rPr>
          <w:rFonts w:cs="Times New Roman"/>
          <w:bCs/>
        </w:rPr>
        <w:fldChar w:fldCharType="end"/>
      </w:r>
      <w:r>
        <w:rPr>
          <w:rFonts w:cs="Times New Roman"/>
          <w:bCs/>
        </w:rPr>
        <w:t>.</w:t>
      </w:r>
    </w:p>
    <w:p w14:paraId="3722EEFB" w14:textId="77777777" w:rsidR="00BC0FB9" w:rsidRDefault="00BC0FB9" w:rsidP="00BC0FB9"/>
    <w:p w14:paraId="1EA8E271" w14:textId="2661CC4F" w:rsidR="00BC0FB9" w:rsidRDefault="00BC0FB9" w:rsidP="00743E4C">
      <w:pPr>
        <w:pStyle w:val="Heading3"/>
      </w:pPr>
      <w:bookmarkStart w:id="226" w:name="_Toc154331506"/>
      <w:r w:rsidRPr="00B84192">
        <w:t>Strigolactone exudates released early in life can be taken up by neighbouring plants</w:t>
      </w:r>
      <w:bookmarkEnd w:id="226"/>
    </w:p>
    <w:p w14:paraId="61A62F22" w14:textId="77777777" w:rsidR="00BC0FB9" w:rsidRDefault="00BC0FB9" w:rsidP="00BC0FB9"/>
    <w:p w14:paraId="032C31DB" w14:textId="03D19A03" w:rsidR="00BC0FB9" w:rsidRDefault="00BC0FB9" w:rsidP="00BC0FB9">
      <w:pPr>
        <w:numPr>
          <w:ilvl w:val="1"/>
          <w:numId w:val="0"/>
        </w:numPr>
        <w:spacing w:before="160" w:line="480" w:lineRule="auto"/>
        <w:outlineLvl w:val="1"/>
        <w:rPr>
          <w:rFonts w:cs="Times New Roman"/>
          <w:bCs/>
        </w:rPr>
      </w:pPr>
      <w:r>
        <w:rPr>
          <w:rFonts w:cs="Times New Roman"/>
          <w:bCs/>
        </w:rPr>
        <w:t xml:space="preserve">To </w:t>
      </w:r>
      <w:r w:rsidR="00142CDE" w:rsidRPr="00246846">
        <w:rPr>
          <w:rFonts w:cs="Times New Roman"/>
          <w:bCs/>
        </w:rPr>
        <w:t>test</w:t>
      </w:r>
      <w:r>
        <w:rPr>
          <w:rFonts w:cs="Times New Roman"/>
          <w:bCs/>
        </w:rPr>
        <w:t xml:space="preserve"> this finding, our collaborator Kaori Yoneyama further tested the ability of pea plants to take up SL from the environment by assessing SL levels in </w:t>
      </w:r>
      <w:r>
        <w:rPr>
          <w:rFonts w:cs="Times New Roman"/>
          <w:bCs/>
        </w:rPr>
        <w:lastRenderedPageBreak/>
        <w:t xml:space="preserve">the roots </w:t>
      </w:r>
      <w:r>
        <w:rPr>
          <w:rFonts w:cs="Times New Roman"/>
          <w:bCs/>
        </w:rPr>
        <w:fldChar w:fldCharType="begin" w:fldLock="1"/>
      </w:r>
      <w:r>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Pr>
          <w:rFonts w:cs="Times New Roman"/>
          <w:bCs/>
        </w:rPr>
        <w:fldChar w:fldCharType="separate"/>
      </w:r>
      <w:r w:rsidRPr="00A33AAA">
        <w:rPr>
          <w:rFonts w:cs="Times New Roman"/>
          <w:bCs/>
          <w:noProof/>
        </w:rPr>
        <w:t>(Wheeldon et al., 2022)</w:t>
      </w:r>
      <w:r>
        <w:rPr>
          <w:rFonts w:cs="Times New Roman"/>
          <w:bCs/>
        </w:rPr>
        <w:fldChar w:fldCharType="end"/>
      </w:r>
      <w:r>
        <w:rPr>
          <w:rFonts w:cs="Times New Roman"/>
          <w:bCs/>
        </w:rPr>
        <w:t xml:space="preserve">. Combinations of WT, </w:t>
      </w:r>
      <w:r w:rsidRPr="00C944DE">
        <w:rPr>
          <w:rFonts w:cs="Times New Roman"/>
          <w:bCs/>
          <w:i/>
          <w:iCs/>
        </w:rPr>
        <w:t>rms5-BL298</w:t>
      </w:r>
      <w:r w:rsidRPr="005D41E3">
        <w:rPr>
          <w:rFonts w:cs="Times New Roman"/>
          <w:bCs/>
        </w:rPr>
        <w:t xml:space="preserve"> </w:t>
      </w:r>
      <w:r>
        <w:rPr>
          <w:rFonts w:cs="Times New Roman"/>
          <w:bCs/>
        </w:rPr>
        <w:t xml:space="preserve">(which lacks the CCD7 strigolactone biosynthesis gene (Fig 5.1A)) </w:t>
      </w:r>
      <w:r w:rsidRPr="005D41E3">
        <w:rPr>
          <w:rFonts w:cs="Times New Roman"/>
          <w:bCs/>
        </w:rPr>
        <w:t xml:space="preserve">and </w:t>
      </w:r>
      <w:r w:rsidRPr="00C944DE">
        <w:rPr>
          <w:rFonts w:cs="Times New Roman"/>
          <w:bCs/>
          <w:i/>
          <w:iCs/>
        </w:rPr>
        <w:t>rms1-2T</w:t>
      </w:r>
      <w:r>
        <w:rPr>
          <w:rFonts w:cs="Times New Roman"/>
          <w:bCs/>
          <w:i/>
          <w:iCs/>
        </w:rPr>
        <w:t xml:space="preserve"> </w:t>
      </w:r>
      <w:r w:rsidRPr="00140646">
        <w:rPr>
          <w:rFonts w:cs="Times New Roman"/>
          <w:bCs/>
        </w:rPr>
        <w:t>(all</w:t>
      </w:r>
      <w:r>
        <w:rPr>
          <w:rFonts w:cs="Times New Roman"/>
          <w:bCs/>
        </w:rPr>
        <w:t xml:space="preserve"> in the </w:t>
      </w:r>
      <w:r w:rsidRPr="00140646">
        <w:rPr>
          <w:rFonts w:cs="Times New Roman"/>
          <w:bCs/>
        </w:rPr>
        <w:t>Torsdag</w:t>
      </w:r>
      <w:r>
        <w:rPr>
          <w:rFonts w:cs="Times New Roman"/>
          <w:bCs/>
        </w:rPr>
        <w:t xml:space="preserve"> background</w:t>
      </w:r>
      <w:r w:rsidRPr="00140646">
        <w:rPr>
          <w:rFonts w:cs="Times New Roman"/>
          <w:bCs/>
        </w:rPr>
        <w:t>)</w:t>
      </w:r>
      <w:r>
        <w:rPr>
          <w:rFonts w:cs="Times New Roman"/>
          <w:bCs/>
          <w:i/>
          <w:iCs/>
        </w:rPr>
        <w:t xml:space="preserve"> </w:t>
      </w:r>
      <w:r>
        <w:rPr>
          <w:rFonts w:cs="Times New Roman"/>
          <w:bCs/>
        </w:rPr>
        <w:t>were grown in</w:t>
      </w:r>
      <w:r w:rsidRPr="00E13818">
        <w:rPr>
          <w:rFonts w:cs="Times New Roman"/>
          <w:bCs/>
        </w:rPr>
        <w:t xml:space="preserve"> </w:t>
      </w:r>
      <w:r>
        <w:rPr>
          <w:rFonts w:cs="Times New Roman"/>
          <w:bCs/>
        </w:rPr>
        <w:t>hydroponic conditions. Plants were grown 2 plants per pot (2/pot) with either another plant of the same genotype, or one of another genotype. Root samples were harvested 7 days post phosphate starvation (a commonly used method to increase SL levels</w:t>
      </w:r>
      <w:r w:rsidR="002B15E8">
        <w:rPr>
          <w:rFonts w:cs="Times New Roman"/>
          <w:bCs/>
        </w:rPr>
        <w:t xml:space="preserve"> as discussed in section </w:t>
      </w:r>
      <w:r w:rsidR="007948D2">
        <w:rPr>
          <w:rFonts w:cs="Times New Roman"/>
          <w:bCs/>
        </w:rPr>
        <w:t>1.4</w:t>
      </w:r>
      <w:r>
        <w:rPr>
          <w:rFonts w:cs="Times New Roman"/>
          <w:bCs/>
        </w:rPr>
        <w:t xml:space="preserve">) and </w:t>
      </w:r>
      <w:r w:rsidRPr="004947E5">
        <w:rPr>
          <w:rFonts w:cs="Times New Roman"/>
          <w:bCs/>
        </w:rPr>
        <w:t>liquid chromatography-mass spectrometry (LC-MS)</w:t>
      </w:r>
      <w:r>
        <w:rPr>
          <w:rFonts w:cs="Times New Roman"/>
          <w:bCs/>
        </w:rPr>
        <w:t xml:space="preserve"> was carried out to quantify the levels of SL (specifically Fabacyl acetate (FA)) </w:t>
      </w:r>
      <w:r w:rsidRPr="00752187">
        <w:rPr>
          <w:rFonts w:cs="Times New Roman"/>
          <w:bCs/>
        </w:rPr>
        <w:t>in</w:t>
      </w:r>
      <w:r>
        <w:rPr>
          <w:rFonts w:cs="Times New Roman"/>
          <w:bCs/>
        </w:rPr>
        <w:t xml:space="preserve"> the root tissue of these plants. Measuring SL is difficult due to their low abundance and therefore only relative levels, defined as “peak areas’’ were measured, and not absolute concentrations</w:t>
      </w:r>
      <w:r w:rsidR="00D90A24">
        <w:rPr>
          <w:rFonts w:cs="Times New Roman"/>
          <w:bCs/>
        </w:rPr>
        <w:t xml:space="preserve"> </w:t>
      </w:r>
      <w:r w:rsidR="00D90A24">
        <w:rPr>
          <w:rFonts w:cs="Times New Roman"/>
          <w:bCs/>
        </w:rPr>
        <w:fldChar w:fldCharType="begin" w:fldLock="1"/>
      </w:r>
      <w:r w:rsidR="00A877A1">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sidR="00D90A24">
        <w:rPr>
          <w:rFonts w:cs="Times New Roman"/>
          <w:bCs/>
        </w:rPr>
        <w:fldChar w:fldCharType="separate"/>
      </w:r>
      <w:r w:rsidR="00D90A24" w:rsidRPr="00D90A24">
        <w:rPr>
          <w:rFonts w:cs="Times New Roman"/>
          <w:bCs/>
          <w:noProof/>
        </w:rPr>
        <w:t>(Wheeldon et al., 2022)</w:t>
      </w:r>
      <w:r w:rsidR="00D90A24">
        <w:rPr>
          <w:rFonts w:cs="Times New Roman"/>
          <w:bCs/>
        </w:rPr>
        <w:fldChar w:fldCharType="end"/>
      </w:r>
      <w:r>
        <w:rPr>
          <w:rFonts w:cs="Times New Roman"/>
          <w:bCs/>
        </w:rPr>
        <w:t xml:space="preserve">. </w:t>
      </w:r>
    </w:p>
    <w:p w14:paraId="51813FFA" w14:textId="3A752E92" w:rsidR="00BC0FB9" w:rsidRDefault="00BB30E7" w:rsidP="00BC0FB9">
      <w:pPr>
        <w:numPr>
          <w:ilvl w:val="1"/>
          <w:numId w:val="0"/>
        </w:numPr>
        <w:spacing w:before="160" w:line="480" w:lineRule="auto"/>
        <w:outlineLvl w:val="1"/>
        <w:rPr>
          <w:rFonts w:cs="Times New Roman"/>
          <w:bCs/>
        </w:rPr>
      </w:pPr>
      <w:r w:rsidRPr="001C288B">
        <w:rPr>
          <w:rFonts w:cs="Times New Roman"/>
          <w:bCs/>
        </w:rPr>
        <w:t>Analysis of</w:t>
      </w:r>
      <w:r>
        <w:rPr>
          <w:rFonts w:cs="Times New Roman"/>
          <w:bCs/>
        </w:rPr>
        <w:t xml:space="preserve"> </w:t>
      </w:r>
      <w:r w:rsidR="00BC0FB9">
        <w:rPr>
          <w:rFonts w:cs="Times New Roman"/>
          <w:bCs/>
        </w:rPr>
        <w:t xml:space="preserve">the </w:t>
      </w:r>
      <w:r w:rsidR="00BC0FB9" w:rsidRPr="0062424D">
        <w:rPr>
          <w:rFonts w:cs="Times New Roman"/>
          <w:bCs/>
          <w:i/>
          <w:iCs/>
        </w:rPr>
        <w:t>rms1</w:t>
      </w:r>
      <w:r w:rsidR="00BC0FB9">
        <w:rPr>
          <w:rFonts w:cs="Times New Roman"/>
          <w:bCs/>
        </w:rPr>
        <w:t xml:space="preserve"> + </w:t>
      </w:r>
      <w:r w:rsidR="00BC0FB9" w:rsidRPr="0062424D">
        <w:rPr>
          <w:rFonts w:cs="Times New Roman"/>
          <w:bCs/>
          <w:i/>
          <w:iCs/>
        </w:rPr>
        <w:t>rms1</w:t>
      </w:r>
      <w:r w:rsidR="00BC0FB9">
        <w:rPr>
          <w:rFonts w:cs="Times New Roman"/>
          <w:bCs/>
        </w:rPr>
        <w:t xml:space="preserve"> and </w:t>
      </w:r>
      <w:r w:rsidR="00BC0FB9" w:rsidRPr="004D46B0">
        <w:rPr>
          <w:rFonts w:cs="Times New Roman"/>
          <w:bCs/>
          <w:i/>
          <w:iCs/>
        </w:rPr>
        <w:t>rms5</w:t>
      </w:r>
      <w:r w:rsidR="00BC0FB9">
        <w:rPr>
          <w:rFonts w:cs="Times New Roman"/>
          <w:bCs/>
        </w:rPr>
        <w:t xml:space="preserve"> + </w:t>
      </w:r>
      <w:r w:rsidR="00BC0FB9" w:rsidRPr="004D46B0">
        <w:rPr>
          <w:rFonts w:cs="Times New Roman"/>
          <w:bCs/>
          <w:i/>
          <w:iCs/>
        </w:rPr>
        <w:t>rms5</w:t>
      </w:r>
      <w:r w:rsidR="00BC0FB9">
        <w:rPr>
          <w:rFonts w:cs="Times New Roman"/>
          <w:bCs/>
        </w:rPr>
        <w:t xml:space="preserve"> combinations</w:t>
      </w:r>
      <w:r w:rsidR="003B3730">
        <w:rPr>
          <w:rFonts w:cs="Times New Roman"/>
          <w:bCs/>
        </w:rPr>
        <w:t xml:space="preserve"> </w:t>
      </w:r>
      <w:r w:rsidR="003B3730" w:rsidRPr="001C288B">
        <w:rPr>
          <w:rFonts w:cs="Times New Roman"/>
          <w:bCs/>
        </w:rPr>
        <w:t>showed that</w:t>
      </w:r>
      <w:r w:rsidR="00BC0FB9">
        <w:rPr>
          <w:rFonts w:cs="Times New Roman"/>
          <w:bCs/>
        </w:rPr>
        <w:t xml:space="preserve">, no FA was detected in the roots of these plants (Fig 5.2A), which makes sense given that </w:t>
      </w:r>
      <w:r w:rsidR="00BC0FB9" w:rsidRPr="0062424D">
        <w:rPr>
          <w:rFonts w:cs="Times New Roman"/>
          <w:bCs/>
          <w:i/>
          <w:iCs/>
        </w:rPr>
        <w:t>rms1</w:t>
      </w:r>
      <w:r w:rsidR="00BC0FB9">
        <w:rPr>
          <w:rFonts w:cs="Times New Roman"/>
          <w:bCs/>
        </w:rPr>
        <w:t xml:space="preserve"> and </w:t>
      </w:r>
      <w:r w:rsidR="00BC0FB9" w:rsidRPr="004D46B0">
        <w:rPr>
          <w:rFonts w:cs="Times New Roman"/>
          <w:bCs/>
          <w:i/>
          <w:iCs/>
        </w:rPr>
        <w:t>rms5</w:t>
      </w:r>
      <w:r w:rsidR="00BC0FB9">
        <w:rPr>
          <w:rFonts w:cs="Times New Roman"/>
          <w:bCs/>
        </w:rPr>
        <w:t xml:space="preserve"> plants are unable to synthesise SL (Fig 5.1A). However, when assessing the roots of </w:t>
      </w:r>
      <w:r w:rsidR="00BC0FB9" w:rsidRPr="0062424D">
        <w:rPr>
          <w:rFonts w:cs="Times New Roman"/>
          <w:bCs/>
          <w:i/>
          <w:iCs/>
        </w:rPr>
        <w:t>rms1</w:t>
      </w:r>
      <w:r w:rsidR="00BC0FB9">
        <w:rPr>
          <w:rFonts w:cs="Times New Roman"/>
          <w:bCs/>
        </w:rPr>
        <w:t xml:space="preserve"> plants grown in the </w:t>
      </w:r>
      <w:r w:rsidR="00BC0FB9" w:rsidRPr="00C070B5">
        <w:rPr>
          <w:rFonts w:cs="Times New Roman"/>
          <w:bCs/>
          <w:i/>
          <w:iCs/>
        </w:rPr>
        <w:t>rms1</w:t>
      </w:r>
      <w:r w:rsidR="00BC0FB9">
        <w:rPr>
          <w:rFonts w:cs="Times New Roman"/>
          <w:bCs/>
        </w:rPr>
        <w:t xml:space="preserve"> + WT combination and </w:t>
      </w:r>
      <w:r w:rsidR="00BC0FB9" w:rsidRPr="00C070B5">
        <w:rPr>
          <w:rFonts w:cs="Times New Roman"/>
          <w:bCs/>
          <w:i/>
          <w:iCs/>
        </w:rPr>
        <w:t>rms5</w:t>
      </w:r>
      <w:r w:rsidR="00BC0FB9">
        <w:rPr>
          <w:rFonts w:cs="Times New Roman"/>
          <w:bCs/>
        </w:rPr>
        <w:t xml:space="preserve"> plants in the </w:t>
      </w:r>
      <w:r w:rsidR="00BC0FB9" w:rsidRPr="00C070B5">
        <w:rPr>
          <w:rFonts w:cs="Times New Roman"/>
          <w:bCs/>
          <w:i/>
          <w:iCs/>
        </w:rPr>
        <w:t>rms5</w:t>
      </w:r>
      <w:r w:rsidR="00BC0FB9">
        <w:rPr>
          <w:rFonts w:cs="Times New Roman"/>
          <w:bCs/>
        </w:rPr>
        <w:t xml:space="preserve"> + WT combination</w:t>
      </w:r>
      <w:r w:rsidR="00EC6A1D">
        <w:rPr>
          <w:rFonts w:cs="Times New Roman"/>
          <w:bCs/>
        </w:rPr>
        <w:t xml:space="preserve"> </w:t>
      </w:r>
      <w:r w:rsidR="00EC6A1D" w:rsidRPr="00466052">
        <w:rPr>
          <w:rFonts w:cs="Times New Roman"/>
          <w:bCs/>
        </w:rPr>
        <w:t>it was found that</w:t>
      </w:r>
      <w:r w:rsidR="00BC0FB9">
        <w:rPr>
          <w:rFonts w:cs="Times New Roman"/>
          <w:bCs/>
        </w:rPr>
        <w:t xml:space="preserve">, SL was detected in both of these mutant roots. </w:t>
      </w:r>
      <w:r w:rsidR="0048217A" w:rsidRPr="00466052">
        <w:rPr>
          <w:rFonts w:cs="Times New Roman"/>
          <w:bCs/>
        </w:rPr>
        <w:t>In addition to</w:t>
      </w:r>
      <w:r w:rsidR="0048217A">
        <w:rPr>
          <w:rFonts w:cs="Times New Roman"/>
          <w:bCs/>
        </w:rPr>
        <w:t xml:space="preserve"> t</w:t>
      </w:r>
      <w:r w:rsidR="00BC0FB9">
        <w:rPr>
          <w:rFonts w:cs="Times New Roman"/>
          <w:bCs/>
        </w:rPr>
        <w:t>h</w:t>
      </w:r>
      <w:r w:rsidR="00D90A24">
        <w:rPr>
          <w:rFonts w:cs="Times New Roman"/>
          <w:bCs/>
        </w:rPr>
        <w:t xml:space="preserve">ese observations </w:t>
      </w:r>
      <w:r w:rsidR="0048217A">
        <w:rPr>
          <w:rFonts w:cs="Times New Roman"/>
          <w:bCs/>
        </w:rPr>
        <w:t>there was</w:t>
      </w:r>
      <w:r w:rsidR="00BC0FB9">
        <w:rPr>
          <w:rFonts w:cs="Times New Roman"/>
          <w:bCs/>
        </w:rPr>
        <w:t xml:space="preserve"> a decrease in the levels of SL in the </w:t>
      </w:r>
      <w:r w:rsidR="00E32612">
        <w:rPr>
          <w:rFonts w:cs="Times New Roman"/>
          <w:bCs/>
        </w:rPr>
        <w:t xml:space="preserve">roots of </w:t>
      </w:r>
      <w:r w:rsidR="00BC0FB9">
        <w:rPr>
          <w:rFonts w:cs="Times New Roman"/>
          <w:bCs/>
        </w:rPr>
        <w:t xml:space="preserve">WT plants in combination with </w:t>
      </w:r>
      <w:r w:rsidR="00BC0FB9" w:rsidRPr="00F9482F">
        <w:rPr>
          <w:rFonts w:cs="Times New Roman"/>
          <w:bCs/>
          <w:i/>
          <w:iCs/>
        </w:rPr>
        <w:t>rms1</w:t>
      </w:r>
      <w:r w:rsidR="00BC0FB9">
        <w:rPr>
          <w:rFonts w:cs="Times New Roman"/>
          <w:bCs/>
        </w:rPr>
        <w:t xml:space="preserve"> and </w:t>
      </w:r>
      <w:r w:rsidR="00BC0FB9" w:rsidRPr="00F9482F">
        <w:rPr>
          <w:rFonts w:cs="Times New Roman"/>
          <w:bCs/>
          <w:i/>
          <w:iCs/>
        </w:rPr>
        <w:t>rms5</w:t>
      </w:r>
      <w:r w:rsidR="00BC0FB9">
        <w:rPr>
          <w:rFonts w:cs="Times New Roman"/>
          <w:bCs/>
        </w:rPr>
        <w:t xml:space="preserve"> plants compared to the WT+WT combination (Fig 5.2A) </w:t>
      </w:r>
      <w:r w:rsidR="00BC0FB9">
        <w:rPr>
          <w:rFonts w:cs="Times New Roman"/>
          <w:bCs/>
        </w:rPr>
        <w:fldChar w:fldCharType="begin" w:fldLock="1"/>
      </w:r>
      <w:r w:rsidR="00BC0FB9">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sidR="00BC0FB9">
        <w:rPr>
          <w:rFonts w:cs="Times New Roman"/>
          <w:bCs/>
        </w:rPr>
        <w:fldChar w:fldCharType="separate"/>
      </w:r>
      <w:r w:rsidR="00BC0FB9" w:rsidRPr="0041175D">
        <w:rPr>
          <w:rFonts w:cs="Times New Roman"/>
          <w:bCs/>
          <w:noProof/>
        </w:rPr>
        <w:t>(Wheeldon et al., 2022)</w:t>
      </w:r>
      <w:r w:rsidR="00BC0FB9">
        <w:rPr>
          <w:rFonts w:cs="Times New Roman"/>
          <w:bCs/>
        </w:rPr>
        <w:fldChar w:fldCharType="end"/>
      </w:r>
      <w:r w:rsidR="00BC0FB9">
        <w:rPr>
          <w:rFonts w:cs="Times New Roman"/>
          <w:bCs/>
        </w:rPr>
        <w:t xml:space="preserve">. </w:t>
      </w:r>
    </w:p>
    <w:p w14:paraId="6680341C" w14:textId="19A7CF83" w:rsidR="00BC0FB9" w:rsidRDefault="00BC0FB9" w:rsidP="00BC0FB9">
      <w:pPr>
        <w:pStyle w:val="Caption"/>
        <w:rPr>
          <w:rFonts w:cs="Times New Roman"/>
          <w:bCs w:val="0"/>
          <w:sz w:val="24"/>
        </w:rPr>
      </w:pPr>
      <w:bookmarkStart w:id="227" w:name="_Toc146657579"/>
      <w:bookmarkStart w:id="228" w:name="_Toc154331589"/>
      <w:r>
        <w:lastRenderedPageBreak/>
        <w:t xml:space="preserve">Figure </w:t>
      </w:r>
      <w:fldSimple w:instr=" STYLEREF 1 \s ">
        <w:r w:rsidR="004B7F70">
          <w:rPr>
            <w:noProof/>
          </w:rPr>
          <w:t>5</w:t>
        </w:r>
      </w:fldSimple>
      <w:r w:rsidR="00C97D34">
        <w:t>.</w:t>
      </w:r>
      <w:fldSimple w:instr=" SEQ Figure \* ARABIC \s 1 ">
        <w:r w:rsidR="004B7F70">
          <w:rPr>
            <w:noProof/>
          </w:rPr>
          <w:t>2</w:t>
        </w:r>
      </w:fldSimple>
      <w:r>
        <w:t xml:space="preserve"> </w:t>
      </w:r>
      <w:r w:rsidRPr="00E806AA">
        <w:t>Strigolactones exuded from wildtype plants is present in roots of strigolactone synthesis mutants when crowded together</w:t>
      </w:r>
      <w:r>
        <w:rPr>
          <w:rFonts w:cs="Times New Roman"/>
          <w:bCs w:val="0"/>
          <w:noProof/>
          <w:sz w:val="24"/>
        </w:rPr>
        <w:drawing>
          <wp:anchor distT="0" distB="0" distL="114300" distR="114300" simplePos="0" relativeHeight="251668992" behindDoc="0" locked="0" layoutInCell="1" allowOverlap="1" wp14:anchorId="7F643223" wp14:editId="41E46AB7">
            <wp:simplePos x="0" y="0"/>
            <wp:positionH relativeFrom="margin">
              <wp:align>left</wp:align>
            </wp:positionH>
            <wp:positionV relativeFrom="paragraph">
              <wp:posOffset>59496</wp:posOffset>
            </wp:positionV>
            <wp:extent cx="4984750" cy="2750185"/>
            <wp:effectExtent l="0" t="0" r="6350" b="0"/>
            <wp:wrapSquare wrapText="bothSides"/>
            <wp:docPr id="784499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9949" name="Picture 7844994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984750" cy="2750185"/>
                    </a:xfrm>
                    <a:prstGeom prst="rect">
                      <a:avLst/>
                    </a:prstGeom>
                  </pic:spPr>
                </pic:pic>
              </a:graphicData>
            </a:graphic>
            <wp14:sizeRelH relativeFrom="margin">
              <wp14:pctWidth>0</wp14:pctWidth>
            </wp14:sizeRelH>
            <wp14:sizeRelV relativeFrom="margin">
              <wp14:pctHeight>0</wp14:pctHeight>
            </wp14:sizeRelV>
          </wp:anchor>
        </w:drawing>
      </w:r>
      <w:bookmarkEnd w:id="227"/>
      <w:bookmarkEnd w:id="228"/>
    </w:p>
    <w:p w14:paraId="1321BC2F" w14:textId="13CAB892" w:rsidR="00BC0FB9" w:rsidRPr="000F2195" w:rsidRDefault="00BC0FB9" w:rsidP="00BC0FB9">
      <w:pPr>
        <w:pStyle w:val="Description"/>
      </w:pPr>
      <w:r w:rsidRPr="000F2195">
        <w:t xml:space="preserve">Graphs showing wildtype (WT), </w:t>
      </w:r>
      <w:r w:rsidRPr="000F2195">
        <w:rPr>
          <w:i/>
          <w:iCs/>
        </w:rPr>
        <w:t xml:space="preserve">rms1-2T </w:t>
      </w:r>
      <w:r w:rsidRPr="000F2195">
        <w:t>and</w:t>
      </w:r>
      <w:r w:rsidRPr="000F2195">
        <w:rPr>
          <w:i/>
          <w:iCs/>
        </w:rPr>
        <w:t xml:space="preserve"> rms5-BL298</w:t>
      </w:r>
      <w:r w:rsidRPr="000F2195">
        <w:t xml:space="preserve"> (background Torsdag) </w:t>
      </w:r>
      <w:r w:rsidRPr="000F2195">
        <w:rPr>
          <w:i/>
          <w:iCs/>
        </w:rPr>
        <w:t xml:space="preserve">Pisum sativum </w:t>
      </w:r>
      <w:r w:rsidRPr="000F2195">
        <w:t xml:space="preserve">(pea) plants grown hydroponically in 2 plants per pot (1/pot) combinations after 7 days </w:t>
      </w:r>
      <w:r w:rsidR="006F2DB4">
        <w:t>o</w:t>
      </w:r>
      <w:r w:rsidRPr="000F2195">
        <w:t>f phosphate starvation.</w:t>
      </w:r>
    </w:p>
    <w:p w14:paraId="103D20F5" w14:textId="7F0CDB45" w:rsidR="00BC0FB9" w:rsidRPr="000F2195" w:rsidRDefault="00BC0FB9" w:rsidP="00BC0FB9">
      <w:pPr>
        <w:pStyle w:val="Description"/>
      </w:pPr>
      <w:r w:rsidRPr="000F2195">
        <w:t xml:space="preserve">A) Column scatter showing the fabacyl acetate (FA) peak area per gram of fresh root tissue weight, from LC-MS analysis of root tissues. Plotted data represents the focal plant (no brackets) in the presence of a neighbouring plant (brackets). Statistical analysis of the focal plant was carried out separately for the different genotypes and the </w:t>
      </w:r>
      <w:r w:rsidR="00D90A24">
        <w:t>s</w:t>
      </w:r>
      <w:r w:rsidRPr="000F2195">
        <w:t xml:space="preserve">ame letter indicates no statistical difference (WT: One way ANOVA with Tukey HSD, </w:t>
      </w:r>
      <w:r w:rsidRPr="000F2195">
        <w:rPr>
          <w:i/>
          <w:iCs/>
        </w:rPr>
        <w:t>rms1</w:t>
      </w:r>
      <w:r w:rsidRPr="000F2195">
        <w:t xml:space="preserve"> and </w:t>
      </w:r>
      <w:r w:rsidRPr="000F2195">
        <w:rPr>
          <w:i/>
          <w:iCs/>
        </w:rPr>
        <w:t>rms5</w:t>
      </w:r>
      <w:r w:rsidRPr="000F2195">
        <w:t>: Independent samples t-test, p&lt;0.05), n=3-5.</w:t>
      </w:r>
    </w:p>
    <w:p w14:paraId="14260E3B" w14:textId="77777777" w:rsidR="00BC0FB9" w:rsidRPr="000F2195" w:rsidRDefault="00BC0FB9" w:rsidP="00BC0FB9">
      <w:pPr>
        <w:pStyle w:val="Description"/>
      </w:pPr>
      <w:r w:rsidRPr="000F2195">
        <w:t>Figure modified from Wheeldon et al, 2022</w:t>
      </w:r>
    </w:p>
    <w:p w14:paraId="12FC9BE4" w14:textId="77777777" w:rsidR="00BC0FB9" w:rsidRDefault="00BC0FB9" w:rsidP="00BC0FB9">
      <w:pPr>
        <w:numPr>
          <w:ilvl w:val="1"/>
          <w:numId w:val="0"/>
        </w:numPr>
        <w:spacing w:before="160" w:line="360" w:lineRule="auto"/>
        <w:outlineLvl w:val="1"/>
        <w:rPr>
          <w:rFonts w:cs="Times New Roman"/>
          <w:bCs/>
        </w:rPr>
      </w:pPr>
    </w:p>
    <w:p w14:paraId="7FF544FA" w14:textId="4BAE3FE5" w:rsidR="00BC0FB9" w:rsidRDefault="00BC0FB9" w:rsidP="00BC0FB9">
      <w:pPr>
        <w:numPr>
          <w:ilvl w:val="1"/>
          <w:numId w:val="0"/>
        </w:numPr>
        <w:spacing w:before="160" w:line="480" w:lineRule="auto"/>
        <w:outlineLvl w:val="1"/>
        <w:rPr>
          <w:rFonts w:cs="Times New Roman"/>
          <w:bCs/>
        </w:rPr>
      </w:pPr>
      <w:r>
        <w:rPr>
          <w:rFonts w:cs="Times New Roman"/>
          <w:bCs/>
        </w:rPr>
        <w:t xml:space="preserve">These data </w:t>
      </w:r>
      <w:r w:rsidR="00EC324D" w:rsidRPr="00F4295D">
        <w:rPr>
          <w:rFonts w:cs="Times New Roman"/>
          <w:bCs/>
        </w:rPr>
        <w:t>suggest</w:t>
      </w:r>
      <w:r>
        <w:rPr>
          <w:rFonts w:cs="Times New Roman"/>
          <w:bCs/>
        </w:rPr>
        <w:t xml:space="preserve"> that SL exuded into the environment is able to be taken up by other plants sharing the same environment </w:t>
      </w:r>
      <w:r>
        <w:rPr>
          <w:rFonts w:cs="Times New Roman"/>
          <w:bCs/>
        </w:rPr>
        <w:fldChar w:fldCharType="begin" w:fldLock="1"/>
      </w:r>
      <w:r>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Pr>
          <w:rFonts w:cs="Times New Roman"/>
          <w:bCs/>
        </w:rPr>
        <w:fldChar w:fldCharType="separate"/>
      </w:r>
      <w:r w:rsidRPr="00EF10A6">
        <w:rPr>
          <w:rFonts w:cs="Times New Roman"/>
          <w:bCs/>
          <w:noProof/>
        </w:rPr>
        <w:t>(Wheeldon et al., 2022)</w:t>
      </w:r>
      <w:r>
        <w:rPr>
          <w:rFonts w:cs="Times New Roman"/>
          <w:bCs/>
        </w:rPr>
        <w:fldChar w:fldCharType="end"/>
      </w:r>
      <w:r>
        <w:rPr>
          <w:rFonts w:cs="Times New Roman"/>
          <w:bCs/>
        </w:rPr>
        <w:t xml:space="preserve">. </w:t>
      </w:r>
    </w:p>
    <w:p w14:paraId="2A00B35F" w14:textId="77777777" w:rsidR="00BC0FB9" w:rsidRDefault="00BC0FB9" w:rsidP="00BC0FB9">
      <w:pPr>
        <w:numPr>
          <w:ilvl w:val="1"/>
          <w:numId w:val="0"/>
        </w:numPr>
        <w:spacing w:before="160" w:line="480" w:lineRule="auto"/>
        <w:outlineLvl w:val="1"/>
        <w:rPr>
          <w:rFonts w:cs="Times New Roman"/>
          <w:bCs/>
        </w:rPr>
      </w:pPr>
    </w:p>
    <w:p w14:paraId="5753A120" w14:textId="6CEE1D77" w:rsidR="00BC0FB9" w:rsidRDefault="00BC0FB9" w:rsidP="00743E4C">
      <w:pPr>
        <w:pStyle w:val="Heading3"/>
      </w:pPr>
      <w:bookmarkStart w:id="229" w:name="_Toc154331507"/>
      <w:r>
        <w:t>Detection of neighbouring plants early in the life cycle requires exudation of s</w:t>
      </w:r>
      <w:r w:rsidRPr="00455567">
        <w:t>trigolactone</w:t>
      </w:r>
      <w:r>
        <w:t>s</w:t>
      </w:r>
      <w:bookmarkEnd w:id="229"/>
    </w:p>
    <w:p w14:paraId="2F745E08" w14:textId="77777777" w:rsidR="00BC0FB9" w:rsidRDefault="00BC0FB9" w:rsidP="00BC0FB9"/>
    <w:p w14:paraId="2708BC55" w14:textId="0D804B55" w:rsidR="00BC0FB9" w:rsidRDefault="00BC0FB9" w:rsidP="00BC0FB9">
      <w:pPr>
        <w:numPr>
          <w:ilvl w:val="1"/>
          <w:numId w:val="0"/>
        </w:numPr>
        <w:spacing w:before="160" w:line="480" w:lineRule="auto"/>
        <w:outlineLvl w:val="1"/>
        <w:rPr>
          <w:rFonts w:cs="Times New Roman"/>
          <w:bCs/>
        </w:rPr>
      </w:pPr>
      <w:r>
        <w:rPr>
          <w:rFonts w:cs="Times New Roman"/>
          <w:bCs/>
        </w:rPr>
        <w:t xml:space="preserve">Given the data presented thus far, I hypothesised that if SLs are indeed SVS/neighbour detection signals, then the lack of SL synthesis in </w:t>
      </w:r>
      <w:r w:rsidRPr="005D7252">
        <w:rPr>
          <w:rFonts w:cs="Times New Roman"/>
          <w:bCs/>
          <w:i/>
          <w:iCs/>
        </w:rPr>
        <w:t>rms1</w:t>
      </w:r>
      <w:r>
        <w:rPr>
          <w:rFonts w:cs="Times New Roman"/>
          <w:bCs/>
        </w:rPr>
        <w:t xml:space="preserve"> plants would make them essentially ‘invisible’ to other plants in the environment early </w:t>
      </w:r>
      <w:r>
        <w:rPr>
          <w:rFonts w:cs="Times New Roman"/>
          <w:bCs/>
        </w:rPr>
        <w:lastRenderedPageBreak/>
        <w:t xml:space="preserve">in life. However, I also hypothesised that if this was the case, then </w:t>
      </w:r>
      <w:r w:rsidRPr="005A5223">
        <w:rPr>
          <w:rFonts w:cs="Times New Roman"/>
          <w:bCs/>
          <w:i/>
          <w:iCs/>
        </w:rPr>
        <w:t>rms1</w:t>
      </w:r>
      <w:r>
        <w:rPr>
          <w:rFonts w:cs="Times New Roman"/>
          <w:bCs/>
        </w:rPr>
        <w:t xml:space="preserve"> plants would remain receptive to any SLs exuded by other plants in their environment. </w:t>
      </w:r>
      <w:r w:rsidR="00D90A24">
        <w:rPr>
          <w:rFonts w:cs="Times New Roman"/>
          <w:bCs/>
        </w:rPr>
        <w:t>On the contrary</w:t>
      </w:r>
      <w:r>
        <w:rPr>
          <w:rFonts w:cs="Times New Roman"/>
          <w:bCs/>
        </w:rPr>
        <w:t xml:space="preserve">, if SLs are only required for growth responses to other neighbour detection signals, then </w:t>
      </w:r>
      <w:r w:rsidRPr="007A334E">
        <w:rPr>
          <w:rFonts w:cs="Times New Roman"/>
          <w:bCs/>
          <w:i/>
          <w:iCs/>
        </w:rPr>
        <w:t>rms1</w:t>
      </w:r>
      <w:r>
        <w:rPr>
          <w:rFonts w:cs="Times New Roman"/>
          <w:bCs/>
        </w:rPr>
        <w:t xml:space="preserve"> plants should still be ‘visible’ to neighbouring plants (because they would still make the neighbour detection signal), but would fail to respond to the presence of neighbours (due to a lack of SLs)</w:t>
      </w:r>
      <w:r w:rsidR="00A877A1">
        <w:rPr>
          <w:rFonts w:cs="Times New Roman"/>
          <w:bCs/>
        </w:rPr>
        <w:t xml:space="preserve"> </w:t>
      </w:r>
      <w:r w:rsidR="00A877A1">
        <w:rPr>
          <w:rFonts w:cs="Times New Roman"/>
          <w:bCs/>
        </w:rPr>
        <w:fldChar w:fldCharType="begin" w:fldLock="1"/>
      </w:r>
      <w:r w:rsidR="00A877A1">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sidR="00A877A1">
        <w:rPr>
          <w:rFonts w:cs="Times New Roman"/>
          <w:bCs/>
        </w:rPr>
        <w:fldChar w:fldCharType="separate"/>
      </w:r>
      <w:r w:rsidR="00A877A1" w:rsidRPr="00A877A1">
        <w:rPr>
          <w:rFonts w:cs="Times New Roman"/>
          <w:bCs/>
          <w:noProof/>
        </w:rPr>
        <w:t>(Wheeldon et al., 2022)</w:t>
      </w:r>
      <w:r w:rsidR="00A877A1">
        <w:rPr>
          <w:rFonts w:cs="Times New Roman"/>
          <w:bCs/>
        </w:rPr>
        <w:fldChar w:fldCharType="end"/>
      </w:r>
      <w:r>
        <w:rPr>
          <w:rFonts w:cs="Times New Roman"/>
          <w:bCs/>
        </w:rPr>
        <w:t xml:space="preserve">. </w:t>
      </w:r>
      <w:r w:rsidRPr="000B2295">
        <w:rPr>
          <w:rFonts w:cs="Times New Roman"/>
          <w:bCs/>
        </w:rPr>
        <w:t>As mentioned earlier</w:t>
      </w:r>
      <w:r>
        <w:rPr>
          <w:rFonts w:cs="Times New Roman"/>
          <w:bCs/>
          <w:i/>
          <w:iCs/>
        </w:rPr>
        <w:t xml:space="preserve">, </w:t>
      </w:r>
      <w:r w:rsidRPr="00246199">
        <w:rPr>
          <w:rFonts w:cs="Times New Roman"/>
          <w:bCs/>
          <w:i/>
          <w:iCs/>
        </w:rPr>
        <w:t>rms1</w:t>
      </w:r>
      <w:r>
        <w:rPr>
          <w:rFonts w:cs="Times New Roman"/>
          <w:bCs/>
        </w:rPr>
        <w:t xml:space="preserve"> plants are highly branched and short in stature, and </w:t>
      </w:r>
      <w:r w:rsidRPr="000B2295">
        <w:rPr>
          <w:rFonts w:cs="Times New Roman"/>
          <w:bCs/>
          <w:i/>
          <w:iCs/>
        </w:rPr>
        <w:t>rms3</w:t>
      </w:r>
      <w:r>
        <w:rPr>
          <w:rFonts w:cs="Times New Roman"/>
          <w:bCs/>
        </w:rPr>
        <w:t xml:space="preserve"> plants (which lack the SL receptor D14 (RMS3 in pea, Fig 5.1A)</w:t>
      </w:r>
      <w:r w:rsidR="006F2DB4">
        <w:rPr>
          <w:rFonts w:cs="Times New Roman"/>
          <w:bCs/>
        </w:rPr>
        <w:t>)</w:t>
      </w:r>
      <w:r>
        <w:rPr>
          <w:rFonts w:cs="Times New Roman"/>
          <w:bCs/>
        </w:rPr>
        <w:t xml:space="preserve"> also share the same shoot phenotypes as </w:t>
      </w:r>
      <w:r w:rsidRPr="00E474DD">
        <w:rPr>
          <w:rFonts w:cs="Times New Roman"/>
          <w:bCs/>
          <w:i/>
          <w:iCs/>
        </w:rPr>
        <w:t>rms1</w:t>
      </w:r>
      <w:r>
        <w:rPr>
          <w:rFonts w:cs="Times New Roman"/>
          <w:bCs/>
        </w:rPr>
        <w:t xml:space="preserve"> plants.</w:t>
      </w:r>
      <w:r w:rsidRPr="00747875">
        <w:rPr>
          <w:rFonts w:cs="Times New Roman"/>
          <w:bCs/>
        </w:rPr>
        <w:t xml:space="preserve"> </w:t>
      </w:r>
      <w:r>
        <w:rPr>
          <w:rFonts w:cs="Times New Roman"/>
          <w:bCs/>
        </w:rPr>
        <w:t xml:space="preserve">However, </w:t>
      </w:r>
      <w:r w:rsidRPr="00747875">
        <w:rPr>
          <w:rFonts w:cs="Times New Roman"/>
          <w:bCs/>
          <w:i/>
          <w:iCs/>
        </w:rPr>
        <w:t>rms3</w:t>
      </w:r>
      <w:r>
        <w:rPr>
          <w:rFonts w:cs="Times New Roman"/>
          <w:bCs/>
        </w:rPr>
        <w:t xml:space="preserve"> plants are signalling mutants and hence I hypothesised that, if SLs are neighbour detection signals, then </w:t>
      </w:r>
      <w:r w:rsidRPr="00752187">
        <w:rPr>
          <w:rFonts w:cs="Times New Roman"/>
          <w:bCs/>
          <w:i/>
          <w:iCs/>
        </w:rPr>
        <w:t>rms3</w:t>
      </w:r>
      <w:r>
        <w:rPr>
          <w:rFonts w:cs="Times New Roman"/>
          <w:bCs/>
        </w:rPr>
        <w:t xml:space="preserve"> mutants would be unable to sense and respond to SLs in the environment, but would still be able to produce and exude it, and therefore inhibit the growth of neighbours. Therefore, </w:t>
      </w:r>
      <w:r w:rsidRPr="00747875">
        <w:rPr>
          <w:rFonts w:cs="Times New Roman"/>
          <w:bCs/>
          <w:i/>
          <w:iCs/>
        </w:rPr>
        <w:t>rms3</w:t>
      </w:r>
      <w:r>
        <w:rPr>
          <w:rFonts w:cs="Times New Roman"/>
          <w:bCs/>
        </w:rPr>
        <w:t xml:space="preserve"> plants should be unable to perceive the presence of neighbouring plants early in life, but would be able to inhibit the growth of </w:t>
      </w:r>
      <w:r w:rsidRPr="002611BB">
        <w:rPr>
          <w:rFonts w:cs="Times New Roman"/>
          <w:bCs/>
          <w:i/>
          <w:iCs/>
        </w:rPr>
        <w:t>rms1</w:t>
      </w:r>
      <w:r>
        <w:rPr>
          <w:rFonts w:cs="Times New Roman"/>
          <w:bCs/>
        </w:rPr>
        <w:t xml:space="preserve"> neighbours via their exuded SL </w:t>
      </w:r>
      <w:r>
        <w:rPr>
          <w:rFonts w:cs="Times New Roman"/>
          <w:bCs/>
        </w:rPr>
        <w:fldChar w:fldCharType="begin" w:fldLock="1"/>
      </w:r>
      <w:r>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Pr>
          <w:rFonts w:cs="Times New Roman"/>
          <w:bCs/>
        </w:rPr>
        <w:fldChar w:fldCharType="separate"/>
      </w:r>
      <w:r w:rsidRPr="00757ABB">
        <w:rPr>
          <w:rFonts w:cs="Times New Roman"/>
          <w:bCs/>
          <w:noProof/>
        </w:rPr>
        <w:t>(Wheeldon et al., 2022)</w:t>
      </w:r>
      <w:r>
        <w:rPr>
          <w:rFonts w:cs="Times New Roman"/>
          <w:bCs/>
        </w:rPr>
        <w:fldChar w:fldCharType="end"/>
      </w:r>
      <w:r>
        <w:rPr>
          <w:rFonts w:cs="Times New Roman"/>
          <w:bCs/>
        </w:rPr>
        <w:t>.</w:t>
      </w:r>
      <w:r w:rsidRPr="00E3077D">
        <w:rPr>
          <w:rFonts w:cs="Times New Roman"/>
          <w:bCs/>
        </w:rPr>
        <w:t xml:space="preserve"> </w:t>
      </w:r>
      <w:r>
        <w:rPr>
          <w:rFonts w:cs="Times New Roman"/>
          <w:bCs/>
        </w:rPr>
        <w:t xml:space="preserve">However, if SLs are primarily involved in the response to neighbouring plants and do not act as plant-to-plant signals, </w:t>
      </w:r>
      <w:r w:rsidRPr="00805A5B">
        <w:rPr>
          <w:rFonts w:cs="Times New Roman"/>
          <w:bCs/>
          <w:i/>
          <w:iCs/>
        </w:rPr>
        <w:t>rms1</w:t>
      </w:r>
      <w:r>
        <w:rPr>
          <w:rFonts w:cs="Times New Roman"/>
          <w:bCs/>
        </w:rPr>
        <w:t xml:space="preserve"> and </w:t>
      </w:r>
      <w:r w:rsidRPr="00805A5B">
        <w:rPr>
          <w:rFonts w:cs="Times New Roman"/>
          <w:bCs/>
          <w:i/>
          <w:iCs/>
        </w:rPr>
        <w:t>rms3</w:t>
      </w:r>
      <w:r>
        <w:rPr>
          <w:rFonts w:cs="Times New Roman"/>
          <w:bCs/>
        </w:rPr>
        <w:t xml:space="preserve"> should behave the same, in an unresponsive manner, to crowding with other plants </w:t>
      </w:r>
      <w:r>
        <w:rPr>
          <w:rFonts w:cs="Times New Roman"/>
          <w:bCs/>
        </w:rPr>
        <w:fldChar w:fldCharType="begin" w:fldLock="1"/>
      </w:r>
      <w:r>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Pr>
          <w:rFonts w:cs="Times New Roman"/>
          <w:bCs/>
        </w:rPr>
        <w:fldChar w:fldCharType="separate"/>
      </w:r>
      <w:r w:rsidRPr="00EF10A6">
        <w:rPr>
          <w:rFonts w:cs="Times New Roman"/>
          <w:bCs/>
          <w:noProof/>
        </w:rPr>
        <w:t>(Wheeldon et al., 2022)</w:t>
      </w:r>
      <w:r>
        <w:rPr>
          <w:rFonts w:cs="Times New Roman"/>
          <w:bCs/>
        </w:rPr>
        <w:fldChar w:fldCharType="end"/>
      </w:r>
      <w:r>
        <w:rPr>
          <w:rFonts w:cs="Times New Roman"/>
          <w:bCs/>
        </w:rPr>
        <w:t>.</w:t>
      </w:r>
    </w:p>
    <w:p w14:paraId="152DD502" w14:textId="6CCBA482" w:rsidR="00BC0FB9" w:rsidRDefault="00BC0FB9" w:rsidP="00BC0FB9">
      <w:pPr>
        <w:numPr>
          <w:ilvl w:val="1"/>
          <w:numId w:val="0"/>
        </w:numPr>
        <w:spacing w:before="160" w:line="480" w:lineRule="auto"/>
        <w:outlineLvl w:val="1"/>
        <w:rPr>
          <w:rFonts w:cs="Times New Roman"/>
          <w:bCs/>
        </w:rPr>
      </w:pPr>
      <w:r>
        <w:rPr>
          <w:rFonts w:cs="Times New Roman"/>
          <w:bCs/>
        </w:rPr>
        <w:t xml:space="preserve">To explore the possibility that SLs are plant-to-plant signals further, I grew, together with Hannah Lund and Maxime Hamon-Josse, </w:t>
      </w:r>
      <w:r w:rsidRPr="00D1691F">
        <w:rPr>
          <w:rFonts w:cs="Times New Roman"/>
          <w:bCs/>
          <w:i/>
          <w:iCs/>
        </w:rPr>
        <w:t>rms1</w:t>
      </w:r>
      <w:r>
        <w:rPr>
          <w:rFonts w:cs="Times New Roman"/>
          <w:bCs/>
          <w:i/>
          <w:iCs/>
        </w:rPr>
        <w:t>-1</w:t>
      </w:r>
      <w:r>
        <w:rPr>
          <w:rFonts w:cs="Times New Roman"/>
          <w:bCs/>
        </w:rPr>
        <w:t xml:space="preserve"> (L77 background) and </w:t>
      </w:r>
      <w:r w:rsidRPr="00D1691F">
        <w:rPr>
          <w:rFonts w:cs="Times New Roman"/>
          <w:bCs/>
          <w:i/>
          <w:iCs/>
        </w:rPr>
        <w:t>rms3</w:t>
      </w:r>
      <w:r>
        <w:rPr>
          <w:rFonts w:cs="Times New Roman"/>
          <w:bCs/>
          <w:i/>
          <w:iCs/>
        </w:rPr>
        <w:t xml:space="preserve">-1 </w:t>
      </w:r>
      <w:r w:rsidRPr="006154C6">
        <w:rPr>
          <w:rFonts w:cs="Times New Roman"/>
          <w:bCs/>
        </w:rPr>
        <w:t>(</w:t>
      </w:r>
      <w:r>
        <w:rPr>
          <w:rFonts w:cs="Times New Roman"/>
          <w:bCs/>
        </w:rPr>
        <w:t>Torsdag background</w:t>
      </w:r>
      <w:r w:rsidRPr="006154C6">
        <w:rPr>
          <w:rFonts w:cs="Times New Roman"/>
          <w:bCs/>
        </w:rPr>
        <w:t>)</w:t>
      </w:r>
      <w:r>
        <w:rPr>
          <w:rFonts w:cs="Times New Roman"/>
          <w:bCs/>
        </w:rPr>
        <w:t xml:space="preserve"> plants in a series of soil-based combinatorial treatments in 500ml pots. Plants were either grown 4 plants per pot of the same genotype (4x), or 4 plants per pot of mixed genotypes where there were 3 plants of 1 genotype and 1 plant of the other </w:t>
      </w:r>
      <w:r>
        <w:rPr>
          <w:rFonts w:cs="Times New Roman"/>
          <w:bCs/>
        </w:rPr>
        <w:lastRenderedPageBreak/>
        <w:t xml:space="preserve">genotype (3x </w:t>
      </w:r>
      <w:r w:rsidRPr="007A2131">
        <w:rPr>
          <w:rFonts w:cs="Times New Roman"/>
          <w:bCs/>
          <w:i/>
          <w:iCs/>
        </w:rPr>
        <w:t>rms1</w:t>
      </w:r>
      <w:r>
        <w:rPr>
          <w:rFonts w:cs="Times New Roman"/>
          <w:bCs/>
        </w:rPr>
        <w:t xml:space="preserve"> and 1x</w:t>
      </w:r>
      <w:r w:rsidRPr="007A2131">
        <w:rPr>
          <w:rFonts w:cs="Times New Roman"/>
          <w:bCs/>
          <w:i/>
          <w:iCs/>
        </w:rPr>
        <w:t xml:space="preserve"> rms3</w:t>
      </w:r>
      <w:r>
        <w:rPr>
          <w:rFonts w:cs="Times New Roman"/>
          <w:bCs/>
        </w:rPr>
        <w:t xml:space="preserve"> respectively, and 1x  </w:t>
      </w:r>
      <w:r w:rsidRPr="007A2131">
        <w:rPr>
          <w:rFonts w:cs="Times New Roman"/>
          <w:bCs/>
          <w:i/>
          <w:iCs/>
        </w:rPr>
        <w:t>rms3</w:t>
      </w:r>
      <w:r>
        <w:rPr>
          <w:rFonts w:cs="Times New Roman"/>
          <w:bCs/>
        </w:rPr>
        <w:t xml:space="preserve"> and 3x</w:t>
      </w:r>
      <w:r w:rsidRPr="007A2131">
        <w:rPr>
          <w:rFonts w:cs="Times New Roman"/>
          <w:bCs/>
          <w:i/>
          <w:iCs/>
        </w:rPr>
        <w:t xml:space="preserve"> rms1</w:t>
      </w:r>
      <w:r>
        <w:rPr>
          <w:rFonts w:cs="Times New Roman"/>
          <w:bCs/>
        </w:rPr>
        <w:t xml:space="preserve"> respectively) (Fig</w:t>
      </w:r>
      <w:r w:rsidR="006977CE">
        <w:rPr>
          <w:rFonts w:cs="Times New Roman"/>
          <w:bCs/>
        </w:rPr>
        <w:t>.</w:t>
      </w:r>
      <w:r>
        <w:rPr>
          <w:rFonts w:cs="Times New Roman"/>
          <w:bCs/>
        </w:rPr>
        <w:t xml:space="preserve"> 5.3A). </w:t>
      </w:r>
    </w:p>
    <w:p w14:paraId="1A51762F" w14:textId="2C9A1EB2" w:rsidR="00BC0FB9" w:rsidRDefault="00BC0FB9" w:rsidP="00BC0FB9">
      <w:pPr>
        <w:numPr>
          <w:ilvl w:val="1"/>
          <w:numId w:val="0"/>
        </w:numPr>
        <w:spacing w:before="160" w:line="480" w:lineRule="auto"/>
        <w:outlineLvl w:val="1"/>
        <w:rPr>
          <w:rFonts w:cs="Times New Roman"/>
          <w:bCs/>
        </w:rPr>
      </w:pPr>
      <w:r>
        <w:rPr>
          <w:rFonts w:cs="Times New Roman"/>
          <w:bCs/>
        </w:rPr>
        <w:t>Shoot branch</w:t>
      </w:r>
      <w:r w:rsidR="002B74A1">
        <w:rPr>
          <w:rFonts w:cs="Times New Roman"/>
          <w:bCs/>
        </w:rPr>
        <w:t xml:space="preserve"> number</w:t>
      </w:r>
      <w:r>
        <w:rPr>
          <w:rFonts w:cs="Times New Roman"/>
          <w:bCs/>
        </w:rPr>
        <w:t xml:space="preserve"> and shoot biomass were measured at 8 weeks post-germination. When each genotype was grown singly (1x), they produced a similar number of branches to each other (Fig</w:t>
      </w:r>
      <w:r w:rsidR="004757E4">
        <w:rPr>
          <w:rFonts w:cs="Times New Roman"/>
          <w:bCs/>
        </w:rPr>
        <w:t>.</w:t>
      </w:r>
      <w:r>
        <w:rPr>
          <w:rFonts w:cs="Times New Roman"/>
          <w:bCs/>
        </w:rPr>
        <w:t xml:space="preserve"> 5.3B). As would be expected from data presented in section 3.</w:t>
      </w:r>
      <w:r w:rsidR="00A877A1">
        <w:rPr>
          <w:rFonts w:cs="Times New Roman"/>
          <w:bCs/>
        </w:rPr>
        <w:t>2</w:t>
      </w:r>
      <w:r>
        <w:rPr>
          <w:rFonts w:cs="Times New Roman"/>
          <w:bCs/>
        </w:rPr>
        <w:t xml:space="preserve"> and Figure 5.1A, when crowded in the same soil volume (4x) there was a reduction in both the number of shoot branches and shoot biomass produced compared to 1x grown plants, in both genotypes (Fig</w:t>
      </w:r>
      <w:r w:rsidR="004757E4">
        <w:rPr>
          <w:rFonts w:cs="Times New Roman"/>
          <w:bCs/>
        </w:rPr>
        <w:t>.</w:t>
      </w:r>
      <w:r>
        <w:rPr>
          <w:rFonts w:cs="Times New Roman"/>
          <w:bCs/>
        </w:rPr>
        <w:t xml:space="preserve"> 5.3C+D). This reduction led to both genotypes producing a similar number of branches and shoot biomass in the 4x treatments</w:t>
      </w:r>
      <w:r w:rsidR="00A877A1">
        <w:rPr>
          <w:rFonts w:cs="Times New Roman"/>
          <w:bCs/>
        </w:rPr>
        <w:t xml:space="preserve"> </w:t>
      </w:r>
      <w:r w:rsidR="00A877A1">
        <w:rPr>
          <w:rFonts w:cs="Times New Roman"/>
          <w:bCs/>
        </w:rPr>
        <w:fldChar w:fldCharType="begin" w:fldLock="1"/>
      </w:r>
      <w:r w:rsidR="0028717B">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sidR="00A877A1">
        <w:rPr>
          <w:rFonts w:cs="Times New Roman"/>
          <w:bCs/>
        </w:rPr>
        <w:fldChar w:fldCharType="separate"/>
      </w:r>
      <w:r w:rsidR="00A877A1" w:rsidRPr="00A877A1">
        <w:rPr>
          <w:rFonts w:cs="Times New Roman"/>
          <w:bCs/>
          <w:noProof/>
        </w:rPr>
        <w:t>(Wheeldon et al., 2022)</w:t>
      </w:r>
      <w:r w:rsidR="00A877A1">
        <w:rPr>
          <w:rFonts w:cs="Times New Roman"/>
          <w:bCs/>
        </w:rPr>
        <w:fldChar w:fldCharType="end"/>
      </w:r>
      <w:r>
        <w:rPr>
          <w:rFonts w:cs="Times New Roman"/>
          <w:bCs/>
        </w:rPr>
        <w:t xml:space="preserve">. </w:t>
      </w:r>
    </w:p>
    <w:p w14:paraId="422FB55A" w14:textId="1CB27F06" w:rsidR="00BC0FB9" w:rsidRDefault="00BC0FB9" w:rsidP="00BC0FB9">
      <w:pPr>
        <w:numPr>
          <w:ilvl w:val="1"/>
          <w:numId w:val="0"/>
        </w:numPr>
        <w:spacing w:before="160" w:line="480" w:lineRule="auto"/>
        <w:outlineLvl w:val="1"/>
        <w:rPr>
          <w:rFonts w:cs="Times New Roman"/>
          <w:bCs/>
        </w:rPr>
      </w:pPr>
      <w:r>
        <w:rPr>
          <w:rFonts w:cs="Times New Roman"/>
          <w:bCs/>
        </w:rPr>
        <w:t xml:space="preserve">When </w:t>
      </w:r>
      <w:r w:rsidR="00981A99" w:rsidRPr="00B22339">
        <w:rPr>
          <w:rFonts w:cs="Times New Roman"/>
          <w:bCs/>
        </w:rPr>
        <w:t>analysing</w:t>
      </w:r>
      <w:r>
        <w:rPr>
          <w:rFonts w:cs="Times New Roman"/>
          <w:bCs/>
        </w:rPr>
        <w:t xml:space="preserve"> the shoot branch</w:t>
      </w:r>
      <w:r w:rsidR="002B74A1">
        <w:rPr>
          <w:rFonts w:cs="Times New Roman"/>
          <w:bCs/>
        </w:rPr>
        <w:t xml:space="preserve"> number</w:t>
      </w:r>
      <w:r>
        <w:rPr>
          <w:rFonts w:cs="Times New Roman"/>
          <w:bCs/>
        </w:rPr>
        <w:t xml:space="preserve"> and biomass of plants grown in the 3x </w:t>
      </w:r>
      <w:r w:rsidRPr="005A2896">
        <w:rPr>
          <w:rFonts w:cs="Times New Roman"/>
          <w:bCs/>
          <w:i/>
          <w:iCs/>
        </w:rPr>
        <w:t>rms1</w:t>
      </w:r>
      <w:r>
        <w:rPr>
          <w:rFonts w:cs="Times New Roman"/>
          <w:bCs/>
        </w:rPr>
        <w:t xml:space="preserve"> 1x </w:t>
      </w:r>
      <w:r w:rsidRPr="00752187">
        <w:rPr>
          <w:rFonts w:cs="Times New Roman"/>
          <w:bCs/>
          <w:i/>
          <w:iCs/>
        </w:rPr>
        <w:t>rms3</w:t>
      </w:r>
      <w:r>
        <w:rPr>
          <w:rFonts w:cs="Times New Roman"/>
          <w:bCs/>
        </w:rPr>
        <w:t xml:space="preserve"> treatment</w:t>
      </w:r>
      <w:r w:rsidR="002B74A1">
        <w:rPr>
          <w:rFonts w:cs="Times New Roman"/>
          <w:bCs/>
        </w:rPr>
        <w:t>,</w:t>
      </w:r>
      <w:r>
        <w:rPr>
          <w:rFonts w:cs="Times New Roman"/>
          <w:bCs/>
        </w:rPr>
        <w:t xml:space="preserve"> there was a small</w:t>
      </w:r>
      <w:r w:rsidR="00076171">
        <w:rPr>
          <w:rFonts w:cs="Times New Roman"/>
          <w:bCs/>
        </w:rPr>
        <w:t xml:space="preserve">, </w:t>
      </w:r>
      <w:r w:rsidR="00076171" w:rsidRPr="0066607E">
        <w:rPr>
          <w:rFonts w:cs="Times New Roman"/>
          <w:bCs/>
        </w:rPr>
        <w:t>but not significantly different</w:t>
      </w:r>
      <w:r w:rsidR="00076171">
        <w:rPr>
          <w:rFonts w:cs="Times New Roman"/>
          <w:bCs/>
        </w:rPr>
        <w:t>,</w:t>
      </w:r>
      <w:r>
        <w:rPr>
          <w:rFonts w:cs="Times New Roman"/>
          <w:bCs/>
        </w:rPr>
        <w:t xml:space="preserve"> decrease seen in the </w:t>
      </w:r>
      <w:r w:rsidRPr="00D36948">
        <w:rPr>
          <w:rFonts w:cs="Times New Roman"/>
          <w:bCs/>
          <w:i/>
          <w:iCs/>
        </w:rPr>
        <w:t>rms1</w:t>
      </w:r>
      <w:r>
        <w:rPr>
          <w:rFonts w:cs="Times New Roman"/>
          <w:bCs/>
        </w:rPr>
        <w:t xml:space="preserve"> plants compared with the growth of each plant in the 4x treatment of the same genotype. However, there was a dramatic</w:t>
      </w:r>
      <w:r w:rsidR="00B600EF">
        <w:rPr>
          <w:rFonts w:cs="Times New Roman"/>
          <w:bCs/>
        </w:rPr>
        <w:t xml:space="preserve">, </w:t>
      </w:r>
      <w:r w:rsidR="00B600EF" w:rsidRPr="009D6D31">
        <w:rPr>
          <w:rFonts w:cs="Times New Roman"/>
          <w:bCs/>
        </w:rPr>
        <w:t>statistically significant</w:t>
      </w:r>
      <w:r w:rsidR="00B600EF">
        <w:rPr>
          <w:rFonts w:cs="Times New Roman"/>
          <w:bCs/>
        </w:rPr>
        <w:t>,</w:t>
      </w:r>
      <w:r>
        <w:rPr>
          <w:rFonts w:cs="Times New Roman"/>
          <w:bCs/>
        </w:rPr>
        <w:t xml:space="preserve"> increase in branching and biomass of the single </w:t>
      </w:r>
      <w:r w:rsidRPr="00752187">
        <w:rPr>
          <w:rFonts w:cs="Times New Roman"/>
          <w:bCs/>
          <w:i/>
          <w:iCs/>
        </w:rPr>
        <w:t>rms3</w:t>
      </w:r>
      <w:r>
        <w:rPr>
          <w:rFonts w:cs="Times New Roman"/>
          <w:bCs/>
        </w:rPr>
        <w:t xml:space="preserve"> plant in this treatment (Fig</w:t>
      </w:r>
      <w:r w:rsidR="009F1618">
        <w:rPr>
          <w:rFonts w:cs="Times New Roman"/>
          <w:bCs/>
        </w:rPr>
        <w:t>.</w:t>
      </w:r>
      <w:r>
        <w:rPr>
          <w:rFonts w:cs="Times New Roman"/>
          <w:bCs/>
        </w:rPr>
        <w:t xml:space="preserve"> 5.3 C+D). Together, the 3x 1x combination treatment </w:t>
      </w:r>
      <w:r w:rsidR="00C64DFD">
        <w:rPr>
          <w:rFonts w:cs="Times New Roman"/>
          <w:bCs/>
        </w:rPr>
        <w:t>suggests</w:t>
      </w:r>
      <w:r>
        <w:rPr>
          <w:rFonts w:cs="Times New Roman"/>
          <w:bCs/>
        </w:rPr>
        <w:t xml:space="preserve"> that the single </w:t>
      </w:r>
      <w:r w:rsidRPr="00875066">
        <w:rPr>
          <w:rFonts w:cs="Times New Roman"/>
          <w:bCs/>
          <w:i/>
          <w:iCs/>
        </w:rPr>
        <w:t>rms3</w:t>
      </w:r>
      <w:r>
        <w:rPr>
          <w:rFonts w:cs="Times New Roman"/>
          <w:bCs/>
        </w:rPr>
        <w:t xml:space="preserve"> plant cannot ‘see’ that is has 3x </w:t>
      </w:r>
      <w:r w:rsidRPr="005802C5">
        <w:rPr>
          <w:rFonts w:cs="Times New Roman"/>
          <w:bCs/>
          <w:i/>
          <w:iCs/>
        </w:rPr>
        <w:t>rms1</w:t>
      </w:r>
      <w:r>
        <w:rPr>
          <w:rFonts w:cs="Times New Roman"/>
          <w:bCs/>
        </w:rPr>
        <w:t xml:space="preserve"> neighbours in the pot, hence this results in the overproduction of branches and biomass in the </w:t>
      </w:r>
      <w:r w:rsidRPr="005802C5">
        <w:rPr>
          <w:rFonts w:cs="Times New Roman"/>
          <w:bCs/>
          <w:i/>
          <w:iCs/>
        </w:rPr>
        <w:t>rms3</w:t>
      </w:r>
      <w:r>
        <w:rPr>
          <w:rFonts w:cs="Times New Roman"/>
          <w:bCs/>
        </w:rPr>
        <w:t xml:space="preserve"> plant. Conversely, the presence of the </w:t>
      </w:r>
      <w:r w:rsidRPr="005802C5">
        <w:rPr>
          <w:rFonts w:cs="Times New Roman"/>
          <w:bCs/>
          <w:i/>
          <w:iCs/>
        </w:rPr>
        <w:t>rms3</w:t>
      </w:r>
      <w:r>
        <w:rPr>
          <w:rFonts w:cs="Times New Roman"/>
          <w:bCs/>
        </w:rPr>
        <w:t xml:space="preserve"> plant which is exuding SL, causes mild shoot growth inhibition in the </w:t>
      </w:r>
      <w:r w:rsidRPr="005802C5">
        <w:rPr>
          <w:rFonts w:cs="Times New Roman"/>
          <w:bCs/>
          <w:i/>
          <w:iCs/>
        </w:rPr>
        <w:t>rms1</w:t>
      </w:r>
      <w:r>
        <w:rPr>
          <w:rFonts w:cs="Times New Roman"/>
          <w:bCs/>
        </w:rPr>
        <w:t xml:space="preserve"> plants in the pot </w:t>
      </w:r>
      <w:r>
        <w:rPr>
          <w:rFonts w:cs="Times New Roman"/>
          <w:bCs/>
        </w:rPr>
        <w:fldChar w:fldCharType="begin" w:fldLock="1"/>
      </w:r>
      <w:r>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Pr>
          <w:rFonts w:cs="Times New Roman"/>
          <w:bCs/>
        </w:rPr>
        <w:fldChar w:fldCharType="separate"/>
      </w:r>
      <w:r w:rsidRPr="005802C5">
        <w:rPr>
          <w:rFonts w:cs="Times New Roman"/>
          <w:bCs/>
          <w:noProof/>
        </w:rPr>
        <w:t>(Wheeldon et al., 2022)</w:t>
      </w:r>
      <w:r>
        <w:rPr>
          <w:rFonts w:cs="Times New Roman"/>
          <w:bCs/>
        </w:rPr>
        <w:fldChar w:fldCharType="end"/>
      </w:r>
      <w:r>
        <w:rPr>
          <w:rFonts w:cs="Times New Roman"/>
          <w:bCs/>
        </w:rPr>
        <w:t xml:space="preserve">. </w:t>
      </w:r>
    </w:p>
    <w:p w14:paraId="3B4D1417" w14:textId="7CD3A96C" w:rsidR="00BC0FB9" w:rsidRDefault="00BC0FB9" w:rsidP="00BC0FB9">
      <w:pPr>
        <w:numPr>
          <w:ilvl w:val="1"/>
          <w:numId w:val="0"/>
        </w:numPr>
        <w:spacing w:before="160" w:line="480" w:lineRule="auto"/>
        <w:outlineLvl w:val="1"/>
        <w:rPr>
          <w:rFonts w:cs="Times New Roman"/>
          <w:bCs/>
        </w:rPr>
      </w:pPr>
      <w:r>
        <w:rPr>
          <w:rFonts w:cs="Times New Roman"/>
          <w:bCs/>
        </w:rPr>
        <w:t xml:space="preserve">In the other combination treatment, 1x </w:t>
      </w:r>
      <w:r w:rsidRPr="00752187">
        <w:rPr>
          <w:rFonts w:cs="Times New Roman"/>
          <w:bCs/>
          <w:i/>
          <w:iCs/>
        </w:rPr>
        <w:t>rms1</w:t>
      </w:r>
      <w:r>
        <w:rPr>
          <w:rFonts w:cs="Times New Roman"/>
          <w:bCs/>
        </w:rPr>
        <w:t xml:space="preserve"> 3x </w:t>
      </w:r>
      <w:r w:rsidRPr="00C51F78">
        <w:rPr>
          <w:rFonts w:cs="Times New Roman"/>
          <w:bCs/>
          <w:i/>
          <w:iCs/>
        </w:rPr>
        <w:t>rms3</w:t>
      </w:r>
      <w:r>
        <w:rPr>
          <w:rFonts w:cs="Times New Roman"/>
          <w:bCs/>
        </w:rPr>
        <w:t xml:space="preserve">, the </w:t>
      </w:r>
      <w:r w:rsidRPr="00093E92">
        <w:rPr>
          <w:rFonts w:cs="Times New Roman"/>
          <w:bCs/>
          <w:i/>
          <w:iCs/>
        </w:rPr>
        <w:t>rms3</w:t>
      </w:r>
      <w:r>
        <w:rPr>
          <w:rFonts w:cs="Times New Roman"/>
          <w:bCs/>
        </w:rPr>
        <w:t xml:space="preserve"> plants have </w:t>
      </w:r>
      <w:r w:rsidRPr="00AE5264">
        <w:rPr>
          <w:rFonts w:cs="Times New Roman"/>
          <w:bCs/>
        </w:rPr>
        <w:t>a</w:t>
      </w:r>
      <w:r w:rsidR="009316ED" w:rsidRPr="00AE5264">
        <w:rPr>
          <w:rFonts w:cs="Times New Roman"/>
          <w:bCs/>
        </w:rPr>
        <w:t xml:space="preserve"> statistically significant</w:t>
      </w:r>
      <w:r>
        <w:rPr>
          <w:rFonts w:cs="Times New Roman"/>
          <w:bCs/>
        </w:rPr>
        <w:t xml:space="preserve"> increase in </w:t>
      </w:r>
      <w:r w:rsidR="004C4CD7">
        <w:rPr>
          <w:rFonts w:cs="Times New Roman"/>
          <w:bCs/>
        </w:rPr>
        <w:t xml:space="preserve">the number of </w:t>
      </w:r>
      <w:r>
        <w:rPr>
          <w:rFonts w:cs="Times New Roman"/>
          <w:bCs/>
        </w:rPr>
        <w:t>shoot branch</w:t>
      </w:r>
      <w:r w:rsidR="004C4CD7">
        <w:rPr>
          <w:rFonts w:cs="Times New Roman"/>
          <w:bCs/>
        </w:rPr>
        <w:t xml:space="preserve">es </w:t>
      </w:r>
      <w:r>
        <w:rPr>
          <w:rFonts w:cs="Times New Roman"/>
          <w:bCs/>
        </w:rPr>
        <w:t xml:space="preserve">and </w:t>
      </w:r>
      <w:r w:rsidR="004C4CD7">
        <w:rPr>
          <w:rFonts w:cs="Times New Roman"/>
          <w:bCs/>
        </w:rPr>
        <w:t xml:space="preserve">amount of </w:t>
      </w:r>
      <w:r>
        <w:rPr>
          <w:rFonts w:cs="Times New Roman"/>
          <w:bCs/>
        </w:rPr>
        <w:t xml:space="preserve">biomass </w:t>
      </w:r>
      <w:r w:rsidR="004C4CD7">
        <w:rPr>
          <w:rFonts w:cs="Times New Roman"/>
          <w:bCs/>
        </w:rPr>
        <w:t xml:space="preserve">produced </w:t>
      </w:r>
      <w:r>
        <w:rPr>
          <w:rFonts w:cs="Times New Roman"/>
          <w:bCs/>
        </w:rPr>
        <w:t xml:space="preserve">when compared to the 4x treatment of the same </w:t>
      </w:r>
      <w:r>
        <w:rPr>
          <w:rFonts w:cs="Times New Roman"/>
          <w:bCs/>
        </w:rPr>
        <w:lastRenderedPageBreak/>
        <w:t>genotype (Fig</w:t>
      </w:r>
      <w:r w:rsidR="009F1618">
        <w:rPr>
          <w:rFonts w:cs="Times New Roman"/>
          <w:bCs/>
        </w:rPr>
        <w:t>.</w:t>
      </w:r>
      <w:r>
        <w:rPr>
          <w:rFonts w:cs="Times New Roman"/>
          <w:bCs/>
        </w:rPr>
        <w:t xml:space="preserve"> 5.3 C+D). Conversely, </w:t>
      </w:r>
      <w:r w:rsidRPr="007A2ECA">
        <w:rPr>
          <w:rFonts w:cs="Times New Roman"/>
          <w:bCs/>
        </w:rPr>
        <w:t xml:space="preserve">the 1x </w:t>
      </w:r>
      <w:r w:rsidRPr="007A2ECA">
        <w:rPr>
          <w:rFonts w:cs="Times New Roman"/>
          <w:bCs/>
          <w:i/>
          <w:iCs/>
        </w:rPr>
        <w:t>rms1</w:t>
      </w:r>
      <w:r w:rsidRPr="007A2ECA">
        <w:rPr>
          <w:rFonts w:cs="Times New Roman"/>
          <w:bCs/>
        </w:rPr>
        <w:t xml:space="preserve"> plant</w:t>
      </w:r>
      <w:r w:rsidR="00072627" w:rsidRPr="007A2ECA">
        <w:rPr>
          <w:rFonts w:cs="Times New Roman"/>
          <w:bCs/>
        </w:rPr>
        <w:t xml:space="preserve">, although not statistically different from the </w:t>
      </w:r>
      <w:r w:rsidR="00215B72" w:rsidRPr="007A2ECA">
        <w:rPr>
          <w:rFonts w:cs="Times New Roman"/>
          <w:bCs/>
        </w:rPr>
        <w:t xml:space="preserve">3x </w:t>
      </w:r>
      <w:r w:rsidR="00215B72" w:rsidRPr="007A2ECA">
        <w:rPr>
          <w:rFonts w:cs="Times New Roman"/>
          <w:bCs/>
          <w:i/>
          <w:iCs/>
        </w:rPr>
        <w:t>rms1</w:t>
      </w:r>
      <w:r w:rsidRPr="007A2ECA">
        <w:rPr>
          <w:rFonts w:cs="Times New Roman"/>
          <w:bCs/>
        </w:rPr>
        <w:t xml:space="preserve"> </w:t>
      </w:r>
      <w:r w:rsidR="00215B72" w:rsidRPr="007A2ECA">
        <w:rPr>
          <w:rFonts w:cs="Times New Roman"/>
          <w:bCs/>
        </w:rPr>
        <w:t>plants in the 3x 1x combination</w:t>
      </w:r>
      <w:r w:rsidR="00215B72">
        <w:rPr>
          <w:rFonts w:cs="Times New Roman"/>
          <w:bCs/>
        </w:rPr>
        <w:t xml:space="preserve">, </w:t>
      </w:r>
      <w:r>
        <w:rPr>
          <w:rFonts w:cs="Times New Roman"/>
          <w:bCs/>
        </w:rPr>
        <w:t xml:space="preserve">shows a dramatic decrease in </w:t>
      </w:r>
      <w:r w:rsidR="007A2ECA">
        <w:rPr>
          <w:rFonts w:cs="Times New Roman"/>
          <w:bCs/>
        </w:rPr>
        <w:t xml:space="preserve">the number of </w:t>
      </w:r>
      <w:r>
        <w:rPr>
          <w:rFonts w:cs="Times New Roman"/>
          <w:bCs/>
        </w:rPr>
        <w:t xml:space="preserve">shoot branches and </w:t>
      </w:r>
      <w:r w:rsidR="007A2ECA">
        <w:rPr>
          <w:rFonts w:cs="Times New Roman"/>
          <w:bCs/>
        </w:rPr>
        <w:t xml:space="preserve">amount of </w:t>
      </w:r>
      <w:r>
        <w:rPr>
          <w:rFonts w:cs="Times New Roman"/>
          <w:bCs/>
        </w:rPr>
        <w:t>biomass</w:t>
      </w:r>
      <w:r w:rsidR="007A2ECA">
        <w:rPr>
          <w:rFonts w:cs="Times New Roman"/>
          <w:bCs/>
        </w:rPr>
        <w:t xml:space="preserve"> produced</w:t>
      </w:r>
      <w:r>
        <w:rPr>
          <w:rFonts w:cs="Times New Roman"/>
          <w:bCs/>
        </w:rPr>
        <w:t xml:space="preserve">, more so than in the other combination treatment. Together, this combination treatment suggests that the 3x </w:t>
      </w:r>
      <w:r w:rsidRPr="00667CF8">
        <w:rPr>
          <w:rFonts w:cs="Times New Roman"/>
          <w:bCs/>
          <w:i/>
          <w:iCs/>
        </w:rPr>
        <w:t>rms3</w:t>
      </w:r>
      <w:r>
        <w:rPr>
          <w:rFonts w:cs="Times New Roman"/>
          <w:bCs/>
        </w:rPr>
        <w:t xml:space="preserve"> plants, whom all produce and exude SL, result in a powerful inhibition of shoot branching and biomass in the </w:t>
      </w:r>
      <w:r w:rsidRPr="00752187">
        <w:rPr>
          <w:rFonts w:cs="Times New Roman"/>
          <w:bCs/>
          <w:i/>
          <w:iCs/>
        </w:rPr>
        <w:t>rms1</w:t>
      </w:r>
      <w:r>
        <w:rPr>
          <w:rFonts w:cs="Times New Roman"/>
          <w:bCs/>
        </w:rPr>
        <w:t xml:space="preserve"> plant. By reducing the size of the </w:t>
      </w:r>
      <w:r w:rsidRPr="00752187">
        <w:rPr>
          <w:rFonts w:cs="Times New Roman"/>
          <w:bCs/>
          <w:i/>
          <w:iCs/>
        </w:rPr>
        <w:t>rms1</w:t>
      </w:r>
      <w:r>
        <w:rPr>
          <w:rFonts w:cs="Times New Roman"/>
          <w:bCs/>
        </w:rPr>
        <w:t xml:space="preserve"> plant, the </w:t>
      </w:r>
      <w:r w:rsidRPr="00667CF8">
        <w:rPr>
          <w:rFonts w:cs="Times New Roman"/>
          <w:bCs/>
          <w:i/>
          <w:iCs/>
        </w:rPr>
        <w:t>rms3</w:t>
      </w:r>
      <w:r>
        <w:rPr>
          <w:rFonts w:cs="Times New Roman"/>
          <w:bCs/>
        </w:rPr>
        <w:t xml:space="preserve"> plants take advantage of this subsequently resulting in a greater number of branches and biomass compared to when </w:t>
      </w:r>
      <w:r w:rsidRPr="00667CF8">
        <w:rPr>
          <w:rFonts w:cs="Times New Roman"/>
          <w:bCs/>
          <w:i/>
          <w:iCs/>
        </w:rPr>
        <w:t>rms3</w:t>
      </w:r>
      <w:r>
        <w:rPr>
          <w:rFonts w:cs="Times New Roman"/>
          <w:bCs/>
        </w:rPr>
        <w:t xml:space="preserve"> plants were grown </w:t>
      </w:r>
      <w:r w:rsidR="00555AFA" w:rsidRPr="0049729D">
        <w:rPr>
          <w:rFonts w:cs="Times New Roman"/>
          <w:bCs/>
        </w:rPr>
        <w:t>at</w:t>
      </w:r>
      <w:r w:rsidR="00555AFA">
        <w:rPr>
          <w:rFonts w:cs="Times New Roman"/>
          <w:bCs/>
        </w:rPr>
        <w:t xml:space="preserve"> </w:t>
      </w:r>
      <w:r>
        <w:rPr>
          <w:rFonts w:cs="Times New Roman"/>
          <w:bCs/>
        </w:rPr>
        <w:t xml:space="preserve">4x </w:t>
      </w:r>
      <w:r>
        <w:rPr>
          <w:rFonts w:cs="Times New Roman"/>
          <w:bCs/>
        </w:rPr>
        <w:fldChar w:fldCharType="begin" w:fldLock="1"/>
      </w:r>
      <w:r>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Pr>
          <w:rFonts w:cs="Times New Roman"/>
          <w:bCs/>
        </w:rPr>
        <w:fldChar w:fldCharType="separate"/>
      </w:r>
      <w:r w:rsidRPr="00667CF8">
        <w:rPr>
          <w:rFonts w:cs="Times New Roman"/>
          <w:bCs/>
          <w:noProof/>
        </w:rPr>
        <w:t>(Wheeldon et al., 2022)</w:t>
      </w:r>
      <w:r>
        <w:rPr>
          <w:rFonts w:cs="Times New Roman"/>
          <w:bCs/>
        </w:rPr>
        <w:fldChar w:fldCharType="end"/>
      </w:r>
      <w:r>
        <w:rPr>
          <w:rFonts w:cs="Times New Roman"/>
          <w:bCs/>
        </w:rPr>
        <w:t xml:space="preserve">. </w:t>
      </w:r>
    </w:p>
    <w:p w14:paraId="0A8640A2" w14:textId="11ACF051" w:rsidR="0062705A" w:rsidRDefault="0028717B" w:rsidP="0062705A">
      <w:pPr>
        <w:pStyle w:val="Caption"/>
        <w:rPr>
          <w:rFonts w:cs="Times New Roman"/>
          <w:b w:val="0"/>
        </w:rPr>
      </w:pPr>
      <w:bookmarkStart w:id="230" w:name="_Toc146657580"/>
      <w:bookmarkStart w:id="231" w:name="_Toc154331590"/>
      <w:r>
        <w:rPr>
          <w:rFonts w:cs="Times New Roman"/>
          <w:bCs w:val="0"/>
          <w:noProof/>
        </w:rPr>
        <w:drawing>
          <wp:anchor distT="0" distB="0" distL="114300" distR="114300" simplePos="0" relativeHeight="251674112" behindDoc="0" locked="0" layoutInCell="1" allowOverlap="1" wp14:anchorId="1BE498FB" wp14:editId="5CFE4287">
            <wp:simplePos x="0" y="0"/>
            <wp:positionH relativeFrom="margin">
              <wp:align>left</wp:align>
            </wp:positionH>
            <wp:positionV relativeFrom="paragraph">
              <wp:posOffset>0</wp:posOffset>
            </wp:positionV>
            <wp:extent cx="5146675" cy="4324985"/>
            <wp:effectExtent l="0" t="0" r="0" b="0"/>
            <wp:wrapSquare wrapText="bothSides"/>
            <wp:docPr id="9375409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40965" name="Picture 937540965"/>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146675" cy="4324985"/>
                    </a:xfrm>
                    <a:prstGeom prst="rect">
                      <a:avLst/>
                    </a:prstGeom>
                  </pic:spPr>
                </pic:pic>
              </a:graphicData>
            </a:graphic>
            <wp14:sizeRelH relativeFrom="margin">
              <wp14:pctWidth>0</wp14:pctWidth>
            </wp14:sizeRelH>
            <wp14:sizeRelV relativeFrom="margin">
              <wp14:pctHeight>0</wp14:pctHeight>
            </wp14:sizeRelV>
          </wp:anchor>
        </w:drawing>
      </w:r>
      <w:r w:rsidR="0062705A">
        <w:t xml:space="preserve">Figure </w:t>
      </w:r>
      <w:fldSimple w:instr=" STYLEREF 1 \s ">
        <w:r w:rsidR="004B7F70">
          <w:rPr>
            <w:noProof/>
          </w:rPr>
          <w:t>5</w:t>
        </w:r>
      </w:fldSimple>
      <w:r w:rsidR="00C97D34">
        <w:t>.</w:t>
      </w:r>
      <w:fldSimple w:instr=" SEQ Figure \* ARABIC \s 1 ">
        <w:r w:rsidR="004B7F70">
          <w:rPr>
            <w:noProof/>
          </w:rPr>
          <w:t>3</w:t>
        </w:r>
      </w:fldSimple>
      <w:r w:rsidR="0062705A">
        <w:t xml:space="preserve"> </w:t>
      </w:r>
      <w:r w:rsidR="0062705A" w:rsidRPr="00DA02B2">
        <w:t xml:space="preserve">Strigolactones exuded by neighbouring plants </w:t>
      </w:r>
      <w:r w:rsidR="0062705A" w:rsidRPr="009C268E">
        <w:t>inhibi</w:t>
      </w:r>
      <w:r w:rsidR="00B7661F" w:rsidRPr="009C268E">
        <w:t>t</w:t>
      </w:r>
      <w:r w:rsidR="0062705A" w:rsidRPr="00DA02B2">
        <w:t xml:space="preserve"> other plants in the environment</w:t>
      </w:r>
      <w:bookmarkEnd w:id="230"/>
      <w:bookmarkEnd w:id="231"/>
    </w:p>
    <w:p w14:paraId="3B4C2578" w14:textId="77777777" w:rsidR="00BC0FB9" w:rsidRPr="00B70CA1" w:rsidRDefault="00BC0FB9" w:rsidP="0062705A">
      <w:pPr>
        <w:pStyle w:val="Description"/>
      </w:pPr>
      <w:r w:rsidRPr="00B70CA1">
        <w:t xml:space="preserve">Graphs showing </w:t>
      </w:r>
      <w:r w:rsidRPr="00B70CA1">
        <w:rPr>
          <w:i/>
          <w:iCs/>
        </w:rPr>
        <w:t>rms1-1</w:t>
      </w:r>
      <w:r w:rsidRPr="00B70CA1">
        <w:t xml:space="preserve"> (background L77) and </w:t>
      </w:r>
      <w:r w:rsidRPr="00B70CA1">
        <w:rPr>
          <w:i/>
          <w:iCs/>
        </w:rPr>
        <w:t>rms3</w:t>
      </w:r>
      <w:r>
        <w:rPr>
          <w:i/>
          <w:iCs/>
        </w:rPr>
        <w:t>-1</w:t>
      </w:r>
      <w:r w:rsidRPr="00B70CA1">
        <w:t xml:space="preserve"> (background Torsdag) </w:t>
      </w:r>
      <w:r w:rsidRPr="00C2396F">
        <w:rPr>
          <w:i/>
          <w:iCs/>
        </w:rPr>
        <w:t>Pisum sativum</w:t>
      </w:r>
      <w:r w:rsidRPr="00B70CA1">
        <w:t xml:space="preserve"> (pea) plant</w:t>
      </w:r>
      <w:r>
        <w:t>s</w:t>
      </w:r>
      <w:r w:rsidRPr="00B70CA1">
        <w:t xml:space="preserve"> in soil-based combination treatments of 1 plant per pot (1x), 4 plants per pot (4x) and genotype combinations 3x 1x (</w:t>
      </w:r>
      <w:r w:rsidRPr="00B70CA1">
        <w:rPr>
          <w:i/>
          <w:iCs/>
        </w:rPr>
        <w:t>rms1</w:t>
      </w:r>
      <w:r w:rsidRPr="00B70CA1">
        <w:t xml:space="preserve"> and </w:t>
      </w:r>
      <w:r w:rsidRPr="00B70CA1">
        <w:rPr>
          <w:i/>
          <w:iCs/>
        </w:rPr>
        <w:t>rms3</w:t>
      </w:r>
      <w:r w:rsidRPr="00B70CA1">
        <w:t xml:space="preserve"> respectively) and 1x 3x (</w:t>
      </w:r>
      <w:r w:rsidRPr="00B70CA1">
        <w:rPr>
          <w:i/>
          <w:iCs/>
        </w:rPr>
        <w:t>rms</w:t>
      </w:r>
      <w:r>
        <w:rPr>
          <w:i/>
          <w:iCs/>
        </w:rPr>
        <w:t>1</w:t>
      </w:r>
      <w:r w:rsidRPr="00B70CA1">
        <w:t xml:space="preserve"> and </w:t>
      </w:r>
      <w:r w:rsidRPr="00B70CA1">
        <w:rPr>
          <w:i/>
          <w:iCs/>
        </w:rPr>
        <w:t>rms</w:t>
      </w:r>
      <w:r>
        <w:rPr>
          <w:i/>
          <w:iCs/>
        </w:rPr>
        <w:t>3</w:t>
      </w:r>
      <w:r w:rsidRPr="00B70CA1">
        <w:t xml:space="preserve"> respectively).</w:t>
      </w:r>
    </w:p>
    <w:p w14:paraId="73464FF2" w14:textId="77777777" w:rsidR="00BC0FB9" w:rsidRPr="00B70CA1" w:rsidRDefault="00BC0FB9" w:rsidP="0062705A">
      <w:pPr>
        <w:pStyle w:val="Description"/>
      </w:pPr>
      <w:r w:rsidRPr="00B70CA1">
        <w:lastRenderedPageBreak/>
        <w:t xml:space="preserve">A) Cartoon representing the experimental set up. Peach dots represent </w:t>
      </w:r>
      <w:r w:rsidRPr="004C0C75">
        <w:rPr>
          <w:i/>
          <w:iCs/>
        </w:rPr>
        <w:t>rms1</w:t>
      </w:r>
      <w:r w:rsidRPr="00B70CA1">
        <w:t xml:space="preserve"> and burgundy dots represent </w:t>
      </w:r>
      <w:r w:rsidRPr="004C0C75">
        <w:rPr>
          <w:i/>
          <w:iCs/>
        </w:rPr>
        <w:t>rms3</w:t>
      </w:r>
      <w:r w:rsidRPr="00B70CA1">
        <w:t xml:space="preserve"> plants. </w:t>
      </w:r>
    </w:p>
    <w:p w14:paraId="6B75F192" w14:textId="77777777" w:rsidR="00BC0FB9" w:rsidRPr="00B70CA1" w:rsidRDefault="00BC0FB9" w:rsidP="0062705A">
      <w:pPr>
        <w:pStyle w:val="Description"/>
      </w:pPr>
      <w:r w:rsidRPr="00B70CA1">
        <w:t xml:space="preserve">B) Boxplot showing mean shoot branch number per plant for </w:t>
      </w:r>
      <w:r w:rsidRPr="00B70CA1">
        <w:rPr>
          <w:i/>
          <w:iCs/>
        </w:rPr>
        <w:t>rms1</w:t>
      </w:r>
      <w:r w:rsidRPr="00B70CA1">
        <w:t xml:space="preserve"> and </w:t>
      </w:r>
      <w:r w:rsidRPr="00B70CA1">
        <w:rPr>
          <w:i/>
          <w:iCs/>
        </w:rPr>
        <w:t>rms3</w:t>
      </w:r>
      <w:r w:rsidRPr="00B70CA1">
        <w:t xml:space="preserve"> at 8 weeks post germination grown singly (1x). The box indicates the interquartile range, the midline indicates the median, the whiskers are the minimum and maximum values, the circle within the box is the mean. Boxes that share the same letter are not statistically different (Mann-Whitney U test, p&lt;0.05), n=10.</w:t>
      </w:r>
    </w:p>
    <w:p w14:paraId="26C15538" w14:textId="77777777" w:rsidR="00BC0FB9" w:rsidRPr="00B70CA1" w:rsidRDefault="00BC0FB9" w:rsidP="0062705A">
      <w:pPr>
        <w:pStyle w:val="Description"/>
      </w:pPr>
      <w:r w:rsidRPr="00B70CA1">
        <w:t xml:space="preserve">C) Boxplot showing mean shoot branch number per plant for </w:t>
      </w:r>
      <w:r w:rsidRPr="00B70CA1">
        <w:rPr>
          <w:i/>
          <w:iCs/>
        </w:rPr>
        <w:t>rms1</w:t>
      </w:r>
      <w:r w:rsidRPr="00B70CA1">
        <w:t xml:space="preserve"> and </w:t>
      </w:r>
      <w:r w:rsidRPr="00B70CA1">
        <w:rPr>
          <w:i/>
          <w:iCs/>
        </w:rPr>
        <w:t>rms3</w:t>
      </w:r>
      <w:r w:rsidRPr="00B70CA1">
        <w:t xml:space="preserve"> at 8 weeks post germination in combination treatments. The box indicates the interquartile range, the midline indicates the median, the whiskers are the minimum and maximum values, the circle within the box is the mean. Boxes that share the same letter are not statistically different, statistics were carried out separately for each genotype (</w:t>
      </w:r>
      <w:r w:rsidRPr="00B70CA1">
        <w:rPr>
          <w:i/>
          <w:iCs/>
        </w:rPr>
        <w:t>rms1</w:t>
      </w:r>
      <w:r w:rsidRPr="00B70CA1">
        <w:t xml:space="preserve">: Kruskal-Wallis with Bonferroni correction. </w:t>
      </w:r>
      <w:r w:rsidRPr="00B70CA1">
        <w:rPr>
          <w:i/>
          <w:iCs/>
        </w:rPr>
        <w:t>rms3</w:t>
      </w:r>
      <w:r w:rsidRPr="00B70CA1">
        <w:t>: One way ANOVA with Tukey HSD. p&lt;0.05), n=7-10.</w:t>
      </w:r>
    </w:p>
    <w:p w14:paraId="61EEFD77" w14:textId="72EB95DF" w:rsidR="00BC0FB9" w:rsidRPr="00B70CA1" w:rsidRDefault="00BC0FB9" w:rsidP="0062705A">
      <w:pPr>
        <w:pStyle w:val="Description"/>
      </w:pPr>
      <w:r w:rsidRPr="00B70CA1">
        <w:t xml:space="preserve">D) Boxplot showing mean dry shoot </w:t>
      </w:r>
      <w:r w:rsidR="001F5250">
        <w:t>biomass (g)</w:t>
      </w:r>
      <w:r w:rsidRPr="00B70CA1">
        <w:t xml:space="preserve"> per plant for </w:t>
      </w:r>
      <w:r w:rsidRPr="00B70CA1">
        <w:rPr>
          <w:i/>
          <w:iCs/>
        </w:rPr>
        <w:t>rms1</w:t>
      </w:r>
      <w:r w:rsidRPr="00B70CA1">
        <w:t xml:space="preserve"> and </w:t>
      </w:r>
      <w:r w:rsidRPr="00B70CA1">
        <w:rPr>
          <w:i/>
          <w:iCs/>
        </w:rPr>
        <w:t>rms3</w:t>
      </w:r>
      <w:r w:rsidRPr="00B70CA1">
        <w:t xml:space="preserve"> at 8 weeks post germination in combination treatments. The box indicates the interquartile range, the midline indicates the median, the whiskers are the minimum and maximum values, the circle within the box is the mean. Boxes that share the same letter are not statistically different, statistics were carried out separately for each genotype (Kruskal-Wallis with Bonferroni correction. p&lt;0.05), n=7-10.</w:t>
      </w:r>
    </w:p>
    <w:p w14:paraId="287E99F2" w14:textId="5BCB915F" w:rsidR="00BC0FB9" w:rsidRPr="00466968" w:rsidRDefault="00BC0FB9" w:rsidP="0062705A">
      <w:pPr>
        <w:pStyle w:val="Description"/>
      </w:pPr>
      <w:r w:rsidRPr="00B70CA1">
        <w:t>Figure modified from Wheeldon et al, 2022</w:t>
      </w:r>
      <w:r w:rsidR="00CA4630">
        <w:t>.</w:t>
      </w:r>
    </w:p>
    <w:p w14:paraId="50DE516E" w14:textId="77777777" w:rsidR="00BC0FB9" w:rsidRPr="00BC0FB9" w:rsidRDefault="00BC0FB9" w:rsidP="00BC0FB9"/>
    <w:p w14:paraId="07930899" w14:textId="22382867" w:rsidR="0062705A" w:rsidRDefault="0062705A" w:rsidP="0062705A">
      <w:pPr>
        <w:numPr>
          <w:ilvl w:val="1"/>
          <w:numId w:val="0"/>
        </w:numPr>
        <w:spacing w:before="160" w:line="480" w:lineRule="auto"/>
        <w:outlineLvl w:val="1"/>
        <w:rPr>
          <w:rFonts w:cs="Times New Roman"/>
          <w:bCs/>
        </w:rPr>
      </w:pPr>
      <w:r>
        <w:rPr>
          <w:rFonts w:cs="Times New Roman"/>
          <w:bCs/>
        </w:rPr>
        <w:t xml:space="preserve">A similar experiment was carried out using WT and </w:t>
      </w:r>
      <w:r w:rsidRPr="00993FFE">
        <w:rPr>
          <w:rFonts w:cs="Times New Roman"/>
          <w:bCs/>
          <w:i/>
          <w:iCs/>
        </w:rPr>
        <w:t>rms1</w:t>
      </w:r>
      <w:r>
        <w:rPr>
          <w:rFonts w:cs="Times New Roman"/>
          <w:bCs/>
        </w:rPr>
        <w:t xml:space="preserve"> plants where I grew </w:t>
      </w:r>
      <w:r w:rsidR="0028717B">
        <w:rPr>
          <w:rFonts w:cs="Times New Roman"/>
          <w:bCs/>
        </w:rPr>
        <w:t>these</w:t>
      </w:r>
      <w:r>
        <w:rPr>
          <w:rFonts w:cs="Times New Roman"/>
          <w:bCs/>
        </w:rPr>
        <w:t xml:space="preserve"> in the same set up as Figure 5.3A. WT plants behaved similarly in some respects to </w:t>
      </w:r>
      <w:r w:rsidRPr="003A4060">
        <w:rPr>
          <w:rFonts w:cs="Times New Roman"/>
          <w:bCs/>
          <w:i/>
          <w:iCs/>
        </w:rPr>
        <w:t>rms3</w:t>
      </w:r>
      <w:r>
        <w:rPr>
          <w:rFonts w:cs="Times New Roman"/>
          <w:bCs/>
        </w:rPr>
        <w:t xml:space="preserve"> plants. For example, WT plants seemed unable to ‘see’ the </w:t>
      </w:r>
      <w:r w:rsidRPr="003930D6">
        <w:rPr>
          <w:rFonts w:cs="Times New Roman"/>
          <w:bCs/>
          <w:i/>
          <w:iCs/>
        </w:rPr>
        <w:t>rms1</w:t>
      </w:r>
      <w:r>
        <w:rPr>
          <w:rFonts w:cs="Times New Roman"/>
          <w:bCs/>
        </w:rPr>
        <w:t xml:space="preserve"> plant in the pot (regardless of the number of </w:t>
      </w:r>
      <w:r w:rsidRPr="003930D6">
        <w:rPr>
          <w:rFonts w:cs="Times New Roman"/>
          <w:bCs/>
          <w:i/>
          <w:iCs/>
        </w:rPr>
        <w:t>rms1</w:t>
      </w:r>
      <w:r>
        <w:rPr>
          <w:rFonts w:cs="Times New Roman"/>
          <w:bCs/>
        </w:rPr>
        <w:t xml:space="preserve"> plants present) and hence </w:t>
      </w:r>
      <w:r w:rsidR="00CD0097">
        <w:rPr>
          <w:rFonts w:cs="Times New Roman"/>
          <w:bCs/>
        </w:rPr>
        <w:t xml:space="preserve">produced elevated numbers of branches and </w:t>
      </w:r>
      <w:r w:rsidR="001528FA">
        <w:rPr>
          <w:rFonts w:cs="Times New Roman"/>
          <w:bCs/>
        </w:rPr>
        <w:t>increased shoot biomass</w:t>
      </w:r>
      <w:r>
        <w:rPr>
          <w:rFonts w:cs="Times New Roman"/>
          <w:bCs/>
        </w:rPr>
        <w:t xml:space="preserve"> than in the 4x WT treatment (Fig. 5.4). However, as WT plants inherently produce much greater shoot biomasses and are much taller than </w:t>
      </w:r>
      <w:r w:rsidRPr="003A4060">
        <w:rPr>
          <w:rFonts w:cs="Times New Roman"/>
          <w:bCs/>
          <w:i/>
          <w:iCs/>
        </w:rPr>
        <w:t>rms1</w:t>
      </w:r>
      <w:r>
        <w:rPr>
          <w:rFonts w:cs="Times New Roman"/>
          <w:bCs/>
        </w:rPr>
        <w:t xml:space="preserve">, this acts as a confounding variable. Nevertheless, the data supported what is shown in the </w:t>
      </w:r>
      <w:r w:rsidRPr="003A4060">
        <w:rPr>
          <w:rFonts w:cs="Times New Roman"/>
          <w:bCs/>
          <w:i/>
          <w:iCs/>
        </w:rPr>
        <w:t>rms1</w:t>
      </w:r>
      <w:r>
        <w:rPr>
          <w:rFonts w:cs="Times New Roman"/>
          <w:bCs/>
        </w:rPr>
        <w:t>/</w:t>
      </w:r>
      <w:r w:rsidRPr="003A4060">
        <w:rPr>
          <w:rFonts w:cs="Times New Roman"/>
          <w:bCs/>
          <w:i/>
          <w:iCs/>
        </w:rPr>
        <w:t>rms3</w:t>
      </w:r>
      <w:r>
        <w:rPr>
          <w:rFonts w:cs="Times New Roman"/>
          <w:bCs/>
        </w:rPr>
        <w:t xml:space="preserve"> combination experiment above </w:t>
      </w:r>
      <w:r>
        <w:rPr>
          <w:rFonts w:cs="Times New Roman"/>
          <w:bCs/>
        </w:rPr>
        <w:fldChar w:fldCharType="begin" w:fldLock="1"/>
      </w:r>
      <w:r>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Pr>
          <w:rFonts w:cs="Times New Roman"/>
          <w:bCs/>
        </w:rPr>
        <w:fldChar w:fldCharType="separate"/>
      </w:r>
      <w:r w:rsidRPr="00E03D0B">
        <w:rPr>
          <w:rFonts w:cs="Times New Roman"/>
          <w:bCs/>
          <w:noProof/>
        </w:rPr>
        <w:t>(Wheeldon et al., 2022)</w:t>
      </w:r>
      <w:r>
        <w:rPr>
          <w:rFonts w:cs="Times New Roman"/>
          <w:bCs/>
        </w:rPr>
        <w:fldChar w:fldCharType="end"/>
      </w:r>
      <w:r>
        <w:rPr>
          <w:rFonts w:cs="Times New Roman"/>
          <w:bCs/>
        </w:rPr>
        <w:t xml:space="preserve">. </w:t>
      </w:r>
    </w:p>
    <w:p w14:paraId="022C40EF" w14:textId="1E40A479" w:rsidR="0062705A" w:rsidRDefault="0062705A" w:rsidP="0062705A">
      <w:pPr>
        <w:numPr>
          <w:ilvl w:val="1"/>
          <w:numId w:val="0"/>
        </w:numPr>
        <w:spacing w:before="160" w:line="480" w:lineRule="auto"/>
        <w:outlineLvl w:val="1"/>
        <w:rPr>
          <w:rFonts w:cs="Times New Roman"/>
          <w:bCs/>
        </w:rPr>
      </w:pPr>
      <w:r>
        <w:rPr>
          <w:rFonts w:cs="Times New Roman"/>
          <w:bCs/>
          <w:noProof/>
        </w:rPr>
        <w:lastRenderedPageBreak/>
        <w:drawing>
          <wp:anchor distT="0" distB="0" distL="114300" distR="114300" simplePos="0" relativeHeight="251679232" behindDoc="0" locked="0" layoutInCell="1" allowOverlap="1" wp14:anchorId="30F27F8A" wp14:editId="2FB9C948">
            <wp:simplePos x="0" y="0"/>
            <wp:positionH relativeFrom="margin">
              <wp:align>left</wp:align>
            </wp:positionH>
            <wp:positionV relativeFrom="paragraph">
              <wp:posOffset>0</wp:posOffset>
            </wp:positionV>
            <wp:extent cx="5087389" cy="4408516"/>
            <wp:effectExtent l="0" t="0" r="0" b="0"/>
            <wp:wrapSquare wrapText="bothSides"/>
            <wp:docPr id="76515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15740" name="Picture 7651574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087389" cy="4408516"/>
                    </a:xfrm>
                    <a:prstGeom prst="rect">
                      <a:avLst/>
                    </a:prstGeom>
                  </pic:spPr>
                </pic:pic>
              </a:graphicData>
            </a:graphic>
          </wp:anchor>
        </w:drawing>
      </w:r>
    </w:p>
    <w:p w14:paraId="08AFEF18" w14:textId="224C92FC" w:rsidR="00BC0FB9" w:rsidRPr="00BC0FB9" w:rsidRDefault="0062705A" w:rsidP="0062705A">
      <w:pPr>
        <w:pStyle w:val="Caption"/>
      </w:pPr>
      <w:bookmarkStart w:id="232" w:name="_Toc146657581"/>
      <w:bookmarkStart w:id="233" w:name="_Toc154331591"/>
      <w:r>
        <w:t xml:space="preserve">Figure </w:t>
      </w:r>
      <w:fldSimple w:instr=" STYLEREF 1 \s ">
        <w:r w:rsidR="004B7F70">
          <w:rPr>
            <w:noProof/>
          </w:rPr>
          <w:t>5</w:t>
        </w:r>
      </w:fldSimple>
      <w:r w:rsidR="00C97D34">
        <w:t>.</w:t>
      </w:r>
      <w:fldSimple w:instr=" SEQ Figure \* ARABIC \s 1 ">
        <w:r w:rsidR="004B7F70">
          <w:rPr>
            <w:noProof/>
          </w:rPr>
          <w:t>4</w:t>
        </w:r>
      </w:fldSimple>
      <w:r>
        <w:t xml:space="preserve"> </w:t>
      </w:r>
      <w:r w:rsidRPr="003A2017">
        <w:t>Strigolactones exuded by neighbouring plants causes shoot-based inhibition of other plants in the environment</w:t>
      </w:r>
      <w:bookmarkEnd w:id="232"/>
      <w:bookmarkEnd w:id="233"/>
    </w:p>
    <w:p w14:paraId="339A8870" w14:textId="77777777" w:rsidR="0062705A" w:rsidRPr="00B70CA1" w:rsidRDefault="0062705A" w:rsidP="0062705A">
      <w:pPr>
        <w:pStyle w:val="Description"/>
      </w:pPr>
      <w:r w:rsidRPr="00B70CA1">
        <w:t xml:space="preserve">Graphs showing </w:t>
      </w:r>
      <w:r>
        <w:t xml:space="preserve">wild-type WT </w:t>
      </w:r>
      <w:r w:rsidRPr="00B70CA1">
        <w:t xml:space="preserve">(background L77) and </w:t>
      </w:r>
      <w:r w:rsidRPr="00B70CA1">
        <w:rPr>
          <w:i/>
          <w:iCs/>
        </w:rPr>
        <w:t>rms1-1</w:t>
      </w:r>
      <w:r w:rsidRPr="00B70CA1">
        <w:t xml:space="preserve"> (background Torsdag) </w:t>
      </w:r>
      <w:r w:rsidRPr="0080051B">
        <w:rPr>
          <w:i/>
          <w:iCs/>
        </w:rPr>
        <w:t>Pisum sativum</w:t>
      </w:r>
      <w:r w:rsidRPr="00B70CA1">
        <w:t xml:space="preserve"> (pea) plant</w:t>
      </w:r>
      <w:r>
        <w:t>s</w:t>
      </w:r>
      <w:r w:rsidRPr="00B70CA1">
        <w:t xml:space="preserve"> in soil-based combination treatments of 1 plant per pot (1x), 4 plants per pot (4x) and genotype combinations 3x 1x (</w:t>
      </w:r>
      <w:r w:rsidRPr="0080051B">
        <w:t>WT</w:t>
      </w:r>
      <w:r w:rsidRPr="00B70CA1">
        <w:t xml:space="preserve"> and </w:t>
      </w:r>
      <w:r w:rsidRPr="00B70CA1">
        <w:rPr>
          <w:i/>
          <w:iCs/>
        </w:rPr>
        <w:t>rms</w:t>
      </w:r>
      <w:r>
        <w:rPr>
          <w:i/>
          <w:iCs/>
        </w:rPr>
        <w:t xml:space="preserve">1 </w:t>
      </w:r>
      <w:r w:rsidRPr="00B70CA1">
        <w:t>respectively) and 1x 3x (</w:t>
      </w:r>
      <w:r w:rsidRPr="00D96880">
        <w:t>WT</w:t>
      </w:r>
      <w:r w:rsidRPr="00B70CA1">
        <w:t xml:space="preserve"> and </w:t>
      </w:r>
      <w:r w:rsidRPr="00B70CA1">
        <w:rPr>
          <w:i/>
          <w:iCs/>
        </w:rPr>
        <w:t>rms1</w:t>
      </w:r>
      <w:r w:rsidRPr="00B70CA1">
        <w:t xml:space="preserve"> respectively).</w:t>
      </w:r>
    </w:p>
    <w:p w14:paraId="4A711145" w14:textId="77777777" w:rsidR="0062705A" w:rsidRPr="00B70CA1" w:rsidRDefault="0062705A" w:rsidP="0062705A">
      <w:pPr>
        <w:pStyle w:val="Description"/>
      </w:pPr>
      <w:r w:rsidRPr="00B70CA1">
        <w:t>A) Cartoon representing the experimental set up. P</w:t>
      </w:r>
      <w:r>
        <w:t>urple</w:t>
      </w:r>
      <w:r w:rsidRPr="00B70CA1">
        <w:t xml:space="preserve"> dots represent </w:t>
      </w:r>
      <w:r>
        <w:t>WT</w:t>
      </w:r>
      <w:r w:rsidRPr="00B70CA1">
        <w:t xml:space="preserve"> and </w:t>
      </w:r>
      <w:r>
        <w:t>lilac</w:t>
      </w:r>
      <w:r w:rsidRPr="00B70CA1">
        <w:t xml:space="preserve"> dots represent </w:t>
      </w:r>
      <w:r w:rsidRPr="004C0C75">
        <w:rPr>
          <w:i/>
          <w:iCs/>
        </w:rPr>
        <w:t>rms1</w:t>
      </w:r>
      <w:r w:rsidRPr="00B70CA1">
        <w:t xml:space="preserve"> plants. </w:t>
      </w:r>
    </w:p>
    <w:p w14:paraId="6EB06313" w14:textId="61D2EC31" w:rsidR="0062705A" w:rsidRPr="00B70CA1" w:rsidRDefault="0062705A" w:rsidP="0062705A">
      <w:pPr>
        <w:pStyle w:val="Description"/>
      </w:pPr>
      <w:r w:rsidRPr="00B70CA1">
        <w:t xml:space="preserve">B) Boxplot showing mean shoot branch number per plant for </w:t>
      </w:r>
      <w:r w:rsidRPr="002742B6">
        <w:t>WT</w:t>
      </w:r>
      <w:r w:rsidRPr="00B70CA1">
        <w:t xml:space="preserve"> and </w:t>
      </w:r>
      <w:r w:rsidRPr="00B70CA1">
        <w:rPr>
          <w:i/>
          <w:iCs/>
        </w:rPr>
        <w:t>rms</w:t>
      </w:r>
      <w:r>
        <w:rPr>
          <w:i/>
          <w:iCs/>
        </w:rPr>
        <w:t>1</w:t>
      </w:r>
      <w:r w:rsidRPr="00B70CA1">
        <w:t xml:space="preserve"> at 8 weeks post germination grown singly (1x). The box indicates the interquartile range, the midline </w:t>
      </w:r>
      <w:r w:rsidR="00E93FF7">
        <w:t>is</w:t>
      </w:r>
      <w:r w:rsidRPr="00B70CA1">
        <w:t xml:space="preserve"> the median, the whiskers are the minimum and maximum values, the circle within the box is the mean. Boxes that share the same letter are not statistically different (</w:t>
      </w:r>
      <w:r>
        <w:t>Independent samples t-</w:t>
      </w:r>
      <w:r w:rsidRPr="00B70CA1">
        <w:t>test, p&lt;0.05), n=10.</w:t>
      </w:r>
    </w:p>
    <w:p w14:paraId="7FD5B607" w14:textId="4F884A5E" w:rsidR="0062705A" w:rsidRPr="00B70CA1" w:rsidRDefault="0062705A" w:rsidP="0062705A">
      <w:pPr>
        <w:pStyle w:val="Description"/>
      </w:pPr>
      <w:r w:rsidRPr="00B70CA1">
        <w:t xml:space="preserve">C) Boxplot showing mean shoot branch number per plant for </w:t>
      </w:r>
      <w:r w:rsidRPr="002742B6">
        <w:t>WT</w:t>
      </w:r>
      <w:r w:rsidRPr="00B70CA1">
        <w:t xml:space="preserve"> and </w:t>
      </w:r>
      <w:r w:rsidRPr="00B70CA1">
        <w:rPr>
          <w:i/>
          <w:iCs/>
        </w:rPr>
        <w:t>rms</w:t>
      </w:r>
      <w:r>
        <w:rPr>
          <w:i/>
          <w:iCs/>
        </w:rPr>
        <w:t xml:space="preserve">1 </w:t>
      </w:r>
      <w:r w:rsidRPr="00B70CA1">
        <w:t xml:space="preserve">at 8 weeks post germination in combination treatments. The box indicates the interquartile range, the midline </w:t>
      </w:r>
      <w:r w:rsidR="00E93FF7">
        <w:t>is</w:t>
      </w:r>
      <w:r w:rsidRPr="00B70CA1">
        <w:t xml:space="preserve"> the median, the whiskers are the minimum and maximum values, the circle within the box is the mean</w:t>
      </w:r>
      <w:r w:rsidR="00193807">
        <w:t>, diamonds represent outliers</w:t>
      </w:r>
      <w:r w:rsidRPr="00B70CA1">
        <w:t>. Boxes that share the same letter are not statistically different, statistics were carried out separately for each genotype (Kruskal-Wallis with Bonferroni correction</w:t>
      </w:r>
      <w:r w:rsidR="00EC3308">
        <w:t>:</w:t>
      </w:r>
      <w:r w:rsidR="00746F36">
        <w:t xml:space="preserve"> WT</w:t>
      </w:r>
      <w:r w:rsidRPr="00B70CA1">
        <w:t>. One way ANOVA with Tukey HSD</w:t>
      </w:r>
      <w:r w:rsidR="00EC3308">
        <w:t>:</w:t>
      </w:r>
      <w:r w:rsidR="00746F36">
        <w:t xml:space="preserve"> </w:t>
      </w:r>
      <w:r w:rsidR="00746F36" w:rsidRPr="00746F36">
        <w:rPr>
          <w:i/>
          <w:iCs/>
        </w:rPr>
        <w:t>rms1</w:t>
      </w:r>
      <w:r w:rsidRPr="00B70CA1">
        <w:t>. p&lt;0.05), n=</w:t>
      </w:r>
      <w:r>
        <w:t>9</w:t>
      </w:r>
      <w:r w:rsidRPr="00B70CA1">
        <w:t>-10.</w:t>
      </w:r>
    </w:p>
    <w:p w14:paraId="44B51A90" w14:textId="7DB2AB1B" w:rsidR="0062705A" w:rsidRPr="00B70CA1" w:rsidRDefault="0062705A" w:rsidP="0062705A">
      <w:pPr>
        <w:pStyle w:val="Description"/>
      </w:pPr>
      <w:r w:rsidRPr="00B70CA1">
        <w:lastRenderedPageBreak/>
        <w:t xml:space="preserve">D) Boxplot showing mean dry shoot </w:t>
      </w:r>
      <w:r w:rsidR="00F74631">
        <w:t>biomass (g)</w:t>
      </w:r>
      <w:r w:rsidRPr="00B70CA1">
        <w:t xml:space="preserve"> per plant for </w:t>
      </w:r>
      <w:r w:rsidR="00B00609" w:rsidRPr="00C2396F">
        <w:t>WT</w:t>
      </w:r>
      <w:r w:rsidR="00B00609" w:rsidRPr="00B70CA1">
        <w:t xml:space="preserve"> </w:t>
      </w:r>
      <w:r w:rsidRPr="00B70CA1">
        <w:t xml:space="preserve">and </w:t>
      </w:r>
      <w:r w:rsidR="00B00609" w:rsidRPr="00B70CA1">
        <w:rPr>
          <w:i/>
          <w:iCs/>
        </w:rPr>
        <w:t>rms</w:t>
      </w:r>
      <w:r w:rsidR="00B00609">
        <w:rPr>
          <w:i/>
          <w:iCs/>
        </w:rPr>
        <w:t>1</w:t>
      </w:r>
      <w:r w:rsidR="00B00609" w:rsidRPr="00B70CA1">
        <w:t xml:space="preserve"> </w:t>
      </w:r>
      <w:r w:rsidRPr="00B70CA1">
        <w:t xml:space="preserve">at 8 weeks post germination in combination treatments. The box indicates the interquartile range, the midline </w:t>
      </w:r>
      <w:r w:rsidR="00E93FF7">
        <w:t>is</w:t>
      </w:r>
      <w:r w:rsidRPr="00B70CA1">
        <w:t xml:space="preserve"> the median, the whiskers are the minimum and maximum values, the circle within the box is the mean</w:t>
      </w:r>
      <w:r w:rsidR="00193807">
        <w:t>, diamonds represent outliers</w:t>
      </w:r>
      <w:r w:rsidRPr="00B70CA1">
        <w:t>. Boxes that share the same letter are not statistically different, statistics were carried out separately for each genotype (Kruskal-Wallis with Bonferroni correction</w:t>
      </w:r>
      <w:r w:rsidR="00EC3308">
        <w:t>:</w:t>
      </w:r>
      <w:r w:rsidR="0082245A">
        <w:t xml:space="preserve"> WT</w:t>
      </w:r>
      <w:r>
        <w:t>, One way ANOVA with Tukey HSD</w:t>
      </w:r>
      <w:r w:rsidR="00EC3308">
        <w:t>:</w:t>
      </w:r>
      <w:r w:rsidR="0082245A">
        <w:t xml:space="preserve"> </w:t>
      </w:r>
      <w:r w:rsidR="0082245A" w:rsidRPr="0082245A">
        <w:rPr>
          <w:i/>
          <w:iCs/>
        </w:rPr>
        <w:t>rms1</w:t>
      </w:r>
      <w:r>
        <w:t>.</w:t>
      </w:r>
      <w:r w:rsidRPr="00B70CA1">
        <w:t xml:space="preserve"> p&lt;0.05), n=</w:t>
      </w:r>
      <w:r>
        <w:t>9</w:t>
      </w:r>
      <w:r w:rsidRPr="00B70CA1">
        <w:t>-10.</w:t>
      </w:r>
    </w:p>
    <w:p w14:paraId="72C8CF11" w14:textId="77777777" w:rsidR="0062705A" w:rsidRPr="00466968" w:rsidRDefault="0062705A" w:rsidP="0062705A">
      <w:pPr>
        <w:pStyle w:val="Description"/>
      </w:pPr>
      <w:r w:rsidRPr="00B70CA1">
        <w:t>Figure modified from Wheeldon et al, 2022</w:t>
      </w:r>
    </w:p>
    <w:p w14:paraId="1CBCA754" w14:textId="77777777" w:rsidR="0062705A" w:rsidRDefault="0062705A" w:rsidP="0062705A">
      <w:pPr>
        <w:numPr>
          <w:ilvl w:val="1"/>
          <w:numId w:val="0"/>
        </w:numPr>
        <w:spacing w:before="160" w:line="480" w:lineRule="auto"/>
        <w:outlineLvl w:val="1"/>
        <w:rPr>
          <w:rFonts w:cs="Times New Roman"/>
          <w:bCs/>
        </w:rPr>
      </w:pPr>
    </w:p>
    <w:p w14:paraId="0C6C0794" w14:textId="7AC96912" w:rsidR="0062705A" w:rsidRDefault="0062705A" w:rsidP="0062705A">
      <w:pPr>
        <w:numPr>
          <w:ilvl w:val="1"/>
          <w:numId w:val="0"/>
        </w:numPr>
        <w:spacing w:before="160" w:line="480" w:lineRule="auto"/>
        <w:outlineLvl w:val="1"/>
        <w:rPr>
          <w:rFonts w:cs="Times New Roman"/>
          <w:bCs/>
        </w:rPr>
      </w:pPr>
      <w:r>
        <w:rPr>
          <w:rFonts w:cs="Times New Roman"/>
          <w:bCs/>
        </w:rPr>
        <w:t xml:space="preserve">Taken together, these experiments </w:t>
      </w:r>
      <w:r w:rsidR="00E3155F">
        <w:rPr>
          <w:rFonts w:cs="Times New Roman"/>
          <w:bCs/>
        </w:rPr>
        <w:t>suggest</w:t>
      </w:r>
      <w:r>
        <w:rPr>
          <w:rFonts w:cs="Times New Roman"/>
          <w:bCs/>
        </w:rPr>
        <w:t xml:space="preserve"> that SLs exuded into the environment act as plant-to-plant signalling molecules, rather than acting solely in the response to other plant-to-plant signals </w:t>
      </w:r>
      <w:r>
        <w:rPr>
          <w:rFonts w:cs="Times New Roman"/>
          <w:bCs/>
        </w:rPr>
        <w:fldChar w:fldCharType="begin" w:fldLock="1"/>
      </w:r>
      <w:r>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Pr>
          <w:rFonts w:cs="Times New Roman"/>
          <w:bCs/>
        </w:rPr>
        <w:fldChar w:fldCharType="separate"/>
      </w:r>
      <w:r w:rsidRPr="000F4CBB">
        <w:rPr>
          <w:rFonts w:cs="Times New Roman"/>
          <w:bCs/>
          <w:noProof/>
        </w:rPr>
        <w:t>(Wheeldon et al., 2022)</w:t>
      </w:r>
      <w:r>
        <w:rPr>
          <w:rFonts w:cs="Times New Roman"/>
          <w:bCs/>
        </w:rPr>
        <w:fldChar w:fldCharType="end"/>
      </w:r>
      <w:r>
        <w:rPr>
          <w:rFonts w:cs="Times New Roman"/>
          <w:bCs/>
        </w:rPr>
        <w:t xml:space="preserve">. </w:t>
      </w:r>
    </w:p>
    <w:p w14:paraId="7150198D" w14:textId="77777777" w:rsidR="00BC0FB9" w:rsidRDefault="00BC0FB9" w:rsidP="00BC0FB9"/>
    <w:p w14:paraId="26715C64" w14:textId="526B06F9" w:rsidR="0062705A" w:rsidRDefault="0062705A" w:rsidP="00743E4C">
      <w:pPr>
        <w:pStyle w:val="Heading3"/>
      </w:pPr>
      <w:bookmarkStart w:id="234" w:name="_Toc154331508"/>
      <w:r w:rsidRPr="0062705A">
        <w:t>Strigolactone biosynthesis and subsequent exudation is required for early soil volume responses</w:t>
      </w:r>
      <w:bookmarkEnd w:id="234"/>
    </w:p>
    <w:p w14:paraId="23423EEE" w14:textId="77777777" w:rsidR="0062705A" w:rsidRDefault="0062705A" w:rsidP="0062705A"/>
    <w:p w14:paraId="713763AB" w14:textId="3956950E" w:rsidR="0062705A" w:rsidRDefault="0062705A" w:rsidP="006B6C44">
      <w:pPr>
        <w:numPr>
          <w:ilvl w:val="1"/>
          <w:numId w:val="0"/>
        </w:numPr>
        <w:spacing w:before="160" w:line="480" w:lineRule="auto"/>
        <w:outlineLvl w:val="1"/>
        <w:rPr>
          <w:rFonts w:cs="Times New Roman"/>
          <w:bCs/>
        </w:rPr>
      </w:pPr>
      <w:r>
        <w:rPr>
          <w:rFonts w:cs="Times New Roman"/>
          <w:bCs/>
        </w:rPr>
        <w:t xml:space="preserve">In chapter 4, I proposed a model for how plants detect and respond to soil volume and neighbour density </w:t>
      </w:r>
      <w:r>
        <w:rPr>
          <w:rFonts w:cs="Times New Roman"/>
          <w:bCs/>
        </w:rPr>
        <w:fldChar w:fldCharType="begin" w:fldLock="1"/>
      </w:r>
      <w:r>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Pr>
          <w:rFonts w:ascii="Cambria Math" w:hAnsi="Cambria Math" w:cs="Cambria Math"/>
          <w:bCs/>
        </w:rPr>
        <w:instrText>‐</w:instrText>
      </w:r>
      <w:r>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Pr>
          <w:rFonts w:cs="Times New Roman"/>
          <w:bCs/>
        </w:rPr>
        <w:fldChar w:fldCharType="separate"/>
      </w:r>
      <w:r w:rsidRPr="007F6A0F">
        <w:rPr>
          <w:rFonts w:cs="Times New Roman"/>
          <w:bCs/>
          <w:noProof/>
        </w:rPr>
        <w:t>(Wheeldon et al., 2021)</w:t>
      </w:r>
      <w:r>
        <w:rPr>
          <w:rFonts w:cs="Times New Roman"/>
          <w:bCs/>
        </w:rPr>
        <w:fldChar w:fldCharType="end"/>
      </w:r>
      <w:r>
        <w:rPr>
          <w:rFonts w:cs="Times New Roman"/>
          <w:bCs/>
        </w:rPr>
        <w:t xml:space="preserve">. The evidence that SLs can act as plant-to-plant signals presented in this chapter </w:t>
      </w:r>
      <w:r>
        <w:rPr>
          <w:rFonts w:cs="Times New Roman"/>
          <w:bCs/>
        </w:rPr>
        <w:fldChar w:fldCharType="begin" w:fldLock="1"/>
      </w:r>
      <w:r>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Pr>
          <w:rFonts w:cs="Times New Roman"/>
          <w:bCs/>
        </w:rPr>
        <w:fldChar w:fldCharType="separate"/>
      </w:r>
      <w:r w:rsidRPr="0077507E">
        <w:rPr>
          <w:rFonts w:cs="Times New Roman"/>
          <w:bCs/>
          <w:noProof/>
        </w:rPr>
        <w:t>(Wheeldon et al., 2022)</w:t>
      </w:r>
      <w:r>
        <w:rPr>
          <w:rFonts w:cs="Times New Roman"/>
          <w:bCs/>
        </w:rPr>
        <w:fldChar w:fldCharType="end"/>
      </w:r>
      <w:r>
        <w:rPr>
          <w:rFonts w:cs="Times New Roman"/>
          <w:bCs/>
        </w:rPr>
        <w:t xml:space="preserve"> led to the hypothesis that SLs could be the signal involved in the first </w:t>
      </w:r>
      <w:r w:rsidR="0028717B">
        <w:rPr>
          <w:rFonts w:cs="Times New Roman"/>
          <w:bCs/>
        </w:rPr>
        <w:t>phase</w:t>
      </w:r>
      <w:r>
        <w:rPr>
          <w:rFonts w:cs="Times New Roman"/>
          <w:bCs/>
        </w:rPr>
        <w:t xml:space="preserve"> of this model, the ‘soil volume sensing signal’ (SVS). Both SL and SVS act mainly on </w:t>
      </w:r>
      <w:r w:rsidR="00A65B68">
        <w:rPr>
          <w:rFonts w:cs="Times New Roman"/>
          <w:bCs/>
        </w:rPr>
        <w:t xml:space="preserve">the </w:t>
      </w:r>
      <w:r>
        <w:rPr>
          <w:rFonts w:cs="Times New Roman"/>
          <w:bCs/>
        </w:rPr>
        <w:t>growth</w:t>
      </w:r>
      <w:r w:rsidR="00A65B68">
        <w:rPr>
          <w:rFonts w:cs="Times New Roman"/>
          <w:bCs/>
        </w:rPr>
        <w:t xml:space="preserve"> of the shoot system</w:t>
      </w:r>
      <w:r>
        <w:rPr>
          <w:rFonts w:cs="Times New Roman"/>
          <w:bCs/>
        </w:rPr>
        <w:t xml:space="preserve">, and </w:t>
      </w:r>
      <w:r w:rsidR="00E615E2">
        <w:rPr>
          <w:rFonts w:cs="Times New Roman"/>
          <w:bCs/>
        </w:rPr>
        <w:t xml:space="preserve">this occurs </w:t>
      </w:r>
      <w:r>
        <w:rPr>
          <w:rFonts w:cs="Times New Roman"/>
          <w:bCs/>
        </w:rPr>
        <w:t xml:space="preserve">in a similar timeframe. Therefore, I hypothesised that plants unable to exude SLs would also be unable to respond to their available soil volume early in life. To test this hypothesis, I grew WT (L77) and </w:t>
      </w:r>
      <w:r w:rsidRPr="00196404">
        <w:rPr>
          <w:rFonts w:cs="Times New Roman"/>
          <w:bCs/>
          <w:i/>
          <w:iCs/>
        </w:rPr>
        <w:t>rms1</w:t>
      </w:r>
      <w:r>
        <w:rPr>
          <w:rFonts w:cs="Times New Roman"/>
          <w:bCs/>
        </w:rPr>
        <w:t xml:space="preserve"> (L77) pea plants singly in 500ml and 2000ml of compost, and harvested a subset of each genotype, in each soil volume, at 3 weeks post-germination and the remaining plants at 5 weeks post germination </w:t>
      </w:r>
      <w:r w:rsidR="002B6DE2">
        <w:rPr>
          <w:rFonts w:cs="Times New Roman"/>
          <w:bCs/>
        </w:rPr>
        <w:t>(Fig. 5.5A)</w:t>
      </w:r>
      <w:r w:rsidR="002B6DE2">
        <w:rPr>
          <w:rFonts w:cs="Times New Roman"/>
          <w:bCs/>
        </w:rPr>
        <w:t xml:space="preserve"> </w:t>
      </w:r>
      <w:r>
        <w:rPr>
          <w:rFonts w:cs="Times New Roman"/>
          <w:bCs/>
        </w:rPr>
        <w:fldChar w:fldCharType="begin" w:fldLock="1"/>
      </w:r>
      <w:r>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Pr>
          <w:rFonts w:cs="Times New Roman"/>
          <w:bCs/>
        </w:rPr>
        <w:fldChar w:fldCharType="separate"/>
      </w:r>
      <w:r w:rsidRPr="0001434F">
        <w:rPr>
          <w:rFonts w:cs="Times New Roman"/>
          <w:bCs/>
          <w:noProof/>
        </w:rPr>
        <w:t>(Wheeldon et al., 2022)</w:t>
      </w:r>
      <w:r>
        <w:rPr>
          <w:rFonts w:cs="Times New Roman"/>
          <w:bCs/>
        </w:rPr>
        <w:fldChar w:fldCharType="end"/>
      </w:r>
      <w:r>
        <w:rPr>
          <w:rFonts w:cs="Times New Roman"/>
          <w:bCs/>
        </w:rPr>
        <w:t xml:space="preserve">. </w:t>
      </w:r>
    </w:p>
    <w:p w14:paraId="74F779B9" w14:textId="78909EB3" w:rsidR="0062705A" w:rsidRDefault="0062705A" w:rsidP="006B6C44">
      <w:pPr>
        <w:numPr>
          <w:ilvl w:val="1"/>
          <w:numId w:val="0"/>
        </w:numPr>
        <w:spacing w:before="160" w:line="480" w:lineRule="auto"/>
        <w:outlineLvl w:val="1"/>
        <w:rPr>
          <w:rFonts w:cs="Times New Roman"/>
          <w:bCs/>
        </w:rPr>
      </w:pPr>
      <w:r>
        <w:rPr>
          <w:rFonts w:cs="Times New Roman"/>
          <w:bCs/>
        </w:rPr>
        <w:lastRenderedPageBreak/>
        <w:t xml:space="preserve">At 3 weeks post germination, there is no significant difference in shoot biomass between the soil volumes in </w:t>
      </w:r>
      <w:r w:rsidR="00993008" w:rsidRPr="00463F13">
        <w:rPr>
          <w:rFonts w:cs="Times New Roman"/>
          <w:bCs/>
        </w:rPr>
        <w:t>either</w:t>
      </w:r>
      <w:r>
        <w:rPr>
          <w:rFonts w:cs="Times New Roman"/>
          <w:bCs/>
        </w:rPr>
        <w:t xml:space="preserve"> genotypes (Fig</w:t>
      </w:r>
      <w:r w:rsidR="006B6C44">
        <w:rPr>
          <w:rFonts w:cs="Times New Roman"/>
          <w:bCs/>
        </w:rPr>
        <w:t>.</w:t>
      </w:r>
      <w:r>
        <w:rPr>
          <w:rFonts w:cs="Times New Roman"/>
          <w:bCs/>
        </w:rPr>
        <w:t xml:space="preserve"> 5.5A). This is consistent with the previously observed divergence of growth in plants grown in different soil volumes </w:t>
      </w:r>
      <w:r w:rsidRPr="00752187">
        <w:rPr>
          <w:rFonts w:cs="Times New Roman"/>
          <w:bCs/>
          <w:i/>
          <w:iCs/>
        </w:rPr>
        <w:t>after</w:t>
      </w:r>
      <w:r>
        <w:rPr>
          <w:rFonts w:cs="Times New Roman"/>
          <w:bCs/>
        </w:rPr>
        <w:t xml:space="preserve"> 3 weeks (Chapter 4). However, by 5 weeks post germination, WT plants have increased their shoot biomass by ~1.7 fold in 2000ml pots compared to 500ml pots. Conversely, </w:t>
      </w:r>
      <w:r w:rsidRPr="0003146F">
        <w:rPr>
          <w:rFonts w:cs="Times New Roman"/>
          <w:bCs/>
          <w:i/>
          <w:iCs/>
        </w:rPr>
        <w:t>rms1</w:t>
      </w:r>
      <w:r>
        <w:rPr>
          <w:rFonts w:cs="Times New Roman"/>
          <w:bCs/>
        </w:rPr>
        <w:t xml:space="preserve"> plants showed no significant difference between the soil volumes at 5 weeks post germination (Fig</w:t>
      </w:r>
      <w:r w:rsidR="006B6C44">
        <w:rPr>
          <w:rFonts w:cs="Times New Roman"/>
          <w:bCs/>
        </w:rPr>
        <w:t>.</w:t>
      </w:r>
      <w:r>
        <w:rPr>
          <w:rFonts w:cs="Times New Roman"/>
          <w:bCs/>
        </w:rPr>
        <w:t xml:space="preserve"> 5.5A)</w:t>
      </w:r>
      <w:r w:rsidR="0028717B">
        <w:rPr>
          <w:rFonts w:cs="Times New Roman"/>
          <w:bCs/>
        </w:rPr>
        <w:t xml:space="preserve"> </w:t>
      </w:r>
      <w:r w:rsidR="0028717B">
        <w:rPr>
          <w:rFonts w:cs="Times New Roman"/>
          <w:bCs/>
        </w:rPr>
        <w:fldChar w:fldCharType="begin" w:fldLock="1"/>
      </w:r>
      <w:r w:rsidR="005C242E">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sidR="0028717B">
        <w:rPr>
          <w:rFonts w:cs="Times New Roman"/>
          <w:bCs/>
        </w:rPr>
        <w:fldChar w:fldCharType="separate"/>
      </w:r>
      <w:r w:rsidR="0028717B" w:rsidRPr="0028717B">
        <w:rPr>
          <w:rFonts w:cs="Times New Roman"/>
          <w:bCs/>
          <w:noProof/>
        </w:rPr>
        <w:t>(Wheeldon et al., 2022)</w:t>
      </w:r>
      <w:r w:rsidR="0028717B">
        <w:rPr>
          <w:rFonts w:cs="Times New Roman"/>
          <w:bCs/>
        </w:rPr>
        <w:fldChar w:fldCharType="end"/>
      </w:r>
      <w:r>
        <w:rPr>
          <w:rFonts w:cs="Times New Roman"/>
          <w:bCs/>
        </w:rPr>
        <w:t xml:space="preserve">. </w:t>
      </w:r>
    </w:p>
    <w:p w14:paraId="5505AFE8" w14:textId="6CB048A3" w:rsidR="0062705A" w:rsidRDefault="0062705A" w:rsidP="0062705A">
      <w:pPr>
        <w:numPr>
          <w:ilvl w:val="1"/>
          <w:numId w:val="0"/>
        </w:numPr>
        <w:spacing w:before="160" w:line="480" w:lineRule="auto"/>
        <w:outlineLvl w:val="1"/>
        <w:rPr>
          <w:rFonts w:cs="Times New Roman"/>
          <w:bCs/>
        </w:rPr>
      </w:pPr>
      <w:r>
        <w:rPr>
          <w:rFonts w:cs="Times New Roman"/>
          <w:bCs/>
        </w:rPr>
        <w:t xml:space="preserve">This therefore </w:t>
      </w:r>
      <w:r w:rsidR="00E93C05">
        <w:rPr>
          <w:rFonts w:cs="Times New Roman"/>
          <w:bCs/>
        </w:rPr>
        <w:t>supports</w:t>
      </w:r>
      <w:r>
        <w:rPr>
          <w:rFonts w:cs="Times New Roman"/>
          <w:bCs/>
        </w:rPr>
        <w:t xml:space="preserve"> the hypothesis that SL acts as the SVS signal, since </w:t>
      </w:r>
      <w:r w:rsidRPr="0003146F">
        <w:rPr>
          <w:rFonts w:cs="Times New Roman"/>
          <w:bCs/>
          <w:i/>
          <w:iCs/>
        </w:rPr>
        <w:t>rms1</w:t>
      </w:r>
      <w:r>
        <w:rPr>
          <w:rFonts w:cs="Times New Roman"/>
          <w:bCs/>
        </w:rPr>
        <w:t xml:space="preserve"> plants which cannot produce and exude SLs</w:t>
      </w:r>
      <w:r w:rsidR="0028717B">
        <w:rPr>
          <w:rFonts w:cs="Times New Roman"/>
          <w:bCs/>
        </w:rPr>
        <w:t>,</w:t>
      </w:r>
      <w:r>
        <w:rPr>
          <w:rFonts w:cs="Times New Roman"/>
          <w:bCs/>
        </w:rPr>
        <w:t xml:space="preserve"> are insensitive to soil volume for at least the first 5 weeks post-germination</w:t>
      </w:r>
      <w:r w:rsidR="00432328">
        <w:rPr>
          <w:rFonts w:cs="Times New Roman"/>
          <w:bCs/>
        </w:rPr>
        <w:t xml:space="preserve"> (Fig. 5.5A) </w:t>
      </w:r>
      <w:r w:rsidR="00432328">
        <w:rPr>
          <w:rFonts w:cs="Times New Roman"/>
          <w:bCs/>
        </w:rPr>
        <w:fldChar w:fldCharType="begin" w:fldLock="1"/>
      </w:r>
      <w:r w:rsidR="00432328">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sidR="00432328">
        <w:rPr>
          <w:rFonts w:cs="Times New Roman"/>
          <w:bCs/>
        </w:rPr>
        <w:fldChar w:fldCharType="separate"/>
      </w:r>
      <w:r w:rsidR="00432328" w:rsidRPr="0028717B">
        <w:rPr>
          <w:rFonts w:cs="Times New Roman"/>
          <w:bCs/>
          <w:noProof/>
        </w:rPr>
        <w:t>(Wheeldon et al., 2022)</w:t>
      </w:r>
      <w:r w:rsidR="00432328">
        <w:rPr>
          <w:rFonts w:cs="Times New Roman"/>
          <w:bCs/>
        </w:rPr>
        <w:fldChar w:fldCharType="end"/>
      </w:r>
      <w:r>
        <w:rPr>
          <w:rFonts w:cs="Times New Roman"/>
          <w:bCs/>
        </w:rPr>
        <w:t>.</w:t>
      </w:r>
    </w:p>
    <w:p w14:paraId="1D162392" w14:textId="77777777" w:rsidR="0008688E" w:rsidRDefault="0008688E" w:rsidP="0062705A">
      <w:pPr>
        <w:numPr>
          <w:ilvl w:val="1"/>
          <w:numId w:val="0"/>
        </w:numPr>
        <w:spacing w:before="160" w:line="480" w:lineRule="auto"/>
        <w:outlineLvl w:val="1"/>
        <w:rPr>
          <w:rFonts w:cs="Times New Roman"/>
          <w:bCs/>
        </w:rPr>
      </w:pPr>
    </w:p>
    <w:p w14:paraId="583E53B5" w14:textId="77777777" w:rsidR="0008688E" w:rsidRDefault="0008688E" w:rsidP="0062705A">
      <w:pPr>
        <w:numPr>
          <w:ilvl w:val="1"/>
          <w:numId w:val="0"/>
        </w:numPr>
        <w:spacing w:before="160" w:line="480" w:lineRule="auto"/>
        <w:outlineLvl w:val="1"/>
        <w:rPr>
          <w:rFonts w:cs="Times New Roman"/>
          <w:bCs/>
        </w:rPr>
      </w:pPr>
    </w:p>
    <w:p w14:paraId="25336696" w14:textId="77777777" w:rsidR="0008688E" w:rsidRDefault="0008688E" w:rsidP="0062705A">
      <w:pPr>
        <w:numPr>
          <w:ilvl w:val="1"/>
          <w:numId w:val="0"/>
        </w:numPr>
        <w:spacing w:before="160" w:line="480" w:lineRule="auto"/>
        <w:outlineLvl w:val="1"/>
        <w:rPr>
          <w:rFonts w:cs="Times New Roman"/>
          <w:bCs/>
        </w:rPr>
      </w:pPr>
    </w:p>
    <w:p w14:paraId="72787D71" w14:textId="77777777" w:rsidR="0008688E" w:rsidRDefault="0008688E" w:rsidP="0062705A">
      <w:pPr>
        <w:numPr>
          <w:ilvl w:val="1"/>
          <w:numId w:val="0"/>
        </w:numPr>
        <w:spacing w:before="160" w:line="480" w:lineRule="auto"/>
        <w:outlineLvl w:val="1"/>
        <w:rPr>
          <w:rFonts w:cs="Times New Roman"/>
          <w:bCs/>
        </w:rPr>
      </w:pPr>
    </w:p>
    <w:p w14:paraId="7DE36C53" w14:textId="77777777" w:rsidR="0008688E" w:rsidRDefault="0008688E" w:rsidP="0062705A">
      <w:pPr>
        <w:numPr>
          <w:ilvl w:val="1"/>
          <w:numId w:val="0"/>
        </w:numPr>
        <w:spacing w:before="160" w:line="480" w:lineRule="auto"/>
        <w:outlineLvl w:val="1"/>
        <w:rPr>
          <w:rFonts w:cs="Times New Roman"/>
          <w:b/>
        </w:rPr>
      </w:pPr>
    </w:p>
    <w:p w14:paraId="563A414E" w14:textId="77777777" w:rsidR="0062705A" w:rsidRDefault="0062705A" w:rsidP="0062705A">
      <w:pPr>
        <w:numPr>
          <w:ilvl w:val="1"/>
          <w:numId w:val="0"/>
        </w:numPr>
        <w:spacing w:before="160" w:line="240" w:lineRule="auto"/>
        <w:outlineLvl w:val="1"/>
        <w:rPr>
          <w:rFonts w:cs="Times New Roman"/>
          <w:b/>
        </w:rPr>
      </w:pPr>
    </w:p>
    <w:p w14:paraId="13E82801" w14:textId="77777777" w:rsidR="0062705A" w:rsidRDefault="0062705A" w:rsidP="0062705A">
      <w:pPr>
        <w:numPr>
          <w:ilvl w:val="1"/>
          <w:numId w:val="0"/>
        </w:numPr>
        <w:spacing w:before="160" w:line="240" w:lineRule="auto"/>
        <w:outlineLvl w:val="1"/>
        <w:rPr>
          <w:rFonts w:cs="Times New Roman"/>
          <w:b/>
        </w:rPr>
      </w:pPr>
      <w:r>
        <w:rPr>
          <w:rFonts w:cs="Times New Roman"/>
          <w:bCs/>
          <w:noProof/>
        </w:rPr>
        <w:lastRenderedPageBreak/>
        <w:drawing>
          <wp:anchor distT="0" distB="0" distL="114300" distR="114300" simplePos="0" relativeHeight="251684352" behindDoc="1" locked="0" layoutInCell="1" allowOverlap="1" wp14:anchorId="28C6D7B5" wp14:editId="6F4E09E0">
            <wp:simplePos x="0" y="0"/>
            <wp:positionH relativeFrom="margin">
              <wp:align>left</wp:align>
            </wp:positionH>
            <wp:positionV relativeFrom="paragraph">
              <wp:posOffset>346</wp:posOffset>
            </wp:positionV>
            <wp:extent cx="3867785" cy="2770505"/>
            <wp:effectExtent l="0" t="0" r="0" b="0"/>
            <wp:wrapTight wrapText="bothSides">
              <wp:wrapPolygon edited="0">
                <wp:start x="0" y="0"/>
                <wp:lineTo x="0" y="21387"/>
                <wp:lineTo x="21490" y="21387"/>
                <wp:lineTo x="21490" y="0"/>
                <wp:lineTo x="0" y="0"/>
              </wp:wrapPolygon>
            </wp:wrapTight>
            <wp:docPr id="857334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334661" name="Picture 85733466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867785" cy="2770505"/>
                    </a:xfrm>
                    <a:prstGeom prst="rect">
                      <a:avLst/>
                    </a:prstGeom>
                  </pic:spPr>
                </pic:pic>
              </a:graphicData>
            </a:graphic>
          </wp:anchor>
        </w:drawing>
      </w:r>
    </w:p>
    <w:p w14:paraId="4C535999" w14:textId="77777777" w:rsidR="0062705A" w:rsidRDefault="0062705A" w:rsidP="0062705A">
      <w:pPr>
        <w:numPr>
          <w:ilvl w:val="1"/>
          <w:numId w:val="0"/>
        </w:numPr>
        <w:spacing w:before="160" w:line="240" w:lineRule="auto"/>
        <w:outlineLvl w:val="1"/>
        <w:rPr>
          <w:rFonts w:cs="Times New Roman"/>
          <w:b/>
        </w:rPr>
      </w:pPr>
    </w:p>
    <w:p w14:paraId="34A11501" w14:textId="77777777" w:rsidR="0062705A" w:rsidRDefault="0062705A" w:rsidP="0062705A">
      <w:pPr>
        <w:numPr>
          <w:ilvl w:val="1"/>
          <w:numId w:val="0"/>
        </w:numPr>
        <w:spacing w:before="160" w:line="240" w:lineRule="auto"/>
        <w:outlineLvl w:val="1"/>
        <w:rPr>
          <w:rFonts w:cs="Times New Roman"/>
          <w:b/>
        </w:rPr>
      </w:pPr>
    </w:p>
    <w:p w14:paraId="22AF99B6" w14:textId="77777777" w:rsidR="0062705A" w:rsidRDefault="0062705A" w:rsidP="0062705A">
      <w:pPr>
        <w:numPr>
          <w:ilvl w:val="1"/>
          <w:numId w:val="0"/>
        </w:numPr>
        <w:spacing w:before="160" w:line="240" w:lineRule="auto"/>
        <w:outlineLvl w:val="1"/>
        <w:rPr>
          <w:rFonts w:cs="Times New Roman"/>
          <w:b/>
        </w:rPr>
      </w:pPr>
    </w:p>
    <w:p w14:paraId="45A8A67F" w14:textId="77777777" w:rsidR="0062705A" w:rsidRDefault="0062705A" w:rsidP="0062705A">
      <w:pPr>
        <w:numPr>
          <w:ilvl w:val="1"/>
          <w:numId w:val="0"/>
        </w:numPr>
        <w:spacing w:before="160" w:line="240" w:lineRule="auto"/>
        <w:outlineLvl w:val="1"/>
        <w:rPr>
          <w:rFonts w:cs="Times New Roman"/>
          <w:b/>
        </w:rPr>
      </w:pPr>
    </w:p>
    <w:p w14:paraId="720825A2" w14:textId="77777777" w:rsidR="0062705A" w:rsidRDefault="0062705A" w:rsidP="0062705A">
      <w:pPr>
        <w:numPr>
          <w:ilvl w:val="1"/>
          <w:numId w:val="0"/>
        </w:numPr>
        <w:spacing w:before="160" w:line="240" w:lineRule="auto"/>
        <w:outlineLvl w:val="1"/>
        <w:rPr>
          <w:rFonts w:cs="Times New Roman"/>
          <w:b/>
        </w:rPr>
      </w:pPr>
    </w:p>
    <w:p w14:paraId="3D98AD57" w14:textId="77777777" w:rsidR="0062705A" w:rsidRDefault="0062705A" w:rsidP="0062705A">
      <w:pPr>
        <w:numPr>
          <w:ilvl w:val="1"/>
          <w:numId w:val="0"/>
        </w:numPr>
        <w:spacing w:before="160" w:line="240" w:lineRule="auto"/>
        <w:outlineLvl w:val="1"/>
        <w:rPr>
          <w:rFonts w:cs="Times New Roman"/>
          <w:b/>
        </w:rPr>
      </w:pPr>
    </w:p>
    <w:p w14:paraId="253EB541" w14:textId="77777777" w:rsidR="0062705A" w:rsidRDefault="0062705A" w:rsidP="0062705A">
      <w:pPr>
        <w:numPr>
          <w:ilvl w:val="1"/>
          <w:numId w:val="0"/>
        </w:numPr>
        <w:spacing w:before="160" w:line="240" w:lineRule="auto"/>
        <w:outlineLvl w:val="1"/>
        <w:rPr>
          <w:rFonts w:cs="Times New Roman"/>
          <w:b/>
        </w:rPr>
      </w:pPr>
    </w:p>
    <w:p w14:paraId="71BC3F80" w14:textId="77777777" w:rsidR="0062705A" w:rsidRDefault="0062705A" w:rsidP="0062705A">
      <w:pPr>
        <w:numPr>
          <w:ilvl w:val="1"/>
          <w:numId w:val="0"/>
        </w:numPr>
        <w:spacing w:before="160" w:line="240" w:lineRule="auto"/>
        <w:outlineLvl w:val="1"/>
        <w:rPr>
          <w:rFonts w:cs="Times New Roman"/>
          <w:b/>
        </w:rPr>
      </w:pPr>
    </w:p>
    <w:p w14:paraId="5DDCF6E0" w14:textId="77777777" w:rsidR="0062705A" w:rsidRDefault="0062705A" w:rsidP="0062705A">
      <w:pPr>
        <w:numPr>
          <w:ilvl w:val="1"/>
          <w:numId w:val="0"/>
        </w:numPr>
        <w:spacing w:before="160" w:line="240" w:lineRule="auto"/>
        <w:outlineLvl w:val="1"/>
        <w:rPr>
          <w:rFonts w:cs="Times New Roman"/>
          <w:b/>
        </w:rPr>
      </w:pPr>
    </w:p>
    <w:p w14:paraId="00F7E671" w14:textId="3B81F529" w:rsidR="0062705A" w:rsidRDefault="0062705A" w:rsidP="0062705A">
      <w:pPr>
        <w:pStyle w:val="Caption"/>
        <w:rPr>
          <w:rFonts w:cs="Times New Roman"/>
          <w:b w:val="0"/>
          <w:szCs w:val="20"/>
        </w:rPr>
      </w:pPr>
      <w:bookmarkStart w:id="235" w:name="_Toc146657582"/>
      <w:bookmarkStart w:id="236" w:name="_Toc154331592"/>
      <w:r>
        <w:t xml:space="preserve">Figure </w:t>
      </w:r>
      <w:fldSimple w:instr=" STYLEREF 1 \s ">
        <w:r w:rsidR="004B7F70">
          <w:rPr>
            <w:noProof/>
          </w:rPr>
          <w:t>5</w:t>
        </w:r>
      </w:fldSimple>
      <w:r w:rsidR="00C97D34">
        <w:t>.</w:t>
      </w:r>
      <w:fldSimple w:instr=" SEQ Figure \* ARABIC \s 1 ">
        <w:r w:rsidR="004B7F70">
          <w:rPr>
            <w:noProof/>
          </w:rPr>
          <w:t>5</w:t>
        </w:r>
      </w:fldSimple>
      <w:r>
        <w:t xml:space="preserve"> </w:t>
      </w:r>
      <w:r w:rsidRPr="005E4803">
        <w:t>Detection of soil volume early in life requires strigolactone exudation</w:t>
      </w:r>
      <w:bookmarkEnd w:id="235"/>
      <w:bookmarkEnd w:id="236"/>
    </w:p>
    <w:p w14:paraId="3A3D756B" w14:textId="77777777" w:rsidR="0062705A" w:rsidRPr="000F32C0" w:rsidRDefault="0062705A" w:rsidP="0062705A">
      <w:pPr>
        <w:pStyle w:val="Description"/>
      </w:pPr>
      <w:r w:rsidRPr="000F32C0">
        <w:t xml:space="preserve">Graphs showing Wild-type (WT) and </w:t>
      </w:r>
      <w:r w:rsidRPr="000F32C0">
        <w:rPr>
          <w:i/>
          <w:iCs/>
        </w:rPr>
        <w:t>rms1-1</w:t>
      </w:r>
      <w:r w:rsidRPr="000F32C0">
        <w:t xml:space="preserve"> (background L77) </w:t>
      </w:r>
      <w:r w:rsidRPr="000F32C0">
        <w:rPr>
          <w:i/>
          <w:iCs/>
        </w:rPr>
        <w:t>Pisum sativum</w:t>
      </w:r>
      <w:r w:rsidRPr="000F32C0">
        <w:t xml:space="preserve"> (pea) plants grown 1 plant per pot (1/pot) in 500ml (sky blue) and 2000ml (dark blue) of compost.</w:t>
      </w:r>
    </w:p>
    <w:p w14:paraId="62CE5C37" w14:textId="719127A9" w:rsidR="0062705A" w:rsidRPr="000F32C0" w:rsidRDefault="0062705A" w:rsidP="00E817C7">
      <w:pPr>
        <w:pStyle w:val="Description"/>
        <w:keepLines w:val="0"/>
      </w:pPr>
      <w:r w:rsidRPr="000F32C0">
        <w:t xml:space="preserve">A) Boxplots showing mean dry shoot biomass per plant (g) for singly grown WT and </w:t>
      </w:r>
      <w:r w:rsidRPr="000F32C0">
        <w:rPr>
          <w:i/>
          <w:iCs/>
        </w:rPr>
        <w:t>rms1</w:t>
      </w:r>
      <w:r w:rsidRPr="000F32C0">
        <w:t xml:space="preserve"> plants at 3 and 5 weeks post germination, in 2 substrate volumes. The box indicates the interquartile range, the midline </w:t>
      </w:r>
      <w:r w:rsidR="00E26E2E">
        <w:t>is</w:t>
      </w:r>
      <w:r w:rsidRPr="000F32C0">
        <w:t xml:space="preserve"> the median, the whiskers are the minimum and maximum values, the circle within the box is the mean. Statistical analysis was only carried out within the same genotype, </w:t>
      </w:r>
      <w:r w:rsidR="00A46092">
        <w:t>a</w:t>
      </w:r>
      <w:r w:rsidRPr="000F32C0">
        <w:t>sterisk represents a statistically significant difference, n.s represents no significant difference (Independent samples t-test, p&lt;0.05), n=6-10.</w:t>
      </w:r>
    </w:p>
    <w:p w14:paraId="21B49BB9" w14:textId="77777777" w:rsidR="0062705A" w:rsidRPr="00922844" w:rsidRDefault="0062705A" w:rsidP="00E817C7">
      <w:pPr>
        <w:pStyle w:val="Description"/>
        <w:keepLines w:val="0"/>
      </w:pPr>
      <w:r w:rsidRPr="000F32C0">
        <w:t>Figure modified from Wheeldon et al, 2022</w:t>
      </w:r>
    </w:p>
    <w:p w14:paraId="02BAFB77" w14:textId="77777777" w:rsidR="0062705A" w:rsidRDefault="0062705A" w:rsidP="0062705A"/>
    <w:p w14:paraId="1A7674C2" w14:textId="147FE6E9" w:rsidR="0062705A" w:rsidRDefault="0062705A" w:rsidP="00743E4C">
      <w:pPr>
        <w:pStyle w:val="Heading3"/>
      </w:pPr>
      <w:bookmarkStart w:id="237" w:name="_Toc154331509"/>
      <w:r>
        <w:t>Strigolactones exuded into the belowground environment influence neighbour detection and soil volume sensing</w:t>
      </w:r>
      <w:bookmarkEnd w:id="237"/>
    </w:p>
    <w:p w14:paraId="28FE2108" w14:textId="77777777" w:rsidR="0062705A" w:rsidRDefault="0062705A" w:rsidP="0062705A"/>
    <w:p w14:paraId="4FA0E450" w14:textId="465FC490" w:rsidR="0062705A" w:rsidRDefault="0062705A" w:rsidP="0062705A">
      <w:pPr>
        <w:numPr>
          <w:ilvl w:val="1"/>
          <w:numId w:val="0"/>
        </w:numPr>
        <w:spacing w:before="160" w:line="480" w:lineRule="auto"/>
        <w:outlineLvl w:val="1"/>
        <w:rPr>
          <w:rFonts w:cs="Times New Roman"/>
          <w:bCs/>
        </w:rPr>
      </w:pPr>
      <w:r>
        <w:rPr>
          <w:rFonts w:cs="Times New Roman"/>
          <w:bCs/>
        </w:rPr>
        <w:t xml:space="preserve">Collectively the data presented here shows a new function for exuded strigolactones, as plant-to-plant signals. This data shows that pea plants require the ability to produce strigolactone in order to inhibit the growth of their neighbours within the first few weeks of life, and this is also required to perceive their available soil volume. Plants unable to produce and exude SLs become outcompeted by neighbours that can produce and exude SLs. Detection of neighbours occurs by uptake of SLs from the environment by the </w:t>
      </w:r>
      <w:r>
        <w:rPr>
          <w:rFonts w:cs="Times New Roman"/>
          <w:bCs/>
        </w:rPr>
        <w:lastRenderedPageBreak/>
        <w:t xml:space="preserve">roots, and results in shoot growth reduction. This ultimately allows plants to plan their future shoot growth strategies in line with the number of neighbours in their soil environment </w:t>
      </w:r>
      <w:r>
        <w:rPr>
          <w:rFonts w:cs="Times New Roman"/>
          <w:bCs/>
        </w:rPr>
        <w:fldChar w:fldCharType="begin" w:fldLock="1"/>
      </w:r>
      <w:r>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Pr>
          <w:rFonts w:cs="Times New Roman"/>
          <w:bCs/>
        </w:rPr>
        <w:fldChar w:fldCharType="separate"/>
      </w:r>
      <w:r w:rsidRPr="00623D3F">
        <w:rPr>
          <w:rFonts w:cs="Times New Roman"/>
          <w:bCs/>
          <w:noProof/>
        </w:rPr>
        <w:t>(Wheeldon et al., 2022)</w:t>
      </w:r>
      <w:r>
        <w:rPr>
          <w:rFonts w:cs="Times New Roman"/>
          <w:bCs/>
        </w:rPr>
        <w:fldChar w:fldCharType="end"/>
      </w:r>
      <w:r>
        <w:rPr>
          <w:rFonts w:cs="Times New Roman"/>
          <w:bCs/>
        </w:rPr>
        <w:t>.</w:t>
      </w:r>
    </w:p>
    <w:p w14:paraId="703609F9" w14:textId="77777777" w:rsidR="0062705A" w:rsidRDefault="0062705A" w:rsidP="0062705A"/>
    <w:p w14:paraId="5DC18AB5" w14:textId="4B81CAC9" w:rsidR="0062705A" w:rsidRDefault="0062705A" w:rsidP="00743E4C">
      <w:pPr>
        <w:pStyle w:val="Heading2"/>
      </w:pPr>
      <w:bookmarkStart w:id="238" w:name="_Toc154331510"/>
      <w:r w:rsidRPr="0062705A">
        <w:t>A PDR transporter could act as a strigolactone importer</w:t>
      </w:r>
      <w:bookmarkEnd w:id="238"/>
    </w:p>
    <w:p w14:paraId="2C6F926A" w14:textId="77777777" w:rsidR="0062705A" w:rsidRDefault="0062705A" w:rsidP="0062705A"/>
    <w:p w14:paraId="4C9A446E" w14:textId="1CB0630D" w:rsidR="0062705A" w:rsidRDefault="0062705A" w:rsidP="0062705A">
      <w:pPr>
        <w:pStyle w:val="ListParagraph"/>
        <w:spacing w:line="480" w:lineRule="auto"/>
        <w:ind w:left="0"/>
        <w:rPr>
          <w:rFonts w:ascii="Arial" w:hAnsi="Arial" w:cs="Arial"/>
          <w:sz w:val="24"/>
          <w:szCs w:val="24"/>
        </w:rPr>
      </w:pPr>
      <w:r w:rsidRPr="001964C2">
        <w:rPr>
          <w:rFonts w:ascii="Arial" w:hAnsi="Arial" w:cs="Arial"/>
          <w:sz w:val="24"/>
          <w:szCs w:val="24"/>
        </w:rPr>
        <w:t xml:space="preserve">Data presented in </w:t>
      </w:r>
      <w:r w:rsidR="00DB4441">
        <w:rPr>
          <w:rFonts w:ascii="Arial" w:hAnsi="Arial" w:cs="Arial"/>
          <w:sz w:val="24"/>
          <w:szCs w:val="24"/>
        </w:rPr>
        <w:t xml:space="preserve">section </w:t>
      </w:r>
      <w:r w:rsidRPr="001964C2">
        <w:rPr>
          <w:rFonts w:ascii="Arial" w:hAnsi="Arial" w:cs="Arial"/>
          <w:sz w:val="24"/>
          <w:szCs w:val="24"/>
        </w:rPr>
        <w:t>5.</w:t>
      </w:r>
      <w:r w:rsidR="00DB4441">
        <w:rPr>
          <w:rFonts w:ascii="Arial" w:hAnsi="Arial" w:cs="Arial"/>
          <w:sz w:val="24"/>
          <w:szCs w:val="24"/>
        </w:rPr>
        <w:t>2</w:t>
      </w:r>
      <w:r w:rsidRPr="001964C2">
        <w:rPr>
          <w:rFonts w:ascii="Arial" w:hAnsi="Arial" w:cs="Arial"/>
          <w:sz w:val="24"/>
          <w:szCs w:val="24"/>
        </w:rPr>
        <w:t xml:space="preserve"> demonstrates the ability of plants to uptake SL</w:t>
      </w:r>
      <w:r>
        <w:rPr>
          <w:rFonts w:ascii="Arial" w:hAnsi="Arial" w:cs="Arial"/>
          <w:sz w:val="24"/>
          <w:szCs w:val="24"/>
        </w:rPr>
        <w:t>s</w:t>
      </w:r>
      <w:r w:rsidRPr="001964C2">
        <w:rPr>
          <w:rFonts w:ascii="Arial" w:hAnsi="Arial" w:cs="Arial"/>
          <w:sz w:val="24"/>
          <w:szCs w:val="24"/>
        </w:rPr>
        <w:t xml:space="preserve"> from </w:t>
      </w:r>
      <w:r>
        <w:rPr>
          <w:rFonts w:ascii="Arial" w:hAnsi="Arial" w:cs="Arial"/>
          <w:sz w:val="24"/>
          <w:szCs w:val="24"/>
        </w:rPr>
        <w:t>neighbouring plants</w:t>
      </w:r>
      <w:r w:rsidRPr="001964C2">
        <w:rPr>
          <w:rFonts w:ascii="Arial" w:hAnsi="Arial" w:cs="Arial"/>
          <w:sz w:val="24"/>
          <w:szCs w:val="24"/>
        </w:rPr>
        <w:t>. Therefore, it would be logical to hypothesise that there is a transporter which uptakes SL</w:t>
      </w:r>
      <w:r>
        <w:rPr>
          <w:rFonts w:ascii="Arial" w:hAnsi="Arial" w:cs="Arial"/>
          <w:sz w:val="24"/>
          <w:szCs w:val="24"/>
        </w:rPr>
        <w:t>s</w:t>
      </w:r>
      <w:r w:rsidRPr="001964C2">
        <w:rPr>
          <w:rFonts w:ascii="Arial" w:hAnsi="Arial" w:cs="Arial"/>
          <w:sz w:val="24"/>
          <w:szCs w:val="24"/>
        </w:rPr>
        <w:t xml:space="preserve"> from the soil environment, but to date there has been no suggestion of what the ‘strigolactone importer’ could be. </w:t>
      </w:r>
      <w:r>
        <w:rPr>
          <w:rFonts w:ascii="Arial" w:hAnsi="Arial" w:cs="Arial"/>
          <w:sz w:val="24"/>
          <w:szCs w:val="24"/>
        </w:rPr>
        <w:t xml:space="preserve">A strigolactone exporter has been identified however, and this is an ABCG (ATP-binding cassette type G)  transporter, </w:t>
      </w:r>
      <w:r w:rsidRPr="005A2CE8">
        <w:rPr>
          <w:rFonts w:ascii="Arial" w:hAnsi="Arial" w:cs="Arial"/>
          <w:i/>
          <w:iCs/>
          <w:sz w:val="24"/>
          <w:szCs w:val="24"/>
        </w:rPr>
        <w:t>PLEOTROPIC DRUG RESISTANCE 1</w:t>
      </w:r>
      <w:r>
        <w:rPr>
          <w:rFonts w:ascii="Arial" w:hAnsi="Arial" w:cs="Arial"/>
          <w:sz w:val="24"/>
          <w:szCs w:val="24"/>
        </w:rPr>
        <w:t xml:space="preserve"> (</w:t>
      </w:r>
      <w:r w:rsidRPr="005A2CE8">
        <w:rPr>
          <w:rFonts w:ascii="Arial" w:hAnsi="Arial" w:cs="Arial"/>
          <w:i/>
          <w:iCs/>
          <w:sz w:val="24"/>
          <w:szCs w:val="24"/>
        </w:rPr>
        <w:t>PDR1</w:t>
      </w:r>
      <w:r>
        <w:rPr>
          <w:rFonts w:ascii="Arial" w:hAnsi="Arial" w:cs="Arial"/>
          <w:sz w:val="24"/>
          <w:szCs w:val="24"/>
        </w:rPr>
        <w:t xml:space="preserve">), first identified in </w:t>
      </w:r>
      <w:r w:rsidRPr="0050375D">
        <w:rPr>
          <w:rFonts w:ascii="Arial" w:hAnsi="Arial" w:cs="Arial"/>
          <w:i/>
          <w:iCs/>
          <w:sz w:val="24"/>
          <w:szCs w:val="24"/>
        </w:rPr>
        <w:t>Petunia hybrida</w:t>
      </w:r>
      <w:r>
        <w:rPr>
          <w:rFonts w:ascii="Arial" w:hAnsi="Arial" w:cs="Arial"/>
          <w:sz w:val="24"/>
          <w:szCs w:val="24"/>
        </w:rPr>
        <w:t xml:space="preserve"> (petunia) </w:t>
      </w:r>
      <w:r>
        <w:rPr>
          <w:rFonts w:ascii="Arial" w:hAnsi="Arial" w:cs="Arial"/>
          <w:sz w:val="24"/>
          <w:szCs w:val="24"/>
        </w:rPr>
        <w:fldChar w:fldCharType="begin" w:fldLock="1"/>
      </w:r>
      <w:r>
        <w:rPr>
          <w:rFonts w:ascii="Arial" w:hAnsi="Arial" w:cs="Arial"/>
          <w:sz w:val="24"/>
          <w:szCs w:val="24"/>
        </w:rPr>
        <w:instrText>ADDIN CSL_CITATION {"citationItems":[{"id":"ITEM-1","itemData":{"DOI":"10.1038/nature10873","ISSN":"00280836","abstract":"Strigolactones were originally identified as stimulators of the germination of root-parasitic weeds that pose a serious threat to resource-limited agriculture. They are mostly exuded from roots and function as signalling compounds in the initiation of arbuscular mycorrhizae, which are plant-fungus symbionts with a global effect on carbon and phosphate cycling. Recently, strigolactones were established to be phytohormones that regulate plant shoot architecture by inhibiting the outgrowth of axillary buds. Despite their importance, it is not known how strigolactones are transported. ATP-binding cassette (ABC) transporters, however, are known to have functions in phytohormone translocation. Here we show that the Petunia hybrida ABC transporter PDR1 has a key role in regulating the development of arbuscular mycorrhizae and axillary branches, by functioning as a cellular strigolactone exporter. P. hybrida pdr1 mutants are defective in strigolactone exudation from their roots, resulting in reduced symbiotic interactions. Above ground, pdr1 mutants have an enhanced branching phenotype, which is indicative of impaired strigolactone allocation. Overexpression of Petunia axillaris PDR1 in Arabidopsis thaliana results in increased tolerance to high concentrations of a synthetic strigolactone, consistent with increased export of strigolactones from the roots. PDR1 is the first known component in strigolactone transport, providing new opportunities for investigating and manipulating strigolactone-dependent processes. ©2012 Macmillan Publishers Limited. All rights reserved.","author":[{"dropping-particle":"","family":"Kretzschmar","given":"Tobias","non-dropping-particle":"","parse-names":false,"suffix":""},{"dropping-particle":"","family":"Kohlen","given":"Wouter","non-dropping-particle":"","parse-names":false,"suffix":""},{"dropping-particle":"","family":"Sasse","given":"Joelle","non-dropping-particle":"","parse-names":false,"suffix":""},{"dropping-particle":"","family":"Borghi","given":"Lorenzo","non-dropping-particle":"","parse-names":false,"suffix":""},{"dropping-particle":"","family":"Schlegel","given":"Markus","non-dropping-particle":"","parse-names":false,"suffix":""},{"dropping-particle":"","family":"Bachelier","given":"Julien B.","non-dropping-particle":"","parse-names":false,"suffix":""},{"dropping-particle":"","family":"Reinhardt","given":"Didier","non-dropping-particle":"","parse-names":false,"suffix":""},{"dropping-particle":"","family":"Bours","given":"Ralph","non-dropping-particle":"","parse-names":false,"suffix":""},{"dropping-particle":"","family":"Bouwmeester","given":"Harro J.","non-dropping-particle":"","parse-names":false,"suffix":""},{"dropping-particle":"","family":"Martinoia","given":"Enrico","non-dropping-particle":"","parse-names":false,"suffix":""}],"container-title":"Nature","id":"ITEM-1","issue":"7389","issued":{"date-parts":[["2012","3","15"]]},"page":"341-344","title":"A petunia ABC protein controls strigolactone-dependent symbiotic signalling and branching","type":"article-journal","volume":"483"},"uris":["http://www.mendeley.com/documents/?uuid=ca351854-37ab-3655-b35d-ba24d25a9e8b"]}],"mendeley":{"formattedCitation":"(Kretzschmar et al., 2012)","plainTextFormattedCitation":"(Kretzschmar et al., 2012)","previouslyFormattedCitation":"(Kretzschmar et al., 2012)"},"properties":{"noteIndex":0},"schema":"https://github.com/citation-style-language/schema/raw/master/csl-citation.json"}</w:instrText>
      </w:r>
      <w:r>
        <w:rPr>
          <w:rFonts w:ascii="Arial" w:hAnsi="Arial" w:cs="Arial"/>
          <w:sz w:val="24"/>
          <w:szCs w:val="24"/>
        </w:rPr>
        <w:fldChar w:fldCharType="separate"/>
      </w:r>
      <w:r w:rsidRPr="009C5481">
        <w:rPr>
          <w:rFonts w:ascii="Arial" w:hAnsi="Arial" w:cs="Arial"/>
          <w:noProof/>
          <w:sz w:val="24"/>
          <w:szCs w:val="24"/>
        </w:rPr>
        <w:t>(Kretzschmar et al., 2012)</w:t>
      </w:r>
      <w:r>
        <w:rPr>
          <w:rFonts w:ascii="Arial" w:hAnsi="Arial" w:cs="Arial"/>
          <w:sz w:val="24"/>
          <w:szCs w:val="24"/>
        </w:rPr>
        <w:fldChar w:fldCharType="end"/>
      </w:r>
      <w:r>
        <w:rPr>
          <w:rFonts w:ascii="Arial" w:hAnsi="Arial" w:cs="Arial"/>
          <w:sz w:val="24"/>
          <w:szCs w:val="24"/>
        </w:rPr>
        <w:t xml:space="preserve">. </w:t>
      </w:r>
      <w:r w:rsidRPr="008F523B">
        <w:rPr>
          <w:rFonts w:ascii="Arial" w:hAnsi="Arial" w:cs="Arial"/>
          <w:i/>
          <w:iCs/>
          <w:sz w:val="24"/>
          <w:szCs w:val="24"/>
        </w:rPr>
        <w:t>PDR1</w:t>
      </w:r>
      <w:r>
        <w:rPr>
          <w:rFonts w:ascii="Arial" w:hAnsi="Arial" w:cs="Arial"/>
          <w:sz w:val="24"/>
          <w:szCs w:val="24"/>
        </w:rPr>
        <w:t xml:space="preserve"> has also been suggested to mediate the transport of SLs through the plant in both the roots and shoots </w:t>
      </w:r>
      <w:r>
        <w:rPr>
          <w:rFonts w:ascii="Arial" w:hAnsi="Arial" w:cs="Arial"/>
          <w:sz w:val="24"/>
          <w:szCs w:val="24"/>
        </w:rPr>
        <w:fldChar w:fldCharType="begin" w:fldLock="1"/>
      </w:r>
      <w:r w:rsidR="00C85115">
        <w:rPr>
          <w:rFonts w:ascii="Arial" w:hAnsi="Arial" w:cs="Arial"/>
          <w:sz w:val="24"/>
          <w:szCs w:val="24"/>
        </w:rPr>
        <w:instrText>ADDIN CSL_CITATION {"citationItems":[{"id":"ITEM-1","itemData":{"DOI":"10.1038/nature10873","ISSN":"00280836","abstract":"Strigolactones were originally identified as stimulators of the germination of root-parasitic weeds that pose a serious threat to resource-limited agriculture. They are mostly exuded from roots and function as signalling compounds in the initiation of arbuscular mycorrhizae, which are plant-fungus symbionts with a global effect on carbon and phosphate cycling. Recently, strigolactones were established to be phytohormones that regulate plant shoot architecture by inhibiting the outgrowth of axillary buds. Despite their importance, it is not known how strigolactones are transported. ATP-binding cassette (ABC) transporters, however, are known to have functions in phytohormone translocation. Here we show that the Petunia hybrida ABC transporter PDR1 has a key role in regulating the development of arbuscular mycorrhizae and axillary branches, by functioning as a cellular strigolactone exporter. P. hybrida pdr1 mutants are defective in strigolactone exudation from their roots, resulting in reduced symbiotic interactions. Above ground, pdr1 mutants have an enhanced branching phenotype, which is indicative of impaired strigolactone allocation. Overexpression of Petunia axillaris PDR1 in Arabidopsis thaliana results in increased tolerance to high concentrations of a synthetic strigolactone, consistent with increased export of strigolactones from the roots. PDR1 is the first known component in strigolactone transport, providing new opportunities for investigating and manipulating strigolactone-dependent processes. ©2012 Macmillan Publishers Limited. All rights reserved.","author":[{"dropping-particle":"","family":"Kretzschmar","given":"Tobias","non-dropping-particle":"","parse-names":false,"suffix":""},{"dropping-particle":"","family":"Kohlen","given":"Wouter","non-dropping-particle":"","parse-names":false,"suffix":""},{"dropping-particle":"","family":"Sasse","given":"Joelle","non-dropping-particle":"","parse-names":false,"suffix":""},{"dropping-particle":"","family":"Borghi","given":"Lorenzo","non-dropping-particle":"","parse-names":false,"suffix":""},{"dropping-particle":"","family":"Schlegel","given":"Markus","non-dropping-particle":"","parse-names":false,"suffix":""},{"dropping-particle":"","family":"Bachelier","given":"Julien B.","non-dropping-particle":"","parse-names":false,"suffix":""},{"dropping-particle":"","family":"Reinhardt","given":"Didier","non-dropping-particle":"","parse-names":false,"suffix":""},{"dropping-particle":"","family":"Bours","given":"Ralph","non-dropping-particle":"","parse-names":false,"suffix":""},{"dropping-particle":"","family":"Bouwmeester","given":"Harro J.","non-dropping-particle":"","parse-names":false,"suffix":""},{"dropping-particle":"","family":"Martinoia","given":"Enrico","non-dropping-particle":"","parse-names":false,"suffix":""}],"container-title":"Nature","id":"ITEM-1","issue":"7389","issued":{"date-parts":[["2012","3","15"]]},"page":"341-344","title":"A petunia ABC protein controls strigolactone-dependent symbiotic signalling and branching","type":"article-journal","volume":"483"},"uris":["http://www.mendeley.com/documents/?uuid=ca351854-37ab-3655-b35d-ba24d25a9e8b"]},{"id":"ITEM-2","itemData":{"DOI":"10.1016/J.CUB.2015.01.015","ISSN":"0960-9822","PMID":"25683808","abstract":"Strigolactones, first discovered as germination stimulants for parasitic weeds [1], are carotenoid-derived phytohormones that play major roles in inhibiting lateral bud outgrowth and promoting plant-mycorrhizal symbiosis [2-4]. Furthermore, strigolactones are involved in the regulation of lateral and adventitious root development, root cell division [5, 6], secondary growth [7], and leaf senescence [8]. Recently, we discovered the strigolactone transporter Petunia axillaris PLEIOTROPIC DRUG RESISTANCE 1 (PaPDR1), which is required for efficient mycorrhizal colonization and inhibition of lateral bud outgrowth [9]. However, how strigolactones are transported through the plant remained unknown. Here we show that PaPDR1 exhibits a cell-type-specific asymmetric localization in different root tissues. In root tips, PaPDR1 is co-expressed with the strigolactone biosynthetic gene DAD1 (CCD8), and it is localized at the apical membrane of root hypodermal cells, presumably mediating the shootward transport of strigolactone. Above the root tip, in the hypodermal passage cells that form gates for the entry of mycorrhizal fungi, PaPDR1 is present in the outer-lateral membrane, compatible with its postulated function as strigolactone exporter from root to soil. Transport studies are in line with our localization studies since (1) a papdr1 mutant displays impaired transport of strigolactones out of the root tip to the shoot as well as into the rhizosphere and (2) DAD1 expression and PIN1/PIN2 levels change in plants deregulated for PDR1 expression, suggestive of variations in endogenous strigolactone contents. In conclusion, our results indicate that the polar localizations of PaPDR1 mediate directional shootward strigolactone transport as well as localized exudation into the soil.","author":[{"dropping-particle":"","family":"Sasse","given":"Joëlle","non-dropping-particle":"","parse-names":false,"suffix":""},{"dropping-particle":"","family":"Simon","given":"Sibu","non-dropping-particle":"","parse-names":false,"suffix":""},{"dropping-particle":"","family":"Gübeli","given":"Christian","non-dropping-particle":"","parse-names":false,"suffix":""},{"dropping-particle":"","family":"Liu","given":"Guo Wei","non-dropping-particle":"","parse-names":false,"suffix":""},{"dropping-particle":"","family":"Cheng","given":"Xi","non-dropping-particle":"","parse-names":false,"suffix":""},{"dropping-particle":"","family":"Friml","given":"Jiří","non-dropping-particle":"","parse-names":false,"suffix":""},{"dropping-particle":"","family":"Bouwmeester","given":"Harro","non-dropping-particle":"","parse-names":false,"suffix":""},{"dropping-particle":"","family":"Martinoia","given":"Enrico","non-dropping-particle":"","parse-names":false,"suffix":""},{"dropping-particle":"","family":"Borghi","given":"Lorenzo","non-dropping-particle":"","parse-names":false,"suffix":""}],"container-title":"Current Biology","id":"ITEM-2","issue":"5","issued":{"date-parts":[["2015","3","2"]]},"page":"647-655","publisher":"Cell Press","title":"Asymmetric localizations of the ABC transporter PaPDR1 trace paths of directional strigolactone transport","type":"article-journal","volume":"25"},"uris":["http://www.mendeley.com/documents/?uuid=bab00c25-d0e3-35f3-b328-5a80da7ac3d8"]}],"mendeley":{"formattedCitation":"(Kretzschmar et al., 2012; Sasse et al., 2015)","plainTextFormattedCitation":"(Kretzschmar et al., 2012; Sasse et al., 2015)","previouslyFormattedCitation":"(Kretzschmar et al., 2012; Sasse et al., 2015)"},"properties":{"noteIndex":0},"schema":"https://github.com/citation-style-language/schema/raw/master/csl-citation.json"}</w:instrText>
      </w:r>
      <w:r>
        <w:rPr>
          <w:rFonts w:ascii="Arial" w:hAnsi="Arial" w:cs="Arial"/>
          <w:sz w:val="24"/>
          <w:szCs w:val="24"/>
        </w:rPr>
        <w:fldChar w:fldCharType="separate"/>
      </w:r>
      <w:r w:rsidRPr="00C024D5">
        <w:rPr>
          <w:rFonts w:ascii="Arial" w:hAnsi="Arial" w:cs="Arial"/>
          <w:noProof/>
          <w:sz w:val="24"/>
          <w:szCs w:val="24"/>
        </w:rPr>
        <w:t>(Kretzschmar et al., 2012; Sasse et al., 2015)</w:t>
      </w:r>
      <w:r>
        <w:rPr>
          <w:rFonts w:ascii="Arial" w:hAnsi="Arial" w:cs="Arial"/>
          <w:sz w:val="24"/>
          <w:szCs w:val="24"/>
        </w:rPr>
        <w:fldChar w:fldCharType="end"/>
      </w:r>
      <w:r>
        <w:rPr>
          <w:rFonts w:ascii="Arial" w:hAnsi="Arial" w:cs="Arial"/>
          <w:sz w:val="24"/>
          <w:szCs w:val="24"/>
        </w:rPr>
        <w:t xml:space="preserve">. The ability to exude SLs has been largely lost in the Brassicaceae </w:t>
      </w:r>
      <w:r>
        <w:rPr>
          <w:rFonts w:ascii="Arial" w:hAnsi="Arial" w:cs="Arial"/>
          <w:sz w:val="24"/>
          <w:szCs w:val="24"/>
        </w:rPr>
        <w:fldChar w:fldCharType="begin" w:fldLock="1"/>
      </w:r>
      <w:r>
        <w:rPr>
          <w:rFonts w:ascii="Arial" w:hAnsi="Arial" w:cs="Arial"/>
          <w:sz w:val="24"/>
          <w:szCs w:val="24"/>
        </w:rPr>
        <w:instrText>ADDIN CSL_CITATION {"citationItems":[{"id":"ITEM-1","itemData":{"DOI":"10.1038/nature10873","ISSN":"00280836","abstract":"Strigolactones were originally identified as stimulators of the germination of root-parasitic weeds that pose a serious threat to resource-limited agriculture. They are mostly exuded from roots and function as signalling compounds in the initiation of arbuscular mycorrhizae, which are plant-fungus symbionts with a global effect on carbon and phosphate cycling. Recently, strigolactones were established to be phytohormones that regulate plant shoot architecture by inhibiting the outgrowth of axillary buds. Despite their importance, it is not known how strigolactones are transported. ATP-binding cassette (ABC) transporters, however, are known to have functions in phytohormone translocation. Here we show that the Petunia hybrida ABC transporter PDR1 has a key role in regulating the development of arbuscular mycorrhizae and axillary branches, by functioning as a cellular strigolactone exporter. P. hybrida pdr1 mutants are defective in strigolactone exudation from their roots, resulting in reduced symbiotic interactions. Above ground, pdr1 mutants have an enhanced branching phenotype, which is indicative of impaired strigolactone allocation. Overexpression of Petunia axillaris PDR1 in Arabidopsis thaliana results in increased tolerance to high concentrations of a synthetic strigolactone, consistent with increased export of strigolactones from the roots. PDR1 is the first known component in strigolactone transport, providing new opportunities for investigating and manipulating strigolactone-dependent processes. ©2012 Macmillan Publishers Limited. All rights reserved.","author":[{"dropping-particle":"","family":"Kretzschmar","given":"Tobias","non-dropping-particle":"","parse-names":false,"suffix":""},{"dropping-particle":"","family":"Kohlen","given":"Wouter","non-dropping-particle":"","parse-names":false,"suffix":""},{"dropping-particle":"","family":"Sasse","given":"Joelle","non-dropping-particle":"","parse-names":false,"suffix":""},{"dropping-particle":"","family":"Borghi","given":"Lorenzo","non-dropping-particle":"","parse-names":false,"suffix":""},{"dropping-particle":"","family":"Schlegel","given":"Markus","non-dropping-particle":"","parse-names":false,"suffix":""},{"dropping-particle":"","family":"Bachelier","given":"Julien B.","non-dropping-particle":"","parse-names":false,"suffix":""},{"dropping-particle":"","family":"Reinhardt","given":"Didier","non-dropping-particle":"","parse-names":false,"suffix":""},{"dropping-particle":"","family":"Bours","given":"Ralph","non-dropping-particle":"","parse-names":false,"suffix":""},{"dropping-particle":"","family":"Bouwmeester","given":"Harro J.","non-dropping-particle":"","parse-names":false,"suffix":""},{"dropping-particle":"","family":"Martinoia","given":"Enrico","non-dropping-particle":"","parse-names":false,"suffix":""}],"container-title":"Nature","id":"ITEM-1","issue":"7389","issued":{"date-parts":[["2012","3","15"]]},"page":"341-344","title":"A petunia ABC protein controls strigolactone-dependent symbiotic signalling and branching","type":"article-journal","volume":"483"},"uris":["http://www.mendeley.com/documents/?uuid=ca351854-37ab-3655-b35d-ba24d25a9e8b"]}],"mendeley":{"formattedCitation":"(Kretzschmar et al., 2012)","plainTextFormattedCitation":"(Kretzschmar et al., 2012)","previouslyFormattedCitation":"(Kretzschmar et al., 2012)"},"properties":{"noteIndex":0},"schema":"https://github.com/citation-style-language/schema/raw/master/csl-citation.json"}</w:instrText>
      </w:r>
      <w:r>
        <w:rPr>
          <w:rFonts w:ascii="Arial" w:hAnsi="Arial" w:cs="Arial"/>
          <w:sz w:val="24"/>
          <w:szCs w:val="24"/>
        </w:rPr>
        <w:fldChar w:fldCharType="separate"/>
      </w:r>
      <w:r w:rsidRPr="00AE0B52">
        <w:rPr>
          <w:rFonts w:ascii="Arial" w:hAnsi="Arial" w:cs="Arial"/>
          <w:noProof/>
          <w:sz w:val="24"/>
          <w:szCs w:val="24"/>
        </w:rPr>
        <w:t>(Kretzschmar et al., 2012)</w:t>
      </w:r>
      <w:r>
        <w:rPr>
          <w:rFonts w:ascii="Arial" w:hAnsi="Arial" w:cs="Arial"/>
          <w:sz w:val="24"/>
          <w:szCs w:val="24"/>
        </w:rPr>
        <w:fldChar w:fldCharType="end"/>
      </w:r>
      <w:r>
        <w:rPr>
          <w:rFonts w:ascii="Arial" w:hAnsi="Arial" w:cs="Arial"/>
          <w:sz w:val="24"/>
          <w:szCs w:val="24"/>
        </w:rPr>
        <w:t xml:space="preserve">, and </w:t>
      </w:r>
      <w:r w:rsidRPr="008F523B">
        <w:rPr>
          <w:rFonts w:ascii="Arial" w:hAnsi="Arial" w:cs="Arial"/>
          <w:i/>
          <w:iCs/>
          <w:sz w:val="24"/>
          <w:szCs w:val="24"/>
        </w:rPr>
        <w:t>PDR1</w:t>
      </w:r>
      <w:r>
        <w:rPr>
          <w:rFonts w:ascii="Arial" w:hAnsi="Arial" w:cs="Arial"/>
          <w:sz w:val="24"/>
          <w:szCs w:val="24"/>
        </w:rPr>
        <w:t xml:space="preserve"> is not present in Arabidopsis or other members of the </w:t>
      </w:r>
      <w:r w:rsidR="000F0BCB" w:rsidRPr="000F0BCB">
        <w:rPr>
          <w:rFonts w:ascii="Arial" w:hAnsi="Arial" w:cs="Arial"/>
          <w:sz w:val="24"/>
          <w:szCs w:val="24"/>
        </w:rPr>
        <w:t xml:space="preserve">Brassicaceae </w:t>
      </w:r>
      <w:r>
        <w:rPr>
          <w:rFonts w:ascii="Arial" w:hAnsi="Arial" w:cs="Arial"/>
          <w:sz w:val="24"/>
          <w:szCs w:val="24"/>
        </w:rPr>
        <w:t>family. However, when exogenous SL (</w:t>
      </w:r>
      <w:r w:rsidRPr="0073498F">
        <w:rPr>
          <w:rFonts w:ascii="Arial" w:hAnsi="Arial" w:cs="Arial"/>
          <w:i/>
          <w:iCs/>
          <w:sz w:val="24"/>
          <w:szCs w:val="24"/>
        </w:rPr>
        <w:t>rac</w:t>
      </w:r>
      <w:r>
        <w:rPr>
          <w:rFonts w:ascii="Arial" w:hAnsi="Arial" w:cs="Arial"/>
          <w:sz w:val="24"/>
          <w:szCs w:val="24"/>
        </w:rPr>
        <w:t xml:space="preserve">-GR24) is applied to the roots of Arabidopsis this is still able to influence growth </w:t>
      </w:r>
      <w:r>
        <w:rPr>
          <w:rFonts w:ascii="Arial" w:hAnsi="Arial" w:cs="Arial"/>
          <w:sz w:val="24"/>
          <w:szCs w:val="24"/>
        </w:rPr>
        <w:fldChar w:fldCharType="begin" w:fldLock="1"/>
      </w:r>
      <w:r w:rsidR="00BC7426">
        <w:rPr>
          <w:rFonts w:ascii="Arial" w:hAnsi="Arial" w:cs="Arial"/>
          <w:sz w:val="24"/>
          <w:szCs w:val="24"/>
        </w:rPr>
        <w:instrText>ADDIN CSL_CITATION {"citationItems":[{"id":"ITEM-1","itemData":{"DOI":"10.1104/pp.110.166645","ISSN":"1532-2548","abstract":"In this study, the role of the recently identified class of phytohormones, strigolactones, in shaping root architecture was addressed. Primary root lengths of strigolactone-deficient and -insensitive Arabidopsis (Arabidopsis thaliana) plants were shorter than those of wild-type plants. This was accompanied by a reduction in meristem cell number, which could be rescued by application of the synthetic strigolactone analog GR24 in all genotypes except in the strigolactone-insensitive mutant. Upon GR24 treatment, cells in the transition zone showed a gradual increase in cell length, resulting in a vague transition point and an increase in transition zone size. PIN1/3/7-green fluorescent protein intensities in provascular tissue of the primary root tip were decreased, whereas PIN3-green fluorescent protein intensity in the columella was not affected. During phosphate-sufficient conditions, GR24 application to the roots suppressed lateral root primordial development and lateral root forming potential, leading to a reduction in lateral root density. Moreover, auxin levels in leaf tissue were reduced. When auxin levels were increased by exogenous application of naphthylacetic acid, GR24 application had a stimulatory effect on lateral root development instead. Similarly, under phosphate-limiting conditions, endogenous strigolactones present in wild-type plants stimulated a more rapid outgrowth of lateral root primordia when compared with strigolactone-deficient mutants. These results suggest that strigolactones are able to modulate local auxin levels and that the net result of strigolactone action is dependent on the auxin status of the plant. We postulate that the tightly balanced auxin-strigolactone interaction is the basis for the mechanism of the regulation of the plants’ root-to-shoot ratio.","author":[{"dropping-particle":"","family":"Ruyter-Spira","given":"Carolien","non-dropping-particle":"","parse-names":false,"suffix":""},{"dropping-particle":"","family":"Kohlen","given":"Wouter","non-dropping-particle":"","parse-names":false,"suffix":""},{"dropping-particle":"","family":"Charnikhova","given":"Tatsiana","non-dropping-particle":"","parse-names":false,"suffix":""},{"dropping-particle":"","family":"Zeijl","given":"Arjan","non-dropping-particle":"van","parse-names":false,"suffix":""},{"dropping-particle":"","family":"Bezouwen","given":"Laura","non-dropping-particle":"van","parse-names":false,"suffix":""},{"dropping-particle":"","family":"Ruijter","given":"Norbert","non-dropping-particle":"de","parse-names":false,"suffix":""},{"dropping-particle":"","family":"Cardoso","given":"Catarina","non-dropping-particle":"","parse-names":false,"suffix":""},{"dropping-particle":"","family":"Lopez-Raez","given":"Juan Antonio","non-dropping-particle":"","parse-names":false,"suffix":""},{"dropping-particle":"","family":"Matusova","given":"Radoslava","non-dropping-particle":"","parse-names":false,"suffix":""},{"dropping-particle":"","family":"Bours","given":"Ralph","non-dropping-particle":"","parse-names":false,"suffix":""},{"dropping-particle":"","family":"Verstappen","given":"Francel","non-dropping-particle":"","parse-names":false,"suffix":""},{"dropping-particle":"","family":"Bouwmeester","given":"Harro","non-dropping-particle":"","parse-names":false,"suffix":""}],"container-title":"Plant Physiology","id":"ITEM-1","issue":"2","issued":{"date-parts":[["2011","2","2"]]},"page":"721-734","title":"Physiological effects of the synthetic strigolactone analog GR24 on root system architecture in Arabidopsis: another belowground role for strigolactones?","type":"article-journal","volume":"155"},"uris":["http://www.mendeley.com/documents/?uuid=e2f5438e-e594-4b65-9248-deb190786629"]}],"mendeley":{"formattedCitation":"(Ruyter-Spira et al., 2011)","plainTextFormattedCitation":"(Ruyter-Spira et al., 2011)","previouslyFormattedCitation":"(Ruyter-Spira et al., 2011)"},"properties":{"noteIndex":0},"schema":"https://github.com/citation-style-language/schema/raw/master/csl-citation.json"}</w:instrText>
      </w:r>
      <w:r>
        <w:rPr>
          <w:rFonts w:ascii="Arial" w:hAnsi="Arial" w:cs="Arial"/>
          <w:sz w:val="24"/>
          <w:szCs w:val="24"/>
        </w:rPr>
        <w:fldChar w:fldCharType="separate"/>
      </w:r>
      <w:r w:rsidRPr="00111875">
        <w:rPr>
          <w:rFonts w:ascii="Arial" w:hAnsi="Arial" w:cs="Arial"/>
          <w:noProof/>
          <w:sz w:val="24"/>
          <w:szCs w:val="24"/>
        </w:rPr>
        <w:t>(Ruyter-Spira et al., 2011)</w:t>
      </w:r>
      <w:r>
        <w:rPr>
          <w:rFonts w:ascii="Arial" w:hAnsi="Arial" w:cs="Arial"/>
          <w:sz w:val="24"/>
          <w:szCs w:val="24"/>
        </w:rPr>
        <w:fldChar w:fldCharType="end"/>
      </w:r>
      <w:r>
        <w:rPr>
          <w:rFonts w:ascii="Arial" w:hAnsi="Arial" w:cs="Arial"/>
          <w:sz w:val="24"/>
          <w:szCs w:val="24"/>
        </w:rPr>
        <w:t>. Therefore, Arabidopsis can still clearly import SLs, and could serve as a model to identify potential SL importers.</w:t>
      </w:r>
    </w:p>
    <w:p w14:paraId="0D49851D" w14:textId="77777777" w:rsidR="0008688E" w:rsidRDefault="0008688E" w:rsidP="0062705A">
      <w:pPr>
        <w:pStyle w:val="ListParagraph"/>
        <w:spacing w:line="480" w:lineRule="auto"/>
        <w:ind w:left="0"/>
        <w:rPr>
          <w:rFonts w:ascii="Arial" w:hAnsi="Arial" w:cs="Arial"/>
          <w:sz w:val="24"/>
          <w:szCs w:val="24"/>
        </w:rPr>
      </w:pPr>
    </w:p>
    <w:p w14:paraId="652A204B" w14:textId="77777777" w:rsidR="0062705A" w:rsidRDefault="0062705A" w:rsidP="0062705A"/>
    <w:p w14:paraId="65294F6A" w14:textId="03C3EA79" w:rsidR="0062705A" w:rsidRDefault="0062705A" w:rsidP="00743E4C">
      <w:pPr>
        <w:pStyle w:val="Heading3"/>
      </w:pPr>
      <w:bookmarkStart w:id="239" w:name="_Toc154331511"/>
      <w:r w:rsidRPr="0062705A">
        <w:lastRenderedPageBreak/>
        <w:t>PDR10 could act as the strigolactone importer</w:t>
      </w:r>
      <w:r w:rsidR="00A07868">
        <w:t xml:space="preserve"> </w:t>
      </w:r>
      <w:r w:rsidR="00A07868" w:rsidRPr="00C2396F">
        <w:t>in Arabidopsis</w:t>
      </w:r>
      <w:bookmarkEnd w:id="239"/>
    </w:p>
    <w:p w14:paraId="7C209286" w14:textId="77777777" w:rsidR="0062705A" w:rsidRDefault="0062705A" w:rsidP="0062705A"/>
    <w:p w14:paraId="686D2A21" w14:textId="0ABE298C" w:rsidR="0062705A" w:rsidRDefault="0062705A" w:rsidP="0062705A">
      <w:pPr>
        <w:pStyle w:val="ListParagraph"/>
        <w:spacing w:line="480" w:lineRule="auto"/>
        <w:ind w:left="0"/>
        <w:rPr>
          <w:rFonts w:ascii="Arial" w:hAnsi="Arial" w:cs="Arial"/>
          <w:sz w:val="24"/>
          <w:szCs w:val="24"/>
        </w:rPr>
      </w:pPr>
      <w:r>
        <w:rPr>
          <w:rFonts w:ascii="Arial" w:hAnsi="Arial" w:cs="Arial"/>
          <w:sz w:val="24"/>
          <w:szCs w:val="24"/>
        </w:rPr>
        <w:t xml:space="preserve">Given the role of </w:t>
      </w:r>
      <w:r w:rsidRPr="004E296D">
        <w:rPr>
          <w:rFonts w:ascii="Arial" w:hAnsi="Arial" w:cs="Arial"/>
          <w:i/>
          <w:iCs/>
          <w:sz w:val="24"/>
          <w:szCs w:val="24"/>
        </w:rPr>
        <w:t>PDR1</w:t>
      </w:r>
      <w:r>
        <w:rPr>
          <w:rFonts w:ascii="Arial" w:hAnsi="Arial" w:cs="Arial"/>
          <w:sz w:val="24"/>
          <w:szCs w:val="24"/>
        </w:rPr>
        <w:t xml:space="preserve"> in SL exudation and to some extent movement of SL within the plant, I hypothesised that another member of the </w:t>
      </w:r>
      <w:r w:rsidRPr="004E296D">
        <w:rPr>
          <w:rFonts w:ascii="Arial" w:hAnsi="Arial" w:cs="Arial"/>
          <w:i/>
          <w:iCs/>
          <w:sz w:val="24"/>
          <w:szCs w:val="24"/>
        </w:rPr>
        <w:t>PDR</w:t>
      </w:r>
      <w:r>
        <w:rPr>
          <w:rFonts w:ascii="Arial" w:hAnsi="Arial" w:cs="Arial"/>
          <w:sz w:val="24"/>
          <w:szCs w:val="24"/>
        </w:rPr>
        <w:t xml:space="preserve"> family may act as the SL importer</w:t>
      </w:r>
      <w:r w:rsidR="0092055B">
        <w:rPr>
          <w:rFonts w:ascii="Arial" w:hAnsi="Arial" w:cs="Arial"/>
          <w:sz w:val="24"/>
          <w:szCs w:val="24"/>
        </w:rPr>
        <w:t xml:space="preserve"> </w:t>
      </w:r>
      <w:r w:rsidR="0092055B" w:rsidRPr="00C2396F">
        <w:rPr>
          <w:rFonts w:ascii="Arial" w:hAnsi="Arial" w:cs="Arial"/>
          <w:sz w:val="24"/>
          <w:szCs w:val="24"/>
        </w:rPr>
        <w:t>in Arabidopsis</w:t>
      </w:r>
      <w:r w:rsidRPr="00C2396F">
        <w:rPr>
          <w:rFonts w:ascii="Arial" w:hAnsi="Arial" w:cs="Arial"/>
          <w:sz w:val="24"/>
          <w:szCs w:val="24"/>
        </w:rPr>
        <w:t>.</w:t>
      </w:r>
      <w:r>
        <w:rPr>
          <w:rFonts w:ascii="Arial" w:hAnsi="Arial" w:cs="Arial"/>
          <w:sz w:val="24"/>
          <w:szCs w:val="24"/>
        </w:rPr>
        <w:t xml:space="preserve"> To explore this possibility, I used a reverse genetics approach. I assessed a previously published phylogeny of </w:t>
      </w:r>
      <w:r w:rsidRPr="005A2CE8">
        <w:rPr>
          <w:rFonts w:ascii="Arial" w:hAnsi="Arial" w:cs="Arial"/>
          <w:i/>
          <w:iCs/>
          <w:sz w:val="24"/>
          <w:szCs w:val="24"/>
        </w:rPr>
        <w:t>PDR</w:t>
      </w:r>
      <w:r>
        <w:rPr>
          <w:rFonts w:ascii="Arial" w:hAnsi="Arial" w:cs="Arial"/>
          <w:sz w:val="24"/>
          <w:szCs w:val="24"/>
        </w:rPr>
        <w:t xml:space="preserve"> genes in Arabidopsis </w:t>
      </w:r>
      <w:r>
        <w:rPr>
          <w:rFonts w:ascii="Arial" w:hAnsi="Arial" w:cs="Arial"/>
          <w:sz w:val="24"/>
          <w:szCs w:val="24"/>
        </w:rPr>
        <w:fldChar w:fldCharType="begin" w:fldLock="1"/>
      </w:r>
      <w:r>
        <w:rPr>
          <w:rFonts w:ascii="Arial" w:hAnsi="Arial" w:cs="Arial"/>
          <w:sz w:val="24"/>
          <w:szCs w:val="24"/>
        </w:rPr>
        <w:instrText>ADDIN CSL_CITATION {"citationItems":[{"id":"ITEM-1","itemData":{"DOI":"10.1038/nature10873","ISSN":"00280836","abstract":"Strigolactones were originally identified as stimulators of the germination of root-parasitic weeds that pose a serious threat to resource-limited agriculture. They are mostly exuded from roots and function as signalling compounds in the initiation of arbuscular mycorrhizae, which are plant-fungus symbionts with a global effect on carbon and phosphate cycling. Recently, strigolactones were established to be phytohormones that regulate plant shoot architecture by inhibiting the outgrowth of axillary buds. Despite their importance, it is not known how strigolactones are transported. ATP-binding cassette (ABC) transporters, however, are known to have functions in phytohormone translocation. Here we show that the Petunia hybrida ABC transporter PDR1 has a key role in regulating the development of arbuscular mycorrhizae and axillary branches, by functioning as a cellular strigolactone exporter. P. hybrida pdr1 mutants are defective in strigolactone exudation from their roots, resulting in reduced symbiotic interactions. Above ground, pdr1 mutants have an enhanced branching phenotype, which is indicative of impaired strigolactone allocation. Overexpression of Petunia axillaris PDR1 in Arabidopsis thaliana results in increased tolerance to high concentrations of a synthetic strigolactone, consistent with increased export of strigolactones from the roots. PDR1 is the first known component in strigolactone transport, providing new opportunities for investigating and manipulating strigolactone-dependent processes. ©2012 Macmillan Publishers Limited. All rights reserved.","author":[{"dropping-particle":"","family":"Kretzschmar","given":"Tobias","non-dropping-particle":"","parse-names":false,"suffix":""},{"dropping-particle":"","family":"Kohlen","given":"Wouter","non-dropping-particle":"","parse-names":false,"suffix":""},{"dropping-particle":"","family":"Sasse","given":"Joelle","non-dropping-particle":"","parse-names":false,"suffix":""},{"dropping-particle":"","family":"Borghi","given":"Lorenzo","non-dropping-particle":"","parse-names":false,"suffix":""},{"dropping-particle":"","family":"Schlegel","given":"Markus","non-dropping-particle":"","parse-names":false,"suffix":""},{"dropping-particle":"","family":"Bachelier","given":"Julien B.","non-dropping-particle":"","parse-names":false,"suffix":""},{"dropping-particle":"","family":"Reinhardt","given":"Didier","non-dropping-particle":"","parse-names":false,"suffix":""},{"dropping-particle":"","family":"Bours","given":"Ralph","non-dropping-particle":"","parse-names":false,"suffix":""},{"dropping-particle":"","family":"Bouwmeester","given":"Harro J.","non-dropping-particle":"","parse-names":false,"suffix":""},{"dropping-particle":"","family":"Martinoia","given":"Enrico","non-dropping-particle":"","parse-names":false,"suffix":""}],"container-title":"Nature","id":"ITEM-1","issue":"7389","issued":{"date-parts":[["2012","3","15"]]},"page":"341-344","title":"A petunia ABC protein controls strigolactone-dependent symbiotic signalling and branching","type":"article-journal","volume":"483"},"uris":["http://www.mendeley.com/documents/?uuid=ca351854-37ab-3655-b35d-ba24d25a9e8b"]}],"mendeley":{"formattedCitation":"(Kretzschmar et al., 2012)","plainTextFormattedCitation":"(Kretzschmar et al., 2012)","previouslyFormattedCitation":"(Kretzschmar et al., 2012)"},"properties":{"noteIndex":0},"schema":"https://github.com/citation-style-language/schema/raw/master/csl-citation.json"}</w:instrText>
      </w:r>
      <w:r>
        <w:rPr>
          <w:rFonts w:ascii="Arial" w:hAnsi="Arial" w:cs="Arial"/>
          <w:sz w:val="24"/>
          <w:szCs w:val="24"/>
        </w:rPr>
        <w:fldChar w:fldCharType="separate"/>
      </w:r>
      <w:r w:rsidRPr="00935D31">
        <w:rPr>
          <w:rFonts w:ascii="Arial" w:hAnsi="Arial" w:cs="Arial"/>
          <w:noProof/>
          <w:sz w:val="24"/>
          <w:szCs w:val="24"/>
        </w:rPr>
        <w:t>(Kretzschmar et al., 2012)</w:t>
      </w:r>
      <w:r>
        <w:rPr>
          <w:rFonts w:ascii="Arial" w:hAnsi="Arial" w:cs="Arial"/>
          <w:sz w:val="24"/>
          <w:szCs w:val="24"/>
        </w:rPr>
        <w:fldChar w:fldCharType="end"/>
      </w:r>
      <w:r>
        <w:rPr>
          <w:rFonts w:ascii="Arial" w:hAnsi="Arial" w:cs="Arial"/>
          <w:sz w:val="24"/>
          <w:szCs w:val="24"/>
        </w:rPr>
        <w:t xml:space="preserve"> for closely related </w:t>
      </w:r>
      <w:r w:rsidRPr="009C27A0">
        <w:rPr>
          <w:rFonts w:ascii="Arial" w:hAnsi="Arial" w:cs="Arial"/>
          <w:i/>
          <w:iCs/>
          <w:sz w:val="24"/>
          <w:szCs w:val="24"/>
        </w:rPr>
        <w:t>PDR</w:t>
      </w:r>
      <w:r>
        <w:rPr>
          <w:rFonts w:ascii="Arial" w:hAnsi="Arial" w:cs="Arial"/>
          <w:sz w:val="24"/>
          <w:szCs w:val="24"/>
        </w:rPr>
        <w:t xml:space="preserve"> genes to </w:t>
      </w:r>
      <w:r w:rsidRPr="009C27A0">
        <w:rPr>
          <w:rFonts w:ascii="Arial" w:hAnsi="Arial" w:cs="Arial"/>
          <w:i/>
          <w:iCs/>
          <w:sz w:val="24"/>
          <w:szCs w:val="24"/>
        </w:rPr>
        <w:t>PDR1</w:t>
      </w:r>
      <w:r>
        <w:rPr>
          <w:rFonts w:ascii="Arial" w:hAnsi="Arial" w:cs="Arial"/>
          <w:sz w:val="24"/>
          <w:szCs w:val="24"/>
        </w:rPr>
        <w:t xml:space="preserve"> and using ePlant </w:t>
      </w:r>
      <w:r w:rsidR="000A0835">
        <w:rPr>
          <w:rFonts w:ascii="Arial" w:hAnsi="Arial" w:cs="Arial"/>
          <w:sz w:val="24"/>
          <w:szCs w:val="24"/>
        </w:rPr>
        <w:fldChar w:fldCharType="begin" w:fldLock="1"/>
      </w:r>
      <w:r w:rsidR="00D72F69">
        <w:rPr>
          <w:rFonts w:ascii="Arial" w:hAnsi="Arial" w:cs="Arial"/>
          <w:sz w:val="24"/>
          <w:szCs w:val="24"/>
        </w:rPr>
        <w:instrText>ADDIN CSL_CITATION {"citationItems":[{"id":"ITEM-1","itemData":{"DOI":"10.1105/tpc.17.00073","ISSN":"1040-4651","author":[{"dropping-particle":"","family":"Waese","given":"Jamie","non-dropping-particle":"","parse-names":false,"suffix":""},{"dropping-particle":"","family":"Fan","given":"Jim","non-dropping-particle":"","parse-names":false,"suffix":""},{"dropping-particle":"","family":"Pasha","given":"Asher","non-dropping-particle":"","parse-names":false,"suffix":""},{"dropping-particle":"","family":"Yu","given":"Hans","non-dropping-particle":"","parse-names":false,"suffix":""},{"dropping-particle":"","family":"Fucile","given":"Geoffrey","non-dropping-particle":"","parse-names":false,"suffix":""},{"dropping-particle":"","family":"Shi","given":"Ruian","non-dropping-particle":"","parse-names":false,"suffix":""},{"dropping-particle":"","family":"Cumming","given":"Matthew","non-dropping-particle":"","parse-names":false,"suffix":""},{"dropping-particle":"","family":"Kelley","given":"Lawrence A.","non-dropping-particle":"","parse-names":false,"suffix":""},{"dropping-particle":"","family":"Sternberg","given":"Michael J.","non-dropping-particle":"","parse-names":false,"suffix":""},{"dropping-particle":"","family":"Krishnakumar","given":"Vivek","non-dropping-particle":"","parse-names":false,"suffix":""},{"dropping-particle":"","family":"Ferlanti","given":"Erik","non-dropping-particle":"","parse-names":false,"suffix":""},{"dropping-particle":"","family":"Miller","given":"Jason","non-dropping-particle":"","parse-names":false,"suffix":""},{"dropping-particle":"","family":"Town","given":"Chris","non-dropping-particle":"","parse-names":false,"suffix":""},{"dropping-particle":"","family":"Stuerzlinger","given":"Wolfgang","non-dropping-particle":"","parse-names":false,"suffix":""},{"dropping-particle":"","family":"Provart","given":"Nicholas J.","non-dropping-particle":"","parse-names":false,"suffix":""}],"container-title":"The Plant Cell","id":"ITEM-1","issue":"8","issued":{"date-parts":[["2017","8"]]},"page":"1806-1821","title":"ePlant: Visualizing and exploring multiple levels of data for hypothesis generation in plant biology","type":"article-journal","volume":"29"},"uris":["http://www.mendeley.com/documents/?uuid=6baaa635-fc93-4abe-8196-fe25bc389a8f"]}],"mendeley":{"formattedCitation":"(Waese et al., 2017)","plainTextFormattedCitation":"(Waese et al., 2017)","previouslyFormattedCitation":"(Waese et al., 2017)"},"properties":{"noteIndex":0},"schema":"https://github.com/citation-style-language/schema/raw/master/csl-citation.json"}</w:instrText>
      </w:r>
      <w:r w:rsidR="000A0835">
        <w:rPr>
          <w:rFonts w:ascii="Arial" w:hAnsi="Arial" w:cs="Arial"/>
          <w:sz w:val="24"/>
          <w:szCs w:val="24"/>
        </w:rPr>
        <w:fldChar w:fldCharType="separate"/>
      </w:r>
      <w:r w:rsidR="000A0835" w:rsidRPr="000A0835">
        <w:rPr>
          <w:rFonts w:ascii="Arial" w:hAnsi="Arial" w:cs="Arial"/>
          <w:noProof/>
          <w:sz w:val="24"/>
          <w:szCs w:val="24"/>
        </w:rPr>
        <w:t>(Waese et al., 2017)</w:t>
      </w:r>
      <w:r w:rsidR="000A0835">
        <w:rPr>
          <w:rFonts w:ascii="Arial" w:hAnsi="Arial" w:cs="Arial"/>
          <w:sz w:val="24"/>
          <w:szCs w:val="24"/>
        </w:rPr>
        <w:fldChar w:fldCharType="end"/>
      </w:r>
      <w:r w:rsidR="0073601E">
        <w:rPr>
          <w:rFonts w:ascii="Arial" w:hAnsi="Arial" w:cs="Arial"/>
          <w:sz w:val="24"/>
          <w:szCs w:val="24"/>
        </w:rPr>
        <w:t xml:space="preserve"> and Tair </w:t>
      </w:r>
      <w:r w:rsidR="0073601E">
        <w:rPr>
          <w:rFonts w:ascii="Arial" w:hAnsi="Arial" w:cs="Arial"/>
          <w:sz w:val="24"/>
          <w:szCs w:val="24"/>
        </w:rPr>
        <w:fldChar w:fldCharType="begin" w:fldLock="1"/>
      </w:r>
      <w:r w:rsidR="00BC5C26">
        <w:rPr>
          <w:rFonts w:ascii="Arial" w:hAnsi="Arial" w:cs="Arial"/>
          <w:sz w:val="24"/>
          <w:szCs w:val="24"/>
        </w:rPr>
        <w:instrText>ADDIN CSL_CITATION {"citationItems":[{"id":"ITEM-1","itemData":{"DOI":"10.1002/dvg.22877","ISSN":"1526-954X","abstract":"The Arabidopsis Information Resource (TAIR) is a continuously updated, online database of genetic and molecular biology data for the model plant Arabidopsis thaliana that provides a global research community with centralized access to data for over 30,000 Arabidopsis genes. TAIR's biocurators systematically extract, organize, and interconnect experimental data from the literature along with computational predictions, community submissions, and high throughput datasets to present a high quality and comprehensive picture of Arabidopsis gene function. TAIR provides tools for data visualization and analysis, and enables ordering of seed and DNA stocks, protein chips, and other experimental resources. TAIR actively engages with its users who contribute expertise and data that augments the work of the curatorial staff. TAIR's focus in an extensive and evolving ecosystem of online resources for plant biology is on the critically important role of extracting experimentally based research findings from the literature and making that information computationally accessible. In response to the loss of government grant funding, the TAIR team founded a nonprofit entity, Phoenix Bioinformatics, with the aim of developing sustainable funding models for biological databases, using TAIR as a test case. Phoenix has successfully transitioned TAIR to subscription</w:instrText>
      </w:r>
      <w:r w:rsidR="00BC5C26">
        <w:rPr>
          <w:rFonts w:ascii="Cambria Math" w:hAnsi="Cambria Math" w:cs="Cambria Math"/>
          <w:sz w:val="24"/>
          <w:szCs w:val="24"/>
        </w:rPr>
        <w:instrText>‐</w:instrText>
      </w:r>
      <w:r w:rsidR="00BC5C26">
        <w:rPr>
          <w:rFonts w:ascii="Arial" w:hAnsi="Arial" w:cs="Arial"/>
          <w:sz w:val="24"/>
          <w:szCs w:val="24"/>
        </w:rPr>
        <w:instrText>based funding while still keeping its data relatively open and accessible. genesis 53:474–485, 2015. © 2015 Wiley Periodicals, Inc.","author":[{"dropping-particle":"","family":"Berardini","given":"Tanya Z.","non-dropping-particle":"","parse-names":false,"suffix":""},{"dropping-particle":"","family":"Reiser","given":"Leonore","non-dropping-particle":"","parse-names":false,"suffix":""},{"dropping-particle":"","family":"Li","given":"Donghui","non-dropping-particle":"","parse-names":false,"suffix":""},{"dropping-particle":"","family":"Mezheritsky","given":"Yarik","non-dropping-particle":"","parse-names":false,"suffix":""},{"dropping-particle":"","family":"Muller","given":"Robert","non-dropping-particle":"","parse-names":false,"suffix":""},{"dropping-particle":"","family":"Strait","given":"Emily","non-dropping-particle":"","parse-names":false,"suffix":""},{"dropping-particle":"","family":"Huala","given":"Eva","non-dropping-particle":"","parse-names":false,"suffix":""}],"container-title":"Genesis","id":"ITEM-1","issue":"8","issued":{"date-parts":[["2015","8","4"]]},"page":"474-485","title":"The Arabidopsis information resource: Making and mining the “gold standard” annotated reference plant genome","type":"article-journal","volume":"53"},"uris":["http://www.mendeley.com/documents/?uuid=47a3f0ef-3acf-4d12-8c42-b30608d5033e"]}],"mendeley":{"formattedCitation":"(Berardini et al., 2015)","plainTextFormattedCitation":"(Berardini et al., 2015)","previouslyFormattedCitation":"(Berardini et al., 2015)"},"properties":{"noteIndex":0},"schema":"https://github.com/citation-style-language/schema/raw/master/csl-citation.json"}</w:instrText>
      </w:r>
      <w:r w:rsidR="0073601E">
        <w:rPr>
          <w:rFonts w:ascii="Arial" w:hAnsi="Arial" w:cs="Arial"/>
          <w:sz w:val="24"/>
          <w:szCs w:val="24"/>
        </w:rPr>
        <w:fldChar w:fldCharType="separate"/>
      </w:r>
      <w:r w:rsidR="0073601E" w:rsidRPr="0073601E">
        <w:rPr>
          <w:rFonts w:ascii="Arial" w:hAnsi="Arial" w:cs="Arial"/>
          <w:noProof/>
          <w:sz w:val="24"/>
          <w:szCs w:val="24"/>
        </w:rPr>
        <w:t>(Berardini et al., 2015)</w:t>
      </w:r>
      <w:r w:rsidR="0073601E">
        <w:rPr>
          <w:rFonts w:ascii="Arial" w:hAnsi="Arial" w:cs="Arial"/>
          <w:sz w:val="24"/>
          <w:szCs w:val="24"/>
        </w:rPr>
        <w:fldChar w:fldCharType="end"/>
      </w:r>
      <w:r w:rsidR="00650FBB">
        <w:rPr>
          <w:rFonts w:ascii="Arial" w:hAnsi="Arial" w:cs="Arial"/>
          <w:sz w:val="24"/>
          <w:szCs w:val="24"/>
        </w:rPr>
        <w:t xml:space="preserve"> </w:t>
      </w:r>
      <w:r>
        <w:rPr>
          <w:rFonts w:ascii="Arial" w:hAnsi="Arial" w:cs="Arial"/>
          <w:sz w:val="24"/>
          <w:szCs w:val="24"/>
        </w:rPr>
        <w:t xml:space="preserve">I identified several </w:t>
      </w:r>
      <w:r w:rsidRPr="005A2CE8">
        <w:rPr>
          <w:rFonts w:ascii="Arial" w:hAnsi="Arial" w:cs="Arial"/>
          <w:i/>
          <w:iCs/>
          <w:sz w:val="24"/>
          <w:szCs w:val="24"/>
        </w:rPr>
        <w:t>PDR</w:t>
      </w:r>
      <w:r>
        <w:rPr>
          <w:rFonts w:ascii="Arial" w:hAnsi="Arial" w:cs="Arial"/>
          <w:sz w:val="24"/>
          <w:szCs w:val="24"/>
        </w:rPr>
        <w:t xml:space="preserve"> genes which are expressed in the roots, namely </w:t>
      </w:r>
      <w:r w:rsidRPr="009F2266">
        <w:rPr>
          <w:rFonts w:ascii="Arial" w:hAnsi="Arial" w:cs="Arial"/>
          <w:i/>
          <w:iCs/>
          <w:sz w:val="24"/>
          <w:szCs w:val="24"/>
        </w:rPr>
        <w:t>PDR4</w:t>
      </w:r>
      <w:r>
        <w:rPr>
          <w:rFonts w:ascii="Arial" w:hAnsi="Arial" w:cs="Arial"/>
          <w:sz w:val="24"/>
          <w:szCs w:val="24"/>
        </w:rPr>
        <w:t xml:space="preserve">, </w:t>
      </w:r>
      <w:r w:rsidRPr="009F2266">
        <w:rPr>
          <w:rFonts w:ascii="Arial" w:hAnsi="Arial" w:cs="Arial"/>
          <w:i/>
          <w:iCs/>
          <w:sz w:val="24"/>
          <w:szCs w:val="24"/>
        </w:rPr>
        <w:t>PDR6</w:t>
      </w:r>
      <w:r>
        <w:rPr>
          <w:rFonts w:ascii="Arial" w:hAnsi="Arial" w:cs="Arial"/>
          <w:sz w:val="24"/>
          <w:szCs w:val="24"/>
        </w:rPr>
        <w:t xml:space="preserve">, </w:t>
      </w:r>
      <w:r w:rsidRPr="009F2266">
        <w:rPr>
          <w:rFonts w:ascii="Arial" w:hAnsi="Arial" w:cs="Arial"/>
          <w:i/>
          <w:iCs/>
          <w:sz w:val="24"/>
          <w:szCs w:val="24"/>
        </w:rPr>
        <w:t>PDR10</w:t>
      </w:r>
      <w:r>
        <w:rPr>
          <w:rFonts w:ascii="Arial" w:hAnsi="Arial" w:cs="Arial"/>
          <w:sz w:val="24"/>
          <w:szCs w:val="24"/>
        </w:rPr>
        <w:t xml:space="preserve">, </w:t>
      </w:r>
      <w:r w:rsidRPr="009F2266">
        <w:rPr>
          <w:rFonts w:ascii="Arial" w:hAnsi="Arial" w:cs="Arial"/>
          <w:i/>
          <w:iCs/>
          <w:sz w:val="24"/>
          <w:szCs w:val="24"/>
        </w:rPr>
        <w:t>PDR11</w:t>
      </w:r>
      <w:r>
        <w:rPr>
          <w:rFonts w:ascii="Arial" w:hAnsi="Arial" w:cs="Arial"/>
          <w:sz w:val="24"/>
          <w:szCs w:val="24"/>
        </w:rPr>
        <w:t xml:space="preserve"> and </w:t>
      </w:r>
      <w:r w:rsidRPr="009F2266">
        <w:rPr>
          <w:rFonts w:ascii="Arial" w:hAnsi="Arial" w:cs="Arial"/>
          <w:i/>
          <w:iCs/>
          <w:sz w:val="24"/>
          <w:szCs w:val="24"/>
        </w:rPr>
        <w:t>PDR12</w:t>
      </w:r>
      <w:r>
        <w:rPr>
          <w:rFonts w:ascii="Arial" w:hAnsi="Arial" w:cs="Arial"/>
          <w:sz w:val="24"/>
          <w:szCs w:val="24"/>
        </w:rPr>
        <w:t xml:space="preserve">. T-DNA insertion lines were ordered for these genes and they were genotyped to ensure homozygosity. Two T-DNA insertion lines were sourced for </w:t>
      </w:r>
      <w:r w:rsidRPr="00A036E7">
        <w:rPr>
          <w:rFonts w:ascii="Arial" w:hAnsi="Arial" w:cs="Arial"/>
          <w:i/>
          <w:iCs/>
          <w:sz w:val="24"/>
          <w:szCs w:val="24"/>
        </w:rPr>
        <w:t>PDR4</w:t>
      </w:r>
      <w:r>
        <w:rPr>
          <w:rFonts w:ascii="Arial" w:hAnsi="Arial" w:cs="Arial"/>
          <w:sz w:val="24"/>
          <w:szCs w:val="24"/>
        </w:rPr>
        <w:t xml:space="preserve"> and will be referred to as </w:t>
      </w:r>
      <w:r w:rsidRPr="00B21474">
        <w:rPr>
          <w:rFonts w:ascii="Arial" w:hAnsi="Arial" w:cs="Arial"/>
          <w:i/>
          <w:iCs/>
          <w:sz w:val="24"/>
          <w:szCs w:val="24"/>
        </w:rPr>
        <w:t>pdr4</w:t>
      </w:r>
      <w:r>
        <w:rPr>
          <w:rFonts w:ascii="Arial" w:hAnsi="Arial" w:cs="Arial"/>
          <w:i/>
          <w:iCs/>
          <w:sz w:val="24"/>
          <w:szCs w:val="24"/>
        </w:rPr>
        <w:t>-</w:t>
      </w:r>
      <w:r w:rsidRPr="00B21474">
        <w:rPr>
          <w:rFonts w:ascii="Arial" w:hAnsi="Arial" w:cs="Arial"/>
          <w:i/>
          <w:iCs/>
          <w:sz w:val="24"/>
          <w:szCs w:val="24"/>
        </w:rPr>
        <w:t>1</w:t>
      </w:r>
      <w:r>
        <w:rPr>
          <w:rFonts w:ascii="Arial" w:hAnsi="Arial" w:cs="Arial"/>
          <w:sz w:val="24"/>
          <w:szCs w:val="24"/>
        </w:rPr>
        <w:t xml:space="preserve"> and </w:t>
      </w:r>
      <w:r w:rsidRPr="00B21474">
        <w:rPr>
          <w:rFonts w:ascii="Arial" w:hAnsi="Arial" w:cs="Arial"/>
          <w:i/>
          <w:iCs/>
          <w:sz w:val="24"/>
          <w:szCs w:val="24"/>
        </w:rPr>
        <w:t>pdr4</w:t>
      </w:r>
      <w:r>
        <w:rPr>
          <w:rFonts w:ascii="Arial" w:hAnsi="Arial" w:cs="Arial"/>
          <w:i/>
          <w:iCs/>
          <w:sz w:val="24"/>
          <w:szCs w:val="24"/>
        </w:rPr>
        <w:t>-</w:t>
      </w:r>
      <w:r w:rsidRPr="00B21474">
        <w:rPr>
          <w:rFonts w:ascii="Arial" w:hAnsi="Arial" w:cs="Arial"/>
          <w:i/>
          <w:iCs/>
          <w:sz w:val="24"/>
          <w:szCs w:val="24"/>
        </w:rPr>
        <w:t>2</w:t>
      </w:r>
      <w:r>
        <w:rPr>
          <w:rFonts w:ascii="Arial" w:hAnsi="Arial" w:cs="Arial"/>
          <w:sz w:val="24"/>
          <w:szCs w:val="24"/>
        </w:rPr>
        <w:t xml:space="preserve">.  All lines, with the exception of </w:t>
      </w:r>
      <w:r w:rsidRPr="005A2CE8">
        <w:rPr>
          <w:rFonts w:ascii="Arial" w:hAnsi="Arial" w:cs="Arial"/>
          <w:i/>
          <w:iCs/>
          <w:sz w:val="24"/>
          <w:szCs w:val="24"/>
        </w:rPr>
        <w:t>pdr6</w:t>
      </w:r>
      <w:r>
        <w:rPr>
          <w:rFonts w:ascii="Arial" w:hAnsi="Arial" w:cs="Arial"/>
          <w:i/>
          <w:iCs/>
          <w:sz w:val="24"/>
          <w:szCs w:val="24"/>
        </w:rPr>
        <w:t>,</w:t>
      </w:r>
      <w:r>
        <w:rPr>
          <w:rFonts w:ascii="Arial" w:hAnsi="Arial" w:cs="Arial"/>
          <w:sz w:val="24"/>
          <w:szCs w:val="24"/>
        </w:rPr>
        <w:t xml:space="preserve"> were homozygous, therefore </w:t>
      </w:r>
      <w:r w:rsidRPr="000D5C3E">
        <w:rPr>
          <w:rFonts w:ascii="Arial" w:hAnsi="Arial" w:cs="Arial"/>
          <w:i/>
          <w:iCs/>
          <w:sz w:val="24"/>
          <w:szCs w:val="24"/>
        </w:rPr>
        <w:t>pdr6</w:t>
      </w:r>
      <w:r>
        <w:rPr>
          <w:rFonts w:ascii="Arial" w:hAnsi="Arial" w:cs="Arial"/>
          <w:sz w:val="24"/>
          <w:szCs w:val="24"/>
        </w:rPr>
        <w:t xml:space="preserve"> was not assessed further.</w:t>
      </w:r>
    </w:p>
    <w:p w14:paraId="3EF61F70" w14:textId="0E07F18D" w:rsidR="0062705A" w:rsidRDefault="0062705A" w:rsidP="0062705A">
      <w:pPr>
        <w:pStyle w:val="ListParagraph"/>
        <w:spacing w:line="480" w:lineRule="auto"/>
        <w:ind w:left="0"/>
        <w:rPr>
          <w:rFonts w:ascii="Arial" w:hAnsi="Arial" w:cs="Arial"/>
          <w:sz w:val="24"/>
          <w:szCs w:val="24"/>
        </w:rPr>
      </w:pPr>
      <w:r>
        <w:rPr>
          <w:rFonts w:ascii="Arial" w:hAnsi="Arial" w:cs="Arial"/>
          <w:sz w:val="24"/>
          <w:szCs w:val="24"/>
        </w:rPr>
        <w:t xml:space="preserve">Root system responses to exogenously applied SLs are varied and generally weak </w:t>
      </w:r>
      <w:r>
        <w:rPr>
          <w:rFonts w:ascii="Arial" w:hAnsi="Arial" w:cs="Arial"/>
          <w:sz w:val="24"/>
          <w:szCs w:val="24"/>
        </w:rPr>
        <w:fldChar w:fldCharType="begin" w:fldLock="1"/>
      </w:r>
      <w:r w:rsidR="00CE53CB">
        <w:rPr>
          <w:rFonts w:ascii="Arial" w:hAnsi="Arial" w:cs="Arial"/>
          <w:sz w:val="24"/>
          <w:szCs w:val="24"/>
        </w:rPr>
        <w:instrText>ADDIN CSL_CITATION {"citationItems":[{"id":"ITEM-1","itemData":{"DOI":"10.1146/annurev-arplant-042916-040925","ISSN":"1543-5008","PMID":"28125281","abstract":"Strigolactones are a structurally diverse class of plant hormones that con- trol many aspects of shoot and root growth. Strigolactones are also exuded by plants into the rhizosphere, where they promote symbiotic interac- tions with arbuscular mycorrhizal fungi and germination of root parasitic plants in the Orobanchaceae family. Therefore, understanding how strigo- lactones are made, transported, and perceived may lead to agricultural innovations as well as a deeper knowledge of how plants function. Sub- stantial progress has been made in these areas over the past decade. In this review, we focus on the molecular mechanisms, core developmental roles, and evolutionary history of strigolactone signaling. We also propose poten- tial translational applications of strigolactone research to agriculture.","author":[{"dropping-particle":"","family":"Waters","given":"Mark T.","non-dropping-particle":"","parse-names":false,"suffix":""},{"dropping-particle":"","family":"Gutjahr","given":"Caroline","non-dropping-particle":"","parse-names":false,"suffix":""},{"dropping-particle":"","family":"Bennett","given":"Tom","non-dropping-particle":"","parse-names":false,"suffix":""},{"dropping-particle":"","family":"Nelson","given":"David C.","non-dropping-particle":"","parse-names":false,"suffix":""}],"container-title":"Annual Review of Plant Biology","id":"ITEM-1","issue":"1","issued":{"date-parts":[["2017","4","28"]]},"page":"291-322","publisher":"Annual Reviews","title":"Strigolactone signaling and evolution","type":"article-journal","volume":"68"},"uris":["http://www.mendeley.com/documents/?uuid=2ff4fa40-4212-3ef4-a9ee-7b110eaa8e01"]},{"id":"ITEM-2","itemData":{"DOI":"10.1111/nph.16135","ISSN":"0028-646X","author":[{"dropping-particle":"","family":"Machin","given":"Darren C.","non-dropping-particle":"","parse-names":false,"suffix":""},{"dropping-particle":"","family":"Hamon</w:instrText>
      </w:r>
      <w:r w:rsidR="00CE53CB">
        <w:rPr>
          <w:rFonts w:ascii="Cambria Math" w:hAnsi="Cambria Math" w:cs="Cambria Math"/>
          <w:sz w:val="24"/>
          <w:szCs w:val="24"/>
        </w:rPr>
        <w:instrText>‐</w:instrText>
      </w:r>
      <w:r w:rsidR="00CE53CB">
        <w:rPr>
          <w:rFonts w:ascii="Arial" w:hAnsi="Arial" w:cs="Arial"/>
          <w:sz w:val="24"/>
          <w:szCs w:val="24"/>
        </w:rPr>
        <w:instrText>Josse","given":"Maxime","non-dropping-particle":"","parse-names":false,"suffix":""},{"dropping-particle":"","family":"Bennett","given":"Tom","non-dropping-particle":"","parse-names":false,"suffix":""}],"container-title":"New Phytologist","id":"ITEM-2","issue":"2","issued":{"date-parts":[["2019","1","17"]]},"page":"621-636","title":"Fellowship of the rings: a saga of strigolactones and other small signals","type":"article-journal","volume":"225"},"uris":["http://www.mendeley.com/documents/?uuid=3503036a-5cde-3273-bae2-6d8a696d9afb"]},{"id":"ITEM-3","itemData":{"DOI":"10.1371/journal.pgen.1008327","ISSN":"1553-7404","abstract":"Karrikins are smoke-derived compounds presumed to mimic endogenous signalling molecules (KAI2-ligand, KL), whose signalling pathway is closely related to that of strigolactones (SLs), important regulators of plant development. Both karrikins/KLs and SLs are perceived by closely related a/ß hydrolase receptors (KAI2 and D14 respectively), and signalling through both receptors requires the F-box protein MAX2. Furthermore, both pathways trigger proteasome-mediated degradation of related SMAX1-LIKE (SMXL) proteins, to influence development. It has previously been suggested in multiple studies that SLs are important regulators of root and root hair development in Arabidopsis, but these conclusions are based on phenotypes observed in the non-specific max2 mutants and by use of racemic-GR24, a mixture of stereoisomers that activates both D14 and KAI2 signalling pathways. Here, we demonstrate that the majority of the effects on Arabidopsis root development previously attributed to SL signalling are actually mediated by the KAI2 signalling pathway. Using mutants defective in SL or KL synthesis and/or perception, we show that KAI2-mediated signalling alone regulates root hair density and root hair length as well as root skewing, straightness and diameter, while both KAI2 and D14 pathways regulate lateral root density and epidermal cell length. We test the key hypothesis that KAI2 signals by a non-canonical receptor-target mechanism in the context of root development. Our results provide no evidence for this, and we instead show that all effects of KAI2 in the root can be explained by canonical SMAX1/SMXL2 activity. However, we do find evidence for non-canonical GR24 ligand-receptor interactions in D14/KAI2-mediated root hair development. Overall, our results demonstrate that the KAI2 signalling pathway is an important new regulator of root hair and root development in Arabidopsis and lay an important basis for research into a molecular understanding of how very similar and partially overlapping hormone signalling pathways regulate different phenotypic outputs.","author":[{"dropping-particle":"","family":"Villaécija-Aguilar","given":"José Antonio","non-dropping-particle":"","parse-names":false,"suffix":""},{"dropping-particle":"","family":"Hamon-Josse","given":"Maxime","non-dropping-particle":"","parse-names":false,"suffix":""},{"dropping-particle":"","family":"Carbonnel","given":"Samy","non-dropping-particle":"","parse-names":false,"suffix":""},{"dropping-particle":"","family":"Kretschmar","given":"Annika","non-dropping-particle":"","parse-names":false,"suffix":""},{"dropping-particle":"","family":"Schmidt","given":"Christian","non-dropping-particle":"","parse-names":false,"suffix":""},{"dropping-particle":"","family":"Dawid","given":"Corinna","non-dropping-particle":"","parse-names":false,"suffix":""},{"dropping-particle":"","family":"Bennett","given":"Tom","non-dropping-particle":"","parse-names":false,"suffix":""},{"dropping-particle":"","family":"Gutjahr","given":"Caroline","non-dropping-particle":"","parse-names":false,"suffix":""}],"container-title":"PLOS Genetics","editor":[{"dropping-particle":"","family":"Muday","given":"Gloria K.","non-dropping-particle":"","parse-names":false,"suffix":""}],"id":"ITEM-3","issue":"8","issued":{"date-parts":[["2019","8","29"]]},"page":"e1008327","publisher":"Public Library of Science","title":"SMAX1/SMXL2 regulate root and root hair development downstream of KAI2-mediated signalling in Arabidopsis","type":"article-journal","volume":"15"},"uris":["http://www.mendeley.com/documents/?uuid=95387017-c37d-3ca4-9b47-d295a4061319"]}],"mendeley":{"formattedCitation":"(Waters et al., 2017; Machin et al., 2019; Villaécija-Aguilar et al., 2019)","plainTextFormattedCitation":"(Waters et al., 2017; Machin et al., 2019; Villaécija-Aguilar et al., 2019)","previouslyFormattedCitation":"(Waters et al., 2017; Machin et al., 2019; Villaécija-Aguilar et al., 2019)"},"properties":{"noteIndex":0},"schema":"https://github.com/citation-style-language/schema/raw/master/csl-citation.json"}</w:instrText>
      </w:r>
      <w:r>
        <w:rPr>
          <w:rFonts w:ascii="Arial" w:hAnsi="Arial" w:cs="Arial"/>
          <w:sz w:val="24"/>
          <w:szCs w:val="24"/>
        </w:rPr>
        <w:fldChar w:fldCharType="separate"/>
      </w:r>
      <w:r w:rsidRPr="008D71AD">
        <w:rPr>
          <w:rFonts w:ascii="Arial" w:hAnsi="Arial" w:cs="Arial"/>
          <w:noProof/>
          <w:sz w:val="24"/>
          <w:szCs w:val="24"/>
        </w:rPr>
        <w:t>(Waters et al., 2017; Machin et al., 2019; Villaécija-Aguilar et al., 2019)</w:t>
      </w:r>
      <w:r>
        <w:rPr>
          <w:rFonts w:ascii="Arial" w:hAnsi="Arial" w:cs="Arial"/>
          <w:sz w:val="24"/>
          <w:szCs w:val="24"/>
        </w:rPr>
        <w:fldChar w:fldCharType="end"/>
      </w:r>
      <w:r>
        <w:rPr>
          <w:rFonts w:ascii="Arial" w:hAnsi="Arial" w:cs="Arial"/>
          <w:sz w:val="24"/>
          <w:szCs w:val="24"/>
        </w:rPr>
        <w:t xml:space="preserve">. In Arabidopsis for example </w:t>
      </w:r>
      <w:r w:rsidRPr="00CA4F5B">
        <w:rPr>
          <w:rFonts w:ascii="Arial" w:hAnsi="Arial" w:cs="Arial"/>
          <w:i/>
          <w:iCs/>
          <w:sz w:val="24"/>
          <w:szCs w:val="24"/>
        </w:rPr>
        <w:t>rac</w:t>
      </w:r>
      <w:r>
        <w:rPr>
          <w:rFonts w:ascii="Arial" w:hAnsi="Arial" w:cs="Arial"/>
          <w:sz w:val="24"/>
          <w:szCs w:val="24"/>
        </w:rPr>
        <w:t xml:space="preserve">-GR24 exogenously applied to root systems has been shown to decrease the number of lateral roots produced and to decrease the length of the primary root </w:t>
      </w:r>
      <w:r>
        <w:rPr>
          <w:rFonts w:ascii="Arial" w:hAnsi="Arial" w:cs="Arial"/>
          <w:sz w:val="24"/>
          <w:szCs w:val="24"/>
        </w:rPr>
        <w:fldChar w:fldCharType="begin" w:fldLock="1"/>
      </w:r>
      <w:r w:rsidR="00BC7426">
        <w:rPr>
          <w:rFonts w:ascii="Arial" w:hAnsi="Arial" w:cs="Arial"/>
          <w:sz w:val="24"/>
          <w:szCs w:val="24"/>
        </w:rPr>
        <w:instrText>ADDIN CSL_CITATION {"citationItems":[{"id":"ITEM-1","itemData":{"DOI":"10.1104/pp.110.166645","ISSN":"1532-2548","abstract":"In this study, the role of the recently identified class of phytohormones, strigolactones, in shaping root architecture was addressed. Primary root lengths of strigolactone-deficient and -insensitive Arabidopsis (Arabidopsis thaliana) plants were shorter than those of wild-type plants. This was accompanied by a reduction in meristem cell number, which could be rescued by application of the synthetic strigolactone analog GR24 in all genotypes except in the strigolactone-insensitive mutant. Upon GR24 treatment, cells in the transition zone showed a gradual increase in cell length, resulting in a vague transition point and an increase in transition zone size. PIN1/3/7-green fluorescent protein intensities in provascular tissue of the primary root tip were decreased, whereas PIN3-green fluorescent protein intensity in the columella was not affected. During phosphate-sufficient conditions, GR24 application to the roots suppressed lateral root primordial development and lateral root forming potential, leading to a reduction in lateral root density. Moreover, auxin levels in leaf tissue were reduced. When auxin levels were increased by exogenous application of naphthylacetic acid, GR24 application had a stimulatory effect on lateral root development instead. Similarly, under phosphate-limiting conditions, endogenous strigolactones present in wild-type plants stimulated a more rapid outgrowth of lateral root primordia when compared with strigolactone-deficient mutants. These results suggest that strigolactones are able to modulate local auxin levels and that the net result of strigolactone action is dependent on the auxin status of the plant. We postulate that the tightly balanced auxin-strigolactone interaction is the basis for the mechanism of the regulation of the plants’ root-to-shoot ratio.","author":[{"dropping-particle":"","family":"Ruyter-Spira","given":"Carolien","non-dropping-particle":"","parse-names":false,"suffix":""},{"dropping-particle":"","family":"Kohlen","given":"Wouter","non-dropping-particle":"","parse-names":false,"suffix":""},{"dropping-particle":"","family":"Charnikhova","given":"Tatsiana","non-dropping-particle":"","parse-names":false,"suffix":""},{"dropping-particle":"","family":"Zeijl","given":"Arjan","non-dropping-particle":"van","parse-names":false,"suffix":""},{"dropping-particle":"","family":"Bezouwen","given":"Laura","non-dropping-particle":"van","parse-names":false,"suffix":""},{"dropping-particle":"","family":"Ruijter","given":"Norbert","non-dropping-particle":"de","parse-names":false,"suffix":""},{"dropping-particle":"","family":"Cardoso","given":"Catarina","non-dropping-particle":"","parse-names":false,"suffix":""},{"dropping-particle":"","family":"Lopez-Raez","given":"Juan Antonio","non-dropping-particle":"","parse-names":false,"suffix":""},{"dropping-particle":"","family":"Matusova","given":"Radoslava","non-dropping-particle":"","parse-names":false,"suffix":""},{"dropping-particle":"","family":"Bours","given":"Ralph","non-dropping-particle":"","parse-names":false,"suffix":""},{"dropping-particle":"","family":"Verstappen","given":"Francel","non-dropping-particle":"","parse-names":false,"suffix":""},{"dropping-particle":"","family":"Bouwmeester","given":"Harro","non-dropping-particle":"","parse-names":false,"suffix":""}],"container-title":"Plant Physiology","id":"ITEM-1","issue":"2","issued":{"date-parts":[["2011","2","2"]]},"page":"721-734","title":"Physiological effects of the synthetic strigolactone analog GR24 on root system architecture in Arabidopsis: another belowground role for strigolactones?","type":"article-journal","volume":"155"},"uris":["http://www.mendeley.com/documents/?uuid=e2f5438e-e594-4b65-9248-deb190786629"]}],"mendeley":{"formattedCitation":"(Ruyter-Spira et al., 2011)","plainTextFormattedCitation":"(Ruyter-Spira et al., 2011)","previouslyFormattedCitation":"(Ruyter-Spira et al., 2011)"},"properties":{"noteIndex":0},"schema":"https://github.com/citation-style-language/schema/raw/master/csl-citation.json"}</w:instrText>
      </w:r>
      <w:r>
        <w:rPr>
          <w:rFonts w:ascii="Arial" w:hAnsi="Arial" w:cs="Arial"/>
          <w:sz w:val="24"/>
          <w:szCs w:val="24"/>
        </w:rPr>
        <w:fldChar w:fldCharType="separate"/>
      </w:r>
      <w:r w:rsidRPr="00394500">
        <w:rPr>
          <w:rFonts w:ascii="Arial" w:hAnsi="Arial" w:cs="Arial"/>
          <w:noProof/>
          <w:sz w:val="24"/>
          <w:szCs w:val="24"/>
        </w:rPr>
        <w:t>(Ruyter-Spira et al., 2011)</w:t>
      </w:r>
      <w:r>
        <w:rPr>
          <w:rFonts w:ascii="Arial" w:hAnsi="Arial" w:cs="Arial"/>
          <w:sz w:val="24"/>
          <w:szCs w:val="24"/>
        </w:rPr>
        <w:fldChar w:fldCharType="end"/>
      </w:r>
      <w:r>
        <w:rPr>
          <w:rFonts w:ascii="Arial" w:hAnsi="Arial" w:cs="Arial"/>
          <w:sz w:val="24"/>
          <w:szCs w:val="24"/>
        </w:rPr>
        <w:t xml:space="preserve">. Therefore, I hypothesised that plants lacking the SL importer would be insensitive to root applied SLs, and I could assess this by looking at lateral root number and primary root length. </w:t>
      </w:r>
    </w:p>
    <w:p w14:paraId="0320E84E" w14:textId="6A600219" w:rsidR="0062705A" w:rsidRDefault="0062705A" w:rsidP="0062705A">
      <w:pPr>
        <w:pStyle w:val="ListParagraph"/>
        <w:spacing w:line="480" w:lineRule="auto"/>
        <w:ind w:left="0"/>
        <w:rPr>
          <w:rFonts w:ascii="Arial" w:hAnsi="Arial" w:cs="Arial"/>
          <w:sz w:val="24"/>
          <w:szCs w:val="24"/>
        </w:rPr>
      </w:pPr>
      <w:r>
        <w:rPr>
          <w:rFonts w:ascii="Arial" w:hAnsi="Arial" w:cs="Arial"/>
          <w:sz w:val="24"/>
          <w:szCs w:val="24"/>
        </w:rPr>
        <w:t xml:space="preserve">To test if any of the </w:t>
      </w:r>
      <w:r w:rsidRPr="00BF3838">
        <w:rPr>
          <w:rFonts w:ascii="Arial" w:hAnsi="Arial" w:cs="Arial"/>
          <w:i/>
          <w:iCs/>
          <w:sz w:val="24"/>
          <w:szCs w:val="24"/>
        </w:rPr>
        <w:t>pdr</w:t>
      </w:r>
      <w:r>
        <w:rPr>
          <w:rFonts w:ascii="Arial" w:hAnsi="Arial" w:cs="Arial"/>
          <w:sz w:val="24"/>
          <w:szCs w:val="24"/>
        </w:rPr>
        <w:t xml:space="preserve"> mutants I selected are insensitive to GR24, I grew Arabidopsis seedlings on agar plates containing 2 concentrations of the synthetic SL, </w:t>
      </w:r>
      <w:r w:rsidRPr="00B549BB">
        <w:rPr>
          <w:rFonts w:ascii="Arial" w:hAnsi="Arial" w:cs="Arial"/>
          <w:i/>
          <w:iCs/>
          <w:sz w:val="24"/>
          <w:szCs w:val="24"/>
        </w:rPr>
        <w:t>rac</w:t>
      </w:r>
      <w:r>
        <w:rPr>
          <w:rFonts w:ascii="Arial" w:hAnsi="Arial" w:cs="Arial"/>
          <w:sz w:val="24"/>
          <w:szCs w:val="24"/>
        </w:rPr>
        <w:t xml:space="preserve">-GR24 (hereafter GR24). 5µM has previously been identified </w:t>
      </w:r>
      <w:r>
        <w:rPr>
          <w:rFonts w:ascii="Arial" w:hAnsi="Arial" w:cs="Arial"/>
          <w:sz w:val="24"/>
          <w:szCs w:val="24"/>
        </w:rPr>
        <w:lastRenderedPageBreak/>
        <w:t xml:space="preserve">to be sufficient to see the root phenotypes described above </w:t>
      </w:r>
      <w:r>
        <w:rPr>
          <w:rFonts w:ascii="Arial" w:hAnsi="Arial" w:cs="Arial"/>
          <w:sz w:val="24"/>
          <w:szCs w:val="24"/>
        </w:rPr>
        <w:fldChar w:fldCharType="begin" w:fldLock="1"/>
      </w:r>
      <w:r w:rsidR="00BC7426">
        <w:rPr>
          <w:rFonts w:ascii="Arial" w:hAnsi="Arial" w:cs="Arial"/>
          <w:sz w:val="24"/>
          <w:szCs w:val="24"/>
        </w:rPr>
        <w:instrText>ADDIN CSL_CITATION {"citationItems":[{"id":"ITEM-1","itemData":{"DOI":"10.1104/pp.110.166645","ISSN":"1532-2548","abstract":"In this study, the role of the recently identified class of phytohormones, strigolactones, in shaping root architecture was addressed. Primary root lengths of strigolactone-deficient and -insensitive Arabidopsis (Arabidopsis thaliana) plants were shorter than those of wild-type plants. This was accompanied by a reduction in meristem cell number, which could be rescued by application of the synthetic strigolactone analog GR24 in all genotypes except in the strigolactone-insensitive mutant. Upon GR24 treatment, cells in the transition zone showed a gradual increase in cell length, resulting in a vague transition point and an increase in transition zone size. PIN1/3/7-green fluorescent protein intensities in provascular tissue of the primary root tip were decreased, whereas PIN3-green fluorescent protein intensity in the columella was not affected. During phosphate-sufficient conditions, GR24 application to the roots suppressed lateral root primordial development and lateral root forming potential, leading to a reduction in lateral root density. Moreover, auxin levels in leaf tissue were reduced. When auxin levels were increased by exogenous application of naphthylacetic acid, GR24 application had a stimulatory effect on lateral root development instead. Similarly, under phosphate-limiting conditions, endogenous strigolactones present in wild-type plants stimulated a more rapid outgrowth of lateral root primordia when compared with strigolactone-deficient mutants. These results suggest that strigolactones are able to modulate local auxin levels and that the net result of strigolactone action is dependent on the auxin status of the plant. We postulate that the tightly balanced auxin-strigolactone interaction is the basis for the mechanism of the regulation of the plants’ root-to-shoot ratio.","author":[{"dropping-particle":"","family":"Ruyter-Spira","given":"Carolien","non-dropping-particle":"","parse-names":false,"suffix":""},{"dropping-particle":"","family":"Kohlen","given":"Wouter","non-dropping-particle":"","parse-names":false,"suffix":""},{"dropping-particle":"","family":"Charnikhova","given":"Tatsiana","non-dropping-particle":"","parse-names":false,"suffix":""},{"dropping-particle":"","family":"Zeijl","given":"Arjan","non-dropping-particle":"van","parse-names":false,"suffix":""},{"dropping-particle":"","family":"Bezouwen","given":"Laura","non-dropping-particle":"van","parse-names":false,"suffix":""},{"dropping-particle":"","family":"Ruijter","given":"Norbert","non-dropping-particle":"de","parse-names":false,"suffix":""},{"dropping-particle":"","family":"Cardoso","given":"Catarina","non-dropping-particle":"","parse-names":false,"suffix":""},{"dropping-particle":"","family":"Lopez-Raez","given":"Juan Antonio","non-dropping-particle":"","parse-names":false,"suffix":""},{"dropping-particle":"","family":"Matusova","given":"Radoslava","non-dropping-particle":"","parse-names":false,"suffix":""},{"dropping-particle":"","family":"Bours","given":"Ralph","non-dropping-particle":"","parse-names":false,"suffix":""},{"dropping-particle":"","family":"Verstappen","given":"Francel","non-dropping-particle":"","parse-names":false,"suffix":""},{"dropping-particle":"","family":"Bouwmeester","given":"Harro","non-dropping-particle":"","parse-names":false,"suffix":""}],"container-title":"Plant Physiology","id":"ITEM-1","issue":"2","issued":{"date-parts":[["2011","2","2"]]},"page":"721-734","title":"Physiological effects of the synthetic strigolactone analog GR24 on root system architecture in Arabidopsis: another belowground role for strigolactones?","type":"article-journal","volume":"155"},"uris":["http://www.mendeley.com/documents/?uuid=e2f5438e-e594-4b65-9248-deb190786629"]}],"mendeley":{"formattedCitation":"(Ruyter-Spira et al., 2011)","plainTextFormattedCitation":"(Ruyter-Spira et al., 2011)","previouslyFormattedCitation":"(Ruyter-Spira et al., 2011)"},"properties":{"noteIndex":0},"schema":"https://github.com/citation-style-language/schema/raw/master/csl-citation.json"}</w:instrText>
      </w:r>
      <w:r>
        <w:rPr>
          <w:rFonts w:ascii="Arial" w:hAnsi="Arial" w:cs="Arial"/>
          <w:sz w:val="24"/>
          <w:szCs w:val="24"/>
        </w:rPr>
        <w:fldChar w:fldCharType="separate"/>
      </w:r>
      <w:r w:rsidRPr="00166ECD">
        <w:rPr>
          <w:rFonts w:ascii="Arial" w:hAnsi="Arial" w:cs="Arial"/>
          <w:noProof/>
          <w:sz w:val="24"/>
          <w:szCs w:val="24"/>
        </w:rPr>
        <w:t>(Ruyter-Spira et al., 2011)</w:t>
      </w:r>
      <w:r>
        <w:rPr>
          <w:rFonts w:ascii="Arial" w:hAnsi="Arial" w:cs="Arial"/>
          <w:sz w:val="24"/>
          <w:szCs w:val="24"/>
        </w:rPr>
        <w:fldChar w:fldCharType="end"/>
      </w:r>
      <w:r>
        <w:rPr>
          <w:rFonts w:ascii="Arial" w:hAnsi="Arial" w:cs="Arial"/>
          <w:sz w:val="24"/>
          <w:szCs w:val="24"/>
        </w:rPr>
        <w:t>, but due to the expense of GR24 I also chose to test if 1µM would be sufficient to see a response</w:t>
      </w:r>
      <w:r w:rsidR="00836844">
        <w:rPr>
          <w:rFonts w:ascii="Arial" w:hAnsi="Arial" w:cs="Arial"/>
          <w:sz w:val="24"/>
          <w:szCs w:val="24"/>
        </w:rPr>
        <w:t xml:space="preserve">, however this also allowed me to see any dose dependent </w:t>
      </w:r>
      <w:r w:rsidR="00DD0E54">
        <w:rPr>
          <w:rFonts w:ascii="Arial" w:hAnsi="Arial" w:cs="Arial"/>
          <w:sz w:val="24"/>
          <w:szCs w:val="24"/>
        </w:rPr>
        <w:t>differences between the mutants</w:t>
      </w:r>
      <w:r>
        <w:rPr>
          <w:rFonts w:ascii="Arial" w:hAnsi="Arial" w:cs="Arial"/>
          <w:sz w:val="24"/>
          <w:szCs w:val="24"/>
        </w:rPr>
        <w:t xml:space="preserve">. The </w:t>
      </w:r>
      <w:r w:rsidRPr="00B42C15">
        <w:rPr>
          <w:rFonts w:ascii="Arial" w:hAnsi="Arial" w:cs="Arial"/>
          <w:i/>
          <w:iCs/>
          <w:sz w:val="24"/>
          <w:szCs w:val="24"/>
        </w:rPr>
        <w:t>pdr</w:t>
      </w:r>
      <w:r>
        <w:rPr>
          <w:rFonts w:ascii="Arial" w:hAnsi="Arial" w:cs="Arial"/>
          <w:sz w:val="24"/>
          <w:szCs w:val="24"/>
        </w:rPr>
        <w:t xml:space="preserve"> genotypes and Wild-type (Col-0) were sown on agar plates which contained no GR24, 1µM GR24 and 5µM GR24, plates were imaged 13 days post sowing and primary root length and lateral root number was measured at this timepoint. </w:t>
      </w:r>
    </w:p>
    <w:p w14:paraId="207C98EF" w14:textId="77777777" w:rsidR="0062705A" w:rsidRDefault="0062705A" w:rsidP="0062705A">
      <w:pPr>
        <w:pStyle w:val="ListParagraph"/>
        <w:spacing w:line="480" w:lineRule="auto"/>
        <w:ind w:left="0"/>
        <w:rPr>
          <w:rFonts w:ascii="Arial" w:hAnsi="Arial" w:cs="Arial"/>
          <w:sz w:val="24"/>
          <w:szCs w:val="24"/>
        </w:rPr>
      </w:pPr>
      <w:r>
        <w:rPr>
          <w:rFonts w:ascii="Arial" w:hAnsi="Arial" w:cs="Arial"/>
          <w:sz w:val="24"/>
          <w:szCs w:val="24"/>
        </w:rPr>
        <w:t xml:space="preserve">When primary root length was assessed, all genotypes generally showed a decrease in primary root length with an increase in GR24 concentration, with the exception of </w:t>
      </w:r>
      <w:r w:rsidRPr="00DD5978">
        <w:rPr>
          <w:rFonts w:ascii="Arial" w:hAnsi="Arial" w:cs="Arial"/>
          <w:i/>
          <w:iCs/>
          <w:sz w:val="24"/>
          <w:szCs w:val="24"/>
        </w:rPr>
        <w:t>pdr10</w:t>
      </w:r>
      <w:r>
        <w:rPr>
          <w:rFonts w:ascii="Arial" w:hAnsi="Arial" w:cs="Arial"/>
          <w:i/>
          <w:iCs/>
          <w:sz w:val="24"/>
          <w:szCs w:val="24"/>
        </w:rPr>
        <w:t xml:space="preserve"> </w:t>
      </w:r>
      <w:r>
        <w:rPr>
          <w:rFonts w:ascii="Arial" w:hAnsi="Arial" w:cs="Arial"/>
          <w:sz w:val="24"/>
          <w:szCs w:val="24"/>
        </w:rPr>
        <w:t xml:space="preserve">(Fig. 5.6). Although statistically non-significant, </w:t>
      </w:r>
      <w:r w:rsidRPr="00403522">
        <w:rPr>
          <w:rFonts w:ascii="Arial" w:hAnsi="Arial" w:cs="Arial"/>
          <w:i/>
          <w:iCs/>
          <w:sz w:val="24"/>
          <w:szCs w:val="24"/>
        </w:rPr>
        <w:t>pdr12</w:t>
      </w:r>
      <w:r>
        <w:rPr>
          <w:rFonts w:ascii="Arial" w:hAnsi="Arial" w:cs="Arial"/>
          <w:sz w:val="24"/>
          <w:szCs w:val="24"/>
        </w:rPr>
        <w:t xml:space="preserve"> shows a decrease in primary root length with an increase in GR24 concentration. However, </w:t>
      </w:r>
      <w:r w:rsidRPr="00DD5978">
        <w:rPr>
          <w:rFonts w:ascii="Arial" w:hAnsi="Arial" w:cs="Arial"/>
          <w:i/>
          <w:iCs/>
          <w:sz w:val="24"/>
          <w:szCs w:val="24"/>
        </w:rPr>
        <w:t>pdr10</w:t>
      </w:r>
      <w:r>
        <w:rPr>
          <w:rFonts w:ascii="Arial" w:hAnsi="Arial" w:cs="Arial"/>
          <w:i/>
          <w:iCs/>
          <w:sz w:val="24"/>
          <w:szCs w:val="24"/>
        </w:rPr>
        <w:t xml:space="preserve"> </w:t>
      </w:r>
      <w:r>
        <w:rPr>
          <w:rFonts w:ascii="Arial" w:hAnsi="Arial" w:cs="Arial"/>
          <w:sz w:val="24"/>
          <w:szCs w:val="24"/>
        </w:rPr>
        <w:t xml:space="preserve">mutant seedlings responded the same regardless of the treatment (Fig. 5.6). Thus, </w:t>
      </w:r>
      <w:r>
        <w:rPr>
          <w:rFonts w:ascii="Arial" w:hAnsi="Arial" w:cs="Arial"/>
          <w:i/>
          <w:iCs/>
          <w:sz w:val="24"/>
          <w:szCs w:val="24"/>
        </w:rPr>
        <w:t>PDR10</w:t>
      </w:r>
      <w:r>
        <w:rPr>
          <w:rFonts w:ascii="Arial" w:hAnsi="Arial" w:cs="Arial"/>
          <w:sz w:val="24"/>
          <w:szCs w:val="24"/>
        </w:rPr>
        <w:t xml:space="preserve"> stands out as a potential candidate SL importer to explore further.</w:t>
      </w:r>
    </w:p>
    <w:p w14:paraId="710FFFF7" w14:textId="77777777" w:rsidR="0008688E" w:rsidRDefault="0008688E" w:rsidP="0062705A">
      <w:pPr>
        <w:pStyle w:val="ListParagraph"/>
        <w:spacing w:line="480" w:lineRule="auto"/>
        <w:ind w:left="0"/>
        <w:rPr>
          <w:rFonts w:ascii="Arial" w:hAnsi="Arial" w:cs="Arial"/>
          <w:sz w:val="24"/>
          <w:szCs w:val="24"/>
        </w:rPr>
      </w:pPr>
    </w:p>
    <w:p w14:paraId="3CA3278A" w14:textId="77777777" w:rsidR="0008688E" w:rsidRDefault="0008688E" w:rsidP="0062705A">
      <w:pPr>
        <w:pStyle w:val="ListParagraph"/>
        <w:spacing w:line="480" w:lineRule="auto"/>
        <w:ind w:left="0"/>
        <w:rPr>
          <w:rFonts w:ascii="Arial" w:hAnsi="Arial" w:cs="Arial"/>
          <w:sz w:val="24"/>
          <w:szCs w:val="24"/>
        </w:rPr>
      </w:pPr>
    </w:p>
    <w:p w14:paraId="15A8962A" w14:textId="77777777" w:rsidR="0008688E" w:rsidRDefault="0008688E" w:rsidP="0062705A">
      <w:pPr>
        <w:pStyle w:val="ListParagraph"/>
        <w:spacing w:line="480" w:lineRule="auto"/>
        <w:ind w:left="0"/>
        <w:rPr>
          <w:rFonts w:ascii="Arial" w:hAnsi="Arial" w:cs="Arial"/>
          <w:sz w:val="24"/>
          <w:szCs w:val="24"/>
        </w:rPr>
      </w:pPr>
    </w:p>
    <w:p w14:paraId="6703BCD3" w14:textId="77777777" w:rsidR="0062705A" w:rsidRDefault="0062705A" w:rsidP="0062705A">
      <w:pPr>
        <w:pStyle w:val="ListParagraph"/>
        <w:spacing w:line="480" w:lineRule="auto"/>
        <w:ind w:left="0"/>
        <w:rPr>
          <w:rFonts w:ascii="Arial" w:hAnsi="Arial" w:cs="Arial"/>
          <w:sz w:val="24"/>
          <w:szCs w:val="24"/>
        </w:rPr>
      </w:pPr>
      <w:r>
        <w:rPr>
          <w:rFonts w:ascii="Arial" w:hAnsi="Arial" w:cs="Arial"/>
          <w:noProof/>
          <w:sz w:val="24"/>
          <w:szCs w:val="24"/>
        </w:rPr>
        <w:lastRenderedPageBreak/>
        <w:drawing>
          <wp:anchor distT="0" distB="0" distL="114300" distR="114300" simplePos="0" relativeHeight="251689472" behindDoc="0" locked="0" layoutInCell="1" allowOverlap="1" wp14:anchorId="2C3495A4" wp14:editId="2C74A81C">
            <wp:simplePos x="0" y="0"/>
            <wp:positionH relativeFrom="margin">
              <wp:align>left</wp:align>
            </wp:positionH>
            <wp:positionV relativeFrom="paragraph">
              <wp:posOffset>3126</wp:posOffset>
            </wp:positionV>
            <wp:extent cx="4750435" cy="3151505"/>
            <wp:effectExtent l="0" t="0" r="0" b="0"/>
            <wp:wrapSquare wrapText="bothSides"/>
            <wp:docPr id="15304903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490340" name="Picture 153049034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750435" cy="3151505"/>
                    </a:xfrm>
                    <a:prstGeom prst="rect">
                      <a:avLst/>
                    </a:prstGeom>
                  </pic:spPr>
                </pic:pic>
              </a:graphicData>
            </a:graphic>
            <wp14:sizeRelH relativeFrom="margin">
              <wp14:pctWidth>0</wp14:pctWidth>
            </wp14:sizeRelH>
            <wp14:sizeRelV relativeFrom="margin">
              <wp14:pctHeight>0</wp14:pctHeight>
            </wp14:sizeRelV>
          </wp:anchor>
        </w:drawing>
      </w:r>
    </w:p>
    <w:p w14:paraId="156FDDBF" w14:textId="77777777" w:rsidR="0062705A" w:rsidRDefault="0062705A" w:rsidP="0062705A">
      <w:pPr>
        <w:pStyle w:val="ListParagraph"/>
        <w:spacing w:line="480" w:lineRule="auto"/>
        <w:ind w:left="0"/>
        <w:rPr>
          <w:rFonts w:ascii="Arial" w:hAnsi="Arial" w:cs="Arial"/>
          <w:sz w:val="24"/>
          <w:szCs w:val="24"/>
        </w:rPr>
      </w:pPr>
    </w:p>
    <w:p w14:paraId="7F9A9BDC" w14:textId="77777777" w:rsidR="0062705A" w:rsidRDefault="0062705A" w:rsidP="0062705A">
      <w:pPr>
        <w:pStyle w:val="ListParagraph"/>
        <w:spacing w:line="480" w:lineRule="auto"/>
        <w:ind w:left="0"/>
        <w:rPr>
          <w:rFonts w:ascii="Arial" w:hAnsi="Arial" w:cs="Arial"/>
          <w:sz w:val="24"/>
          <w:szCs w:val="24"/>
        </w:rPr>
      </w:pPr>
    </w:p>
    <w:p w14:paraId="695A3EF4" w14:textId="77777777" w:rsidR="0062705A" w:rsidRDefault="0062705A" w:rsidP="0062705A">
      <w:pPr>
        <w:pStyle w:val="ListParagraph"/>
        <w:spacing w:line="480" w:lineRule="auto"/>
        <w:ind w:left="0"/>
        <w:rPr>
          <w:rFonts w:ascii="Arial" w:hAnsi="Arial" w:cs="Arial"/>
          <w:sz w:val="24"/>
          <w:szCs w:val="24"/>
        </w:rPr>
      </w:pPr>
    </w:p>
    <w:p w14:paraId="462E168B" w14:textId="77777777" w:rsidR="0062705A" w:rsidRDefault="0062705A" w:rsidP="0062705A">
      <w:pPr>
        <w:pStyle w:val="ListParagraph"/>
        <w:spacing w:line="480" w:lineRule="auto"/>
        <w:ind w:left="0"/>
        <w:rPr>
          <w:rFonts w:ascii="Arial" w:hAnsi="Arial" w:cs="Arial"/>
          <w:sz w:val="24"/>
          <w:szCs w:val="24"/>
        </w:rPr>
      </w:pPr>
    </w:p>
    <w:p w14:paraId="7123AEA8" w14:textId="77777777" w:rsidR="0062705A" w:rsidRDefault="0062705A" w:rsidP="0062705A">
      <w:pPr>
        <w:pStyle w:val="ListParagraph"/>
        <w:spacing w:line="480" w:lineRule="auto"/>
        <w:ind w:left="0"/>
        <w:rPr>
          <w:rFonts w:ascii="Arial" w:hAnsi="Arial" w:cs="Arial"/>
          <w:sz w:val="24"/>
          <w:szCs w:val="24"/>
        </w:rPr>
      </w:pPr>
    </w:p>
    <w:p w14:paraId="00F04CE9" w14:textId="77777777" w:rsidR="0062705A" w:rsidRDefault="0062705A" w:rsidP="0062705A">
      <w:pPr>
        <w:pStyle w:val="ListParagraph"/>
        <w:spacing w:line="480" w:lineRule="auto"/>
        <w:ind w:left="0"/>
        <w:rPr>
          <w:rFonts w:ascii="Arial" w:hAnsi="Arial" w:cs="Arial"/>
          <w:sz w:val="24"/>
          <w:szCs w:val="24"/>
        </w:rPr>
      </w:pPr>
    </w:p>
    <w:p w14:paraId="1DC32D16" w14:textId="77777777" w:rsidR="0062705A" w:rsidRDefault="0062705A" w:rsidP="0062705A">
      <w:pPr>
        <w:pStyle w:val="ListParagraph"/>
        <w:spacing w:line="480" w:lineRule="auto"/>
        <w:ind w:left="0"/>
        <w:rPr>
          <w:rFonts w:ascii="Arial" w:hAnsi="Arial" w:cs="Arial"/>
          <w:sz w:val="24"/>
          <w:szCs w:val="24"/>
        </w:rPr>
      </w:pPr>
    </w:p>
    <w:p w14:paraId="63A55F70" w14:textId="77777777" w:rsidR="0062705A" w:rsidRDefault="0062705A" w:rsidP="0062705A">
      <w:pPr>
        <w:pStyle w:val="ListParagraph"/>
        <w:spacing w:line="480" w:lineRule="auto"/>
        <w:ind w:left="0"/>
        <w:rPr>
          <w:rFonts w:ascii="Arial" w:hAnsi="Arial" w:cs="Arial"/>
          <w:sz w:val="24"/>
          <w:szCs w:val="24"/>
        </w:rPr>
      </w:pPr>
    </w:p>
    <w:p w14:paraId="5A4B24BD" w14:textId="77777777" w:rsidR="0062705A" w:rsidRDefault="0062705A" w:rsidP="0062705A">
      <w:pPr>
        <w:pStyle w:val="ListParagraph"/>
        <w:spacing w:line="480" w:lineRule="auto"/>
        <w:ind w:left="0"/>
        <w:rPr>
          <w:rFonts w:ascii="Arial" w:hAnsi="Arial" w:cs="Arial"/>
          <w:sz w:val="24"/>
          <w:szCs w:val="24"/>
        </w:rPr>
      </w:pPr>
    </w:p>
    <w:p w14:paraId="5260C6F4" w14:textId="45D3DC6E" w:rsidR="0062705A" w:rsidRPr="0062705A" w:rsidRDefault="0062705A" w:rsidP="0062705A">
      <w:pPr>
        <w:pStyle w:val="Caption"/>
        <w:rPr>
          <w:rFonts w:eastAsia="+mn-ea"/>
          <w:b w:val="0"/>
          <w:bCs w:val="0"/>
          <w:color w:val="000000"/>
          <w:kern w:val="24"/>
          <w:szCs w:val="22"/>
        </w:rPr>
      </w:pPr>
      <w:bookmarkStart w:id="240" w:name="_Toc146657583"/>
      <w:bookmarkStart w:id="241" w:name="_Toc154331593"/>
      <w:r>
        <w:t xml:space="preserve">Figure </w:t>
      </w:r>
      <w:fldSimple w:instr=" STYLEREF 1 \s ">
        <w:r w:rsidR="004B7F70">
          <w:rPr>
            <w:noProof/>
          </w:rPr>
          <w:t>5</w:t>
        </w:r>
      </w:fldSimple>
      <w:r w:rsidR="00C97D34">
        <w:t>.</w:t>
      </w:r>
      <w:fldSimple w:instr=" SEQ Figure \* ARABIC \s 1 ">
        <w:r w:rsidR="004B7F70">
          <w:rPr>
            <w:noProof/>
          </w:rPr>
          <w:t>6</w:t>
        </w:r>
      </w:fldSimple>
      <w:r>
        <w:t xml:space="preserve"> </w:t>
      </w:r>
      <w:r w:rsidRPr="00031FF2">
        <w:t xml:space="preserve">Primary root length of </w:t>
      </w:r>
      <w:r w:rsidRPr="00973AB9">
        <w:rPr>
          <w:i/>
          <w:iCs/>
        </w:rPr>
        <w:t>pdr10</w:t>
      </w:r>
      <w:r w:rsidRPr="00031FF2">
        <w:t xml:space="preserve"> is unchanged with the addition of GR24</w:t>
      </w:r>
      <w:bookmarkEnd w:id="240"/>
      <w:bookmarkEnd w:id="241"/>
    </w:p>
    <w:p w14:paraId="65BD5A0D" w14:textId="77777777" w:rsidR="0062705A" w:rsidRPr="00F9655F" w:rsidRDefault="0062705A" w:rsidP="0062705A">
      <w:pPr>
        <w:pStyle w:val="Description"/>
      </w:pPr>
      <w:r w:rsidRPr="00F9655F">
        <w:rPr>
          <w:rFonts w:eastAsia="+mn-ea"/>
        </w:rPr>
        <w:t xml:space="preserve">A) Bar chart showing the primary root length (mm) of Arabidopsis seedlings grown on ATS agar plates containing 1µM GR24, 5µM GR24 or control plates containing no GR24 but </w:t>
      </w:r>
      <w:r>
        <w:rPr>
          <w:rFonts w:eastAsia="+mn-ea"/>
        </w:rPr>
        <w:t>1</w:t>
      </w:r>
      <w:r w:rsidRPr="00F9655F">
        <w:rPr>
          <w:rFonts w:eastAsia="+mn-ea"/>
        </w:rPr>
        <w:t xml:space="preserve">uM of acetone as a solvent control. Error bars represent s.e.m, n=4-8 plants. Statistical analysis was carried out for each genotype separately, bars with the same letter represent no statistical difference (Col-0, </w:t>
      </w:r>
      <w:r w:rsidRPr="00F9655F">
        <w:rPr>
          <w:rFonts w:eastAsia="+mn-ea"/>
          <w:i/>
          <w:iCs/>
        </w:rPr>
        <w:t>pdr4</w:t>
      </w:r>
      <w:r>
        <w:rPr>
          <w:rFonts w:eastAsia="+mn-ea"/>
          <w:i/>
          <w:iCs/>
        </w:rPr>
        <w:t>-</w:t>
      </w:r>
      <w:r w:rsidRPr="00F9655F">
        <w:rPr>
          <w:rFonts w:eastAsia="+mn-ea"/>
          <w:i/>
          <w:iCs/>
        </w:rPr>
        <w:t xml:space="preserve">1, pdr10, pdr12 </w:t>
      </w:r>
      <w:r w:rsidRPr="00F9655F">
        <w:rPr>
          <w:rFonts w:eastAsia="+mn-ea"/>
        </w:rPr>
        <w:t>: One-way ANOVA with Tukey HSD</w:t>
      </w:r>
      <w:r w:rsidRPr="00F9655F">
        <w:rPr>
          <w:rFonts w:eastAsia="+mn-ea"/>
          <w:i/>
          <w:iCs/>
        </w:rPr>
        <w:t>, pdr4</w:t>
      </w:r>
      <w:r>
        <w:rPr>
          <w:rFonts w:eastAsia="+mn-ea"/>
          <w:i/>
          <w:iCs/>
        </w:rPr>
        <w:t>-</w:t>
      </w:r>
      <w:r w:rsidRPr="00F9655F">
        <w:rPr>
          <w:rFonts w:eastAsia="+mn-ea"/>
          <w:i/>
          <w:iCs/>
        </w:rPr>
        <w:t>2</w:t>
      </w:r>
      <w:r w:rsidRPr="00F9655F">
        <w:rPr>
          <w:rFonts w:eastAsia="+mn-ea"/>
        </w:rPr>
        <w:t xml:space="preserve">, </w:t>
      </w:r>
      <w:r w:rsidRPr="00F9655F">
        <w:rPr>
          <w:rFonts w:eastAsia="+mn-ea"/>
          <w:i/>
          <w:iCs/>
        </w:rPr>
        <w:t>pdr11</w:t>
      </w:r>
      <w:r w:rsidRPr="00F9655F">
        <w:rPr>
          <w:rFonts w:eastAsia="+mn-ea"/>
        </w:rPr>
        <w:t xml:space="preserve"> : Kruskal-</w:t>
      </w:r>
      <w:r>
        <w:rPr>
          <w:rFonts w:eastAsia="+mn-ea"/>
        </w:rPr>
        <w:t>W</w:t>
      </w:r>
      <w:r w:rsidRPr="00F9655F">
        <w:rPr>
          <w:rFonts w:eastAsia="+mn-ea"/>
        </w:rPr>
        <w:t>allis with Bonferroni correction).</w:t>
      </w:r>
    </w:p>
    <w:p w14:paraId="4D73A243" w14:textId="77777777" w:rsidR="0062705A" w:rsidRDefault="0062705A" w:rsidP="0062705A"/>
    <w:p w14:paraId="14CC7C50" w14:textId="45FB0DDE" w:rsidR="0062705A" w:rsidRDefault="0062705A" w:rsidP="0062705A">
      <w:pPr>
        <w:pStyle w:val="ListParagraph"/>
        <w:spacing w:line="480" w:lineRule="auto"/>
        <w:ind w:left="0"/>
        <w:rPr>
          <w:rFonts w:ascii="Arial" w:hAnsi="Arial" w:cs="Arial"/>
          <w:sz w:val="24"/>
          <w:szCs w:val="24"/>
        </w:rPr>
      </w:pPr>
      <w:r>
        <w:rPr>
          <w:rFonts w:ascii="Arial" w:hAnsi="Arial" w:cs="Arial"/>
          <w:sz w:val="24"/>
          <w:szCs w:val="24"/>
        </w:rPr>
        <w:t xml:space="preserve">To investigate if </w:t>
      </w:r>
      <w:r w:rsidRPr="00E561E6">
        <w:rPr>
          <w:rFonts w:ascii="Arial" w:hAnsi="Arial" w:cs="Arial"/>
          <w:i/>
          <w:iCs/>
          <w:sz w:val="24"/>
          <w:szCs w:val="24"/>
        </w:rPr>
        <w:t>pdr10</w:t>
      </w:r>
      <w:r>
        <w:rPr>
          <w:rFonts w:ascii="Arial" w:hAnsi="Arial" w:cs="Arial"/>
          <w:sz w:val="24"/>
          <w:szCs w:val="24"/>
        </w:rPr>
        <w:t xml:space="preserve"> insensitivity to GR24 is also reflected in lateral root number, this was also assessed at 13 days post-germination. Lateral root number was more noisy, but there was a general decrease in lateral root number in the genotypes with the exception of </w:t>
      </w:r>
      <w:r w:rsidRPr="000D1912">
        <w:rPr>
          <w:rFonts w:ascii="Arial" w:hAnsi="Arial" w:cs="Arial"/>
          <w:i/>
          <w:iCs/>
          <w:sz w:val="24"/>
          <w:szCs w:val="24"/>
        </w:rPr>
        <w:t>pdr10</w:t>
      </w:r>
      <w:r>
        <w:rPr>
          <w:rFonts w:ascii="Arial" w:hAnsi="Arial" w:cs="Arial"/>
          <w:sz w:val="24"/>
          <w:szCs w:val="24"/>
        </w:rPr>
        <w:t xml:space="preserve"> </w:t>
      </w:r>
      <w:r w:rsidR="00632C45">
        <w:rPr>
          <w:rFonts w:ascii="Arial" w:hAnsi="Arial" w:cs="Arial"/>
          <w:sz w:val="24"/>
          <w:szCs w:val="24"/>
        </w:rPr>
        <w:t>(Fig. 5.</w:t>
      </w:r>
      <w:r w:rsidR="00932B85">
        <w:rPr>
          <w:rFonts w:ascii="Arial" w:hAnsi="Arial" w:cs="Arial"/>
          <w:sz w:val="24"/>
          <w:szCs w:val="24"/>
        </w:rPr>
        <w:t>7</w:t>
      </w:r>
      <w:r w:rsidR="00632C45">
        <w:rPr>
          <w:rFonts w:ascii="Arial" w:hAnsi="Arial" w:cs="Arial"/>
          <w:sz w:val="24"/>
          <w:szCs w:val="24"/>
        </w:rPr>
        <w:t xml:space="preserve">). </w:t>
      </w:r>
      <w:r>
        <w:rPr>
          <w:rFonts w:ascii="Arial" w:hAnsi="Arial" w:cs="Arial"/>
          <w:sz w:val="24"/>
          <w:szCs w:val="24"/>
        </w:rPr>
        <w:t xml:space="preserve">Again, </w:t>
      </w:r>
      <w:r w:rsidRPr="00F649A0">
        <w:rPr>
          <w:rFonts w:ascii="Arial" w:hAnsi="Arial" w:cs="Arial"/>
          <w:i/>
          <w:iCs/>
          <w:sz w:val="24"/>
          <w:szCs w:val="24"/>
        </w:rPr>
        <w:t>pdr10</w:t>
      </w:r>
      <w:r>
        <w:rPr>
          <w:rFonts w:ascii="Arial" w:hAnsi="Arial" w:cs="Arial"/>
          <w:sz w:val="24"/>
          <w:szCs w:val="24"/>
        </w:rPr>
        <w:t xml:space="preserve"> showed no difference between the treatments, and inherently </w:t>
      </w:r>
      <w:r w:rsidRPr="00ED0002">
        <w:rPr>
          <w:rFonts w:ascii="Arial" w:hAnsi="Arial" w:cs="Arial"/>
          <w:i/>
          <w:iCs/>
          <w:sz w:val="24"/>
          <w:szCs w:val="24"/>
        </w:rPr>
        <w:t>pdr10</w:t>
      </w:r>
      <w:r>
        <w:rPr>
          <w:rFonts w:ascii="Arial" w:hAnsi="Arial" w:cs="Arial"/>
          <w:sz w:val="24"/>
          <w:szCs w:val="24"/>
        </w:rPr>
        <w:t xml:space="preserve"> mutants appear to produce a lower lateral root number than the other genotypes assessed (Fig. 5.7). </w:t>
      </w:r>
    </w:p>
    <w:p w14:paraId="67C4B4DB" w14:textId="770F086A" w:rsidR="0062705A" w:rsidRDefault="0062705A" w:rsidP="0062705A">
      <w:r>
        <w:rPr>
          <w:noProof/>
          <w:szCs w:val="24"/>
        </w:rPr>
        <w:lastRenderedPageBreak/>
        <w:drawing>
          <wp:anchor distT="0" distB="0" distL="114300" distR="114300" simplePos="0" relativeHeight="251694592" behindDoc="0" locked="0" layoutInCell="1" allowOverlap="1" wp14:anchorId="16C2C4A5" wp14:editId="2745EDF7">
            <wp:simplePos x="0" y="0"/>
            <wp:positionH relativeFrom="margin">
              <wp:align>left</wp:align>
            </wp:positionH>
            <wp:positionV relativeFrom="paragraph">
              <wp:posOffset>58276</wp:posOffset>
            </wp:positionV>
            <wp:extent cx="4740275" cy="3151505"/>
            <wp:effectExtent l="0" t="0" r="3175" b="0"/>
            <wp:wrapSquare wrapText="bothSides"/>
            <wp:docPr id="1411181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181565" name="Picture 1411181565"/>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740275" cy="3151505"/>
                    </a:xfrm>
                    <a:prstGeom prst="rect">
                      <a:avLst/>
                    </a:prstGeom>
                  </pic:spPr>
                </pic:pic>
              </a:graphicData>
            </a:graphic>
            <wp14:sizeRelH relativeFrom="margin">
              <wp14:pctWidth>0</wp14:pctWidth>
            </wp14:sizeRelH>
            <wp14:sizeRelV relativeFrom="margin">
              <wp14:pctHeight>0</wp14:pctHeight>
            </wp14:sizeRelV>
          </wp:anchor>
        </w:drawing>
      </w:r>
    </w:p>
    <w:p w14:paraId="0C115155" w14:textId="77777777" w:rsidR="0062705A" w:rsidRDefault="0062705A" w:rsidP="0062705A"/>
    <w:p w14:paraId="2AD17D84" w14:textId="77777777" w:rsidR="0062705A" w:rsidRPr="0062705A" w:rsidRDefault="0062705A" w:rsidP="0062705A"/>
    <w:p w14:paraId="56851860" w14:textId="77777777" w:rsidR="0062705A" w:rsidRPr="0062705A" w:rsidRDefault="0062705A" w:rsidP="0062705A"/>
    <w:p w14:paraId="1C51926F" w14:textId="77777777" w:rsidR="0062705A" w:rsidRPr="0062705A" w:rsidRDefault="0062705A" w:rsidP="0062705A"/>
    <w:p w14:paraId="344995FF" w14:textId="77777777" w:rsidR="0062705A" w:rsidRPr="0062705A" w:rsidRDefault="0062705A" w:rsidP="0062705A"/>
    <w:p w14:paraId="1B716267" w14:textId="77777777" w:rsidR="0062705A" w:rsidRPr="0062705A" w:rsidRDefault="0062705A" w:rsidP="0062705A"/>
    <w:p w14:paraId="042D7843" w14:textId="77777777" w:rsidR="0062705A" w:rsidRPr="0062705A" w:rsidRDefault="0062705A" w:rsidP="0062705A"/>
    <w:p w14:paraId="3637C889" w14:textId="77777777" w:rsidR="0062705A" w:rsidRPr="0062705A" w:rsidRDefault="0062705A" w:rsidP="0062705A"/>
    <w:p w14:paraId="61442CAE" w14:textId="77777777" w:rsidR="0062705A" w:rsidRPr="0062705A" w:rsidRDefault="0062705A" w:rsidP="0062705A"/>
    <w:p w14:paraId="4A7C9A31" w14:textId="77777777" w:rsidR="0062705A" w:rsidRDefault="0062705A" w:rsidP="0062705A"/>
    <w:p w14:paraId="46F072E9" w14:textId="291E5FAD" w:rsidR="0062705A" w:rsidRPr="0062705A" w:rsidRDefault="0062705A" w:rsidP="0062705A">
      <w:pPr>
        <w:pStyle w:val="Caption"/>
        <w:rPr>
          <w:rFonts w:eastAsiaTheme="minorEastAsia"/>
          <w:b w:val="0"/>
          <w:bCs w:val="0"/>
          <w:color w:val="000000" w:themeColor="text1"/>
          <w:kern w:val="24"/>
          <w:szCs w:val="22"/>
        </w:rPr>
      </w:pPr>
      <w:bookmarkStart w:id="242" w:name="_Toc146657584"/>
      <w:bookmarkStart w:id="243" w:name="_Toc154331594"/>
      <w:r>
        <w:t xml:space="preserve">Figure </w:t>
      </w:r>
      <w:fldSimple w:instr=" STYLEREF 1 \s ">
        <w:r w:rsidR="004B7F70">
          <w:rPr>
            <w:noProof/>
          </w:rPr>
          <w:t>5</w:t>
        </w:r>
      </w:fldSimple>
      <w:r w:rsidR="00C97D34">
        <w:t>.</w:t>
      </w:r>
      <w:fldSimple w:instr=" SEQ Figure \* ARABIC \s 1 ">
        <w:r w:rsidR="004B7F70">
          <w:rPr>
            <w:noProof/>
          </w:rPr>
          <w:t>7</w:t>
        </w:r>
      </w:fldSimple>
      <w:r>
        <w:t xml:space="preserve"> </w:t>
      </w:r>
      <w:r w:rsidRPr="00373314">
        <w:t xml:space="preserve">Lateral root number of </w:t>
      </w:r>
      <w:r w:rsidRPr="00932B85">
        <w:rPr>
          <w:i/>
          <w:iCs/>
        </w:rPr>
        <w:t>pdr10</w:t>
      </w:r>
      <w:r w:rsidRPr="00373314">
        <w:t xml:space="preserve"> is unchanged with the addition of GR24</w:t>
      </w:r>
      <w:bookmarkEnd w:id="242"/>
      <w:bookmarkEnd w:id="243"/>
    </w:p>
    <w:p w14:paraId="4F034ADD" w14:textId="470C1F4D" w:rsidR="0062705A" w:rsidRDefault="0062705A" w:rsidP="0062705A">
      <w:pPr>
        <w:pStyle w:val="Description"/>
        <w:rPr>
          <w:rFonts w:eastAsiaTheme="minorEastAsia"/>
        </w:rPr>
      </w:pPr>
      <w:r w:rsidRPr="00275E84">
        <w:rPr>
          <w:rFonts w:eastAsiaTheme="minorEastAsia"/>
        </w:rPr>
        <w:t>A</w:t>
      </w:r>
      <w:r>
        <w:rPr>
          <w:rFonts w:eastAsiaTheme="minorEastAsia"/>
        </w:rPr>
        <w:t>)</w:t>
      </w:r>
      <w:r w:rsidRPr="00275E84">
        <w:rPr>
          <w:rFonts w:eastAsiaTheme="minorEastAsia"/>
        </w:rPr>
        <w:t xml:space="preserve"> Bar chart showing the lateral root number of</w:t>
      </w:r>
      <w:r>
        <w:rPr>
          <w:rFonts w:eastAsiaTheme="minorEastAsia"/>
        </w:rPr>
        <w:t xml:space="preserve"> 13-day old</w:t>
      </w:r>
      <w:r w:rsidRPr="00275E84">
        <w:rPr>
          <w:rFonts w:eastAsiaTheme="minorEastAsia"/>
        </w:rPr>
        <w:t xml:space="preserve"> Arabidopsis seedlings grown on ATS agar plates containing 1µM GR24, 5µM GR24 or control plates containing no GR24 but </w:t>
      </w:r>
      <w:r w:rsidR="003B3A7A">
        <w:rPr>
          <w:rFonts w:eastAsiaTheme="minorEastAsia"/>
        </w:rPr>
        <w:t>1</w:t>
      </w:r>
      <w:r w:rsidR="003B3A7A" w:rsidRPr="00275E84">
        <w:rPr>
          <w:rFonts w:eastAsiaTheme="minorEastAsia"/>
        </w:rPr>
        <w:t xml:space="preserve">uM </w:t>
      </w:r>
      <w:r w:rsidRPr="00275E84">
        <w:rPr>
          <w:rFonts w:eastAsiaTheme="minorEastAsia"/>
        </w:rPr>
        <w:t xml:space="preserve">of acetone as a solvent control. Error bars represent s.e.m, n=4-8 plants. Statistical analysis was carried out for each genotype separately, bars with the same letter represent no statistical difference (Col-0: Independent Samples t-test, </w:t>
      </w:r>
      <w:r w:rsidRPr="00275E84">
        <w:rPr>
          <w:rFonts w:eastAsiaTheme="minorEastAsia"/>
          <w:i/>
          <w:iCs/>
        </w:rPr>
        <w:t>pdr4</w:t>
      </w:r>
      <w:r>
        <w:rPr>
          <w:rFonts w:eastAsiaTheme="minorEastAsia"/>
          <w:i/>
          <w:iCs/>
        </w:rPr>
        <w:t>-</w:t>
      </w:r>
      <w:r w:rsidRPr="00275E84">
        <w:rPr>
          <w:rFonts w:eastAsiaTheme="minorEastAsia"/>
          <w:i/>
          <w:iCs/>
        </w:rPr>
        <w:t xml:space="preserve">1, pdr11 </w:t>
      </w:r>
      <w:r w:rsidRPr="00275E84">
        <w:rPr>
          <w:rFonts w:eastAsiaTheme="minorEastAsia"/>
        </w:rPr>
        <w:t>and</w:t>
      </w:r>
      <w:r w:rsidRPr="00275E84">
        <w:rPr>
          <w:rFonts w:eastAsiaTheme="minorEastAsia"/>
          <w:i/>
          <w:iCs/>
        </w:rPr>
        <w:t xml:space="preserve"> pdr12</w:t>
      </w:r>
      <w:r w:rsidRPr="00275E84">
        <w:rPr>
          <w:rFonts w:eastAsiaTheme="minorEastAsia"/>
        </w:rPr>
        <w:t>: Kruskal-</w:t>
      </w:r>
      <w:r w:rsidR="00985BEB">
        <w:rPr>
          <w:rFonts w:eastAsiaTheme="minorEastAsia"/>
        </w:rPr>
        <w:t>W</w:t>
      </w:r>
      <w:r w:rsidR="00985BEB" w:rsidRPr="00275E84">
        <w:rPr>
          <w:rFonts w:eastAsiaTheme="minorEastAsia"/>
        </w:rPr>
        <w:t xml:space="preserve">allis </w:t>
      </w:r>
      <w:r w:rsidRPr="00275E84">
        <w:rPr>
          <w:rFonts w:eastAsiaTheme="minorEastAsia"/>
        </w:rPr>
        <w:t xml:space="preserve">with Bonferroni correction, </w:t>
      </w:r>
      <w:r w:rsidRPr="00275E84">
        <w:rPr>
          <w:rFonts w:eastAsiaTheme="minorEastAsia"/>
          <w:i/>
          <w:iCs/>
        </w:rPr>
        <w:t>pdr4</w:t>
      </w:r>
      <w:r>
        <w:rPr>
          <w:rFonts w:eastAsiaTheme="minorEastAsia"/>
          <w:i/>
          <w:iCs/>
        </w:rPr>
        <w:t>-</w:t>
      </w:r>
      <w:r w:rsidRPr="00275E84">
        <w:rPr>
          <w:rFonts w:eastAsiaTheme="minorEastAsia"/>
          <w:i/>
          <w:iCs/>
        </w:rPr>
        <w:t>2</w:t>
      </w:r>
      <w:r w:rsidRPr="00275E84">
        <w:rPr>
          <w:rFonts w:eastAsiaTheme="minorEastAsia"/>
        </w:rPr>
        <w:t xml:space="preserve"> and </w:t>
      </w:r>
      <w:r w:rsidRPr="00275E84">
        <w:rPr>
          <w:rFonts w:eastAsiaTheme="minorEastAsia"/>
          <w:i/>
          <w:iCs/>
        </w:rPr>
        <w:t>pdr10</w:t>
      </w:r>
      <w:r w:rsidRPr="00275E84">
        <w:rPr>
          <w:rFonts w:eastAsiaTheme="minorEastAsia"/>
        </w:rPr>
        <w:t>: one-way ANOVA with Tukey HSD).</w:t>
      </w:r>
    </w:p>
    <w:p w14:paraId="7ABE1954" w14:textId="77777777" w:rsidR="0062705A" w:rsidRDefault="0062705A" w:rsidP="0062705A"/>
    <w:p w14:paraId="79F612E0" w14:textId="75BD7C90" w:rsidR="00992730" w:rsidRDefault="0062705A" w:rsidP="0062705A">
      <w:pPr>
        <w:pStyle w:val="ListParagraph"/>
        <w:spacing w:line="480" w:lineRule="auto"/>
        <w:ind w:left="0"/>
        <w:rPr>
          <w:rFonts w:ascii="Arial" w:hAnsi="Arial" w:cs="Arial"/>
          <w:sz w:val="24"/>
          <w:szCs w:val="24"/>
        </w:rPr>
      </w:pPr>
      <w:r>
        <w:rPr>
          <w:rFonts w:ascii="Arial" w:hAnsi="Arial" w:cs="Arial"/>
          <w:sz w:val="24"/>
          <w:szCs w:val="24"/>
        </w:rPr>
        <w:t xml:space="preserve">Given the highly preliminary nature of this experiment, much more would need to be investigated to confirm if </w:t>
      </w:r>
      <w:r w:rsidRPr="00725F83">
        <w:rPr>
          <w:rFonts w:ascii="Arial" w:hAnsi="Arial" w:cs="Arial"/>
          <w:i/>
          <w:iCs/>
          <w:sz w:val="24"/>
          <w:szCs w:val="24"/>
        </w:rPr>
        <w:t>PDR10</w:t>
      </w:r>
      <w:r>
        <w:rPr>
          <w:rFonts w:ascii="Arial" w:hAnsi="Arial" w:cs="Arial"/>
          <w:sz w:val="24"/>
          <w:szCs w:val="24"/>
        </w:rPr>
        <w:t xml:space="preserve"> does act as the SL importer. A more detailed look into the RNAseq dataset presented in </w:t>
      </w:r>
      <w:r w:rsidR="00386AA2">
        <w:rPr>
          <w:rFonts w:ascii="Arial" w:hAnsi="Arial" w:cs="Arial"/>
          <w:sz w:val="24"/>
          <w:szCs w:val="24"/>
        </w:rPr>
        <w:t>S</w:t>
      </w:r>
      <w:r w:rsidR="00B72639">
        <w:rPr>
          <w:rFonts w:ascii="Arial" w:hAnsi="Arial" w:cs="Arial"/>
          <w:sz w:val="24"/>
          <w:szCs w:val="24"/>
        </w:rPr>
        <w:t xml:space="preserve">ection </w:t>
      </w:r>
      <w:r>
        <w:rPr>
          <w:rFonts w:ascii="Arial" w:hAnsi="Arial" w:cs="Arial"/>
          <w:sz w:val="24"/>
          <w:szCs w:val="24"/>
        </w:rPr>
        <w:t>4.</w:t>
      </w:r>
      <w:r w:rsidR="00B72639">
        <w:rPr>
          <w:rFonts w:ascii="Arial" w:hAnsi="Arial" w:cs="Arial"/>
          <w:sz w:val="24"/>
          <w:szCs w:val="24"/>
        </w:rPr>
        <w:t>2</w:t>
      </w:r>
      <w:r>
        <w:rPr>
          <w:rFonts w:ascii="Arial" w:hAnsi="Arial" w:cs="Arial"/>
          <w:sz w:val="24"/>
          <w:szCs w:val="24"/>
        </w:rPr>
        <w:t xml:space="preserve"> could prove valuable for this </w:t>
      </w:r>
      <w:r w:rsidR="00386AA2" w:rsidRPr="00A72E38">
        <w:rPr>
          <w:rFonts w:ascii="Arial" w:hAnsi="Arial" w:cs="Arial"/>
          <w:sz w:val="24"/>
          <w:szCs w:val="24"/>
        </w:rPr>
        <w:t xml:space="preserve">as there may be differential expression of </w:t>
      </w:r>
      <w:r w:rsidR="00386AA2" w:rsidRPr="00A72E38">
        <w:rPr>
          <w:rFonts w:ascii="Arial" w:hAnsi="Arial" w:cs="Arial"/>
          <w:i/>
          <w:iCs/>
          <w:sz w:val="24"/>
          <w:szCs w:val="24"/>
        </w:rPr>
        <w:t>PDR</w:t>
      </w:r>
      <w:r w:rsidR="00386AA2" w:rsidRPr="00A72E38">
        <w:rPr>
          <w:rFonts w:ascii="Arial" w:hAnsi="Arial" w:cs="Arial"/>
          <w:sz w:val="24"/>
          <w:szCs w:val="24"/>
        </w:rPr>
        <w:t xml:space="preserve"> genes</w:t>
      </w:r>
      <w:r w:rsidR="00C83276" w:rsidRPr="00A72E38">
        <w:rPr>
          <w:rFonts w:ascii="Arial" w:hAnsi="Arial" w:cs="Arial"/>
          <w:sz w:val="24"/>
          <w:szCs w:val="24"/>
        </w:rPr>
        <w:t xml:space="preserve"> in response to crowding,</w:t>
      </w:r>
      <w:r w:rsidR="00C83276">
        <w:rPr>
          <w:rFonts w:ascii="Arial" w:hAnsi="Arial" w:cs="Arial"/>
          <w:sz w:val="24"/>
          <w:szCs w:val="24"/>
        </w:rPr>
        <w:t xml:space="preserve"> </w:t>
      </w:r>
      <w:r>
        <w:rPr>
          <w:rFonts w:ascii="Arial" w:hAnsi="Arial" w:cs="Arial"/>
          <w:sz w:val="24"/>
          <w:szCs w:val="24"/>
        </w:rPr>
        <w:t xml:space="preserve">but up until now this has not been able to be achieved. </w:t>
      </w:r>
      <w:r w:rsidR="00087DBE" w:rsidRPr="00E93510">
        <w:rPr>
          <w:rFonts w:ascii="Arial" w:hAnsi="Arial" w:cs="Arial"/>
          <w:sz w:val="24"/>
          <w:szCs w:val="24"/>
        </w:rPr>
        <w:t xml:space="preserve">Additionally, </w:t>
      </w:r>
      <w:r w:rsidR="00994785" w:rsidRPr="00E93510">
        <w:rPr>
          <w:rFonts w:ascii="Arial" w:hAnsi="Arial" w:cs="Arial"/>
          <w:sz w:val="24"/>
          <w:szCs w:val="24"/>
        </w:rPr>
        <w:t xml:space="preserve">detection of SL </w:t>
      </w:r>
      <w:r w:rsidR="00A7520D" w:rsidRPr="00E93510">
        <w:rPr>
          <w:rFonts w:ascii="Arial" w:hAnsi="Arial" w:cs="Arial"/>
          <w:sz w:val="24"/>
          <w:szCs w:val="24"/>
        </w:rPr>
        <w:t xml:space="preserve">in the roots </w:t>
      </w:r>
      <w:r w:rsidR="00276584" w:rsidRPr="00E93510">
        <w:rPr>
          <w:rFonts w:ascii="Arial" w:hAnsi="Arial" w:cs="Arial"/>
          <w:sz w:val="24"/>
          <w:szCs w:val="24"/>
        </w:rPr>
        <w:t xml:space="preserve">of the </w:t>
      </w:r>
      <w:r w:rsidR="00C80974" w:rsidRPr="00E93510">
        <w:rPr>
          <w:rFonts w:ascii="Arial" w:hAnsi="Arial" w:cs="Arial"/>
          <w:i/>
          <w:iCs/>
          <w:sz w:val="24"/>
          <w:szCs w:val="24"/>
        </w:rPr>
        <w:t>pdr</w:t>
      </w:r>
      <w:r w:rsidR="00C80974" w:rsidRPr="00E93510">
        <w:rPr>
          <w:rFonts w:ascii="Arial" w:hAnsi="Arial" w:cs="Arial"/>
          <w:sz w:val="24"/>
          <w:szCs w:val="24"/>
        </w:rPr>
        <w:t xml:space="preserve"> mutants with and without the application of GR24 </w:t>
      </w:r>
      <w:r w:rsidR="00994785" w:rsidRPr="00E93510">
        <w:rPr>
          <w:rFonts w:ascii="Arial" w:hAnsi="Arial" w:cs="Arial"/>
          <w:sz w:val="24"/>
          <w:szCs w:val="24"/>
        </w:rPr>
        <w:t>could be carried out using LC MS (</w:t>
      </w:r>
      <w:r w:rsidR="00C80974" w:rsidRPr="00E93510">
        <w:rPr>
          <w:rFonts w:ascii="Arial" w:hAnsi="Arial" w:cs="Arial"/>
          <w:sz w:val="24"/>
          <w:szCs w:val="24"/>
        </w:rPr>
        <w:t xml:space="preserve">LC MS technique </w:t>
      </w:r>
      <w:r w:rsidR="00994785" w:rsidRPr="00E93510">
        <w:rPr>
          <w:rFonts w:ascii="Arial" w:hAnsi="Arial" w:cs="Arial"/>
          <w:sz w:val="24"/>
          <w:szCs w:val="24"/>
        </w:rPr>
        <w:t>as described in Wheeldon et al</w:t>
      </w:r>
      <w:r w:rsidR="00A7520D" w:rsidRPr="00E93510">
        <w:rPr>
          <w:rFonts w:ascii="Arial" w:hAnsi="Arial" w:cs="Arial"/>
          <w:sz w:val="24"/>
          <w:szCs w:val="24"/>
        </w:rPr>
        <w:t>, 2022)</w:t>
      </w:r>
      <w:r w:rsidR="00684D46" w:rsidRPr="00E93510">
        <w:rPr>
          <w:rFonts w:ascii="Arial" w:hAnsi="Arial" w:cs="Arial"/>
          <w:sz w:val="24"/>
          <w:szCs w:val="24"/>
        </w:rPr>
        <w:t>.</w:t>
      </w:r>
      <w:r w:rsidR="00DC62FE" w:rsidRPr="00E93510">
        <w:rPr>
          <w:rFonts w:ascii="Arial" w:hAnsi="Arial" w:cs="Arial"/>
          <w:sz w:val="24"/>
          <w:szCs w:val="24"/>
        </w:rPr>
        <w:t xml:space="preserve"> </w:t>
      </w:r>
      <w:r w:rsidR="00684D46" w:rsidRPr="00E93510">
        <w:rPr>
          <w:rFonts w:ascii="Arial" w:hAnsi="Arial" w:cs="Arial"/>
          <w:sz w:val="24"/>
          <w:szCs w:val="24"/>
        </w:rPr>
        <w:t>I</w:t>
      </w:r>
      <w:r w:rsidR="00DC62FE" w:rsidRPr="00E93510">
        <w:rPr>
          <w:rFonts w:ascii="Arial" w:hAnsi="Arial" w:cs="Arial"/>
          <w:sz w:val="24"/>
          <w:szCs w:val="24"/>
        </w:rPr>
        <w:t xml:space="preserve">f the </w:t>
      </w:r>
      <w:r w:rsidR="00684D46" w:rsidRPr="00E93510">
        <w:rPr>
          <w:rFonts w:ascii="Arial" w:hAnsi="Arial" w:cs="Arial"/>
          <w:sz w:val="24"/>
          <w:szCs w:val="24"/>
        </w:rPr>
        <w:t>importer</w:t>
      </w:r>
      <w:r w:rsidR="00DC62FE" w:rsidRPr="00E93510">
        <w:rPr>
          <w:rFonts w:ascii="Arial" w:hAnsi="Arial" w:cs="Arial"/>
          <w:sz w:val="24"/>
          <w:szCs w:val="24"/>
        </w:rPr>
        <w:t xml:space="preserve"> was mutated</w:t>
      </w:r>
      <w:r w:rsidR="00684D46" w:rsidRPr="00E93510">
        <w:rPr>
          <w:rFonts w:ascii="Arial" w:hAnsi="Arial" w:cs="Arial"/>
          <w:sz w:val="24"/>
          <w:szCs w:val="24"/>
        </w:rPr>
        <w:t>,</w:t>
      </w:r>
      <w:r w:rsidR="00DC62FE" w:rsidRPr="00E93510">
        <w:rPr>
          <w:rFonts w:ascii="Arial" w:hAnsi="Arial" w:cs="Arial"/>
          <w:sz w:val="24"/>
          <w:szCs w:val="24"/>
        </w:rPr>
        <w:t xml:space="preserve"> </w:t>
      </w:r>
      <w:r w:rsidR="00684D46" w:rsidRPr="00E93510">
        <w:rPr>
          <w:rFonts w:ascii="Arial" w:hAnsi="Arial" w:cs="Arial"/>
          <w:sz w:val="24"/>
          <w:szCs w:val="24"/>
        </w:rPr>
        <w:t>it</w:t>
      </w:r>
      <w:r w:rsidR="00DC62FE" w:rsidRPr="00E93510">
        <w:rPr>
          <w:rFonts w:ascii="Arial" w:hAnsi="Arial" w:cs="Arial"/>
          <w:sz w:val="24"/>
          <w:szCs w:val="24"/>
        </w:rPr>
        <w:t xml:space="preserve"> would </w:t>
      </w:r>
      <w:r w:rsidR="00684D46" w:rsidRPr="00E93510">
        <w:rPr>
          <w:rFonts w:ascii="Arial" w:hAnsi="Arial" w:cs="Arial"/>
          <w:sz w:val="24"/>
          <w:szCs w:val="24"/>
        </w:rPr>
        <w:t xml:space="preserve">be </w:t>
      </w:r>
      <w:r w:rsidR="00DC62FE" w:rsidRPr="00E93510">
        <w:rPr>
          <w:rFonts w:ascii="Arial" w:hAnsi="Arial" w:cs="Arial"/>
          <w:sz w:val="24"/>
          <w:szCs w:val="24"/>
        </w:rPr>
        <w:t>expect</w:t>
      </w:r>
      <w:r w:rsidR="00684D46" w:rsidRPr="00E93510">
        <w:rPr>
          <w:rFonts w:ascii="Arial" w:hAnsi="Arial" w:cs="Arial"/>
          <w:sz w:val="24"/>
          <w:szCs w:val="24"/>
        </w:rPr>
        <w:t>ed that</w:t>
      </w:r>
      <w:r w:rsidR="00DC62FE" w:rsidRPr="00E93510">
        <w:rPr>
          <w:rFonts w:ascii="Arial" w:hAnsi="Arial" w:cs="Arial"/>
          <w:sz w:val="24"/>
          <w:szCs w:val="24"/>
        </w:rPr>
        <w:t xml:space="preserve"> less SL </w:t>
      </w:r>
      <w:r w:rsidR="00684D46" w:rsidRPr="00E93510">
        <w:rPr>
          <w:rFonts w:ascii="Arial" w:hAnsi="Arial" w:cs="Arial"/>
          <w:sz w:val="24"/>
          <w:szCs w:val="24"/>
        </w:rPr>
        <w:t xml:space="preserve">would </w:t>
      </w:r>
      <w:r w:rsidR="00DC62FE" w:rsidRPr="00E93510">
        <w:rPr>
          <w:rFonts w:ascii="Arial" w:hAnsi="Arial" w:cs="Arial"/>
          <w:sz w:val="24"/>
          <w:szCs w:val="24"/>
        </w:rPr>
        <w:t>be detected in the roots compared</w:t>
      </w:r>
      <w:r w:rsidR="00684D46" w:rsidRPr="00E93510">
        <w:rPr>
          <w:rFonts w:ascii="Arial" w:hAnsi="Arial" w:cs="Arial"/>
          <w:sz w:val="24"/>
          <w:szCs w:val="24"/>
        </w:rPr>
        <w:t xml:space="preserve"> to the other mutants</w:t>
      </w:r>
      <w:r w:rsidR="00B927C8" w:rsidRPr="00E93510">
        <w:rPr>
          <w:rFonts w:ascii="Arial" w:hAnsi="Arial" w:cs="Arial"/>
          <w:sz w:val="24"/>
          <w:szCs w:val="24"/>
        </w:rPr>
        <w:t xml:space="preserve"> and WT plants tested</w:t>
      </w:r>
      <w:r w:rsidR="00A7520D" w:rsidRPr="00E93510">
        <w:rPr>
          <w:rFonts w:ascii="Arial" w:hAnsi="Arial" w:cs="Arial"/>
          <w:sz w:val="24"/>
          <w:szCs w:val="24"/>
        </w:rPr>
        <w:t>.</w:t>
      </w:r>
      <w:r w:rsidR="00A7520D">
        <w:rPr>
          <w:rFonts w:ascii="Arial" w:hAnsi="Arial" w:cs="Arial"/>
          <w:sz w:val="24"/>
          <w:szCs w:val="24"/>
        </w:rPr>
        <w:t xml:space="preserve"> </w:t>
      </w:r>
      <w:r>
        <w:rPr>
          <w:rFonts w:ascii="Arial" w:hAnsi="Arial" w:cs="Arial"/>
          <w:sz w:val="24"/>
          <w:szCs w:val="24"/>
        </w:rPr>
        <w:t xml:space="preserve">Nevertheless, this preliminary data does tentatively suggest an insensitivity to SLs in </w:t>
      </w:r>
      <w:r w:rsidRPr="009901A9">
        <w:rPr>
          <w:rFonts w:ascii="Arial" w:hAnsi="Arial" w:cs="Arial"/>
          <w:i/>
          <w:iCs/>
          <w:sz w:val="24"/>
          <w:szCs w:val="24"/>
        </w:rPr>
        <w:t>pdr10</w:t>
      </w:r>
      <w:r>
        <w:rPr>
          <w:rFonts w:ascii="Arial" w:hAnsi="Arial" w:cs="Arial"/>
          <w:sz w:val="24"/>
          <w:szCs w:val="24"/>
        </w:rPr>
        <w:t xml:space="preserve"> mutants.</w:t>
      </w:r>
      <w:r w:rsidR="000200BF">
        <w:rPr>
          <w:rFonts w:ascii="Arial" w:hAnsi="Arial" w:cs="Arial"/>
          <w:sz w:val="24"/>
          <w:szCs w:val="24"/>
        </w:rPr>
        <w:t xml:space="preserve"> </w:t>
      </w:r>
    </w:p>
    <w:p w14:paraId="700BEA52" w14:textId="618AACDC" w:rsidR="0062705A" w:rsidRDefault="00E804B0" w:rsidP="00743E4C">
      <w:pPr>
        <w:pStyle w:val="Heading2"/>
      </w:pPr>
      <w:bookmarkStart w:id="244" w:name="_Toc154331512"/>
      <w:r>
        <w:lastRenderedPageBreak/>
        <w:t>Discussion</w:t>
      </w:r>
      <w:bookmarkEnd w:id="244"/>
    </w:p>
    <w:p w14:paraId="12CBE25A" w14:textId="77777777" w:rsidR="00E804B0" w:rsidRDefault="00E804B0" w:rsidP="00E804B0"/>
    <w:p w14:paraId="5C8D075A" w14:textId="6CEE0AC1" w:rsidR="00E804B0" w:rsidRPr="00D77C50" w:rsidRDefault="00E804B0" w:rsidP="00E804B0">
      <w:pPr>
        <w:numPr>
          <w:ilvl w:val="1"/>
          <w:numId w:val="0"/>
        </w:numPr>
        <w:spacing w:before="160" w:line="480" w:lineRule="auto"/>
        <w:outlineLvl w:val="1"/>
        <w:rPr>
          <w:rFonts w:cs="Times New Roman"/>
          <w:bCs/>
        </w:rPr>
      </w:pPr>
      <w:r w:rsidRPr="00D77C50">
        <w:rPr>
          <w:rFonts w:cs="Times New Roman"/>
          <w:bCs/>
        </w:rPr>
        <w:t xml:space="preserve">Experiments presented in this chapter have identified a new role for SLs exuded into the environment. Other root exudates have previously been identified to play a role in plant neighbour detection </w:t>
      </w:r>
      <w:r w:rsidRPr="00D77C50">
        <w:rPr>
          <w:rFonts w:cs="Times New Roman"/>
          <w:bCs/>
        </w:rPr>
        <w:fldChar w:fldCharType="begin" w:fldLock="1"/>
      </w:r>
      <w:r w:rsidRPr="00D77C50">
        <w:rPr>
          <w:rFonts w:cs="Times New Roman"/>
          <w:bCs/>
        </w:rPr>
        <w:instrText>ADDIN CSL_CITATION {"citationItems":[{"id":"ITEM-1","itemData":{"DOI":"10.1111/nph.15296","ISSN":"14698137","abstract":"Kin recognition is an important mediator of interactions within individuals of a species. Despite increasing evidence of kin recognition in natural plant populations, relatively little is known about kin recognition in crop species where numerous cultivars have been generated by artificial selection. We identified rice (Oryza sativa) cultivars with the ability for kin recognition from two sets of indica-inbred and indica-hybrid lines at different levels of genetic relatedness. We then assessed this ability among kin and nonkin and tested potential mechanisms in a series of controlled experiments and field trails. Rice cultivars with the ability for kin recognition were capable of detecting the presence of kin and nonkin and responded to them by altering root behavior and biomass allocation, particularly for grain yield. Furthermore, we assessed the role of root exudates and found a root-secreted nitrogen-rich allantoin component to be responsible for kin recognition in rice lines. Kin recognition in rice lines mediated by root exudates occurs in a cultivar-dependent manner. Rice cultivars with the ability for kin recognition may increase grain yield in the presence of kin. Such an improvement of grain yield by kin recognition of cultivar mixtures offers many implications and applications in rice production.","author":[{"dropping-particle":"","family":"Yang","given":"Xue Fang","non-dropping-particle":"","parse-names":false,"suffix":""},{"dropping-particle":"","family":"Li","given":"Lei Lei","non-dropping-particle":"","parse-names":false,"suffix":""},{"dropping-particle":"","family":"Xu","given":"You","non-dropping-particle":"","parse-names":false,"suffix":""},{"dropping-particle":"","family":"Kong","given":"Chui Hua","non-dropping-particle":"","parse-names":false,"suffix":""}],"container-title":"New Phytologist","id":"ITEM-1","issue":"2","issued":{"date-parts":[["2018","10","1"]]},"page":"567-578","publisher":"Blackwell Publishing Ltd","title":"Kin recognition in rice (Oryza sativa) lines","type":"article-journal","volume":"220"},"uris":["http://www.mendeley.com/documents/?uuid=b16268a0-a6bd-378e-905e-ecdd46be0ad4"]},{"id":"ITEM-2","itemData":{"DOI":"10.1038/s41467-018-06429-1","ISSN":"2041-1723","author":[{"dropping-particle":"","family":"Kong","given":"Chui-Hua","non-dropping-particle":"","parse-names":false,"suffix":""},{"dropping-particle":"","family":"Zhang","given":"Song-Zhu","non-dropping-particle":"","parse-names":false,"suffix":""},{"dropping-particle":"","family":"Li","given":"Yong-Hua","non-dropping-particle":"","parse-names":false,"suffix":""},{"dropping-particle":"","family":"Xia","given":"Zhi-Chao","non-dropping-particle":"","parse-names":false,"suffix":""},{"dropping-particle":"","family":"Yang","given":"Xue-Fang","non-dropping-particle":"","parse-names":false,"suffix":""},{"dropping-particle":"","family":"Meiners","given":"Scott J.","non-dropping-particle":"","parse-names":false,"suffix":""},{"dropping-particle":"","family":"Wang","given":"Peng","non-dropping-particle":"","parse-names":false,"suffix":""}],"container-title":"Nature Communications","id":"ITEM-2","issue":"1","issued":{"date-parts":[["2018","12","24"]]},"page":"3867","title":"Plant neighbor detection and allelochemical response are driven by root-secreted signaling chemicals","type":"article-journal","volume":"9"},"uris":["http://www.mendeley.com/documents/?uuid=ed434030-e65c-3266-bb4f-d2cb579ec9ea"]}],"mendeley":{"formattedCitation":"(Yang et al., 2018; Kong et al., 2018)","plainTextFormattedCitation":"(Yang et al., 2018; Kong et al., 2018)","previouslyFormattedCitation":"(Yang et al., 2018; Kong et al., 2018)"},"properties":{"noteIndex":0},"schema":"https://github.com/citation-style-language/schema/raw/master/csl-citation.json"}</w:instrText>
      </w:r>
      <w:r w:rsidRPr="00D77C50">
        <w:rPr>
          <w:rFonts w:cs="Times New Roman"/>
          <w:bCs/>
        </w:rPr>
        <w:fldChar w:fldCharType="separate"/>
      </w:r>
      <w:r w:rsidRPr="00D77C50">
        <w:rPr>
          <w:rFonts w:cs="Times New Roman"/>
          <w:bCs/>
          <w:noProof/>
        </w:rPr>
        <w:t>(Yang et al., 2018; Kong et al., 2018)</w:t>
      </w:r>
      <w:r w:rsidRPr="00D77C50">
        <w:rPr>
          <w:rFonts w:cs="Times New Roman"/>
          <w:bCs/>
        </w:rPr>
        <w:fldChar w:fldCharType="end"/>
      </w:r>
      <w:r w:rsidRPr="00D77C50">
        <w:rPr>
          <w:rFonts w:cs="Times New Roman"/>
          <w:bCs/>
        </w:rPr>
        <w:t xml:space="preserve"> and data presented in </w:t>
      </w:r>
      <w:r w:rsidR="003730AD">
        <w:rPr>
          <w:rFonts w:cs="Times New Roman"/>
          <w:bCs/>
        </w:rPr>
        <w:t xml:space="preserve">section </w:t>
      </w:r>
      <w:r w:rsidRPr="00D77C50">
        <w:rPr>
          <w:rFonts w:cs="Times New Roman"/>
          <w:bCs/>
        </w:rPr>
        <w:t>5.</w:t>
      </w:r>
      <w:r w:rsidR="003730AD">
        <w:rPr>
          <w:rFonts w:cs="Times New Roman"/>
          <w:bCs/>
        </w:rPr>
        <w:t>2</w:t>
      </w:r>
      <w:r w:rsidRPr="00D77C50">
        <w:rPr>
          <w:rFonts w:cs="Times New Roman"/>
          <w:bCs/>
        </w:rPr>
        <w:t xml:space="preserve"> and Wheeldon et al (2022) clearly show that SLs are an additional plant-to-plant root exudate signal. </w:t>
      </w:r>
    </w:p>
    <w:p w14:paraId="295FE9C7" w14:textId="77777777" w:rsidR="00E804B0" w:rsidRPr="00BA1C22" w:rsidRDefault="00E804B0" w:rsidP="00E804B0">
      <w:pPr>
        <w:numPr>
          <w:ilvl w:val="1"/>
          <w:numId w:val="0"/>
        </w:numPr>
        <w:spacing w:before="160" w:line="480" w:lineRule="auto"/>
        <w:outlineLvl w:val="1"/>
        <w:rPr>
          <w:rFonts w:cs="Times New Roman"/>
          <w:bCs/>
          <w:color w:val="00B050"/>
        </w:rPr>
      </w:pPr>
    </w:p>
    <w:p w14:paraId="5F984837" w14:textId="77777777" w:rsidR="00E804B0" w:rsidRPr="00D77C50" w:rsidRDefault="00E804B0" w:rsidP="00E804B0">
      <w:pPr>
        <w:numPr>
          <w:ilvl w:val="1"/>
          <w:numId w:val="0"/>
        </w:numPr>
        <w:spacing w:before="160" w:line="480" w:lineRule="auto"/>
        <w:outlineLvl w:val="1"/>
        <w:rPr>
          <w:rFonts w:cs="Times New Roman"/>
          <w:bCs/>
          <w:u w:val="single"/>
        </w:rPr>
      </w:pPr>
      <w:r w:rsidRPr="00D77C50">
        <w:rPr>
          <w:rFonts w:cs="Times New Roman"/>
          <w:bCs/>
          <w:u w:val="single"/>
        </w:rPr>
        <w:t>SLs negatively affects shoot growth of neighbours</w:t>
      </w:r>
    </w:p>
    <w:p w14:paraId="70174669" w14:textId="36B40FAA" w:rsidR="00E804B0" w:rsidRPr="00D77C50" w:rsidRDefault="00E804B0" w:rsidP="00E804B0">
      <w:pPr>
        <w:numPr>
          <w:ilvl w:val="1"/>
          <w:numId w:val="0"/>
        </w:numPr>
        <w:spacing w:before="160" w:line="480" w:lineRule="auto"/>
        <w:outlineLvl w:val="1"/>
        <w:rPr>
          <w:rFonts w:cs="Times New Roman"/>
          <w:bCs/>
        </w:rPr>
      </w:pPr>
      <w:r w:rsidRPr="00D77C50">
        <w:rPr>
          <w:rFonts w:cs="Times New Roman"/>
          <w:bCs/>
        </w:rPr>
        <w:t xml:space="preserve">Data presented in this chapter and in Wheeldon et al (2022), shows that the exudation of SLs negatively effects the production of branches and biomass by other plants in the environment. This appears to be advantageous to the SL-exuding plant as the uptake of SL reduces the size of neighbours allowing the SL exuding plant to grow larger due to reduced competition. This observation opens up a new avenue for exploring density resistance in monocultures. If each plant in a densely sown field can exude SL and inhibit the growth of neighbours, it would be expected that this would have a negative effect on economic output. Therefore, if SL exudation is turned down, this could reduce neighbour-based inhibition and increase outputs. Natural variation in SL biosynthesis has been identified in maize </w:t>
      </w:r>
      <w:r w:rsidRPr="00D77C50">
        <w:rPr>
          <w:rFonts w:cs="Times New Roman"/>
          <w:bCs/>
        </w:rPr>
        <w:fldChar w:fldCharType="begin" w:fldLock="1"/>
      </w:r>
      <w:r w:rsidR="006068FB">
        <w:rPr>
          <w:rFonts w:cs="Times New Roman"/>
          <w:bCs/>
        </w:rPr>
        <w:instrText>ADDIN CSL_CITATION {"citationItems":[{"id":"ITEM-1","itemData":{"DOI":"10.1126/science.abq4775","ISSN":"0036-8075","abstract":"Maize ( Zea mays ) is a major staple crop in Africa, where its yield and the livelihood of millions are compromised by the parasitic witchweed Striga . Germination of Striga is induced by strigolactones exuded from maize roots into the rhizosphere. In a maize germplasm collection, we identified two strigolactones, zealactol and zealactonoic acid, which stimulate less Striga germination than the major maize strigolactone, zealactone. We then showed that a single cytochrome P450, ZmCYP706C37, catalyzes a series of oxidative steps in the maize-strigolactone biosynthetic pathway. Reduction in activity of this enzyme and two others involved in the pathway, ZmMAX1b and ZmCLAMT1, can change strigolactone composition and reduce Striga germination and infection. These results offer prospects for breeding Striga -resistant maize.","author":[{"dropping-particle":"","family":"Li","given":"C.","non-dropping-particle":"","parse-names":false,"suffix":""},{"dropping-particle":"","family":"Dong","given":"L.","non-dropping-particle":"","parse-names":false,"suffix":""},{"dropping-particle":"","family":"Durairaj","given":"J.","non-dropping-particle":"","parse-names":false,"suffix":""},{"dropping-particle":"","family":"Guan","given":"J.-C.","non-dropping-particle":"","parse-names":false,"suffix":""},{"dropping-particle":"","family":"Yoshimura","given":"M.","non-dropping-particle":"","parse-names":false,"suffix":""},{"dropping-particle":"","family":"Quinodoz","given":"P.","non-dropping-particle":"","parse-names":false,"suffix":""},{"dropping-particle":"","family":"Horber","given":"R.","non-dropping-particle":"","parse-names":false,"suffix":""},{"dropping-particle":"","family":"Gaus","given":"K.","non-dropping-particle":"","parse-names":false,"suffix":""},{"dropping-particle":"","family":"Li","given":"J.","non-dropping-particle":"","parse-names":false,"suffix":""},{"dropping-particle":"","family":"Setotaw","given":"Y. B.","non-dropping-particle":"","parse-names":false,"suffix":""},{"dropping-particle":"","family":"Qi","given":"J.","non-dropping-particle":"","parse-names":false,"suffix":""},{"dropping-particle":"","family":"Groote","given":"H.","non-dropping-particle":"De","parse-names":false,"suffix":""},{"dropping-particle":"","family":"Wang","given":"Y.","non-dropping-particle":"","parse-names":false,"suffix":""},{"dropping-particle":"","family":"Thiombiano","given":"B.","non-dropping-particle":"","parse-names":false,"suffix":""},{"dropping-particle":"","family":"Floková","given":"K.","non-dropping-particle":"","parse-names":false,"suffix":""},{"dropping-particle":"","family":"Walmsley","given":"A.","non-dropping-particle":"","parse-names":false,"suffix":""},{"dropping-particle":"V.","family":"Charnikhova","given":"T.","non-dropping-particle":"","parse-names":false,"suffix":""},{"dropping-particle":"","family":"Chojnacka","given":"A.","non-dropping-particle":"","parse-names":false,"suffix":""},{"dropping-particle":"","family":"Correia de Lemos","given":"S.","non-dropping-particle":"","parse-names":false,"suffix":""},{"dropping-particle":"","family":"Ding","given":"Y.","non-dropping-particle":"","parse-names":false,"suffix":""},{"dropping-particle":"","family":"Skibbe","given":"D.","non-dropping-particle":"","parse-names":false,"suffix":""},{"dropping-particle":"","family":"Hermann","given":"K.","non-dropping-particle":"","parse-names":false,"suffix":""},{"dropping-particle":"","family":"Screpanti","given":"C.","non-dropping-particle":"","parse-names":false,"suffix":""},{"dropping-particle":"","family":"Mesmaeker","given":"A.","non-dropping-particle":"De","parse-names":false,"suffix":""},{"dropping-particle":"","family":"Schmelz","given":"E. A.","non-dropping-particle":"","parse-names":false,"suffix":""},{"dropping-particle":"","family":"Menkir","given":"A.","non-dropping-particle":"","parse-names":false,"suffix":""},{"dropping-particle":"","family":"Medema","given":"M.","non-dropping-particle":"","parse-names":false,"suffix":""},{"dropping-particle":"","family":"Dijk","given":"A. D. J.","non-dropping-particle":"Van","parse-names":false,"suffix":""},{"dropping-particle":"","family":"Wu","given":"J.","non-dropping-particle":"","parse-names":false,"suffix":""},{"dropping-particle":"","family":"Koch","given":"K. E.","non-dropping-particle":"","parse-names":false,"suffix":""},{"dropping-particle":"","family":"Bouwmeester","given":"H. J.","non-dropping-particle":"","parse-names":false,"suffix":""}],"container-title":"Science","id":"ITEM-1","issue":"6627","issued":{"date-parts":[["2023","1","6"]]},"page":"94-99","publisher":"American Association for the Advancement of Science","title":"Maize resistance to witchweed through changes in strigolactone biosynthesis","type":"article-journal","volume":"379"},"uris":["http://www.mendeley.com/documents/?uuid=796d4761-9d8f-3947-a6d0-48e170bb6024"]}],"mendeley":{"formattedCitation":"(C. Li et al., 2023)","plainTextFormattedCitation":"(C. Li et al., 2023)","previouslyFormattedCitation":"(C. Li et al., 2023)"},"properties":{"noteIndex":0},"schema":"https://github.com/citation-style-language/schema/raw/master/csl-citation.json"}</w:instrText>
      </w:r>
      <w:r w:rsidRPr="00D77C50">
        <w:rPr>
          <w:rFonts w:cs="Times New Roman"/>
          <w:bCs/>
        </w:rPr>
        <w:fldChar w:fldCharType="separate"/>
      </w:r>
      <w:r w:rsidR="006068FB" w:rsidRPr="006068FB">
        <w:rPr>
          <w:rFonts w:cs="Times New Roman"/>
          <w:bCs/>
          <w:noProof/>
        </w:rPr>
        <w:t>(C. Li et al., 2023)</w:t>
      </w:r>
      <w:r w:rsidRPr="00D77C50">
        <w:rPr>
          <w:rFonts w:cs="Times New Roman"/>
          <w:bCs/>
        </w:rPr>
        <w:fldChar w:fldCharType="end"/>
      </w:r>
      <w:r w:rsidRPr="00D77C50">
        <w:rPr>
          <w:rFonts w:cs="Times New Roman"/>
          <w:bCs/>
        </w:rPr>
        <w:t xml:space="preserve"> and this is likely the case in other agronomic crops. Hence, the potential to explore the role of SL exudation for density resistance could be highly valuable. </w:t>
      </w:r>
    </w:p>
    <w:p w14:paraId="47F52195" w14:textId="77777777" w:rsidR="00E804B0" w:rsidRPr="00D77C50" w:rsidRDefault="00E804B0" w:rsidP="00E804B0">
      <w:pPr>
        <w:numPr>
          <w:ilvl w:val="1"/>
          <w:numId w:val="0"/>
        </w:numPr>
        <w:spacing w:before="160" w:line="480" w:lineRule="auto"/>
        <w:outlineLvl w:val="1"/>
        <w:rPr>
          <w:rFonts w:cs="Times New Roman"/>
          <w:bCs/>
        </w:rPr>
      </w:pPr>
    </w:p>
    <w:p w14:paraId="3513C366" w14:textId="77777777" w:rsidR="00E804B0" w:rsidRPr="00C14BB2" w:rsidRDefault="00E804B0" w:rsidP="00E804B0">
      <w:pPr>
        <w:numPr>
          <w:ilvl w:val="1"/>
          <w:numId w:val="0"/>
        </w:numPr>
        <w:spacing w:before="160" w:line="480" w:lineRule="auto"/>
        <w:outlineLvl w:val="1"/>
        <w:rPr>
          <w:rFonts w:cs="Times New Roman"/>
          <w:bCs/>
          <w:u w:val="single"/>
        </w:rPr>
      </w:pPr>
      <w:r w:rsidRPr="00C14BB2">
        <w:rPr>
          <w:rFonts w:cs="Times New Roman"/>
          <w:bCs/>
          <w:u w:val="single"/>
        </w:rPr>
        <w:lastRenderedPageBreak/>
        <w:t>SL is likely the Soil Volume Sensing Signal (SVS)</w:t>
      </w:r>
    </w:p>
    <w:p w14:paraId="523BE297" w14:textId="3CF08EB7" w:rsidR="00E804B0" w:rsidRPr="007C119E" w:rsidRDefault="00E804B0" w:rsidP="00E804B0">
      <w:pPr>
        <w:numPr>
          <w:ilvl w:val="1"/>
          <w:numId w:val="0"/>
        </w:numPr>
        <w:spacing w:before="160" w:line="480" w:lineRule="auto"/>
        <w:outlineLvl w:val="1"/>
        <w:rPr>
          <w:rFonts w:cs="Times New Roman"/>
          <w:bCs/>
        </w:rPr>
      </w:pPr>
      <w:r w:rsidRPr="007C119E">
        <w:rPr>
          <w:rFonts w:cs="Times New Roman"/>
          <w:bCs/>
        </w:rPr>
        <w:t xml:space="preserve">Data presented in </w:t>
      </w:r>
      <w:r w:rsidR="001920F5">
        <w:rPr>
          <w:rFonts w:cs="Times New Roman"/>
          <w:bCs/>
        </w:rPr>
        <w:t xml:space="preserve">section </w:t>
      </w:r>
      <w:r w:rsidRPr="007C119E">
        <w:rPr>
          <w:rFonts w:cs="Times New Roman"/>
          <w:bCs/>
        </w:rPr>
        <w:t>5.</w:t>
      </w:r>
      <w:r w:rsidR="003E559A">
        <w:rPr>
          <w:rFonts w:cs="Times New Roman"/>
          <w:bCs/>
        </w:rPr>
        <w:t>2</w:t>
      </w:r>
      <w:r w:rsidRPr="007C119E">
        <w:rPr>
          <w:rFonts w:cs="Times New Roman"/>
          <w:bCs/>
        </w:rPr>
        <w:t xml:space="preserve">.4 </w:t>
      </w:r>
      <w:r w:rsidR="00BE1AF2">
        <w:rPr>
          <w:rFonts w:cs="Times New Roman"/>
          <w:bCs/>
        </w:rPr>
        <w:t xml:space="preserve">and </w:t>
      </w:r>
      <w:r w:rsidR="00BE1AF2">
        <w:rPr>
          <w:rFonts w:cs="Times New Roman"/>
          <w:bCs/>
        </w:rPr>
        <w:fldChar w:fldCharType="begin" w:fldLock="1"/>
      </w:r>
      <w:r w:rsidR="004E5BB3">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sidR="00BE1AF2">
        <w:rPr>
          <w:rFonts w:cs="Times New Roman"/>
          <w:bCs/>
        </w:rPr>
        <w:fldChar w:fldCharType="separate"/>
      </w:r>
      <w:r w:rsidR="00BE1AF2" w:rsidRPr="00BE1AF2">
        <w:rPr>
          <w:rFonts w:cs="Times New Roman"/>
          <w:bCs/>
          <w:noProof/>
        </w:rPr>
        <w:t>(Wheeldon et al., 2022)</w:t>
      </w:r>
      <w:r w:rsidR="00BE1AF2">
        <w:rPr>
          <w:rFonts w:cs="Times New Roman"/>
          <w:bCs/>
        </w:rPr>
        <w:fldChar w:fldCharType="end"/>
      </w:r>
      <w:r w:rsidR="00BE1AF2">
        <w:rPr>
          <w:rFonts w:cs="Times New Roman"/>
          <w:bCs/>
        </w:rPr>
        <w:t xml:space="preserve"> </w:t>
      </w:r>
      <w:r w:rsidRPr="007C119E">
        <w:rPr>
          <w:rFonts w:cs="Times New Roman"/>
          <w:bCs/>
        </w:rPr>
        <w:t xml:space="preserve">highlights that SLs are also important for the detection of available soil volume as the SL biosynthesis mutant </w:t>
      </w:r>
      <w:r w:rsidRPr="007C119E">
        <w:rPr>
          <w:rFonts w:cs="Times New Roman"/>
          <w:bCs/>
          <w:i/>
          <w:iCs/>
        </w:rPr>
        <w:t>rms1</w:t>
      </w:r>
      <w:r w:rsidRPr="007C119E">
        <w:rPr>
          <w:rFonts w:cs="Times New Roman"/>
          <w:bCs/>
        </w:rPr>
        <w:t xml:space="preserve"> is unable to detect and respond to additional soil volume</w:t>
      </w:r>
      <w:r w:rsidR="00E62C8B">
        <w:rPr>
          <w:rFonts w:cs="Times New Roman"/>
          <w:bCs/>
        </w:rPr>
        <w:t xml:space="preserve"> (Fig. 5.5)</w:t>
      </w:r>
      <w:r w:rsidRPr="007C119E">
        <w:rPr>
          <w:rFonts w:cs="Times New Roman"/>
          <w:bCs/>
        </w:rPr>
        <w:t xml:space="preserve">. This could suggest that exuded SL could act as the early-acting ‘soil volume sensing signal’ (SVS), preventing overzealous shoot growth in small soil volumes or neighbour dense environments </w:t>
      </w:r>
      <w:r w:rsidRPr="007C119E">
        <w:rPr>
          <w:rFonts w:cs="Times New Roman"/>
          <w:bCs/>
        </w:rPr>
        <w:fldChar w:fldCharType="begin" w:fldLock="1"/>
      </w:r>
      <w:r w:rsidRPr="007C119E">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sidRPr="007C119E">
        <w:rPr>
          <w:rFonts w:ascii="Cambria Math" w:hAnsi="Cambria Math" w:cs="Cambria Math"/>
          <w:bCs/>
        </w:rPr>
        <w:instrText>‐</w:instrText>
      </w:r>
      <w:r w:rsidRPr="007C119E">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sidRPr="007C119E">
        <w:rPr>
          <w:rFonts w:cs="Times New Roman"/>
          <w:bCs/>
        </w:rPr>
        <w:fldChar w:fldCharType="separate"/>
      </w:r>
      <w:r w:rsidRPr="007C119E">
        <w:rPr>
          <w:rFonts w:cs="Times New Roman"/>
          <w:bCs/>
          <w:noProof/>
        </w:rPr>
        <w:t>(Wheeldon et al., 2021)</w:t>
      </w:r>
      <w:r w:rsidRPr="007C119E">
        <w:rPr>
          <w:rFonts w:cs="Times New Roman"/>
          <w:bCs/>
        </w:rPr>
        <w:fldChar w:fldCharType="end"/>
      </w:r>
      <w:r w:rsidRPr="007C119E">
        <w:rPr>
          <w:rFonts w:cs="Times New Roman"/>
          <w:bCs/>
        </w:rPr>
        <w:t xml:space="preserve">. There are similarities between the activities of SLs in </w:t>
      </w:r>
      <w:r w:rsidR="00DF7555">
        <w:rPr>
          <w:rFonts w:cs="Times New Roman"/>
          <w:bCs/>
        </w:rPr>
        <w:t xml:space="preserve">sections </w:t>
      </w:r>
      <w:r w:rsidRPr="007C119E">
        <w:rPr>
          <w:rFonts w:cs="Times New Roman"/>
          <w:bCs/>
        </w:rPr>
        <w:t>5.</w:t>
      </w:r>
      <w:r w:rsidR="00347B12">
        <w:rPr>
          <w:rFonts w:cs="Times New Roman"/>
          <w:bCs/>
        </w:rPr>
        <w:t>2</w:t>
      </w:r>
      <w:r w:rsidRPr="007C119E">
        <w:rPr>
          <w:rFonts w:cs="Times New Roman"/>
          <w:bCs/>
        </w:rPr>
        <w:t xml:space="preserve"> and SVS in 4.</w:t>
      </w:r>
      <w:r w:rsidR="00347B12">
        <w:rPr>
          <w:rFonts w:cs="Times New Roman"/>
          <w:bCs/>
        </w:rPr>
        <w:t>3</w:t>
      </w:r>
      <w:r w:rsidRPr="007C119E">
        <w:rPr>
          <w:rFonts w:cs="Times New Roman"/>
          <w:bCs/>
        </w:rPr>
        <w:t>, as both appear to mainly affect the shoot system with this becoming apparent within the first month post germination</w:t>
      </w:r>
      <w:r w:rsidR="000A05B5">
        <w:rPr>
          <w:rFonts w:cs="Times New Roman"/>
          <w:bCs/>
        </w:rPr>
        <w:t xml:space="preserve"> in both wheat and pea</w:t>
      </w:r>
      <w:r w:rsidRPr="007C119E">
        <w:rPr>
          <w:rFonts w:cs="Times New Roman"/>
          <w:bCs/>
        </w:rPr>
        <w:t>. Early shoot growth changes as a result of SL/SVS allow the plant to match their growth to their available space</w:t>
      </w:r>
      <w:r w:rsidR="00C60D55">
        <w:rPr>
          <w:rFonts w:cs="Times New Roman"/>
          <w:bCs/>
        </w:rPr>
        <w:t>,</w:t>
      </w:r>
      <w:r w:rsidRPr="007C119E">
        <w:rPr>
          <w:rFonts w:cs="Times New Roman"/>
          <w:bCs/>
        </w:rPr>
        <w:t xml:space="preserve"> which is beneficial throughout life. Many studies have discussed the depletion of soil resources in neighbour-dense scenarios</w:t>
      </w:r>
      <w:r w:rsidR="005E10C7">
        <w:rPr>
          <w:rFonts w:cs="Times New Roman"/>
          <w:bCs/>
        </w:rPr>
        <w:t xml:space="preserve"> (e.g.</w:t>
      </w:r>
      <w:r w:rsidRPr="007C119E">
        <w:rPr>
          <w:rFonts w:cs="Times New Roman"/>
          <w:bCs/>
        </w:rPr>
        <w:t xml:space="preserve"> </w:t>
      </w:r>
      <w:r w:rsidRPr="007C119E">
        <w:rPr>
          <w:rFonts w:cs="Times New Roman"/>
          <w:bCs/>
        </w:rPr>
        <w:fldChar w:fldCharType="begin" w:fldLock="1"/>
      </w:r>
      <w:r w:rsidRPr="007C119E">
        <w:rPr>
          <w:rFonts w:cs="Times New Roman"/>
          <w:bCs/>
        </w:rPr>
        <w:instrText>ADDIN CSL_CITATION {"citationItems":[{"id":"ITEM-1","itemData":{"DOI":"10.1111/pce.13965","ISSN":"0140-7791","author":[{"dropping-particle":"","family":"Bilas","given":"Roza D.","non-dropping-particle":"","parse-names":false,"suffix":""},{"dropping-particle":"","family":"Bretman","given":"Amanda","non-dropping-particle":"","parse-names":false,"suffix":""},{"dropping-particle":"","family":"Bennett","given":"Tom","non-dropping-particle":"","parse-names":false,"suffix":""}],"container-title":"Plant, Cell &amp; Environment","id":"ITEM-1","issue":"4","issued":{"date-parts":[["2021","4","15"]]},"page":"997-1013","title":"Friends, neighbours and enemies: an overview of the communal and social biology of plants","type":"article-journal","volume":"44"},"uris":["http://www.mendeley.com/documents/?uuid=6f5d77a1-17e6-4994-9d2e-af28f1a99d3c"]}],"mendeley":{"formattedCitation":"(Bilas et al., 2021)","plainTextFormattedCitation":"(Bilas et al., 2021)","previouslyFormattedCitation":"(Bilas et al., 2021)"},"properties":{"noteIndex":0},"schema":"https://github.com/citation-style-language/schema/raw/master/csl-citation.json"}</w:instrText>
      </w:r>
      <w:r w:rsidRPr="007C119E">
        <w:rPr>
          <w:rFonts w:cs="Times New Roman"/>
          <w:bCs/>
        </w:rPr>
        <w:fldChar w:fldCharType="separate"/>
      </w:r>
      <w:r w:rsidRPr="007C119E">
        <w:rPr>
          <w:rFonts w:cs="Times New Roman"/>
          <w:bCs/>
          <w:noProof/>
        </w:rPr>
        <w:t>(Bilas et al., 2021)</w:t>
      </w:r>
      <w:r w:rsidRPr="007C119E">
        <w:rPr>
          <w:rFonts w:cs="Times New Roman"/>
          <w:bCs/>
        </w:rPr>
        <w:fldChar w:fldCharType="end"/>
      </w:r>
      <w:r w:rsidR="005E10C7">
        <w:rPr>
          <w:rFonts w:cs="Times New Roman"/>
          <w:bCs/>
        </w:rPr>
        <w:t>)</w:t>
      </w:r>
      <w:r w:rsidRPr="007C119E">
        <w:rPr>
          <w:rFonts w:cs="Times New Roman"/>
          <w:bCs/>
        </w:rPr>
        <w:t xml:space="preserve">, and hence perception of SL/SVS can be beneficial here too, ensuring there are enough soil resources for </w:t>
      </w:r>
      <w:r w:rsidR="00184C10" w:rsidRPr="00DD1E09">
        <w:rPr>
          <w:rFonts w:cs="Times New Roman"/>
          <w:bCs/>
        </w:rPr>
        <w:t>future plant growth</w:t>
      </w:r>
      <w:r w:rsidRPr="00DD1E09">
        <w:rPr>
          <w:rFonts w:cs="Times New Roman"/>
          <w:bCs/>
        </w:rPr>
        <w:t>.</w:t>
      </w:r>
      <w:r w:rsidRPr="007C119E">
        <w:rPr>
          <w:rFonts w:cs="Times New Roman"/>
          <w:bCs/>
        </w:rPr>
        <w:t xml:space="preserve"> </w:t>
      </w:r>
    </w:p>
    <w:p w14:paraId="5E70A015" w14:textId="77777777" w:rsidR="00E804B0" w:rsidRPr="00BA1C22" w:rsidRDefault="00E804B0" w:rsidP="00E804B0">
      <w:pPr>
        <w:numPr>
          <w:ilvl w:val="1"/>
          <w:numId w:val="0"/>
        </w:numPr>
        <w:spacing w:before="160" w:line="480" w:lineRule="auto"/>
        <w:outlineLvl w:val="1"/>
        <w:rPr>
          <w:rFonts w:cs="Times New Roman"/>
          <w:bCs/>
          <w:color w:val="00B050"/>
        </w:rPr>
      </w:pPr>
    </w:p>
    <w:p w14:paraId="21BA2EAE" w14:textId="77777777" w:rsidR="00E804B0" w:rsidRPr="00C14BB2" w:rsidRDefault="00E804B0" w:rsidP="00E804B0">
      <w:pPr>
        <w:numPr>
          <w:ilvl w:val="1"/>
          <w:numId w:val="0"/>
        </w:numPr>
        <w:spacing w:before="160" w:line="480" w:lineRule="auto"/>
        <w:outlineLvl w:val="1"/>
        <w:rPr>
          <w:rFonts w:cs="Times New Roman"/>
          <w:bCs/>
          <w:u w:val="single"/>
        </w:rPr>
      </w:pPr>
      <w:r w:rsidRPr="00C14BB2">
        <w:rPr>
          <w:rFonts w:cs="Times New Roman"/>
          <w:bCs/>
          <w:u w:val="single"/>
        </w:rPr>
        <w:t>Strigolactone is not the only root exudate involved in neighbour detection</w:t>
      </w:r>
    </w:p>
    <w:p w14:paraId="7E9D9602" w14:textId="779C060C" w:rsidR="00E804B0" w:rsidRPr="00C14BB2" w:rsidRDefault="00E804B0" w:rsidP="00E804B0">
      <w:pPr>
        <w:numPr>
          <w:ilvl w:val="1"/>
          <w:numId w:val="0"/>
        </w:numPr>
        <w:spacing w:before="160" w:line="480" w:lineRule="auto"/>
        <w:outlineLvl w:val="1"/>
        <w:rPr>
          <w:rFonts w:cs="Times New Roman"/>
          <w:bCs/>
        </w:rPr>
      </w:pPr>
      <w:r w:rsidRPr="00C14BB2">
        <w:rPr>
          <w:rFonts w:cs="Times New Roman"/>
          <w:bCs/>
        </w:rPr>
        <w:t xml:space="preserve">SL/SVS acts early in plant life, however it is clear that this cannot be the only neighbour detection mechanism utilised by plants. In addition, </w:t>
      </w:r>
      <w:r w:rsidR="006E41FC">
        <w:rPr>
          <w:rFonts w:cs="Times New Roman"/>
          <w:bCs/>
        </w:rPr>
        <w:t xml:space="preserve">section </w:t>
      </w:r>
      <w:r w:rsidRPr="00C14BB2">
        <w:rPr>
          <w:rFonts w:cs="Times New Roman"/>
          <w:bCs/>
        </w:rPr>
        <w:t>5.</w:t>
      </w:r>
      <w:r w:rsidR="006E41FC">
        <w:rPr>
          <w:rFonts w:cs="Times New Roman"/>
          <w:bCs/>
        </w:rPr>
        <w:t>2</w:t>
      </w:r>
      <w:r w:rsidRPr="00C14BB2">
        <w:rPr>
          <w:rFonts w:cs="Times New Roman"/>
          <w:bCs/>
        </w:rPr>
        <w:t xml:space="preserve"> suggests that another root exuded chemical is involved in growth responses to neighbouring plants later in life. Although </w:t>
      </w:r>
      <w:r w:rsidRPr="00C14BB2">
        <w:rPr>
          <w:rFonts w:cs="Times New Roman"/>
          <w:bCs/>
          <w:i/>
          <w:iCs/>
        </w:rPr>
        <w:t>rms1</w:t>
      </w:r>
      <w:r w:rsidRPr="00C14BB2">
        <w:rPr>
          <w:rFonts w:cs="Times New Roman"/>
          <w:bCs/>
        </w:rPr>
        <w:t xml:space="preserve"> plants do not detect neighbours in their first few weeks of growth (Fig 5.1A), a shift is seen after 5 weeks where crowded and uncrowded plants diverge in their shoot production. In </w:t>
      </w:r>
      <w:r w:rsidR="007661C3">
        <w:rPr>
          <w:rFonts w:cs="Times New Roman"/>
          <w:bCs/>
        </w:rPr>
        <w:t>section</w:t>
      </w:r>
      <w:r w:rsidRPr="00C14BB2">
        <w:rPr>
          <w:rFonts w:cs="Times New Roman"/>
          <w:bCs/>
        </w:rPr>
        <w:t xml:space="preserve"> 4.</w:t>
      </w:r>
      <w:r w:rsidR="007661C3">
        <w:rPr>
          <w:rFonts w:cs="Times New Roman"/>
          <w:bCs/>
        </w:rPr>
        <w:t>3</w:t>
      </w:r>
      <w:r w:rsidRPr="00C14BB2">
        <w:rPr>
          <w:rFonts w:cs="Times New Roman"/>
          <w:bCs/>
        </w:rPr>
        <w:t>, I proposed that later in plant life</w:t>
      </w:r>
      <w:r w:rsidR="007661C3">
        <w:rPr>
          <w:rFonts w:cs="Times New Roman"/>
          <w:bCs/>
        </w:rPr>
        <w:t>,</w:t>
      </w:r>
      <w:r w:rsidRPr="00C14BB2">
        <w:rPr>
          <w:rFonts w:cs="Times New Roman"/>
          <w:bCs/>
        </w:rPr>
        <w:t xml:space="preserve"> a second root </w:t>
      </w:r>
      <w:r w:rsidRPr="00C14BB2">
        <w:rPr>
          <w:rFonts w:cs="Times New Roman"/>
          <w:bCs/>
        </w:rPr>
        <w:lastRenderedPageBreak/>
        <w:t>exudate based mechanism is deployed</w:t>
      </w:r>
      <w:r w:rsidR="007661C3">
        <w:rPr>
          <w:rFonts w:cs="Times New Roman"/>
          <w:bCs/>
        </w:rPr>
        <w:t>,</w:t>
      </w:r>
      <w:r w:rsidRPr="00C14BB2">
        <w:rPr>
          <w:rFonts w:cs="Times New Roman"/>
          <w:bCs/>
        </w:rPr>
        <w:t xml:space="preserve"> where the density of roots present in the pot become</w:t>
      </w:r>
      <w:r w:rsidR="00B9794B">
        <w:rPr>
          <w:rFonts w:cs="Times New Roman"/>
          <w:bCs/>
        </w:rPr>
        <w:t>s</w:t>
      </w:r>
      <w:r w:rsidRPr="00C14BB2">
        <w:rPr>
          <w:rFonts w:cs="Times New Roman"/>
          <w:bCs/>
        </w:rPr>
        <w:t xml:space="preserve"> important and affects both shoot and root growth </w:t>
      </w:r>
      <w:r w:rsidRPr="00C14BB2">
        <w:rPr>
          <w:rFonts w:cs="Times New Roman"/>
          <w:bCs/>
        </w:rPr>
        <w:fldChar w:fldCharType="begin" w:fldLock="1"/>
      </w:r>
      <w:r w:rsidRPr="00C14BB2">
        <w:rPr>
          <w:rFonts w:cs="Times New Roman"/>
          <w:bCs/>
        </w:rPr>
        <w:instrText>ADDIN CSL_CITATION {"citationItems":[{"id":"ITEM-1","itemData":{"DOI":"10.1111/pce.13984","ISSN":"0140-7791","author":[{"dropping-particle":"","family":"Wheeldon","given":"Cara D","non-dropping-particle":"","parse-names":false,"suffix":""},{"dropping-particle":"","family":"Walker","given":"Catriona H","non-dropping-particle":"","parse-names":false,"suffix":""},{"dropping-particle":"","family":"Hamon</w:instrText>
      </w:r>
      <w:r w:rsidRPr="00C14BB2">
        <w:rPr>
          <w:rFonts w:ascii="Cambria Math" w:hAnsi="Cambria Math" w:cs="Cambria Math"/>
          <w:bCs/>
        </w:rPr>
        <w:instrText>‐</w:instrText>
      </w:r>
      <w:r w:rsidRPr="00C14BB2">
        <w:rPr>
          <w:rFonts w:cs="Times New Roman"/>
          <w:bCs/>
        </w:rPr>
        <w:instrText>Josse","given":"Maxime","non-dropping-particle":"","parse-names":false,"suffix":""},{"dropping-particle":"","family":"Bennett","given":"Tom","non-dropping-particle":"","parse-names":false,"suffix":""}],"container-title":"Plant, Cell &amp; Environment","id":"ITEM-1","issue":"4","issued":{"date-parts":[["2021","4","28"]]},"page":"1202-1214","title":"Wheat plants sense substrate volume and root density to proactively modulate shoot growth","type":"article-journal","volume":"44"},"uris":["http://www.mendeley.com/documents/?uuid=200be814-3ef5-4201-a391-cd31372066ca"]}],"mendeley":{"formattedCitation":"(Wheeldon et al., 2021)","plainTextFormattedCitation":"(Wheeldon et al., 2021)","previouslyFormattedCitation":"(Wheeldon et al., 2021)"},"properties":{"noteIndex":0},"schema":"https://github.com/citation-style-language/schema/raw/master/csl-citation.json"}</w:instrText>
      </w:r>
      <w:r w:rsidRPr="00C14BB2">
        <w:rPr>
          <w:rFonts w:cs="Times New Roman"/>
          <w:bCs/>
        </w:rPr>
        <w:fldChar w:fldCharType="separate"/>
      </w:r>
      <w:r w:rsidRPr="00C14BB2">
        <w:rPr>
          <w:rFonts w:cs="Times New Roman"/>
          <w:bCs/>
          <w:noProof/>
        </w:rPr>
        <w:t>(Wheeldon et al., 2021)</w:t>
      </w:r>
      <w:r w:rsidRPr="00C14BB2">
        <w:rPr>
          <w:rFonts w:cs="Times New Roman"/>
          <w:bCs/>
        </w:rPr>
        <w:fldChar w:fldCharType="end"/>
      </w:r>
      <w:r w:rsidRPr="00C14BB2">
        <w:rPr>
          <w:rFonts w:cs="Times New Roman"/>
          <w:bCs/>
        </w:rPr>
        <w:t xml:space="preserve">. Therefore, </w:t>
      </w:r>
      <w:r w:rsidRPr="00C14BB2">
        <w:rPr>
          <w:rFonts w:cs="Times New Roman"/>
          <w:bCs/>
          <w:i/>
          <w:iCs/>
        </w:rPr>
        <w:t>rms1</w:t>
      </w:r>
      <w:r w:rsidRPr="00C14BB2">
        <w:rPr>
          <w:rFonts w:cs="Times New Roman"/>
          <w:bCs/>
        </w:rPr>
        <w:t xml:space="preserve"> plants could begin to initiate this second phase after 5 weeks, which could explain the increase in shoot branching from this point in 1/pot grown plants (Fig 5.1A) </w:t>
      </w:r>
      <w:r w:rsidRPr="00C14BB2">
        <w:rPr>
          <w:rFonts w:cs="Times New Roman"/>
          <w:bCs/>
        </w:rPr>
        <w:fldChar w:fldCharType="begin" w:fldLock="1"/>
      </w:r>
      <w:r w:rsidRPr="00C14BB2">
        <w:rPr>
          <w:rFonts w:cs="Times New Roman"/>
          <w:bCs/>
        </w:rPr>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pea","type":"article-journal","volume":"32"},"uris":["http://www.mendeley.com/documents/?uuid=7883806e-2a76-4f53-bb1a-22950167e6e2"]}],"mendeley":{"formattedCitation":"(Wheeldon et al., 2022)","plainTextFormattedCitation":"(Wheeldon et al., 2022)","previouslyFormattedCitation":"(Wheeldon et al., 2022)"},"properties":{"noteIndex":0},"schema":"https://github.com/citation-style-language/schema/raw/master/csl-citation.json"}</w:instrText>
      </w:r>
      <w:r w:rsidRPr="00C14BB2">
        <w:rPr>
          <w:rFonts w:cs="Times New Roman"/>
          <w:bCs/>
        </w:rPr>
        <w:fldChar w:fldCharType="separate"/>
      </w:r>
      <w:r w:rsidRPr="00C14BB2">
        <w:rPr>
          <w:rFonts w:cs="Times New Roman"/>
          <w:bCs/>
          <w:noProof/>
        </w:rPr>
        <w:t>(Wheeldon et al., 2022)</w:t>
      </w:r>
      <w:r w:rsidRPr="00C14BB2">
        <w:rPr>
          <w:rFonts w:cs="Times New Roman"/>
          <w:bCs/>
        </w:rPr>
        <w:fldChar w:fldCharType="end"/>
      </w:r>
      <w:r w:rsidRPr="00C14BB2">
        <w:rPr>
          <w:rFonts w:cs="Times New Roman"/>
          <w:bCs/>
        </w:rPr>
        <w:t>. The identity of this second signal remains unknown, as discussed in Chapter 4.</w:t>
      </w:r>
    </w:p>
    <w:p w14:paraId="7E90D1E5" w14:textId="2D6DF766" w:rsidR="00E804B0" w:rsidRDefault="00E804B0" w:rsidP="00E804B0">
      <w:pPr>
        <w:numPr>
          <w:ilvl w:val="1"/>
          <w:numId w:val="0"/>
        </w:numPr>
        <w:spacing w:before="160" w:line="480" w:lineRule="auto"/>
        <w:outlineLvl w:val="1"/>
        <w:rPr>
          <w:rFonts w:cs="Times New Roman"/>
          <w:bCs/>
        </w:rPr>
      </w:pPr>
      <w:r>
        <w:rPr>
          <w:rFonts w:cs="Times New Roman"/>
          <w:bCs/>
        </w:rPr>
        <w:t>This idea</w:t>
      </w:r>
      <w:r w:rsidR="00B9794B">
        <w:rPr>
          <w:rFonts w:cs="Times New Roman"/>
          <w:bCs/>
        </w:rPr>
        <w:t xml:space="preserve"> of an </w:t>
      </w:r>
      <w:r w:rsidR="000C7F17">
        <w:rPr>
          <w:rFonts w:cs="Times New Roman"/>
          <w:bCs/>
        </w:rPr>
        <w:t>S</w:t>
      </w:r>
      <w:r w:rsidR="00B9794B">
        <w:rPr>
          <w:rFonts w:cs="Times New Roman"/>
          <w:bCs/>
        </w:rPr>
        <w:t>L independent</w:t>
      </w:r>
      <w:r w:rsidR="000C7F17">
        <w:rPr>
          <w:rFonts w:cs="Times New Roman"/>
          <w:bCs/>
        </w:rPr>
        <w:t xml:space="preserve"> RDS signal, </w:t>
      </w:r>
      <w:r>
        <w:rPr>
          <w:rFonts w:cs="Times New Roman"/>
          <w:bCs/>
        </w:rPr>
        <w:t xml:space="preserve">is also supported by the behaviour of Arabidopsis, discussed in </w:t>
      </w:r>
      <w:r w:rsidRPr="00ED3002">
        <w:rPr>
          <w:rFonts w:cs="Times New Roman"/>
          <w:bCs/>
        </w:rPr>
        <w:t>chapter 4 section 4.2.3</w:t>
      </w:r>
      <w:r w:rsidR="000E62FF">
        <w:rPr>
          <w:rFonts w:cs="Times New Roman"/>
          <w:bCs/>
        </w:rPr>
        <w:t>.</w:t>
      </w:r>
      <w:r>
        <w:rPr>
          <w:rFonts w:cs="Times New Roman"/>
          <w:bCs/>
        </w:rPr>
        <w:t xml:space="preserve">  </w:t>
      </w:r>
      <w:r w:rsidRPr="00ED3002">
        <w:rPr>
          <w:rFonts w:cs="Times New Roman"/>
          <w:bCs/>
        </w:rPr>
        <w:t xml:space="preserve">Research has identified that the Brassicaceae have lost most of their ability to exude SL </w:t>
      </w:r>
      <w:r w:rsidRPr="00ED3002">
        <w:rPr>
          <w:rFonts w:cs="Times New Roman"/>
          <w:bCs/>
        </w:rPr>
        <w:fldChar w:fldCharType="begin" w:fldLock="1"/>
      </w:r>
      <w:r w:rsidRPr="00ED3002">
        <w:rPr>
          <w:rFonts w:cs="Times New Roman"/>
          <w:bCs/>
        </w:rPr>
        <w:instrText>ADDIN CSL_CITATION {"citationItems":[{"id":"ITEM-1","itemData":{"DOI":"10.1038/nature10873","ISSN":"00280836","abstract":"Strigolactones were originally identified as stimulators of the germination of root-parasitic weeds that pose a serious threat to resource-limited agriculture. They are mostly exuded from roots and function as signalling compounds in the initiation of arbuscular mycorrhizae, which are plant-fungus symbionts with a global effect on carbon and phosphate cycling. Recently, strigolactones were established to be phytohormones that regulate plant shoot architecture by inhibiting the outgrowth of axillary buds. Despite their importance, it is not known how strigolactones are transported. ATP-binding cassette (ABC) transporters, however, are known to have functions in phytohormone translocation. Here we show that the Petunia hybrida ABC transporter PDR1 has a key role in regulating the development of arbuscular mycorrhizae and axillary branches, by functioning as a cellular strigolactone exporter. P. hybrida pdr1 mutants are defective in strigolactone exudation from their roots, resulting in reduced symbiotic interactions. Above ground, pdr1 mutants have an enhanced branching phenotype, which is indicative of impaired strigolactone allocation. Overexpression of Petunia axillaris PDR1 in Arabidopsis thaliana results in increased tolerance to high concentrations of a synthetic strigolactone, consistent with increased export of strigolactones from the roots. PDR1 is the first known component in strigolactone transport, providing new opportunities for investigating and manipulating strigolactone-dependent processes. ©2012 Macmillan Publishers Limited. All rights reserved.","author":[{"dropping-particle":"","family":"Kretzschmar","given":"Tobias","non-dropping-particle":"","parse-names":false,"suffix":""},{"dropping-particle":"","family":"Kohlen","given":"Wouter","non-dropping-particle":"","parse-names":false,"suffix":""},{"dropping-particle":"","family":"Sasse","given":"Joelle","non-dropping-particle":"","parse-names":false,"suffix":""},{"dropping-particle":"","family":"Borghi","given":"Lorenzo","non-dropping-particle":"","parse-names":false,"suffix":""},{"dropping-particle":"","family":"Schlegel","given":"Markus","non-dropping-particle":"","parse-names":false,"suffix":""},{"dropping-particle":"","family":"Bachelier","given":"Julien B.","non-dropping-particle":"","parse-names":false,"suffix":""},{"dropping-particle":"","family":"Reinhardt","given":"Didier","non-dropping-particle":"","parse-names":false,"suffix":""},{"dropping-particle":"","family":"Bours","given":"Ralph","non-dropping-particle":"","parse-names":false,"suffix":""},{"dropping-particle":"","family":"Bouwmeester","given":"Harro J.","non-dropping-particle":"","parse-names":false,"suffix":""},{"dropping-particle":"","family":"Martinoia","given":"Enrico","non-dropping-particle":"","parse-names":false,"suffix":""}],"container-title":"Nature","id":"ITEM-1","issue":"7389","issued":{"date-parts":[["2012","3","15"]]},"page":"341-344","title":"A petunia ABC protein controls strigolactone-dependent symbiotic signalling and branching","type":"article-journal","volume":"483"},"uris":["http://www.mendeley.com/documents/?uuid=ca351854-37ab-3655-b35d-ba24d25a9e8b"]}],"mendeley":{"formattedCitation":"(Kretzschmar et al., 2012)","plainTextFormattedCitation":"(Kretzschmar et al., 2012)","previouslyFormattedCitation":"(Kretzschmar et al., 2012)"},"properties":{"noteIndex":0},"schema":"https://github.com/citation-style-language/schema/raw/master/csl-citation.json"}</w:instrText>
      </w:r>
      <w:r w:rsidRPr="00ED3002">
        <w:rPr>
          <w:rFonts w:cs="Times New Roman"/>
          <w:bCs/>
        </w:rPr>
        <w:fldChar w:fldCharType="separate"/>
      </w:r>
      <w:r w:rsidRPr="00ED3002">
        <w:rPr>
          <w:rFonts w:cs="Times New Roman"/>
          <w:bCs/>
          <w:noProof/>
        </w:rPr>
        <w:t>(Kretzschmar et al., 2012)</w:t>
      </w:r>
      <w:r w:rsidRPr="00ED3002">
        <w:rPr>
          <w:rFonts w:cs="Times New Roman"/>
          <w:bCs/>
        </w:rPr>
        <w:fldChar w:fldCharType="end"/>
      </w:r>
      <w:r>
        <w:rPr>
          <w:rFonts w:cs="Times New Roman"/>
          <w:bCs/>
        </w:rPr>
        <w:t xml:space="preserve">, </w:t>
      </w:r>
      <w:r w:rsidRPr="00ED3002">
        <w:rPr>
          <w:rFonts w:cs="Times New Roman"/>
          <w:bCs/>
        </w:rPr>
        <w:t>however it is clear that they are still able to detect and respond to other plants in their environment</w:t>
      </w:r>
      <w:r w:rsidR="000E62FF">
        <w:rPr>
          <w:rFonts w:cs="Times New Roman"/>
          <w:bCs/>
        </w:rPr>
        <w:t xml:space="preserve"> (</w:t>
      </w:r>
      <w:r w:rsidR="000E62FF" w:rsidRPr="00ED3002">
        <w:rPr>
          <w:rFonts w:cs="Times New Roman"/>
          <w:bCs/>
        </w:rPr>
        <w:t>section 4.2.3</w:t>
      </w:r>
      <w:r w:rsidR="00423DA8">
        <w:rPr>
          <w:rFonts w:cs="Times New Roman"/>
          <w:bCs/>
        </w:rPr>
        <w:t>)</w:t>
      </w:r>
      <w:r w:rsidRPr="00ED3002">
        <w:rPr>
          <w:rFonts w:cs="Times New Roman"/>
          <w:bCs/>
        </w:rPr>
        <w:t>.</w:t>
      </w:r>
      <w:r>
        <w:rPr>
          <w:rFonts w:cs="Times New Roman"/>
          <w:bCs/>
        </w:rPr>
        <w:t xml:space="preserve"> </w:t>
      </w:r>
      <w:r w:rsidRPr="00ED3002">
        <w:rPr>
          <w:rFonts w:cs="Times New Roman"/>
          <w:bCs/>
        </w:rPr>
        <w:t>The</w:t>
      </w:r>
      <w:r>
        <w:rPr>
          <w:rFonts w:cs="Times New Roman"/>
          <w:bCs/>
        </w:rPr>
        <w:t xml:space="preserve"> Arabidopsis plants I grew </w:t>
      </w:r>
      <w:r w:rsidRPr="00ED3002">
        <w:rPr>
          <w:rFonts w:cs="Times New Roman"/>
          <w:bCs/>
        </w:rPr>
        <w:t xml:space="preserve">were </w:t>
      </w:r>
      <w:r>
        <w:rPr>
          <w:rFonts w:cs="Times New Roman"/>
          <w:bCs/>
        </w:rPr>
        <w:t xml:space="preserve">still </w:t>
      </w:r>
      <w:r w:rsidRPr="00ED3002">
        <w:rPr>
          <w:rFonts w:cs="Times New Roman"/>
          <w:bCs/>
        </w:rPr>
        <w:t>clearly able to detect and respond to the presence of other Arabidopsis plants in their belowground space</w:t>
      </w:r>
      <w:r>
        <w:rPr>
          <w:rFonts w:cs="Times New Roman"/>
          <w:bCs/>
        </w:rPr>
        <w:t>,</w:t>
      </w:r>
      <w:r w:rsidRPr="00ED3002">
        <w:rPr>
          <w:rFonts w:cs="Times New Roman"/>
          <w:bCs/>
        </w:rPr>
        <w:t xml:space="preserve"> even though SL exudation </w:t>
      </w:r>
      <w:r>
        <w:rPr>
          <w:rFonts w:cs="Times New Roman"/>
          <w:bCs/>
        </w:rPr>
        <w:t>is not present in the Brassicaceae</w:t>
      </w:r>
      <w:r w:rsidRPr="00ED3002">
        <w:rPr>
          <w:rFonts w:cs="Times New Roman"/>
          <w:bCs/>
        </w:rPr>
        <w:t xml:space="preserve">. Therefore, the second phase signal using root density </w:t>
      </w:r>
      <w:r>
        <w:rPr>
          <w:rFonts w:cs="Times New Roman"/>
          <w:bCs/>
        </w:rPr>
        <w:t xml:space="preserve">later in life might </w:t>
      </w:r>
      <w:r w:rsidRPr="00ED3002">
        <w:rPr>
          <w:rFonts w:cs="Times New Roman"/>
          <w:bCs/>
        </w:rPr>
        <w:t>explain the shoot</w:t>
      </w:r>
      <w:r>
        <w:rPr>
          <w:rFonts w:cs="Times New Roman"/>
          <w:bCs/>
        </w:rPr>
        <w:t xml:space="preserve"> growth</w:t>
      </w:r>
      <w:r w:rsidRPr="00ED3002">
        <w:rPr>
          <w:rFonts w:cs="Times New Roman"/>
          <w:bCs/>
        </w:rPr>
        <w:t xml:space="preserve"> differences between crowded and uncrowded </w:t>
      </w:r>
      <w:r>
        <w:rPr>
          <w:rFonts w:cs="Times New Roman"/>
          <w:bCs/>
        </w:rPr>
        <w:t xml:space="preserve">Arabidopsis </w:t>
      </w:r>
      <w:r w:rsidRPr="00ED3002">
        <w:rPr>
          <w:rFonts w:cs="Times New Roman"/>
          <w:bCs/>
        </w:rPr>
        <w:t xml:space="preserve">plants. </w:t>
      </w:r>
    </w:p>
    <w:p w14:paraId="14D1321C" w14:textId="77777777" w:rsidR="00E804B0" w:rsidRPr="00BA1C22" w:rsidRDefault="00E804B0" w:rsidP="00E804B0">
      <w:pPr>
        <w:numPr>
          <w:ilvl w:val="1"/>
          <w:numId w:val="0"/>
        </w:numPr>
        <w:spacing w:before="160" w:line="480" w:lineRule="auto"/>
        <w:outlineLvl w:val="1"/>
        <w:rPr>
          <w:rFonts w:cs="Times New Roman"/>
          <w:bCs/>
          <w:color w:val="00B050"/>
        </w:rPr>
      </w:pPr>
    </w:p>
    <w:p w14:paraId="387C0FA6" w14:textId="77777777" w:rsidR="00E804B0" w:rsidRPr="007D40B3" w:rsidRDefault="00E804B0" w:rsidP="00E804B0">
      <w:pPr>
        <w:numPr>
          <w:ilvl w:val="1"/>
          <w:numId w:val="0"/>
        </w:numPr>
        <w:spacing w:before="160" w:line="480" w:lineRule="auto"/>
        <w:outlineLvl w:val="1"/>
        <w:rPr>
          <w:rFonts w:cs="Times New Roman"/>
          <w:bCs/>
          <w:u w:val="single"/>
        </w:rPr>
      </w:pPr>
      <w:r w:rsidRPr="007D40B3">
        <w:rPr>
          <w:rFonts w:cs="Times New Roman"/>
          <w:bCs/>
          <w:u w:val="single"/>
        </w:rPr>
        <w:t>Future directions</w:t>
      </w:r>
    </w:p>
    <w:p w14:paraId="0A7124FB" w14:textId="21BFDAF1" w:rsidR="00E804B0" w:rsidRDefault="00E804B0" w:rsidP="00E804B0">
      <w:pPr>
        <w:numPr>
          <w:ilvl w:val="1"/>
          <w:numId w:val="0"/>
        </w:numPr>
        <w:spacing w:before="160" w:line="480" w:lineRule="auto"/>
        <w:outlineLvl w:val="1"/>
        <w:rPr>
          <w:rFonts w:cs="Times New Roman"/>
          <w:bCs/>
          <w:color w:val="00B050"/>
        </w:rPr>
      </w:pPr>
      <w:r w:rsidRPr="006D3AF3">
        <w:rPr>
          <w:rFonts w:cs="Times New Roman"/>
          <w:bCs/>
        </w:rPr>
        <w:t>Section 5.</w:t>
      </w:r>
      <w:r w:rsidR="00255AC5">
        <w:rPr>
          <w:rFonts w:cs="Times New Roman"/>
          <w:bCs/>
        </w:rPr>
        <w:t>2</w:t>
      </w:r>
      <w:r w:rsidRPr="006D3AF3">
        <w:rPr>
          <w:rFonts w:cs="Times New Roman"/>
          <w:bCs/>
        </w:rPr>
        <w:t xml:space="preserve"> identifies a new role of SLs in the soil environment, where they act as plant-to-plant signals, however many questions remain regarding the properties of these SL exudates, and how they regulate these interactions. SLs are water soluble, and rapidly-degraded at neutral pH, potentially making them short lived signalling molecules </w:t>
      </w:r>
      <w:r w:rsidRPr="006D3AF3">
        <w:rPr>
          <w:rFonts w:cs="Times New Roman"/>
          <w:bCs/>
        </w:rPr>
        <w:fldChar w:fldCharType="begin" w:fldLock="1"/>
      </w:r>
      <w:r w:rsidR="00672EFF">
        <w:rPr>
          <w:rFonts w:cs="Times New Roman"/>
          <w:bCs/>
        </w:rPr>
        <w:instrText>ADDIN CSL_CITATION {"citationItems":[{"id":"ITEM-1","itemData":{"DOI":"10.1093/jxb/ery090","abstract":"Strigolactones (SLs) can be classified into two structurally distinct groups: canonical and non-canonical SLs. Canonical SLs contain the ABCD ring system, and non-canonical SLs lack the A, B, or C ring but have the enol ether-D ring moiety, which is essential for biological activities. The simplest non-canonical SL is the SL biosynthetic intermediate carlactone. In plants, carlactone and its oxidized metabolites, such as carlactonoic acid and methyl carlactono-ate, are present in root and shoot tissues. In some plant species, including black oat (Avena strigosa), sunflower (Helianthus annuus), and maize (Zea mays), non-canonical SLs in the root exudates are major germination stimulants. Various plant species, such as tomato (Solanum lycopersicum), Arabidopsis, and poplar (Populus spp.), release car-lactonoic acid into the rhizosphere. These observations suggest that both canonical and non-canonical SLs act as host-recognition signals in the rhizosphere. In contrast, the limited distribution of canonical SLs in the plant kingdom, and the structure-specific and stereospecific transportation of canonical SLs from roots to shoots, suggest that plant hormones inhibiting shoot branching are not canonical SLs but, rather, are non-canonical SLs.","author":[{"dropping-particle":"","family":"Yoneyama","given":"Koichi","non-dropping-particle":"","parse-names":false,"suffix":""},{"dropping-particle":"","family":"Xie","given":"Xiaonan","non-dropping-particle":"","parse-names":false,"suffix":""},{"dropping-particle":"","family":"Yoneyama","given":"Kaori","non-dropping-particle":"","parse-names":false,"suffix":""},{"dropping-particle":"","family":"Kisugi","given":"Takaya","non-dropping-particle":"","parse-names":false,"suffix":""},{"dropping-particle":"","family":"Nomura","given":"Takahito","non-dropping-particle":"","parse-names":false,"suffix":""},{"dropping-particle":"","family":"Nakatani","given":"Yoshifumi","non-dropping-particle":"","parse-names":false,"suffix":""},{"dropping-particle":"","family":"Akiyama","given":"Kohki","non-dropping-particle":"","parse-names":false,"suffix":""},{"dropping-particle":"","family":"Mcerlean","given":"Christopher S P","non-dropping-particle":"","parse-names":false,"suffix":""}],"container-title":"Journal of Experimental Botany","id":"ITEM-1","issue":"9","issued":{"date-parts":[["2018"]]},"page":"2231-2239","title":"Which are the major players, canonical or non-canonical strigolactones?","type":"article-journal","volume":"69"},"uris":["http://www.mendeley.com/documents/?uuid=ac8d04da-660c-3ef2-b4fe-bd00d46dd4be"]},{"id":"ITEM-2","itemData":{"DOI":"10.1023/A:1026290508166","ISSN":"0032-079X","author":[{"dropping-particle":"","family":"Bertin","given":"Cecile","non-dropping-particle":"","parse-names":false,"suffix":""},{"dropping-particle":"","family":"Yang","given":"Xiaohan","non-dropping-particle":"","parse-names":false,"suffix":""},{"dropping-particle":"","family":"Weston","given":"Leslie A.","non-dropping-particle":"","parse-names":false,"suffix":""}],"container-title":"Plant and Soil","id":"ITEM-2","issue":"1","issued":{"date-parts":[["2003","9"]]},"page":"67-83","title":"The role of root exudates and allelochemicals in the rhizosphere","type":"article-journal","volume":"256"},"uris":["http://www.mendeley.com/documents/?uuid=d88c55f8-3e1e-4a96-b3c7-5584ea7d2acb"]}],"mendeley":{"formattedCitation":"(Bertin et al., 2003; Koichi Yoneyama et al., 2018)","plainTextFormattedCitation":"(Bertin et al., 2003; Koichi Yoneyama et al., 2018)","previouslyFormattedCitation":"(Bertin et al., 2003; Koichi Yoneyama et al., 2018)"},"properties":{"noteIndex":0},"schema":"https://github.com/citation-style-language/schema/raw/master/csl-citation.json"}</w:instrText>
      </w:r>
      <w:r w:rsidRPr="006D3AF3">
        <w:rPr>
          <w:rFonts w:cs="Times New Roman"/>
          <w:bCs/>
        </w:rPr>
        <w:fldChar w:fldCharType="separate"/>
      </w:r>
      <w:r w:rsidR="00672EFF" w:rsidRPr="00672EFF">
        <w:rPr>
          <w:rFonts w:cs="Times New Roman"/>
          <w:bCs/>
          <w:noProof/>
        </w:rPr>
        <w:t>(Bertin et al., 2003; Koichi Yoneyama et al., 2018)</w:t>
      </w:r>
      <w:r w:rsidRPr="006D3AF3">
        <w:rPr>
          <w:rFonts w:cs="Times New Roman"/>
          <w:bCs/>
        </w:rPr>
        <w:fldChar w:fldCharType="end"/>
      </w:r>
      <w:r w:rsidRPr="006D3AF3">
        <w:rPr>
          <w:rFonts w:cs="Times New Roman"/>
          <w:bCs/>
        </w:rPr>
        <w:t xml:space="preserve">. However, the rhizosphere tends to be rather acidic, which might increase the lifetime of SL molecules compared to bulk soil </w:t>
      </w:r>
      <w:r w:rsidRPr="006D3AF3">
        <w:rPr>
          <w:rFonts w:cs="Times New Roman"/>
          <w:bCs/>
        </w:rPr>
        <w:fldChar w:fldCharType="begin" w:fldLock="1"/>
      </w:r>
      <w:r w:rsidRPr="006D3AF3">
        <w:rPr>
          <w:rFonts w:cs="Times New Roman"/>
          <w:bCs/>
        </w:rPr>
        <w:instrText>ADDIN CSL_CITATION {"citationItems":[{"id":"ITEM-1","itemData":{"DOI":"10.1023/A:1026290508166","ISSN":"0032-079X","author":[{"dropping-particle":"","family":"Bertin","given":"Cecile","non-dropping-particle":"","parse-names":false,"suffix":""},{"dropping-particle":"","family":"Yang","given":"Xiaohan","non-dropping-particle":"","parse-names":false,"suffix":""},{"dropping-particle":"","family":"Weston","given":"Leslie A.","non-dropping-particle":"","parse-names":false,"suffix":""}],"container-title":"Plant and Soil","id":"ITEM-1","issue":"1","issued":{"date-parts":[["2003","9"]]},"page":"67-83","title":"The role of root exudates and allelochemicals in the rhizosphere","type":"article-journal","volume":"256"},"uris":["http://www.mendeley.com/documents/?uuid=d88c55f8-3e1e-4a96-b3c7-5584ea7d2acb"]}],"mendeley":{"formattedCitation":"(Bertin et al., 2003)","plainTextFormattedCitation":"(Bertin et al., 2003)","previouslyFormattedCitation":"(Bertin et al., 2003)"},"properties":{"noteIndex":0},"schema":"https://github.com/citation-style-language/schema/raw/master/csl-citation.json"}</w:instrText>
      </w:r>
      <w:r w:rsidRPr="006D3AF3">
        <w:rPr>
          <w:rFonts w:cs="Times New Roman"/>
          <w:bCs/>
        </w:rPr>
        <w:fldChar w:fldCharType="separate"/>
      </w:r>
      <w:r w:rsidRPr="006D3AF3">
        <w:rPr>
          <w:rFonts w:cs="Times New Roman"/>
          <w:bCs/>
          <w:noProof/>
        </w:rPr>
        <w:t xml:space="preserve">(Bertin et al., </w:t>
      </w:r>
      <w:r w:rsidRPr="006D3AF3">
        <w:rPr>
          <w:rFonts w:cs="Times New Roman"/>
          <w:bCs/>
          <w:noProof/>
        </w:rPr>
        <w:lastRenderedPageBreak/>
        <w:t>2003)</w:t>
      </w:r>
      <w:r w:rsidRPr="006D3AF3">
        <w:rPr>
          <w:rFonts w:cs="Times New Roman"/>
          <w:bCs/>
        </w:rPr>
        <w:fldChar w:fldCharType="end"/>
      </w:r>
      <w:r w:rsidRPr="006D3AF3">
        <w:rPr>
          <w:rFonts w:cs="Times New Roman"/>
          <w:bCs/>
        </w:rPr>
        <w:t xml:space="preserve">. This raises several questions; for instance, it is currently unknown how far SLs can travel in the soil before being degraded. In regard to SLs acting as germination stimulants for </w:t>
      </w:r>
      <w:r w:rsidRPr="006D3AF3">
        <w:rPr>
          <w:rFonts w:cs="Times New Roman"/>
          <w:bCs/>
          <w:i/>
          <w:iCs/>
        </w:rPr>
        <w:t>Striga asiatica</w:t>
      </w:r>
      <w:r w:rsidRPr="006D3AF3">
        <w:rPr>
          <w:rFonts w:cs="Times New Roman"/>
          <w:bCs/>
        </w:rPr>
        <w:t xml:space="preserve">, it has been suggested that the parasitic plant seeds must be within 4mm from the SL exuding host plant in order to germinate which suggests the distance of travel for this type of SL is limited </w:t>
      </w:r>
      <w:r w:rsidRPr="006D3AF3">
        <w:rPr>
          <w:rFonts w:cs="Times New Roman"/>
          <w:bCs/>
        </w:rPr>
        <w:fldChar w:fldCharType="begin" w:fldLock="1"/>
      </w:r>
      <w:r w:rsidR="00672EFF">
        <w:rPr>
          <w:rFonts w:cs="Times New Roman"/>
          <w:bCs/>
        </w:rPr>
        <w:instrText>ADDIN CSL_CITATION {"citationItems":[{"id":"ITEM-1","itemData":{"author":[{"dropping-particle":"","family":"Scott","given":"Peter.","non-dropping-particle":"","parse-names":false,"suffix":""}],"id":"ITEM-1","issued":{"date-parts":[["2008"]]},"number-of-pages":"103–112","publisher":"John Wiley &amp; Sons","publisher-place":"Chichester","title":"Physiology and behaviour of plants","type":"book"},"uris":["http://www.mendeley.com/documents/?uuid=d1153faa-8df4-4734-ba0f-7cb27abf35ec"]}],"mendeley":{"formattedCitation":"(Scott, 2008)","plainTextFormattedCitation":"(Scott, 2008)","previouslyFormattedCitation":"(Scott, 2008)"},"properties":{"noteIndex":0},"schema":"https://github.com/citation-style-language/schema/raw/master/csl-citation.json"}</w:instrText>
      </w:r>
      <w:r w:rsidRPr="006D3AF3">
        <w:rPr>
          <w:rFonts w:cs="Times New Roman"/>
          <w:bCs/>
        </w:rPr>
        <w:fldChar w:fldCharType="separate"/>
      </w:r>
      <w:r w:rsidRPr="006D3AF3">
        <w:rPr>
          <w:rFonts w:cs="Times New Roman"/>
          <w:bCs/>
          <w:noProof/>
        </w:rPr>
        <w:t>(Scott, 2008)</w:t>
      </w:r>
      <w:r w:rsidRPr="006D3AF3">
        <w:rPr>
          <w:rFonts w:cs="Times New Roman"/>
          <w:bCs/>
        </w:rPr>
        <w:fldChar w:fldCharType="end"/>
      </w:r>
      <w:r w:rsidRPr="006D3AF3">
        <w:rPr>
          <w:rFonts w:cs="Times New Roman"/>
          <w:bCs/>
        </w:rPr>
        <w:t xml:space="preserve">. Are plant-to-plant SLs able to travel reasonable distances through bulk soil, or are they only stable in the rhizosphere? If plant-to-plant SLs are only stable in the rhizosphere, this would suggest with the context of our previous findings that SLs can only influence neighbours when the rhizospheres of plants overlap. </w:t>
      </w:r>
    </w:p>
    <w:p w14:paraId="31A46436" w14:textId="085F7F41" w:rsidR="00E804B0" w:rsidRPr="00D00A04" w:rsidRDefault="00E804B0" w:rsidP="00E804B0">
      <w:pPr>
        <w:numPr>
          <w:ilvl w:val="1"/>
          <w:numId w:val="0"/>
        </w:numPr>
        <w:spacing w:before="160" w:line="480" w:lineRule="auto"/>
        <w:outlineLvl w:val="1"/>
        <w:rPr>
          <w:rFonts w:cs="Times New Roman"/>
          <w:bCs/>
        </w:rPr>
      </w:pPr>
      <w:r w:rsidRPr="00D00A04">
        <w:rPr>
          <w:rFonts w:cs="Times New Roman"/>
          <w:bCs/>
        </w:rPr>
        <w:t xml:space="preserve">It is clear that plants can uptake SLs from the environment, </w:t>
      </w:r>
      <w:r w:rsidR="00F418BA">
        <w:rPr>
          <w:rFonts w:cs="Times New Roman"/>
          <w:bCs/>
        </w:rPr>
        <w:t>however</w:t>
      </w:r>
      <w:r w:rsidRPr="00D00A04">
        <w:rPr>
          <w:rFonts w:cs="Times New Roman"/>
          <w:bCs/>
        </w:rPr>
        <w:t xml:space="preserve"> the identity of the SL importer remains a mystery</w:t>
      </w:r>
      <w:r w:rsidR="00F418BA">
        <w:rPr>
          <w:rFonts w:cs="Times New Roman"/>
          <w:bCs/>
        </w:rPr>
        <w:t>.</w:t>
      </w:r>
      <w:r w:rsidR="00B649F4">
        <w:rPr>
          <w:rFonts w:cs="Times New Roman"/>
          <w:bCs/>
        </w:rPr>
        <w:t xml:space="preserve"> </w:t>
      </w:r>
      <w:r w:rsidR="00F418BA" w:rsidRPr="004E7FCC">
        <w:rPr>
          <w:rFonts w:cs="Times New Roman"/>
          <w:bCs/>
        </w:rPr>
        <w:t>W</w:t>
      </w:r>
      <w:r w:rsidR="00B649F4" w:rsidRPr="004E7FCC">
        <w:rPr>
          <w:rFonts w:cs="Times New Roman"/>
          <w:bCs/>
        </w:rPr>
        <w:t>ork in section</w:t>
      </w:r>
      <w:r w:rsidR="00F947B0" w:rsidRPr="004E7FCC">
        <w:rPr>
          <w:rFonts w:cs="Times New Roman"/>
          <w:bCs/>
        </w:rPr>
        <w:t xml:space="preserve"> 5.3.1 suggests this could be </w:t>
      </w:r>
      <w:r w:rsidR="00F947B0" w:rsidRPr="004E7FCC">
        <w:rPr>
          <w:rFonts w:cs="Times New Roman"/>
          <w:bCs/>
          <w:i/>
          <w:iCs/>
        </w:rPr>
        <w:t>PDR10,</w:t>
      </w:r>
      <w:r w:rsidR="00F947B0">
        <w:rPr>
          <w:rFonts w:cs="Times New Roman"/>
          <w:bCs/>
        </w:rPr>
        <w:t xml:space="preserve"> </w:t>
      </w:r>
      <w:r w:rsidRPr="00D00A04">
        <w:rPr>
          <w:rFonts w:cs="Times New Roman"/>
          <w:bCs/>
        </w:rPr>
        <w:t xml:space="preserve">nevertheless </w:t>
      </w:r>
      <w:r w:rsidR="00720C30">
        <w:rPr>
          <w:rFonts w:cs="Times New Roman"/>
          <w:bCs/>
        </w:rPr>
        <w:t>understanding</w:t>
      </w:r>
      <w:r w:rsidR="00F418BA">
        <w:rPr>
          <w:rFonts w:cs="Times New Roman"/>
          <w:bCs/>
        </w:rPr>
        <w:t xml:space="preserve"> the iden</w:t>
      </w:r>
      <w:r w:rsidR="00720C30">
        <w:rPr>
          <w:rFonts w:cs="Times New Roman"/>
          <w:bCs/>
        </w:rPr>
        <w:t xml:space="preserve">tity of the SL importer </w:t>
      </w:r>
      <w:r w:rsidRPr="00D00A04">
        <w:rPr>
          <w:rFonts w:cs="Times New Roman"/>
          <w:bCs/>
        </w:rPr>
        <w:t>provides an exciting avenue for future exploration. Furthermore, the exact identity of the SLs involved in plant-plant interactions remains unknown</w:t>
      </w:r>
      <w:r w:rsidR="00692624">
        <w:rPr>
          <w:rFonts w:cs="Times New Roman"/>
          <w:bCs/>
        </w:rPr>
        <w:t xml:space="preserve">. </w:t>
      </w:r>
      <w:r w:rsidR="00692624" w:rsidRPr="004E7FCC">
        <w:rPr>
          <w:rFonts w:cs="Times New Roman"/>
          <w:bCs/>
        </w:rPr>
        <w:t>This could be tested by applying different types of SL to the root system</w:t>
      </w:r>
      <w:r w:rsidR="005962EC" w:rsidRPr="004E7FCC">
        <w:rPr>
          <w:rFonts w:cs="Times New Roman"/>
          <w:bCs/>
        </w:rPr>
        <w:t xml:space="preserve"> and assess</w:t>
      </w:r>
      <w:r w:rsidR="00372368" w:rsidRPr="004E7FCC">
        <w:rPr>
          <w:rFonts w:cs="Times New Roman"/>
          <w:bCs/>
        </w:rPr>
        <w:t>ing</w:t>
      </w:r>
      <w:r w:rsidR="005962EC" w:rsidRPr="004E7FCC">
        <w:rPr>
          <w:rFonts w:cs="Times New Roman"/>
          <w:bCs/>
        </w:rPr>
        <w:t xml:space="preserve"> the shoot based response of the plant. </w:t>
      </w:r>
      <w:r w:rsidR="007D678D" w:rsidRPr="004E7FCC">
        <w:rPr>
          <w:rFonts w:cs="Times New Roman"/>
          <w:bCs/>
        </w:rPr>
        <w:t xml:space="preserve">It would be expected that the plant-plant </w:t>
      </w:r>
      <w:r w:rsidR="000C02B2" w:rsidRPr="004E7FCC">
        <w:rPr>
          <w:rFonts w:cs="Times New Roman"/>
          <w:bCs/>
        </w:rPr>
        <w:t xml:space="preserve">interaction </w:t>
      </w:r>
      <w:r w:rsidR="007D678D" w:rsidRPr="004E7FCC">
        <w:rPr>
          <w:rFonts w:cs="Times New Roman"/>
          <w:bCs/>
        </w:rPr>
        <w:t>SL type would inhibit shoot</w:t>
      </w:r>
      <w:r w:rsidR="005A4972" w:rsidRPr="004E7FCC">
        <w:rPr>
          <w:rFonts w:cs="Times New Roman"/>
          <w:bCs/>
        </w:rPr>
        <w:t xml:space="preserve"> growth as described in Section </w:t>
      </w:r>
      <w:r w:rsidR="00372368" w:rsidRPr="004E7FCC">
        <w:rPr>
          <w:rFonts w:cs="Times New Roman"/>
          <w:bCs/>
        </w:rPr>
        <w:t>5.2.3.</w:t>
      </w:r>
      <w:r w:rsidR="00962F5D">
        <w:rPr>
          <w:rFonts w:cs="Times New Roman"/>
          <w:bCs/>
        </w:rPr>
        <w:t xml:space="preserve"> </w:t>
      </w:r>
      <w:r w:rsidR="00653A6B">
        <w:rPr>
          <w:rFonts w:cs="Times New Roman"/>
          <w:bCs/>
        </w:rPr>
        <w:t>Answers to t</w:t>
      </w:r>
      <w:r w:rsidRPr="00D00A04">
        <w:rPr>
          <w:rFonts w:cs="Times New Roman"/>
          <w:bCs/>
        </w:rPr>
        <w:t>hese questions would further aid in our understanding of this new function of SLs in the environment and could be instrumental in producing more density resistant crops.</w:t>
      </w:r>
    </w:p>
    <w:p w14:paraId="0AA539D9" w14:textId="77777777" w:rsidR="00E804B0" w:rsidRDefault="00E804B0" w:rsidP="00E804B0">
      <w:pPr>
        <w:numPr>
          <w:ilvl w:val="1"/>
          <w:numId w:val="0"/>
        </w:numPr>
        <w:spacing w:before="160" w:line="480" w:lineRule="auto"/>
        <w:outlineLvl w:val="1"/>
        <w:rPr>
          <w:rFonts w:cs="Times New Roman"/>
          <w:bCs/>
        </w:rPr>
      </w:pPr>
    </w:p>
    <w:p w14:paraId="7FA8DF38" w14:textId="77777777" w:rsidR="00E804B0" w:rsidRDefault="00E804B0" w:rsidP="00E804B0">
      <w:pPr>
        <w:numPr>
          <w:ilvl w:val="1"/>
          <w:numId w:val="0"/>
        </w:numPr>
        <w:spacing w:before="160" w:line="480" w:lineRule="auto"/>
        <w:outlineLvl w:val="1"/>
        <w:rPr>
          <w:rFonts w:cs="Times New Roman"/>
          <w:bCs/>
        </w:rPr>
      </w:pPr>
    </w:p>
    <w:p w14:paraId="3CC4EA3C" w14:textId="77777777" w:rsidR="00E804B0" w:rsidRPr="00E804B0" w:rsidRDefault="00E804B0" w:rsidP="00E804B0"/>
    <w:p w14:paraId="1DD5579E" w14:textId="46A095CF" w:rsidR="0062705A" w:rsidRDefault="0008677B" w:rsidP="0008677B">
      <w:pPr>
        <w:pStyle w:val="Heading1"/>
      </w:pPr>
      <w:bookmarkStart w:id="245" w:name="_Toc154331513"/>
      <w:r>
        <w:lastRenderedPageBreak/>
        <w:t>General Discussion</w:t>
      </w:r>
      <w:bookmarkEnd w:id="245"/>
    </w:p>
    <w:p w14:paraId="2619B84B" w14:textId="77777777" w:rsidR="006068FB" w:rsidRDefault="006068FB" w:rsidP="006068FB">
      <w:pPr>
        <w:pStyle w:val="ChapterTitles"/>
        <w:jc w:val="both"/>
        <w:rPr>
          <w:b w:val="0"/>
          <w:bCs/>
          <w:sz w:val="24"/>
          <w:szCs w:val="24"/>
          <w:u w:val="single"/>
        </w:rPr>
      </w:pPr>
    </w:p>
    <w:p w14:paraId="4CAD6754" w14:textId="0E2DBD02" w:rsidR="006068FB" w:rsidRDefault="006068FB" w:rsidP="00CE4FD0">
      <w:pPr>
        <w:rPr>
          <w:u w:val="single"/>
        </w:rPr>
      </w:pPr>
      <w:r w:rsidRPr="000649D0">
        <w:rPr>
          <w:u w:val="single"/>
        </w:rPr>
        <w:t>The role of soil volume and neighbour density on plant growth</w:t>
      </w:r>
    </w:p>
    <w:p w14:paraId="768EEA36" w14:textId="77777777" w:rsidR="000649D0" w:rsidRPr="000649D0" w:rsidRDefault="000649D0" w:rsidP="00CE4FD0">
      <w:pPr>
        <w:rPr>
          <w:b/>
          <w:u w:val="single"/>
        </w:rPr>
      </w:pPr>
    </w:p>
    <w:p w14:paraId="3361EC11" w14:textId="2B8E3277" w:rsidR="006068FB" w:rsidRDefault="006068FB" w:rsidP="00CE4FD0">
      <w:pPr>
        <w:spacing w:line="480" w:lineRule="auto"/>
      </w:pPr>
      <w:r w:rsidRPr="000649D0">
        <w:t>The data presented in this thesis has provided a model for the mechanistic basis for plant growth responses to soil volume and neighbour density. I have presented a two-phase mechanism, involving two separate root exuded signals. Plants likely exude a soil volume-sensing signal (SVS) early in plant life to detect available soil volume/neighbour density, and it is likely that this signal is composed of exuded strigolactones</w:t>
      </w:r>
      <w:r w:rsidR="00CA7B98">
        <w:t xml:space="preserve"> </w:t>
      </w:r>
      <w:r w:rsidR="00CA7B98" w:rsidRPr="000649D0">
        <w:t>(Chapter 4 and 5)</w:t>
      </w:r>
      <w:r w:rsidRPr="000649D0">
        <w:t xml:space="preserve">. I further propose that plants exude a qualitatively different root density sensing signal (RDS) which acts after SVS to detect the root density in the environment (Chapter 4 and 5). This thesis provides shoot phenotyping of important agronomic crops, demonstrating similar but not identical shoot growth responses to soil volume and crowding, and provides novel information regarding root system architecture changes in cereals subjected to differing soil volumes (Chapter 3). The progress made to characterise soil volume responses in barley, shows </w:t>
      </w:r>
      <w:r w:rsidRPr="00874A52">
        <w:rPr>
          <w:bCs/>
        </w:rPr>
        <w:t>a</w:t>
      </w:r>
      <w:r w:rsidRPr="000649D0">
        <w:t xml:space="preserve"> wide variation in sensitivities to soil volume which has not been apparent prior to this thesis (Chapter 3). And finally, the identified role for SL in the environment as plant-to-plant signals provides an exciting new functionality for SL in the rhizosphere (Chapter 5). However, the results presented here also pose new questions, which are both scientifically intriguing, and which would need to be addressed to allow for the translation of these findings into agricultural contexts. </w:t>
      </w:r>
    </w:p>
    <w:p w14:paraId="2F3067C0" w14:textId="77777777" w:rsidR="00CA1817" w:rsidRPr="000649D0" w:rsidRDefault="00CA1817" w:rsidP="000649D0">
      <w:pPr>
        <w:spacing w:line="480" w:lineRule="auto"/>
        <w:rPr>
          <w:b/>
        </w:rPr>
      </w:pPr>
    </w:p>
    <w:p w14:paraId="4EAA06E4" w14:textId="77777777" w:rsidR="006068FB" w:rsidRDefault="006068FB" w:rsidP="000649D0">
      <w:pPr>
        <w:rPr>
          <w:u w:val="single"/>
        </w:rPr>
      </w:pPr>
      <w:r w:rsidRPr="000649D0">
        <w:rPr>
          <w:u w:val="single"/>
        </w:rPr>
        <w:lastRenderedPageBreak/>
        <w:t>What is the identity of the second phase root exuded signal?</w:t>
      </w:r>
    </w:p>
    <w:p w14:paraId="410C6C7C" w14:textId="77777777" w:rsidR="000649D0" w:rsidRPr="000649D0" w:rsidRDefault="000649D0" w:rsidP="000649D0">
      <w:pPr>
        <w:rPr>
          <w:b/>
          <w:u w:val="single"/>
        </w:rPr>
      </w:pPr>
    </w:p>
    <w:p w14:paraId="6BD733F0" w14:textId="0ED3AEDC" w:rsidR="006068FB" w:rsidRPr="000649D0" w:rsidRDefault="006068FB" w:rsidP="000649D0">
      <w:pPr>
        <w:spacing w:line="480" w:lineRule="auto"/>
        <w:rPr>
          <w:b/>
          <w:color w:val="00B050"/>
        </w:rPr>
      </w:pPr>
      <w:r w:rsidRPr="000649D0">
        <w:t xml:space="preserve">The second phase signal, RDS, is associated with high root density and causes root and shoot based inhibition when a threshold of root density is reached (Chapter 4). The likely identity of this exudate, however, remains elusive. Signals with </w:t>
      </w:r>
      <w:r w:rsidRPr="000649D0">
        <w:rPr>
          <w:color w:val="000000" w:themeColor="text1"/>
        </w:rPr>
        <w:t>similarities to RDS have been suggested previously, as self-inhibitory exudates which aid in obstacle avoidance and to some exten</w:t>
      </w:r>
      <w:r w:rsidRPr="004E4647">
        <w:rPr>
          <w:bCs/>
          <w:color w:val="000000" w:themeColor="text1"/>
        </w:rPr>
        <w:t>t</w:t>
      </w:r>
      <w:r w:rsidRPr="000649D0">
        <w:rPr>
          <w:color w:val="000000" w:themeColor="text1"/>
        </w:rPr>
        <w:t xml:space="preserve"> soil volume awareness </w:t>
      </w:r>
      <w:r w:rsidRPr="000649D0">
        <w:rPr>
          <w:b/>
          <w:color w:val="000000" w:themeColor="text1"/>
        </w:rPr>
        <w:fldChar w:fldCharType="begin" w:fldLock="1"/>
      </w:r>
      <w:r w:rsidRPr="000649D0">
        <w:rPr>
          <w:color w:val="000000" w:themeColor="text1"/>
        </w:rPr>
        <w:instrText>ADDIN CSL_CITATION {"citationItems":[{"id":"ITEM-1","itemData":{"DOI":"10.1111/j.1365-3040.2005.01304.x","ISSN":"0140-7791","author":[{"dropping-particle":"","family":"Falik","given":"OMER","non-dropping-particle":"","parse-names":false,"suffix":""},{"dropping-particle":"","family":"Reides","given":"PERLA","non-dropping-particle":"","parse-names":false,"suffix":""},{"dropping-particle":"","family":"Gersani","given":"MORDECHAI","non-dropping-particle":"","parse-names":false,"suffix":""},{"dropping-particle":"","family":"Novoplansky","given":"ARIEL","non-dropping-particle":"","parse-names":false,"suffix":""}],"container-title":"Plant, Cell and Environment","id":"ITEM-1","issue":"4","issued":{"date-parts":[["2005","4"]]},"page":"562-569","title":"Root navigation by self inhibition","type":"article-journal","volume":"28"},"uris":["http://www.mendeley.com/documents/?uuid=043d6547-05a1-318a-9d09-471ab03850e3"]},{"id":"ITEM-2","itemData":{"DOI":"10.1111/j.1365-2745.2007.01210.x","ISSN":"00220477","author":[{"dropping-particle":"","family":"Semchenko","given":"Marina","non-dropping-particle":"","parse-names":false,"suffix":""},{"dropping-particle":"","family":"Hutchings","given":"Michael J.","non-dropping-particle":"","parse-names":false,"suffix":""},{"dropping-particle":"","family":"John","given":"Elizabeth A.","non-dropping-particle":"","parse-names":false,"suffix":""}],"container-title":"Journal of Ecology","id":"ITEM-2","issue":"2","issued":{"date-parts":[["2007","3","1"]]},"page":"252-260","publisher":"John Wiley &amp; Sons, Ltd (10.1111)","title":"Challenging the tragedy of the commons in root competition: confounding effects of neighbour presence and substrate volume","type":"article-journal","volume":"95"},"uris":["http://www.mendeley.com/documents/?uuid=1946910d-5607-3724-afcf-b4a59cdcaea6"]}],"mendeley":{"formattedCitation":"(Falik et al., 2005; Semchenko et al., 2007)","plainTextFormattedCitation":"(Falik et al., 2005; Semchenko et al., 2007)","previouslyFormattedCitation":"(Falik et al., 2005; Semchenko et al., 2007)"},"properties":{"noteIndex":0},"schema":"https://github.com/citation-style-language/schema/raw/master/csl-citation.json"}</w:instrText>
      </w:r>
      <w:r w:rsidRPr="000649D0">
        <w:rPr>
          <w:b/>
          <w:color w:val="000000" w:themeColor="text1"/>
        </w:rPr>
        <w:fldChar w:fldCharType="separate"/>
      </w:r>
      <w:r w:rsidRPr="000649D0">
        <w:rPr>
          <w:noProof/>
          <w:color w:val="000000" w:themeColor="text1"/>
        </w:rPr>
        <w:t>(Falik et al., 2005; Semchenko et al., 2007)</w:t>
      </w:r>
      <w:r w:rsidRPr="000649D0">
        <w:rPr>
          <w:b/>
          <w:color w:val="000000" w:themeColor="text1"/>
        </w:rPr>
        <w:fldChar w:fldCharType="end"/>
      </w:r>
      <w:r w:rsidRPr="000649D0">
        <w:t xml:space="preserve">. Data presented in Chapter 4, suggests that RDS shows distinctly different mobility properties to SVS, such that RDS appears largely immobile. </w:t>
      </w:r>
      <w:r w:rsidRPr="000649D0">
        <w:rPr>
          <w:color w:val="000000" w:themeColor="text1"/>
        </w:rPr>
        <w:t xml:space="preserve">This implies that it is likely to be of higher molecular weight than SVS, therefore a possible candidate could be peptide signals. There has been significant interest in understanding how peptides act as hormones such that multiple peptides have been identified to modulate growth in response to environmental changes </w:t>
      </w:r>
      <w:r w:rsidRPr="000649D0">
        <w:rPr>
          <w:b/>
          <w:color w:val="000000" w:themeColor="text1"/>
        </w:rPr>
        <w:fldChar w:fldCharType="begin" w:fldLock="1"/>
      </w:r>
      <w:r w:rsidR="00BB38D5">
        <w:rPr>
          <w:color w:val="000000" w:themeColor="text1"/>
        </w:rPr>
        <w:instrText>ADDIN CSL_CITATION {"citationItems":[{"id":"ITEM-1","itemData":{"DOI":"10.1126/science.1257800","ISSN":"0036-8075","abstract":"Nitrogen (N) is a critical nutrient for plants but is often distributed unevenly in the soil. Plants therefore have evolved a systemic mechanism by which N starvation on one side of the root system leads to a compensatory and increased nitrate uptake on the other side. Here, we study the molecular systems that support perception of N and the long-distance signaling needed to alter root development. Rootlets starved of N secrete small peptides that are translocated to the shoot and received by two leucine-rich repeat receptor kinases (LRR-RKs). Arabidopsis plants deficient in this pathway show growth retardation accompanied with N-deficiency symptoms. Thus, signaling from the root to the shoot helps the plant adapt to fluctuations in local N availability.","author":[{"dropping-particle":"","family":"Tabata","given":"Ryo","non-dropping-particle":"","parse-names":false,"suffix":""},{"dropping-particle":"","family":"Sumida","given":"Kumiko","non-dropping-particle":"","parse-names":false,"suffix":""},{"dropping-particle":"","family":"Yoshii","given":"Tomoaki","non-dropping-particle":"","parse-names":false,"suffix":""},{"dropping-particle":"","family":"Ohyama","given":"Kentaro","non-dropping-particle":"","parse-names":false,"suffix":""},{"dropping-particle":"","family":"Shinohara","given":"Hidefumi","non-dropping-particle":"","parse-names":false,"suffix":""},{"dropping-particle":"","family":"Matsubayashi","given":"Yoshikatsu","non-dropping-particle":"","parse-names":false,"suffix":""}],"container-title":"Science","id":"ITEM-1","issue":"6207","issued":{"date-parts":[["2014","10","17"]]},"page":"343-346","publisher":"American Association for the Advancement of Science","title":"Perception of root-derived peptides by shoot LRR-RKs mediates systemic N-demand signaling","type":"article-journal","volume":"346"},"uris":["http://www.mendeley.com/documents/?uuid=e39cbb55-7a58-44b3-8ee4-6d0935c32c1a"]},{"id":"ITEM-2","itemData":{"DOI":"10.1111/nph.13405","ISSN":"0028-646X","abstract":"Growing agricultural demands in the face of impending inorganic phosphate (Pi) shortages underscore a need for a better understanding of plant development under conditions of Pi deprivation. Pi is an essential nutrient that is a major component of fertilizer. Plants have evolved strategies to improve the acquisition of this nutrient by altering root development under shortage conditions. We show that signaling peptides thought to act redundantly in Arabidopsis thaliana development have distinct functions in response to Pi deprivation. Using microscopy and confocal imaging, roots were analyzed for growth rate and cellular composition. Using expression microarrays, genes influencing development in response to phosphate deprivation were identified. ROOT GROWTH FACTOR 1 ( RGF 1 ) and RGF 2 influenced different aspects of root development under conditions of Pi deprivation. We found that RGF 2 influenced the longitudinal growth rate in the primary root in response to Pi deprivation, whereas RGF 1 affected circumferential cell number in the root meristem. These data suggest that the mechanisms controlling adaptive development can depend on disparate functions of genes thought to act redundantly, thus elucidating new functions for important developmental regulators.","author":[{"dropping-particle":"","family":"Cederholm","given":"Heidi M.","non-dropping-particle":"","parse-names":false,"suffix":""},{"dropping-particle":"","family":"Benfey","given":"Philip N.","non-dropping-particle":"","parse-names":false,"suffix":""}],"container-title":"New Phytologist","id":"ITEM-2","issue":"3","issued":{"date-parts":[["2015","8","9"]]},"page":"683-691","title":"Distinct sensitivities to phosphate deprivation suggest that RGF peptides play disparate roles in Arabidopsis thaliana root development","type":"article-journal","volume":"207"},"uris":["http://www.mendeley.com/documents/?uuid=f94b2fe2-7f67-4ad1-8f9c-09b4bc1736ee"]},{"id":"ITEM-3","itemData":{"DOI":"10.1104/pp.109.135954","ISSN":"1532-2548","abstract":"Phytosulfokine (PSK) is a sulfated peptide hormone required for the proliferation and differentiation of plant cells. Here, we characterize the physiological roles of PSK in transdifferentiation of isolated mesophyll cells of zinnia (Zinnia elegans ‘Canary Bird’) into tracheary elements (TEs). Transcripts for a zinnia PSK precursor gene, ZePSK1, show two peaks of expression during TE differentiation; the first accumulation is transiently induced in response to wounding at 24 h of culture, and the second accumulation is induced in the final stage of TE differentiation and is dependent on endogenous brassinosteroids. Chlorate, a potent inhibitor of peptide sulfation, is successfully applied as an inhibitor of PSK action. Chlorate significantly suppresses TE differentiation. The chlorate-induced suppression of TE differentiation is overcome by exogenously applied PSK. In the presence of chlorate, expression of stress-related genes for proteinase inhibitors and a pathogenesis-related protein is enhanced and changed from a transient to a continuous pattern. On the contrary, administration of PSK significantly reduces the accumulation of transcripts for the stress-related genes. Even in the absence of auxin and cytokinin, addition of PSK suppresses stress-related gene expression. Microarray analysis reveals 66 genes down-regulated and 42 genes up-regulated in the presence of PSK. The large majority of down-regulated genes show significant similarity to various families of stress-related proteins, including chitinases, phenylpropanoid biosynthesis enzymes, 1-aminocyclopropane-1-carboxylic acid synthase, and receptor-like protein kinases. These results suggest the involvement of PSK in the attenuation of stress response and healing of wound-activated cells during the early stage of TE differentiation.","author":[{"dropping-particle":"","family":"Motose","given":"Hiroyasu","non-dropping-particle":"","parse-names":false,"suffix":""},{"dropping-particle":"","family":"Iwamoto","given":"Kuninori","non-dropping-particle":"","parse-names":false,"suffix":""},{"dropping-particle":"","family":"Endo","given":"Satoshi","non-dropping-particle":"","parse-names":false,"suffix":""},{"dropping-particle":"","family":"Demura","given":"Taku","non-dropping-particle":"","parse-names":false,"suffix":""},{"dropping-particle":"","family":"Sakagami","given":"Youji","non-dropping-particle":"","parse-names":false,"suffix":""},{"dropping-particle":"","family":"Matsubayashi","given":"Yoshikatsu","non-dropping-particle":"","parse-names":false,"suffix":""},{"dropping-particle":"","family":"Moore","given":"Kevin L.","non-dropping-particle":"","parse-names":false,"suffix":""},{"dropping-particle":"","family":"Fukuda","given":"Hiroo","non-dropping-particle":"","parse-names":false,"suffix":""}],"container-title":"Plant Physiology","id":"ITEM-3","issue":"1","issued":{"date-parts":[["2009","5","1"]]},"page":"437-447","title":"Involvement of phytosulfokine in the attenuation of stress response during the transdifferentiation of Zinnia mesophyll cells into tracheary elements","type":"article-journal","volume":"150"},"uris":["http://www.mendeley.com/documents/?uuid=2c9c6092-e041-412e-ac5f-fa72aa580fde"]},{"id":"ITEM-4","itemData":{"DOI":"10.1104/pp.110.153718","ISSN":"1532-2548","abstract":"The CLAVATA3/embryo-surrounding region (CLE) peptides control the fine balance between proliferation and differentiation in plant development. We studied the role of CLE peptides during indeterminate nodule development and identified 25 MtCLE peptide genes in the Medicago truncatula genome, of which two genes, MtCLE12 and MtCLE13, had nodulation-related expression patterns that were linked to proliferation and differentiation. MtCLE13 expression was up-regulated early in nodule development. A high-to-low expression gradient radiated from the inner toward the outer cortical cell layers in a region defining the incipient nodule. At later stages, MtCLE12 and MtCLE13 were expressed in differentiating nodules and in the apical part of mature, elongated nodules. Functional analysis revealed a putative role for MtCLE12 and MtCLE13 in autoregulation of nodulation, a mechanism that controls the number of nodules and involves systemic signals mediated by a leucine-rich repeat receptor-like kinase, SUNN, which is active in the shoot. When MtCLE12 and MtCLE13 were ectopically expressed in transgenic roots, nodulation was abolished at the level of the nodulation factor signal transduction, and this inhibition involved long-distance signaling. In addition, composite plants with roots ectopically expressing MtCLE12 or MtCLE13 had elongated petioles. This systemic effect was not observed in transgenic roots ectopically expressing MtCLE12 and MtCLE13 in a sunn-1 mutant background, although nodulation was still strongly reduced. These results suggest multiple roles for CLE signaling in nodulation.","author":[{"dropping-particle":"","family":"Mortier","given":"Virginie","non-dropping-particle":"","parse-names":false,"suffix":""},{"dropping-particle":"","family":"Herder","given":"Griet","non-dropping-particle":"Den","parse-names":false,"suffix":""},{"dropping-particle":"","family":"Whitford","given":"Ryan","non-dropping-particle":"","parse-names":false,"suffix":""},{"dropping-particle":"","family":"Velde","given":"Willem","non-dropping-particle":"Van de","parse-names":false,"suffix":""},{"dropping-particle":"","family":"Rombauts","given":"Stephane","non-dropping-particle":"","parse-names":false,"suffix":""},{"dropping-particle":"","family":"D'haeseleer","given":"Katrien","non-dropping-particle":"","parse-names":false,"suffix":""},{"dropping-particle":"","family":"Holsters","given":"Marcelle","non-dropping-particle":"","parse-names":false,"suffix":""},{"dropping-particle":"","family":"Goormachtig","given":"Sofie","non-dropping-particle":"","parse-names":false,"suffix":""}],"container-title":"Plant Physiology","id":"ITEM-4","issue":"1","issued":{"date-parts":[["2010","5","3"]]},"page":"222-237","title":"CLE peptides control Medicago truncatula nodulation locally and systemically","type":"article-journal","volume":"153"},"uris":["http://www.mendeley.com/documents/?uuid=1c10b32a-cc93-4bd3-ad01-a041e843f28d"]},{"id":"ITEM-5","itemData":{"DOI":"10.1094/MPMI-09-10-0207","ISSN":"0894-0282","abstract":"Systemic autoregulation of nodulation in legumes involves a root-derived signal (Q) that is perceived by a CLAVATA1-like leucine-rich repeat receptor kinase (e.g. GmNARK). Perception of Q triggers the production of a shoot-derived inhibitor that prevents further nodule development. We have identified three candidate CLE peptide-encoding genes (GmRIC1, GmRIC2, and GmNIC1) in soybean (Glycine max) that respond to Bradyrhizobium japonicum inoculation or nitrate treatment. Ectopic overexpression of all three CLE peptide genes in transgenic roots inhibited nodulation in a GmNARK-dependent manner. The peptides share a high degree of amino acid similarity in a 12-amino-acid C-terminal domain, deemed to represent the functional ligand of GmNARK. GmRIC1 was expressed early (12 h) in response to Bradyrhizobium-sp.-produced nodulation factor while GmRIC2 was induced later (48 to 72 h) but was more persistent during later nodule development. Neither GmRIC1 nor GmRIC2 were induced by nitrate. In contrast, GmNIC1 was strongly induced by nitrate (2 mM) treatment but not by Bradyrhizobium sp. inoculation and, unlike the other two GmCLE peptides, functioned locally to inhibit nodulation. Grafting demonstrated a requirement for root GmNARK activity for nitrate regulation of nodulation whereas Bradyrhizobium sp.-induced regulation was contingent on GmNARK function in the shoot.","author":[{"dropping-particle":"","family":"Reid","given":"Dugald E.","non-dropping-particle":"","parse-names":false,"suffix":""},{"dropping-particle":"","family":"Ferguson","given":"Brett J.","non-dropping-particle":"","parse-names":false,"suffix":""},{"dropping-particle":"","family":"Gresshoff","given":"Peter M.","non-dropping-particle":"","parse-names":false,"suffix":""}],"container-title":"Molecular Plant-Microbe Interactions®","id":"ITEM-5","issue":"5","issued":{"date-parts":[["2011","5"]]},"page":"606-618","title":"Inoculation- and nitrate-induced CLE peptides of Soybean control NARK-dependent nodule formation","type":"article-journal","volume":"24"},"uris":["http://www.mendeley.com/documents/?uuid=e8e3b816-7c85-44f7-9c7e-f1e54ba0c622"]},{"id":"ITEM-6","itemData":{"DOI":"10.1093/jxb/ert369","ISSN":"0022-0957","abstract":"The role of MtCEP1, a member of the CEP (C-terminally encoded peptide) signaling peptide family, was examined in Medicago truncatula root development. MtCEP1 was expressed in root tips, vascular tissue, and young lateral organs, and was up-regulated by low nitrogen levels and, independently, by elevated CO2. Overexpressing MtCEP1 or applying MtCEP1 peptide to roots elicited developmental phenotypes: inhibition of lateral root formation, enhancement of nodulation, and the induction of periodic circumferential root swellings, which arose from cortical, epidermal, and pericycle cell divisions and featured an additional cortical cell layer. MtCEP peptide addition to other legume species induced similar phenotypes. The enhancement of nodulation by MtCEP1 is partially tolerant to high nitrate, which normally strongly suppresses nodulation. These nodules develop faster, are larger, and fix more nitrogen in the absence and presence of inhibiting nitrate levels. At 25 mM nitrate, nodules formed on pre-existing swelling sites induced by MtCEP1 overexpression. RNA interference-mediated silencing of several MtCEP genes revealed a negative correlation between transcript levels of MtCEP1 and MtCEP2 with the number of lateral roots. MtCEP1 peptide-dependent phenotypes were abolished or attenuated by altering or deleting key residues in its 15 amino acid domain. RNA-Seq analysis revealed that 89 and 116 genes were significantly up- and down-regulated, respectively, by MtCEP1 overexpression, including transcription factors WRKY, bZIP, ERF, and MYB, homologues of LOB29, SUPERROOT2, and BABY BOOM. Taken together, the data suggest that the MtCEP1 peptide modulates lateral root and nodule development in M. truncatula. © The Author 2013.","author":[{"dropping-particle":"","family":"Imin","given":"N.","non-dropping-particle":"","parse-names":false,"suffix":""},{"dropping-particle":"","family":"Mohd-Radzman","given":"N. A.","non-dropping-particle":"","parse-names":false,"suffix":""},{"dropping-particle":"","family":"Ogilvie","given":"H. A.","non-dropping-particle":"","parse-names":false,"suffix":""},{"dropping-particle":"","family":"Djordjevic","given":"M. A.","non-dropping-particle":"","parse-names":false,"suffix":""}],"container-title":"Journal of Experimental Botany","id":"ITEM-6","issue":"17","issued":{"date-parts":[["2013","12","1"]]},"page":"5395-5409","publisher":"Oxford University Press","title":"The peptide-encoding CEP1 gene modulates lateral root and nodule numbers in Medicago truncatula","type":"article-journal","volume":"64"},"uris":["http://www.mendeley.com/documents/?uuid=fad537f0-f81f-4429-a4d3-c49cf182bbd3"]},{"id":"ITEM-7","itemData":{"DOI":"10.1093/jxb/ert332","ISSN":"1460-2431","author":[{"dropping-particle":"","family":"Delay","given":"Christina","non-dropping-particle":"","parse-names":false,"suffix":""},{"dropping-particle":"","family":"Imin","given":"Nijat","non-dropping-particle":"","parse-names":false,"suffix":""},{"dropping-particle":"","family":"Djordjevic","given":"Michael A.","non-dropping-particle":"","parse-names":false,"suffix":""}],"container-title":"Journal of Experimental Botany","id":"ITEM-7","issue":"17","issued":{"date-parts":[["2013","12"]]},"page":"5383-5394","title":"CEP genes regulate root and shoot development in response to environmental cues and are specific to seed plants","type":"article-journal","volume":"64"},"uris":["http://www.mendeley.com/documents/?uuid=babce119-6bca-474a-b1cd-89a88f7bf497"]}],"mendeley":{"formattedCitation":"(Motose et al., 2009; Mortier et al., 2010; Reid et al., 2011; Delay et al., 2013; Imin et al., 2013; Tabata et al., 2014; Cederholm and Benfey, 2015)","plainTextFormattedCitation":"(Motose et al., 2009; Mortier et al., 2010; Reid et al., 2011; Delay et al., 2013; Imin et al., 2013; Tabata et al., 2014; Cederholm and Benfey, 2015)","previouslyFormattedCitation":"(Motose et al., 2009; Mortier et al., 2010; Reid et al., 2011; Delay et al., 2013; Imin et al., 2013; Tabata et al., 2014; Cederholm and Benfey, 2015)"},"properties":{"noteIndex":0},"schema":"https://github.com/citation-style-language/schema/raw/master/csl-citation.json"}</w:instrText>
      </w:r>
      <w:r w:rsidRPr="000649D0">
        <w:rPr>
          <w:b/>
          <w:color w:val="000000" w:themeColor="text1"/>
        </w:rPr>
        <w:fldChar w:fldCharType="separate"/>
      </w:r>
      <w:r w:rsidRPr="000649D0">
        <w:rPr>
          <w:noProof/>
          <w:color w:val="000000" w:themeColor="text1"/>
        </w:rPr>
        <w:t>(Motose et al., 2009; Mortier et al., 2010; Reid et al., 2011; Delay et al., 2013; Imin et al., 2013; Tabata et al., 2014; Cederholm and Benfey, 2015)</w:t>
      </w:r>
      <w:r w:rsidRPr="000649D0">
        <w:rPr>
          <w:b/>
          <w:color w:val="000000" w:themeColor="text1"/>
        </w:rPr>
        <w:fldChar w:fldCharType="end"/>
      </w:r>
      <w:r w:rsidRPr="00B90FE7">
        <w:t>.</w:t>
      </w:r>
      <w:r w:rsidRPr="000649D0">
        <w:rPr>
          <w:color w:val="00B050"/>
        </w:rPr>
        <w:t xml:space="preserve"> </w:t>
      </w:r>
    </w:p>
    <w:p w14:paraId="100CAA06" w14:textId="582352D2" w:rsidR="00DE76E9" w:rsidRDefault="006068FB" w:rsidP="000649D0">
      <w:pPr>
        <w:spacing w:line="480" w:lineRule="auto"/>
        <w:rPr>
          <w:color w:val="000000" w:themeColor="text1"/>
        </w:rPr>
      </w:pPr>
      <w:r w:rsidRPr="000649D0">
        <w:rPr>
          <w:color w:val="000000" w:themeColor="text1"/>
        </w:rPr>
        <w:t xml:space="preserve">C-TERMINALLY ENCODED PEPTIDEs (CEPs) are one such peptide, as briefly discussed in chapter 4, CEPs are long-distance signalling peptides which communicate nitrate limitation to the shoot system </w:t>
      </w:r>
      <w:r w:rsidRPr="000649D0">
        <w:rPr>
          <w:b/>
          <w:color w:val="000000" w:themeColor="text1"/>
        </w:rPr>
        <w:fldChar w:fldCharType="begin" w:fldLock="1"/>
      </w:r>
      <w:r w:rsidRPr="000649D0">
        <w:rPr>
          <w:color w:val="000000" w:themeColor="text1"/>
        </w:rPr>
        <w:instrText>ADDIN CSL_CITATION {"citationItems":[{"id":"ITEM-1","itemData":{"DOI":"10.1126/science.1257800","ISSN":"0036-8075","abstract":"Nitrogen (N) is a critical nutrient for plants but is often distributed unevenly in the soil. Plants therefore have evolved a systemic mechanism by which N starvation on one side of the root system leads to a compensatory and increased nitrate uptake on the other side. Here, we study the molecular systems that support perception of N and the long-distance signaling needed to alter root development. Rootlets starved of N secrete small peptides that are translocated to the shoot and received by two leucine-rich repeat receptor kinases (LRR-RKs). Arabidopsis plants deficient in this pathway show growth retardation accompanied with N-deficiency symptoms. Thus, signaling from the root to the shoot helps the plant adapt to fluctuations in local N availability.","author":[{"dropping-particle":"","family":"Tabata","given":"Ryo","non-dropping-particle":"","parse-names":false,"suffix":""},{"dropping-particle":"","family":"Sumida","given":"Kumiko","non-dropping-particle":"","parse-names":false,"suffix":""},{"dropping-particle":"","family":"Yoshii","given":"Tomoaki","non-dropping-particle":"","parse-names":false,"suffix":""},{"dropping-particle":"","family":"Ohyama","given":"Kentaro","non-dropping-particle":"","parse-names":false,"suffix":""},{"dropping-particle":"","family":"Shinohara","given":"Hidefumi","non-dropping-particle":"","parse-names":false,"suffix":""},{"dropping-particle":"","family":"Matsubayashi","given":"Yoshikatsu","non-dropping-particle":"","parse-names":false,"suffix":""}],"container-title":"Science","id":"ITEM-1","issue":"6207","issued":{"date-parts":[["2014","10","17"]]},"page":"343-346","publisher":"American Association for the Advancement of Science","title":"Perception of root-derived peptides by shoot LRR-RKs mediates systemic N-demand signaling","type":"article-journal","volume":"346"},"uris":["http://www.mendeley.com/documents/?uuid=e39cbb55-7a58-44b3-8ee4-6d0935c32c1a"]}],"mendeley":{"formattedCitation":"(Tabata et al., 2014)","plainTextFormattedCitation":"(Tabata et al., 2014)","previouslyFormattedCitation":"(Tabata et al., 2014)"},"properties":{"noteIndex":0},"schema":"https://github.com/citation-style-language/schema/raw/master/csl-citation.json"}</w:instrText>
      </w:r>
      <w:r w:rsidRPr="000649D0">
        <w:rPr>
          <w:b/>
          <w:color w:val="000000" w:themeColor="text1"/>
        </w:rPr>
        <w:fldChar w:fldCharType="separate"/>
      </w:r>
      <w:r w:rsidRPr="000649D0">
        <w:rPr>
          <w:noProof/>
          <w:color w:val="000000" w:themeColor="text1"/>
        </w:rPr>
        <w:t>(Tabata et al., 2014)</w:t>
      </w:r>
      <w:r w:rsidRPr="000649D0">
        <w:rPr>
          <w:b/>
          <w:color w:val="000000" w:themeColor="text1"/>
        </w:rPr>
        <w:fldChar w:fldCharType="end"/>
      </w:r>
      <w:r w:rsidRPr="000649D0">
        <w:rPr>
          <w:color w:val="000000" w:themeColor="text1"/>
        </w:rPr>
        <w:t xml:space="preserve"> and have been shown to modulate root and shoot growth </w:t>
      </w:r>
      <w:r w:rsidRPr="000649D0">
        <w:rPr>
          <w:b/>
          <w:color w:val="000000" w:themeColor="text1"/>
        </w:rPr>
        <w:fldChar w:fldCharType="begin" w:fldLock="1"/>
      </w:r>
      <w:r w:rsidR="00FC2685">
        <w:rPr>
          <w:color w:val="000000" w:themeColor="text1"/>
        </w:rPr>
        <w:instrText>ADDIN CSL_CITATION {"citationItems":[{"id":"ITEM-1","itemData":{"DOI":"10.1093/jxb/ert332","ISSN":"1460-2431","author":[{"dropping-particle":"","family":"Delay","given":"Christina","non-dropping-particle":"","parse-names":false,"suffix":""},{"dropping-particle":"","family":"Imin","given":"Nijat","non-dropping-particle":"","parse-names":false,"suffix":""},{"dropping-particle":"","family":"Djordjevic","given":"Michael A.","non-dropping-particle":"","parse-names":false,"suffix":""}],"container-title":"Journal of Experimental Botany","id":"ITEM-1","issue":"17","issued":{"date-parts":[["2013","12"]]},"page":"5383-5394","title":"CEP genes regulate root and shoot development in response to environmental cues and are specific to seed plants","type":"article-journal","volume":"64"},"uris":["http://www.mendeley.com/documents/?uuid=babce119-6bca-474a-b1cd-89a88f7bf497"]},{"id":"ITEM-2","itemData":{"DOI":"10.1093/jxb/erw231","ISSN":"1460-2431","PMID":"27296247","abstract":"Roots explore the soil for water and nutrients through the continuous production of lateral roots. Lateral roots are formed at regular distances in a steadily elongating organ, but how future sites for lateral root formation become established is not yet understood. Here, we identified C-TERMINALLY ENCODED PEPTIDE 5 (CEP5) as a novel, auxin-repressed and phloem pole-expressed signal assisting in the formation of lateral roots. In addition, based on genetic and expression data, we found evidence for the involvement of its proposed receptor, XYLEM INTERMIXED WITH PHLOEM 1 (XIP1)/CEP RECEPTOR 1 (CEPR1), during the process of lateral root initiation. In conclusion, we report here on the existence of a peptide ligand-receptor kinase interaction that impacts lateral root initiation. Our results represent an important step towards the understanding of the cellular communication implicated in the early phases of lateral root formation.","author":[{"dropping-particle":"","family":"Roberts","given":"Ianto","non-dropping-particle":"","parse-names":false,"suffix":""},{"dropping-particle":"","family":"Smith","given":"Stephanie","non-dropping-particle":"","parse-names":false,"suffix":""},{"dropping-particle":"","family":"Stes","given":"Elisabeth","non-dropping-particle":"","parse-names":false,"suffix":""},{"dropping-particle":"","family":"Rybel","given":"Bert","non-dropping-particle":"De","parse-names":false,"suffix":""},{"dropping-particle":"","family":"Staes","given":"An","non-dropping-particle":"","parse-names":false,"suffix":""},{"dropping-particle":"","family":"Cotte","given":"Brigitte","non-dropping-particle":"van de","parse-names":false,"suffix":""},{"dropping-particle":"","family":"Njo","given":"Maria Fransiska","non-dropping-particle":"","parse-names":false,"suffix":""},{"dropping-particle":"","family":"Dedeyne","given":"Lise","non-dropping-particle":"","parse-names":false,"suffix":""},{"dropping-particle":"","family":"Demol","given":"Hans","non-dropping-particle":"","parse-names":false,"suffix":""},{"dropping-particle":"","family":"Lavenus","given":"Julien","non-dropping-particle":"","parse-names":false,"suffix":""},{"dropping-particle":"","family":"Audenaert","given":"Dominique","non-dropping-particle":"","parse-names":false,"suffix":""},{"dropping-particle":"","family":"Gevaert","given":"Kris","non-dropping-particle":"","parse-names":false,"suffix":""},{"dropping-particle":"","family":"Beeckman","given":"Tom","non-dropping-particle":"","parse-names":false,"suffix":""},{"dropping-particle":"","family":"Smet","given":"Ive","non-dropping-particle":"De","parse-names":false,"suffix":""}],"container-title":"Journal of Experimental Botany","id":"ITEM-2","issue":"16","issued":{"date-parts":[["2016"]]},"page":"4889-4899","title":"CEP5 and XIP1/CEPR1 regulate lateral root initiation in Arabidopsis.","type":"article-journal","volume":"67"},"uris":["http://www.mendeley.com/documents/?uuid=931e0de2-e7ec-372f-8283-ce55d83834bd"]},{"id":"ITEM-3","itemData":{"DOI":"10.1126/science.1257800","ISSN":"0036-8075","abstract":"Nitrogen (N) is a critical nutrient for plants but is often distributed unevenly in the soil. Plants therefore have evolved a systemic mechanism by which N starvation on one side of the root system leads to a compensatory and increased nitrate uptake on the other side. Here, we study the molecular systems that support perception of N and the long-distance signaling needed to alter root development. Rootlets starved of N secrete small peptides that are translocated to the shoot and received by two leucine-rich repeat receptor kinases (LRR-RKs). Arabidopsis plants deficient in this pathway show growth retardation accompanied with N-deficiency symptoms. Thus, signaling from the root to the shoot helps the plant adapt to fluctuations in local N availability.","author":[{"dropping-particle":"","family":"Tabata","given":"Ryo","non-dropping-particle":"","parse-names":false,"suffix":""},{"dropping-particle":"","family":"Sumida","given":"Kumiko","non-dropping-particle":"","parse-names":false,"suffix":""},{"dropping-particle":"","family":"Yoshii","given":"Tomoaki","non-dropping-particle":"","parse-names":false,"suffix":""},{"dropping-particle":"","family":"Ohyama","given":"Kentaro","non-dropping-particle":"","parse-names":false,"suffix":""},{"dropping-particle":"","family":"Shinohara","given":"Hidefumi","non-dropping-particle":"","parse-names":false,"suffix":""},{"dropping-particle":"","family":"Matsubayashi","given":"Yoshikatsu","non-dropping-particle":"","parse-names":false,"suffix":""}],"container-title":"Science","id":"ITEM-3","issue":"6207","issued":{"date-parts":[["2014","10","17"]]},"page":"343-346","publisher":"American Association for the Advancement of Science","title":"Perception of root-derived peptides by shoot LRR-RKs mediates systemic N-demand signaling","type":"article-journal","volume":"346"},"uris":["http://www.mendeley.com/documents/?uuid=e39cbb55-7a58-44b3-8ee4-6d0935c32c1a"]},{"id":"ITEM-4","itemData":{"DOI":"10.1111/nph.16483","ISSN":"0028-646X","author":[{"dropping-particle":"","family":"Chapman","given":"Kelly","non-dropping-particle":"","parse-names":false,"suffix":""},{"dropping-particle":"","family":"Ivanovici","given":"Ariel","non-dropping-particle":"","parse-names":false,"suffix":""},{"dropping-particle":"","family":"Taleski","given":"Michael","non-dropping-particle":"","parse-names":false,"suffix":""},{"dropping-particle":"","family":"Sturrock","given":"Craig J.","non-dropping-particle":"","parse-names":false,"suffix":""},{"dropping-particle":"","family":"Ng","given":"Jason L.P.","non-dropping-particle":"","parse-names":false,"suffix":""},{"dropping-particle":"","family":"Mohd</w:instrText>
      </w:r>
      <w:r w:rsidR="00FC2685">
        <w:rPr>
          <w:rFonts w:ascii="Cambria Math" w:hAnsi="Cambria Math" w:cs="Cambria Math"/>
          <w:color w:val="000000" w:themeColor="text1"/>
        </w:rPr>
        <w:instrText>‐</w:instrText>
      </w:r>
      <w:r w:rsidR="00FC2685">
        <w:rPr>
          <w:color w:val="000000" w:themeColor="text1"/>
        </w:rPr>
        <w:instrText>Radzman","given":"Nadiatul A.","non-dropping-particle":"","parse-names":false,"suffix":""},{"dropping-particle":"","family":"Frugier","given":"Florian","non-dropping-particle":"","parse-names":false,"suffix":""},{"dropping-particle":"","family":"Bennett","given":"Malcolm J.","non-dropping-particle":"","parse-names":false,"suffix":""},{"dropping-particle":"","family":"Mathesius","given":"Ulrike","non-dropping-particle":"","parse-names":false,"suffix":""},{"dropping-particle":"","family":"Djordjevic","given":"Michael A.","non-dropping-particle":"","parse-names":false,"suffix":""}],"container-title":"New Phytologist","id":"ITEM-4","issued":{"date-parts":[["2020","2","11"]]},"page":"1809-1821","publisher":"John Wiley &amp; Sons, Ltd","title":"CEP receptor signalling controls root system architecture in Arabidopsis and Medicago","type":"article-journal"},"uris":["http://www.mendeley.com/documents/?uuid=cd84f16a-9edb-3055-a323-2770abcbf7ae"]},{"id":"ITEM-5","itemData":{"DOI":"10.1093/jxb/ery037","ISSN":"0022-0957","author":[{"dropping-particle":"","family":"Taleski","given":"Michael","non-dropping-particle":"","parse-names":false,"suffix":""},{"dropping-particle":"","family":"Imin","given":"Nijat","non-dropping-particle":"","parse-names":false,"suffix":""},{"dropping-particle":"","family":"Djordjevic","given":"Michael A","non-dropping-particle":"","parse-names":false,"suffix":""}],"container-title":"Journal of Experimental Botany","id":"ITEM-5","issue":"8","issued":{"date-parts":[["2018","4","9"]]},"page":"1829-1836","title":"CEP peptide hormones: key players in orchestrating nitrogen-demand signalling, root nodulation, and lateral root development","type":"article-journal","volume":"69"},"uris":["http://www.mendeley.com/documents/?uuid=44bc933e-345d-4091-a241-4f609faef797"]},{"id":"ITEM-6","itemData":{"DOI":"10.3390/ijms23158641","ISSN":"1422-0067","abstract":"Increasing evidence has revealed that plant secretory peptides are involved in the long-distance signaling pathways that help to regulate plant development and signal stress responses. In this study, we purified small peptides from soybean (Glycine max) xylem sap via o-chlorophenol extraction and conducted an in-depth peptidomic analysis using a mass spectrometry (MS) and bioinformatics approach. We successfully identified 14 post-translationally modified peptide groups belonging to the peptide families CEP (C-terminally encoded peptides), CLE (CLAVATA3/embryo surrounding region-related), PSY (plant peptides containing tyrosine sulfation), and XAP (xylem sap-associated peptides). Quantitative PCR (qPCR) analysis showed unique tissue expression patterns among the peptide-encoding genes. Further qPCR analysis of some of the peptide-encoding genes showed differential stress-response profiles toward various abiotic stress factors. Targeted MS-based quantification of the nitrogen deficiency-responsive peptides, GmXAP6a and GmCEP-XSP1, demonstrated upregulation of peptide translocation in xylem sap under nitrogen-deficiency stress. Quantitative proteomic analysis of GmCEP-XSP1 overexpression in hairy soybean roots revealed that GmCEP-XSP1 significantly impacts stress response-related proteins. This study provides new insights that root-to-shoot peptide signaling plays important roles in regulating plant stress-response mechanisms.","author":[{"dropping-particle":"","family":"Sin","given":"Wai-Ching","non-dropping-particle":"","parse-names":false,"suffix":""},{"dropping-particle":"","family":"Lam","given":"Hon-Ming","non-dropping-particle":"","parse-names":false,"suffix":""},{"dropping-particle":"","family":"Ngai","given":"Sai-Ming","non-dropping-particle":"","parse-names":false,"suffix":""}],"container-title":"International Journal of Molecular Sciences","id":"ITEM-6","issue":"15","issued":{"date-parts":[["2022","8","3"]]},"page":"8641","title":"Identification of diverse stress-responsive xylem sap peptides in Soybean","type":"article-journal","volume":"23"},"uris":["http://www.mendeley.com/documents/?uuid=184a96b6-537a-48b2-abf1-e2a5b04cfd62"]}],"mendeley":{"formattedCitation":"(Delay et al., 2013; Tabata et al., 2014; Roberts et al., 2016; Taleski et al., 2018; Chapman et al., 2020; Sin et al., 2022)","plainTextFormattedCitation":"(Delay et al., 2013; Tabata et al., 2014; Roberts et al., 2016; Taleski et al., 2018; Chapman et al., 2020; Sin et al., 2022)","previouslyFormattedCitation":"(Delay et al., 2013; Tabata et al., 2014; Roberts et al., 2016; Taleski et al., 2018; Chapman et al., 2020; Sin et al., 2022)"},"properties":{"noteIndex":0},"schema":"https://github.com/citation-style-language/schema/raw/master/csl-citation.json"}</w:instrText>
      </w:r>
      <w:r w:rsidRPr="000649D0">
        <w:rPr>
          <w:b/>
          <w:color w:val="000000" w:themeColor="text1"/>
        </w:rPr>
        <w:fldChar w:fldCharType="separate"/>
      </w:r>
      <w:r w:rsidRPr="000649D0">
        <w:rPr>
          <w:noProof/>
          <w:color w:val="000000" w:themeColor="text1"/>
        </w:rPr>
        <w:t>(Delay et al., 2013; Tabata et al., 2014; Roberts et al., 2016; Taleski et al., 2018; Chapman et al., 2020; Sin et al., 2022)</w:t>
      </w:r>
      <w:r w:rsidRPr="000649D0">
        <w:rPr>
          <w:b/>
          <w:color w:val="000000" w:themeColor="text1"/>
        </w:rPr>
        <w:fldChar w:fldCharType="end"/>
      </w:r>
      <w:r w:rsidRPr="000649D0">
        <w:rPr>
          <w:color w:val="000000" w:themeColor="text1"/>
        </w:rPr>
        <w:t xml:space="preserve">. </w:t>
      </w:r>
      <w:r w:rsidR="00B75BEC">
        <w:rPr>
          <w:color w:val="000000" w:themeColor="text1"/>
        </w:rPr>
        <w:t xml:space="preserve">In regard to root growth, </w:t>
      </w:r>
      <w:r w:rsidRPr="000649D0">
        <w:rPr>
          <w:color w:val="000000" w:themeColor="text1"/>
        </w:rPr>
        <w:t xml:space="preserve">CEP3 is known to inhibit lateral root development </w:t>
      </w:r>
      <w:r w:rsidR="00B355A9">
        <w:rPr>
          <w:color w:val="000000" w:themeColor="text1"/>
        </w:rPr>
        <w:t xml:space="preserve">in Arabidopsis </w:t>
      </w:r>
      <w:r w:rsidRPr="000649D0">
        <w:rPr>
          <w:color w:val="000000" w:themeColor="text1"/>
        </w:rPr>
        <w:t xml:space="preserve">resulting in fewer lateral roots </w:t>
      </w:r>
      <w:r w:rsidR="00A656CA">
        <w:rPr>
          <w:color w:val="000000" w:themeColor="text1"/>
        </w:rPr>
        <w:t xml:space="preserve">being produced </w:t>
      </w:r>
      <w:r w:rsidRPr="000649D0">
        <w:rPr>
          <w:color w:val="000000" w:themeColor="text1"/>
        </w:rPr>
        <w:t xml:space="preserve">than in </w:t>
      </w:r>
      <w:r w:rsidRPr="000649D0">
        <w:rPr>
          <w:i/>
          <w:iCs/>
          <w:color w:val="000000" w:themeColor="text1"/>
        </w:rPr>
        <w:t>cep3</w:t>
      </w:r>
      <w:r w:rsidRPr="000649D0">
        <w:rPr>
          <w:color w:val="000000" w:themeColor="text1"/>
        </w:rPr>
        <w:t xml:space="preserve"> mutants </w:t>
      </w:r>
      <w:r w:rsidRPr="000649D0">
        <w:rPr>
          <w:b/>
          <w:color w:val="000000" w:themeColor="text1"/>
        </w:rPr>
        <w:fldChar w:fldCharType="begin" w:fldLock="1"/>
      </w:r>
      <w:r w:rsidRPr="000649D0">
        <w:rPr>
          <w:color w:val="000000" w:themeColor="text1"/>
        </w:rPr>
        <w:instrText>ADDIN CSL_CITATION {"citationItems":[{"id":"ITEM-1","itemData":{"DOI":"10.1093/jxb/ert332","ISSN":"1460-2431","author":[{"dropping-particle":"","family":"Delay","given":"Christina","non-dropping-particle":"","parse-names":false,"suffix":""},{"dropping-particle":"","family":"Imin","given":"Nijat","non-dropping-particle":"","parse-names":false,"suffix":""},{"dropping-particle":"","family":"Djordjevic","given":"Michael A.","non-dropping-particle":"","parse-names":false,"suffix":""}],"container-title":"Journal of Experimental Botany","id":"ITEM-1","issue":"17","issued":{"date-parts":[["2013","12"]]},"page":"5383-5394","title":"CEP genes regulate root and shoot development in response to environmental cues and are specific to seed plants","type":"article-journal","volume":"64"},"uris":["http://www.mendeley.com/documents/?uuid=babce119-6bca-474a-b1cd-89a88f7bf497"]}],"mendeley":{"formattedCitation":"(Delay et al., 2013)","plainTextFormattedCitation":"(Delay et al., 2013)","previouslyFormattedCitation":"(Delay et al., 2013)"},"properties":{"noteIndex":0},"schema":"https://github.com/citation-style-language/schema/raw/master/csl-citation.json"}</w:instrText>
      </w:r>
      <w:r w:rsidRPr="000649D0">
        <w:rPr>
          <w:b/>
          <w:color w:val="000000" w:themeColor="text1"/>
        </w:rPr>
        <w:fldChar w:fldCharType="separate"/>
      </w:r>
      <w:r w:rsidRPr="000649D0">
        <w:rPr>
          <w:noProof/>
          <w:color w:val="000000" w:themeColor="text1"/>
        </w:rPr>
        <w:t>(Delay et al., 2013)</w:t>
      </w:r>
      <w:r w:rsidRPr="000649D0">
        <w:rPr>
          <w:b/>
          <w:color w:val="000000" w:themeColor="text1"/>
        </w:rPr>
        <w:fldChar w:fldCharType="end"/>
      </w:r>
      <w:r w:rsidRPr="000649D0">
        <w:rPr>
          <w:color w:val="000000" w:themeColor="text1"/>
        </w:rPr>
        <w:t xml:space="preserve">. Additionally, </w:t>
      </w:r>
      <w:r w:rsidR="00214C14">
        <w:rPr>
          <w:color w:val="000000" w:themeColor="text1"/>
        </w:rPr>
        <w:t xml:space="preserve">another CEP, </w:t>
      </w:r>
      <w:r w:rsidRPr="000649D0">
        <w:rPr>
          <w:color w:val="000000" w:themeColor="text1"/>
        </w:rPr>
        <w:t>CEP5</w:t>
      </w:r>
      <w:r w:rsidR="00214C14">
        <w:rPr>
          <w:color w:val="000000" w:themeColor="text1"/>
        </w:rPr>
        <w:t>,</w:t>
      </w:r>
      <w:r w:rsidRPr="000649D0">
        <w:rPr>
          <w:color w:val="000000" w:themeColor="text1"/>
        </w:rPr>
        <w:t xml:space="preserve"> decreases primary root length and lateral root density in Arabidopsis compared to WT controls </w:t>
      </w:r>
      <w:r w:rsidRPr="000649D0">
        <w:rPr>
          <w:b/>
          <w:color w:val="000000" w:themeColor="text1"/>
        </w:rPr>
        <w:fldChar w:fldCharType="begin" w:fldLock="1"/>
      </w:r>
      <w:r w:rsidRPr="000649D0">
        <w:rPr>
          <w:color w:val="000000" w:themeColor="text1"/>
        </w:rPr>
        <w:instrText>ADDIN CSL_CITATION {"citationItems":[{"id":"ITEM-1","itemData":{"DOI":"10.1093/jxb/erw231","ISSN":"1460-2431","PMID":"27296247","abstract":"Roots explore the soil for water and nutrients through the continuous production of lateral roots. Lateral roots are formed at regular distances in a steadily elongating organ, but how future sites for lateral root formation become established is not yet understood. Here, we identified C-TERMINALLY ENCODED PEPTIDE 5 (CEP5) as a novel, auxin-repressed and phloem pole-expressed signal assisting in the formation of lateral roots. In addition, based on genetic and expression data, we found evidence for the involvement of its proposed receptor, XYLEM INTERMIXED WITH PHLOEM 1 (XIP1)/CEP RECEPTOR 1 (CEPR1), during the process of lateral root initiation. In conclusion, we report here on the existence of a peptide ligand-receptor kinase interaction that impacts lateral root initiation. Our results represent an important step towards the understanding of the cellular communication implicated in the early phases of lateral root formation.","author":[{"dropping-particle":"","family":"Roberts","given":"Ianto","non-dropping-particle":"","parse-names":false,"suffix":""},{"dropping-particle":"","family":"Smith","given":"Stephanie","non-dropping-particle":"","parse-names":false,"suffix":""},{"dropping-particle":"","family":"Stes","given":"Elisabeth","non-dropping-particle":"","parse-names":false,"suffix":""},{"dropping-particle":"","family":"Rybel","given":"Bert","non-dropping-particle":"De","parse-names":false,"suffix":""},{"dropping-particle":"","family":"Staes","given":"An","non-dropping-particle":"","parse-names":false,"suffix":""},{"dropping-particle":"","family":"Cotte","given":"Brigitte","non-dropping-particle":"van de","parse-names":false,"suffix":""},{"dropping-particle":"","family":"Njo","given":"Maria Fransiska","non-dropping-particle":"","parse-names":false,"suffix":""},{"dropping-particle":"","family":"Dedeyne","given":"Lise","non-dropping-particle":"","parse-names":false,"suffix":""},{"dropping-particle":"","family":"Demol","given":"Hans","non-dropping-particle":"","parse-names":false,"suffix":""},{"dropping-particle":"","family":"Lavenus","given":"Julien","non-dropping-particle":"","parse-names":false,"suffix":""},{"dropping-particle":"","family":"Audenaert","given":"Dominique","non-dropping-particle":"","parse-names":false,"suffix":""},{"dropping-particle":"","family":"Gevaert","given":"Kris","non-dropping-particle":"","parse-names":false,"suffix":""},{"dropping-particle":"","family":"Beeckman","given":"Tom","non-dropping-particle":"","parse-names":false,"suffix":""},{"dropping-particle":"","family":"Smet","given":"Ive","non-dropping-particle":"De","parse-names":false,"suffix":""}],"container-title":"Journal of Experimental Botany","id":"ITEM-1","issue":"16","issued":{"date-parts":[["2016"]]},"page":"4889-4899","title":"CEP5 and XIP1/CEPR1 regulate lateral root initiation in Arabidopsis.","type":"article-journal","volume":"67"},"uris":["http://www.mendeley.com/documents/?uuid=931e0de2-e7ec-372f-8283-ce55d83834bd"]}],"mendeley":{"formattedCitation":"(Roberts et al., 2016)","plainTextFormattedCitation":"(Roberts et al., 2016)","previouslyFormattedCitation":"(Roberts et al., 2016)"},"properties":{"noteIndex":0},"schema":"https://github.com/citation-style-language/schema/raw/master/csl-citation.json"}</w:instrText>
      </w:r>
      <w:r w:rsidRPr="000649D0">
        <w:rPr>
          <w:b/>
          <w:color w:val="000000" w:themeColor="text1"/>
        </w:rPr>
        <w:fldChar w:fldCharType="separate"/>
      </w:r>
      <w:r w:rsidRPr="000649D0">
        <w:rPr>
          <w:noProof/>
          <w:color w:val="000000" w:themeColor="text1"/>
        </w:rPr>
        <w:t>(Roberts et al., 2016)</w:t>
      </w:r>
      <w:r w:rsidRPr="000649D0">
        <w:rPr>
          <w:b/>
          <w:color w:val="000000" w:themeColor="text1"/>
        </w:rPr>
        <w:fldChar w:fldCharType="end"/>
      </w:r>
      <w:r w:rsidRPr="000649D0">
        <w:rPr>
          <w:color w:val="000000" w:themeColor="text1"/>
        </w:rPr>
        <w:t>.</w:t>
      </w:r>
      <w:r w:rsidRPr="000649D0">
        <w:rPr>
          <w:color w:val="00B050"/>
        </w:rPr>
        <w:t xml:space="preserve"> </w:t>
      </w:r>
      <w:r w:rsidRPr="000649D0">
        <w:rPr>
          <w:color w:val="000000" w:themeColor="text1"/>
        </w:rPr>
        <w:t xml:space="preserve">Analysis of the peptide </w:t>
      </w:r>
      <w:r w:rsidRPr="000649D0">
        <w:rPr>
          <w:color w:val="000000" w:themeColor="text1"/>
        </w:rPr>
        <w:lastRenderedPageBreak/>
        <w:t xml:space="preserve">composition of root exudates of </w:t>
      </w:r>
      <w:r w:rsidRPr="000649D0">
        <w:rPr>
          <w:i/>
          <w:iCs/>
          <w:color w:val="000000" w:themeColor="text1"/>
        </w:rPr>
        <w:t>Medicago truncatula</w:t>
      </w:r>
      <w:r w:rsidRPr="000649D0">
        <w:rPr>
          <w:color w:val="000000" w:themeColor="text1"/>
        </w:rPr>
        <w:t xml:space="preserve"> identified several CEP species (CEP1/2/5/8), of varying sizes and modifications </w:t>
      </w:r>
      <w:r w:rsidRPr="000649D0">
        <w:rPr>
          <w:b/>
          <w:color w:val="000000" w:themeColor="text1"/>
        </w:rPr>
        <w:fldChar w:fldCharType="begin" w:fldLock="1"/>
      </w:r>
      <w:r w:rsidR="00207CD8">
        <w:rPr>
          <w:color w:val="000000" w:themeColor="text1"/>
        </w:rPr>
        <w:instrText>ADDIN CSL_CITATION {"citationItems":[{"id":"ITEM-1","itemData":{"DOI":"10.1074/mcp.RA117.000168","ISSN":"15359476","author":[{"dropping-particle":"","family":"Patel","given":"Neha","non-dropping-particle":"","parse-names":false,"suffix":""},{"dropping-particle":"","family":"Mohd-Radzman","given":"Nadiatul A.","non-dropping-particle":"","parse-names":false,"suffix":""},{"dropping-particle":"","family":"Corcilius","given":"Leo","non-dropping-particle":"","parse-names":false,"suffix":""},{"dropping-particle":"","family":"Crossett","given":"Ben","non-dropping-particle":"","parse-names":false,"suffix":""},{"dropping-particle":"","family":"Connolly","given":"Angela","non-dropping-particle":"","parse-names":false,"suffix":""},{"dropping-particle":"","family":"Cordwell","given":"Stuart J.","non-dropping-particle":"","parse-names":false,"suffix":""},{"dropping-particle":"","family":"Ivanovici","given":"Ariel","non-dropping-particle":"","parse-names":false,"suffix":""},{"dropping-particle":"","family":"Taylor","given":"Katia","non-dropping-particle":"","parse-names":false,"suffix":""},{"dropping-particle":"","family":"Williams","given":"James","non-dropping-particle":"","parse-names":false,"suffix":""},{"dropping-particle":"","family":"Binos","given":"Steve","non-dropping-particle":"","parse-names":false,"suffix":""},{"dropping-particle":"","family":"Mariani","given":"Michael","non-dropping-particle":"","parse-names":false,"suffix":""},{"dropping-particle":"","family":"Payne","given":"Richard J.","non-dropping-particle":"","parse-names":false,"suffix":""},{"dropping-particle":"","family":"Djordjevic","given":"Michael A.","non-dropping-particle":"","parse-names":false,"suffix":""}],"container-title":"Molecular &amp; Cellular Proteomics","id":"ITEM-1","issue":"1","issued":{"date-parts":[["2018","1"]]},"page":"160-174","title":"Diverse peptide hormones affecting root growth identified in the Medicago truncatula secreted peptidome","type":"article-journal","volume":"17"},"uris":["http://www.mendeley.com/documents/?uuid=a815d38d-19b8-4103-9b95-e43788bb9396"]}],"mendeley":{"formattedCitation":"(Patel et al., 2018)","plainTextFormattedCitation":"(Patel et al., 2018)","previouslyFormattedCitation":"(Patel et al., 2018)"},"properties":{"noteIndex":0},"schema":"https://github.com/citation-style-language/schema/raw/master/csl-citation.json"}</w:instrText>
      </w:r>
      <w:r w:rsidRPr="000649D0">
        <w:rPr>
          <w:b/>
          <w:color w:val="000000" w:themeColor="text1"/>
        </w:rPr>
        <w:fldChar w:fldCharType="separate"/>
      </w:r>
      <w:r w:rsidRPr="000649D0">
        <w:rPr>
          <w:noProof/>
          <w:color w:val="000000" w:themeColor="text1"/>
        </w:rPr>
        <w:t>(Patel et al., 2018)</w:t>
      </w:r>
      <w:r w:rsidRPr="000649D0">
        <w:rPr>
          <w:b/>
          <w:color w:val="000000" w:themeColor="text1"/>
        </w:rPr>
        <w:fldChar w:fldCharType="end"/>
      </w:r>
      <w:r w:rsidRPr="000649D0">
        <w:rPr>
          <w:color w:val="000000" w:themeColor="text1"/>
        </w:rPr>
        <w:t>. Identified peptides were subsequently synthesised and when applied to the roots</w:t>
      </w:r>
      <w:r w:rsidRPr="000649D0">
        <w:rPr>
          <w:b/>
          <w:color w:val="000000" w:themeColor="text1"/>
        </w:rPr>
        <w:t>,</w:t>
      </w:r>
      <w:r w:rsidRPr="000649D0">
        <w:rPr>
          <w:color w:val="000000" w:themeColor="text1"/>
        </w:rPr>
        <w:t xml:space="preserve"> most were seen to cause dramatic decreases to lateral root number </w:t>
      </w:r>
      <w:r w:rsidRPr="000649D0">
        <w:rPr>
          <w:b/>
          <w:color w:val="000000" w:themeColor="text1"/>
        </w:rPr>
        <w:fldChar w:fldCharType="begin" w:fldLock="1"/>
      </w:r>
      <w:r w:rsidR="00207CD8">
        <w:rPr>
          <w:color w:val="000000" w:themeColor="text1"/>
        </w:rPr>
        <w:instrText>ADDIN CSL_CITATION {"citationItems":[{"id":"ITEM-1","itemData":{"DOI":"10.1074/mcp.RA117.000168","ISSN":"15359476","author":[{"dropping-particle":"","family":"Patel","given":"Neha","non-dropping-particle":"","parse-names":false,"suffix":""},{"dropping-particle":"","family":"Mohd-Radzman","given":"Nadiatul A.","non-dropping-particle":"","parse-names":false,"suffix":""},{"dropping-particle":"","family":"Corcilius","given":"Leo","non-dropping-particle":"","parse-names":false,"suffix":""},{"dropping-particle":"","family":"Crossett","given":"Ben","non-dropping-particle":"","parse-names":false,"suffix":""},{"dropping-particle":"","family":"Connolly","given":"Angela","non-dropping-particle":"","parse-names":false,"suffix":""},{"dropping-particle":"","family":"Cordwell","given":"Stuart J.","non-dropping-particle":"","parse-names":false,"suffix":""},{"dropping-particle":"","family":"Ivanovici","given":"Ariel","non-dropping-particle":"","parse-names":false,"suffix":""},{"dropping-particle":"","family":"Taylor","given":"Katia","non-dropping-particle":"","parse-names":false,"suffix":""},{"dropping-particle":"","family":"Williams","given":"James","non-dropping-particle":"","parse-names":false,"suffix":""},{"dropping-particle":"","family":"Binos","given":"Steve","non-dropping-particle":"","parse-names":false,"suffix":""},{"dropping-particle":"","family":"Mariani","given":"Michael","non-dropping-particle":"","parse-names":false,"suffix":""},{"dropping-particle":"","family":"Payne","given":"Richard J.","non-dropping-particle":"","parse-names":false,"suffix":""},{"dropping-particle":"","family":"Djordjevic","given":"Michael A.","non-dropping-particle":"","parse-names":false,"suffix":""}],"container-title":"Molecular &amp; Cellular Proteomics","id":"ITEM-1","issue":"1","issued":{"date-parts":[["2018","1"]]},"page":"160-174","title":"Diverse peptide hormones affecting root growth identified in the Medicago truncatula secreted peptidome","type":"article-journal","volume":"17"},"uris":["http://www.mendeley.com/documents/?uuid=a815d38d-19b8-4103-9b95-e43788bb9396"]}],"mendeley":{"formattedCitation":"(Patel et al., 2018)","plainTextFormattedCitation":"(Patel et al., 2018)","previouslyFormattedCitation":"(Patel et al., 2018)"},"properties":{"noteIndex":0},"schema":"https://github.com/citation-style-language/schema/raw/master/csl-citation.json"}</w:instrText>
      </w:r>
      <w:r w:rsidRPr="000649D0">
        <w:rPr>
          <w:b/>
          <w:color w:val="000000" w:themeColor="text1"/>
        </w:rPr>
        <w:fldChar w:fldCharType="separate"/>
      </w:r>
      <w:r w:rsidRPr="000649D0">
        <w:rPr>
          <w:noProof/>
          <w:color w:val="000000" w:themeColor="text1"/>
        </w:rPr>
        <w:t>(Patel et al., 2018)</w:t>
      </w:r>
      <w:r w:rsidRPr="000649D0">
        <w:rPr>
          <w:b/>
          <w:color w:val="000000" w:themeColor="text1"/>
        </w:rPr>
        <w:fldChar w:fldCharType="end"/>
      </w:r>
      <w:r w:rsidRPr="000649D0">
        <w:rPr>
          <w:color w:val="000000" w:themeColor="text1"/>
        </w:rPr>
        <w:t xml:space="preserve">. This root-based inhibition </w:t>
      </w:r>
      <w:r w:rsidR="004D6CA4">
        <w:rPr>
          <w:color w:val="000000" w:themeColor="text1"/>
        </w:rPr>
        <w:t xml:space="preserve">caused by CEPs </w:t>
      </w:r>
      <w:r w:rsidRPr="000649D0">
        <w:rPr>
          <w:color w:val="000000" w:themeColor="text1"/>
        </w:rPr>
        <w:t xml:space="preserve">has similarities to RDS, </w:t>
      </w:r>
      <w:r w:rsidRPr="00CA0A35">
        <w:rPr>
          <w:color w:val="000000" w:themeColor="text1"/>
        </w:rPr>
        <w:t>therefore</w:t>
      </w:r>
      <w:r w:rsidR="006D2A4A" w:rsidRPr="00CA0A35">
        <w:rPr>
          <w:color w:val="000000" w:themeColor="text1"/>
        </w:rPr>
        <w:t xml:space="preserve"> a</w:t>
      </w:r>
      <w:r w:rsidRPr="00CA0A35">
        <w:rPr>
          <w:color w:val="000000" w:themeColor="text1"/>
        </w:rPr>
        <w:t xml:space="preserve"> CEP c</w:t>
      </w:r>
      <w:r w:rsidRPr="000649D0">
        <w:rPr>
          <w:color w:val="000000" w:themeColor="text1"/>
        </w:rPr>
        <w:t xml:space="preserve">ould be a possible candidate for RDS. </w:t>
      </w:r>
    </w:p>
    <w:p w14:paraId="39F07998" w14:textId="761F257C" w:rsidR="006068FB" w:rsidRDefault="006068FB" w:rsidP="000649D0">
      <w:pPr>
        <w:spacing w:line="480" w:lineRule="auto"/>
        <w:rPr>
          <w:color w:val="000000" w:themeColor="text1"/>
        </w:rPr>
      </w:pPr>
      <w:r w:rsidRPr="000649D0">
        <w:rPr>
          <w:color w:val="000000" w:themeColor="text1"/>
        </w:rPr>
        <w:t xml:space="preserve">Additional to CEPs, other peptides have been identified to play a role in root growth such as XYLEM SAP ASSOCIATED PEPTIDE (XAP) and CLAVATA3 (CLE) peptides </w:t>
      </w:r>
      <w:r w:rsidRPr="000649D0">
        <w:rPr>
          <w:b/>
          <w:color w:val="000000" w:themeColor="text1"/>
        </w:rPr>
        <w:fldChar w:fldCharType="begin" w:fldLock="1"/>
      </w:r>
      <w:r w:rsidR="00207CD8">
        <w:rPr>
          <w:color w:val="000000" w:themeColor="text1"/>
        </w:rPr>
        <w:instrText>ADDIN CSL_CITATION {"citationItems":[{"id":"ITEM-1","itemData":{"DOI":"10.1093/jxb/erw208","ISSN":"0022-0957","author":[{"dropping-particle":"","family":"Yamaguchi","given":"Yasuka L.","non-dropping-particle":"","parse-names":false,"suffix":""},{"dropping-particle":"","family":"Ishida","given":"Takashi","non-dropping-particle":"","parse-names":false,"suffix":""},{"dropping-particle":"","family":"Sawa","given":"Shinichiro","non-dropping-particle":"","parse-names":false,"suffix":""}],"container-title":"Journal of Experimental Botany","id":"ITEM-1","issue":"16","issued":{"date-parts":[["2016","8"]]},"page":"4813-4826","title":"CLE peptides and their signaling pathways in plant development","type":"article-journal","volume":"67"},"uris":["http://www.mendeley.com/documents/?uuid=a66a0cef-9644-42e0-9bce-115f49bb708d"]},{"id":"ITEM-2","itemData":{"DOI":"10.1074/mcp.RA117.000168","ISSN":"15359476","author":[{"dropping-particle":"","family":"Patel","given":"Neha","non-dropping-particle":"","parse-names":false,"suffix":""},{"dropping-particle":"","family":"Mohd-Radzman","given":"Nadiatul A.","non-dropping-particle":"","parse-names":false,"suffix":""},{"dropping-particle":"","family":"Corcilius","given":"Leo","non-dropping-particle":"","parse-names":false,"suffix":""},{"dropping-particle":"","family":"Crossett","given":"Ben","non-dropping-particle":"","parse-names":false,"suffix":""},{"dropping-particle":"","family":"Connolly","given":"Angela","non-dropping-particle":"","parse-names":false,"suffix":""},{"dropping-particle":"","family":"Cordwell","given":"Stuart J.","non-dropping-particle":"","parse-names":false,"suffix":""},{"dropping-particle":"","family":"Ivanovici","given":"Ariel","non-dropping-particle":"","parse-names":false,"suffix":""},{"dropping-particle":"","family":"Taylor","given":"Katia","non-dropping-particle":"","parse-names":false,"suffix":""},{"dropping-particle":"","family":"Williams","given":"James","non-dropping-particle":"","parse-names":false,"suffix":""},{"dropping-particle":"","family":"Binos","given":"Steve","non-dropping-particle":"","parse-names":false,"suffix":""},{"dropping-particle":"","family":"Mariani","given":"Michael","non-dropping-particle":"","parse-names":false,"suffix":""},{"dropping-particle":"","family":"Payne","given":"Richard J.","non-dropping-particle":"","parse-names":false,"suffix":""},{"dropping-particle":"","family":"Djordjevic","given":"Michael A.","non-dropping-particle":"","parse-names":false,"suffix":""}],"container-title":"Molecular &amp; Cellular Proteomics","id":"ITEM-2","issue":"1","issued":{"date-parts":[["2018","1"]]},"page":"160-174","title":"Diverse peptide hormones affecting root growth identified in the Medicago truncatula secreted peptidome","type":"article-journal","volume":"17"},"uris":["http://www.mendeley.com/documents/?uuid=a815d38d-19b8-4103-9b95-e43788bb9396"]},{"id":"ITEM-3","itemData":{"DOI":"10.1111/tpj.13015","ISSN":"09607412","author":[{"dropping-particle":"","family":"Okamoto","given":"Satoru","non-dropping-particle":"","parse-names":false,"suffix":""},{"dropping-particle":"","family":"Suzuki","given":"Takamasa","non-dropping-particle":"","parse-names":false,"suffix":""},{"dropping-particle":"","family":"Kawaguchi","given":"Masayoshi","non-dropping-particle":"","parse-names":false,"suffix":""},{"dropping-particle":"","family":"Higashiyama","given":"Tetsuya","non-dropping-particle":"","parse-names":false,"suffix":""},{"dropping-particle":"","family":"Matsubayashi","given":"Yoshikatsu","non-dropping-particle":"","parse-names":false,"suffix":""}],"container-title":"The Plant Journal","id":"ITEM-3","issue":"3","issued":{"date-parts":[["2015","11"]]},"page":"611-620","title":"A comprehensive strategy for identifying long-distance mobile peptides in xylem sap","type":"article-journal","volume":"84"},"uris":["http://www.mendeley.com/documents/?uuid=432adb3c-a20c-47e7-bdf2-0687d5ffaa8f"]}],"mendeley":{"formattedCitation":"(Okamoto et al., 2015; Yamaguchi et al., 2016; Patel et al., 2018)","plainTextFormattedCitation":"(Okamoto et al., 2015; Yamaguchi et al., 2016; Patel et al., 2018)","previouslyFormattedCitation":"(Okamoto et al., 2015; Yamaguchi et al., 2016; Patel et al., 2018)"},"properties":{"noteIndex":0},"schema":"https://github.com/citation-style-language/schema/raw/master/csl-citation.json"}</w:instrText>
      </w:r>
      <w:r w:rsidRPr="000649D0">
        <w:rPr>
          <w:b/>
          <w:color w:val="000000" w:themeColor="text1"/>
        </w:rPr>
        <w:fldChar w:fldCharType="separate"/>
      </w:r>
      <w:r w:rsidRPr="000649D0">
        <w:rPr>
          <w:noProof/>
          <w:color w:val="000000" w:themeColor="text1"/>
        </w:rPr>
        <w:t>(Okamoto et al., 2015; Yamaguchi et al., 2016; Patel et al., 2018)</w:t>
      </w:r>
      <w:r w:rsidRPr="000649D0">
        <w:rPr>
          <w:b/>
          <w:color w:val="000000" w:themeColor="text1"/>
        </w:rPr>
        <w:fldChar w:fldCharType="end"/>
      </w:r>
      <w:r w:rsidRPr="000649D0">
        <w:rPr>
          <w:color w:val="000000" w:themeColor="text1"/>
        </w:rPr>
        <w:t xml:space="preserve">. </w:t>
      </w:r>
    </w:p>
    <w:p w14:paraId="7E331126" w14:textId="75C7E191" w:rsidR="004A1FFE" w:rsidRPr="000649D0" w:rsidRDefault="00C44209" w:rsidP="000649D0">
      <w:pPr>
        <w:spacing w:line="480" w:lineRule="auto"/>
        <w:rPr>
          <w:b/>
          <w:color w:val="000000" w:themeColor="text1"/>
        </w:rPr>
      </w:pPr>
      <w:r w:rsidRPr="00CA0A35">
        <w:rPr>
          <w:color w:val="000000" w:themeColor="text1"/>
        </w:rPr>
        <w:t xml:space="preserve">Generation of </w:t>
      </w:r>
      <w:r w:rsidR="0054204A" w:rsidRPr="00CA0A35">
        <w:rPr>
          <w:color w:val="000000" w:themeColor="text1"/>
        </w:rPr>
        <w:t xml:space="preserve">multiple </w:t>
      </w:r>
      <w:r w:rsidRPr="00CA0A35">
        <w:rPr>
          <w:color w:val="000000" w:themeColor="text1"/>
        </w:rPr>
        <w:t xml:space="preserve">CEP </w:t>
      </w:r>
      <w:r w:rsidR="00C40B69" w:rsidRPr="00CA0A35">
        <w:rPr>
          <w:color w:val="000000" w:themeColor="text1"/>
        </w:rPr>
        <w:t xml:space="preserve">receptor </w:t>
      </w:r>
      <w:r w:rsidRPr="00CA0A35">
        <w:rPr>
          <w:color w:val="000000" w:themeColor="text1"/>
        </w:rPr>
        <w:t xml:space="preserve">mutants in cereals would allow for testing of </w:t>
      </w:r>
      <w:r w:rsidR="00491940" w:rsidRPr="00CA0A35">
        <w:rPr>
          <w:color w:val="000000" w:themeColor="text1"/>
        </w:rPr>
        <w:t xml:space="preserve">the potential role of CEPs as RDS. The CEP </w:t>
      </w:r>
      <w:r w:rsidR="00320B9E" w:rsidRPr="00CA0A35">
        <w:rPr>
          <w:color w:val="000000" w:themeColor="text1"/>
        </w:rPr>
        <w:t xml:space="preserve">receptor </w:t>
      </w:r>
      <w:r w:rsidR="00491940" w:rsidRPr="00CA0A35">
        <w:rPr>
          <w:color w:val="000000" w:themeColor="text1"/>
        </w:rPr>
        <w:t>mutants could be grown in similar experimental set up</w:t>
      </w:r>
      <w:r w:rsidR="00087A7C" w:rsidRPr="00CA0A35">
        <w:rPr>
          <w:color w:val="000000" w:themeColor="text1"/>
        </w:rPr>
        <w:t>s</w:t>
      </w:r>
      <w:r w:rsidR="00491940" w:rsidRPr="00CA0A35">
        <w:rPr>
          <w:color w:val="000000" w:themeColor="text1"/>
        </w:rPr>
        <w:t xml:space="preserve"> as </w:t>
      </w:r>
      <w:r w:rsidR="00935424" w:rsidRPr="00CA0A35">
        <w:rPr>
          <w:color w:val="000000" w:themeColor="text1"/>
        </w:rPr>
        <w:t>Section</w:t>
      </w:r>
      <w:r w:rsidR="00087A7C" w:rsidRPr="00CA0A35">
        <w:rPr>
          <w:color w:val="000000" w:themeColor="text1"/>
        </w:rPr>
        <w:t>s</w:t>
      </w:r>
      <w:r w:rsidR="00935424" w:rsidRPr="00CA0A35">
        <w:rPr>
          <w:color w:val="000000" w:themeColor="text1"/>
        </w:rPr>
        <w:t xml:space="preserve"> 4.3.5 and</w:t>
      </w:r>
      <w:r w:rsidR="00087A7C" w:rsidRPr="00CA0A35">
        <w:rPr>
          <w:color w:val="000000" w:themeColor="text1"/>
        </w:rPr>
        <w:t xml:space="preserve"> 4.3.6 and if</w:t>
      </w:r>
      <w:r w:rsidR="0054204A" w:rsidRPr="00CA0A35">
        <w:rPr>
          <w:color w:val="000000" w:themeColor="text1"/>
        </w:rPr>
        <w:t xml:space="preserve"> RDS was a CEP, it would be expected that </w:t>
      </w:r>
      <w:r w:rsidR="00EC3DCB" w:rsidRPr="00CA0A35">
        <w:rPr>
          <w:color w:val="000000" w:themeColor="text1"/>
        </w:rPr>
        <w:t xml:space="preserve">when </w:t>
      </w:r>
      <w:r w:rsidR="002C557B" w:rsidRPr="00CA0A35">
        <w:rPr>
          <w:color w:val="000000" w:themeColor="text1"/>
        </w:rPr>
        <w:t xml:space="preserve">experiencing high root density </w:t>
      </w:r>
      <w:r w:rsidR="00EC3DCB" w:rsidRPr="00CA0A35">
        <w:rPr>
          <w:color w:val="000000" w:themeColor="text1"/>
        </w:rPr>
        <w:t xml:space="preserve">this </w:t>
      </w:r>
      <w:r w:rsidR="002C557B" w:rsidRPr="00CA0A35">
        <w:rPr>
          <w:color w:val="000000" w:themeColor="text1"/>
        </w:rPr>
        <w:t>does not</w:t>
      </w:r>
      <w:r w:rsidR="0060428D" w:rsidRPr="00CA0A35">
        <w:rPr>
          <w:color w:val="000000" w:themeColor="text1"/>
        </w:rPr>
        <w:t xml:space="preserve"> result in</w:t>
      </w:r>
      <w:r w:rsidR="002C557B" w:rsidRPr="00CA0A35">
        <w:rPr>
          <w:color w:val="000000" w:themeColor="text1"/>
        </w:rPr>
        <w:t xml:space="preserve"> inhibit</w:t>
      </w:r>
      <w:r w:rsidR="0043748E" w:rsidRPr="00CA0A35">
        <w:rPr>
          <w:color w:val="000000" w:themeColor="text1"/>
        </w:rPr>
        <w:t>ion</w:t>
      </w:r>
      <w:r w:rsidR="002C557B" w:rsidRPr="00CA0A35">
        <w:rPr>
          <w:color w:val="000000" w:themeColor="text1"/>
        </w:rPr>
        <w:t xml:space="preserve"> </w:t>
      </w:r>
      <w:r w:rsidR="0060428D" w:rsidRPr="00CA0A35">
        <w:rPr>
          <w:color w:val="000000" w:themeColor="text1"/>
        </w:rPr>
        <w:t xml:space="preserve">of </w:t>
      </w:r>
      <w:r w:rsidR="002C557B" w:rsidRPr="00CA0A35">
        <w:rPr>
          <w:color w:val="000000" w:themeColor="text1"/>
        </w:rPr>
        <w:t xml:space="preserve">the </w:t>
      </w:r>
      <w:r w:rsidR="00A4011C" w:rsidRPr="00CA0A35">
        <w:rPr>
          <w:color w:val="000000" w:themeColor="text1"/>
        </w:rPr>
        <w:t xml:space="preserve">root and/ or shoot </w:t>
      </w:r>
      <w:r w:rsidR="002C557B" w:rsidRPr="00CA0A35">
        <w:rPr>
          <w:color w:val="000000" w:themeColor="text1"/>
        </w:rPr>
        <w:t xml:space="preserve">growth of the </w:t>
      </w:r>
      <w:r w:rsidR="00F85485" w:rsidRPr="00CA0A35">
        <w:rPr>
          <w:color w:val="000000" w:themeColor="text1"/>
        </w:rPr>
        <w:t xml:space="preserve">CEP receptor </w:t>
      </w:r>
      <w:r w:rsidR="002C557B" w:rsidRPr="00CA0A35">
        <w:rPr>
          <w:color w:val="000000" w:themeColor="text1"/>
        </w:rPr>
        <w:t>mutant</w:t>
      </w:r>
      <w:r w:rsidR="00A4011C" w:rsidRPr="00CA0A35">
        <w:rPr>
          <w:color w:val="000000" w:themeColor="text1"/>
        </w:rPr>
        <w:t>.</w:t>
      </w:r>
      <w:r w:rsidR="00A4011C">
        <w:rPr>
          <w:color w:val="000000" w:themeColor="text1"/>
        </w:rPr>
        <w:t xml:space="preserve"> </w:t>
      </w:r>
    </w:p>
    <w:p w14:paraId="59759C5A" w14:textId="77777777" w:rsidR="006068FB" w:rsidRDefault="006068FB" w:rsidP="000649D0">
      <w:pPr>
        <w:spacing w:line="480" w:lineRule="auto"/>
      </w:pPr>
      <w:r w:rsidRPr="000649D0">
        <w:t>Understanding the identity of RDS could allow a ‘toning down’ of the strong root and shoot inhibition seen at high root densities and allow plants to grow at higher root densities for longer, potentially also contributing to increased yield with no additional nutrient inputs.</w:t>
      </w:r>
    </w:p>
    <w:p w14:paraId="3B75658D" w14:textId="77777777" w:rsidR="00FA2B2B" w:rsidRDefault="00FA2B2B" w:rsidP="000649D0">
      <w:pPr>
        <w:spacing w:line="480" w:lineRule="auto"/>
        <w:rPr>
          <w:b/>
        </w:rPr>
      </w:pPr>
    </w:p>
    <w:p w14:paraId="362C8C8F" w14:textId="77777777" w:rsidR="00272609" w:rsidRDefault="00272609" w:rsidP="000649D0">
      <w:pPr>
        <w:spacing w:line="480" w:lineRule="auto"/>
        <w:rPr>
          <w:b/>
        </w:rPr>
      </w:pPr>
    </w:p>
    <w:p w14:paraId="6DB29A1C" w14:textId="77777777" w:rsidR="00272609" w:rsidRPr="000649D0" w:rsidRDefault="00272609" w:rsidP="000649D0">
      <w:pPr>
        <w:spacing w:line="480" w:lineRule="auto"/>
        <w:rPr>
          <w:b/>
        </w:rPr>
      </w:pPr>
    </w:p>
    <w:p w14:paraId="0FFC0443" w14:textId="77777777" w:rsidR="006068FB" w:rsidRDefault="006068FB" w:rsidP="000649D0">
      <w:pPr>
        <w:rPr>
          <w:u w:val="single"/>
        </w:rPr>
      </w:pPr>
      <w:r w:rsidRPr="000649D0">
        <w:rPr>
          <w:u w:val="single"/>
        </w:rPr>
        <w:lastRenderedPageBreak/>
        <w:t>SVS and RDS are unlikely to be the only root exudates plants use to detect neighbours and available soil volume</w:t>
      </w:r>
    </w:p>
    <w:p w14:paraId="7461A180" w14:textId="77777777" w:rsidR="000649D0" w:rsidRPr="000649D0" w:rsidRDefault="000649D0" w:rsidP="000649D0">
      <w:pPr>
        <w:rPr>
          <w:b/>
          <w:u w:val="single"/>
        </w:rPr>
      </w:pPr>
    </w:p>
    <w:p w14:paraId="523C3077" w14:textId="2F105628" w:rsidR="006068FB" w:rsidRPr="000649D0" w:rsidRDefault="006068FB" w:rsidP="000649D0">
      <w:pPr>
        <w:spacing w:line="480" w:lineRule="auto"/>
        <w:rPr>
          <w:b/>
          <w:color w:val="000000" w:themeColor="text1"/>
        </w:rPr>
      </w:pPr>
      <w:r w:rsidRPr="000649D0">
        <w:t xml:space="preserve">The rhizosphere is a highly chemically complex environment with many root exudates and microbial signals </w:t>
      </w:r>
      <w:r w:rsidRPr="000649D0">
        <w:rPr>
          <w:b/>
        </w:rPr>
        <w:fldChar w:fldCharType="begin" w:fldLock="1"/>
      </w:r>
      <w:r w:rsidR="00F968E0">
        <w:instrText>ADDIN CSL_CITATION {"citationItems":[{"id":"ITEM-1","itemData":{"DOI":"10.1016/j.tplants.2012.04.001","ISSN":"13601385","author":[{"dropping-particle":"","family":"Berendsen","given":"Roeland L.","non-dropping-particle":"","parse-names":false,"suffix":""},{"dropping-particle":"","family":"Pieterse","given":"Corné M.J.","non-dropping-particle":"","parse-names":false,"suffix":""},{"dropping-particle":"","family":"Bakker","given":"Peter A.H.M.","non-dropping-particle":"","parse-names":false,"suffix":""}],"container-title":"Trends in Plant Science","id":"ITEM-1","issue":"8","issued":{"date-parts":[["2012","8"]]},"page":"478-486","title":"The rhizosphere microbiome and plant health","type":"article-journal","volume":"17"},"uris":["http://www.mendeley.com/documents/?uuid=9c5c5e66-611b-4b6b-b848-bf306b0d4341"]},{"id":"ITEM-2","itemData":{"DOI":"10.3389/fpls.2013.00165","ISSN":"1664-462X","author":[{"dropping-particle":"","family":"Bakker","given":"Peter A. H. M.","non-dropping-particle":"","parse-names":false,"suffix":""},{"dropping-particle":"","family":"Berendsen","given":"Roeland L.","non-dropping-particle":"","parse-names":false,"suffix":""},{"dropping-particle":"","family":"Doornbos","given":"Rogier F.","non-dropping-particle":"","parse-names":false,"suffix":""},{"dropping-particle":"","family":"Wintermans","given":"Paul C. A.","non-dropping-particle":"","parse-names":false,"suffix":""},{"dropping-particle":"","family":"Pieterse","given":"Corné M. J.","non-dropping-particle":"","parse-names":false,"suffix":""}],"container-title":"Frontiers in Plant Science","id":"ITEM-2","issued":{"date-parts":[["2013"]]},"title":"The rhizosphere revisited: root microbiomics","type":"article-journal","volume":"4"},"uris":["http://www.mendeley.com/documents/?uuid=15e67bf1-8c6c-4d40-8d5c-27956736c11c"]}],"mendeley":{"formattedCitation":"(Berendsen et al., 2012; Bakker et al., 2013)","plainTextFormattedCitation":"(Berendsen et al., 2012; Bakker et al., 2013)","previouslyFormattedCitation":"(Berendsen et al., 2012; Bakker et al., 2013)"},"properties":{"noteIndex":0},"schema":"https://github.com/citation-style-language/schema/raw/master/csl-citation.json"}</w:instrText>
      </w:r>
      <w:r w:rsidRPr="000649D0">
        <w:rPr>
          <w:b/>
        </w:rPr>
        <w:fldChar w:fldCharType="separate"/>
      </w:r>
      <w:r w:rsidR="008B101C" w:rsidRPr="008B101C">
        <w:rPr>
          <w:noProof/>
        </w:rPr>
        <w:t>(Berendsen et al., 2012; Bakker et al., 2013)</w:t>
      </w:r>
      <w:r w:rsidRPr="000649D0">
        <w:rPr>
          <w:b/>
        </w:rPr>
        <w:fldChar w:fldCharType="end"/>
      </w:r>
      <w:r w:rsidRPr="000649D0">
        <w:t>. Therefore, it is naïve to suggest that SVS and RDS are the only exudates which plants detect and respond to under soil volume limited or neighbour dense environments. After the identification of jasmonic acid and (-)</w:t>
      </w:r>
      <w:r w:rsidR="003F5E49">
        <w:t>-</w:t>
      </w:r>
      <w:r w:rsidRPr="000649D0">
        <w:t xml:space="preserve">loliolide </w:t>
      </w:r>
      <w:r w:rsidR="00124A23" w:rsidRPr="000649D0">
        <w:t>in wheat</w:t>
      </w:r>
      <w:r w:rsidR="00124A23">
        <w:t xml:space="preserve"> plants</w:t>
      </w:r>
      <w:r w:rsidR="00124A23" w:rsidRPr="000649D0">
        <w:t xml:space="preserve"> </w:t>
      </w:r>
      <w:r w:rsidRPr="000649D0">
        <w:t xml:space="preserve">as neighbour density associated root exudates which </w:t>
      </w:r>
      <w:r w:rsidR="002B2510">
        <w:t>result in</w:t>
      </w:r>
      <w:r w:rsidRPr="000649D0">
        <w:t xml:space="preserve"> the </w:t>
      </w:r>
      <w:r w:rsidR="00AC7767">
        <w:t>biosynthesis</w:t>
      </w:r>
      <w:r w:rsidRPr="000649D0">
        <w:t xml:space="preserve"> of allelopathic DIMBOA </w:t>
      </w:r>
      <w:r w:rsidRPr="000649D0">
        <w:rPr>
          <w:b/>
        </w:rPr>
        <w:fldChar w:fldCharType="begin" w:fldLock="1"/>
      </w:r>
      <w:r w:rsidRPr="000649D0">
        <w:instrText>ADDIN CSL_CITATION {"citationItems":[{"id":"ITEM-1","itemData":{"DOI":"10.1038/s41467-018-06429-1","ISSN":"2041-1723","author":[{"dropping-particle":"","family":"Kong","given":"Chui-Hua","non-dropping-particle":"","parse-names":false,"suffix":""},{"dropping-particle":"","family":"Zhang","given":"Song-Zhu","non-dropping-particle":"","parse-names":false,"suffix":""},{"dropping-particle":"","family":"Li","given":"Yong-Hua","non-dropping-particle":"","parse-names":false,"suffix":""},{"dropping-particle":"","family":"Xia","given":"Zhi-Chao","non-dropping-particle":"","parse-names":false,"suffix":""},{"dropping-particle":"","family":"Yang","given":"Xue-Fang","non-dropping-particle":"","parse-names":false,"suffix":""},{"dropping-particle":"","family":"Meiners","given":"Scott J.","non-dropping-particle":"","parse-names":false,"suffix":""},{"dropping-particle":"","family":"Wang","given":"Peng","non-dropping-particle":"","parse-names":false,"suffix":""}],"container-title":"Nature Communications","id":"ITEM-1","issue":"1","issued":{"date-parts":[["2018","12","24"]]},"page":"3867","title":"Plant neighbor detection and allelochemical response are driven by root-secreted signaling chemicals","type":"article-journal","volume":"9"},"uris":["http://www.mendeley.com/documents/?uuid=ed434030-e65c-3266-bb4f-d2cb579ec9ea"]}],"mendeley":{"formattedCitation":"(Kong et al., 2018)","plainTextFormattedCitation":"(Kong et al., 2018)","previouslyFormattedCitation":"(Kong et al., 2018)"},"properties":{"noteIndex":0},"schema":"https://github.com/citation-style-language/schema/raw/master/csl-citation.json"}</w:instrText>
      </w:r>
      <w:r w:rsidRPr="000649D0">
        <w:rPr>
          <w:b/>
        </w:rPr>
        <w:fldChar w:fldCharType="separate"/>
      </w:r>
      <w:r w:rsidRPr="000649D0">
        <w:rPr>
          <w:noProof/>
        </w:rPr>
        <w:t>(Kong et al., 2018)</w:t>
      </w:r>
      <w:r w:rsidRPr="000649D0">
        <w:rPr>
          <w:b/>
        </w:rPr>
        <w:fldChar w:fldCharType="end"/>
      </w:r>
      <w:r w:rsidR="009E05F3">
        <w:rPr>
          <w:bCs/>
        </w:rPr>
        <w:t xml:space="preserve"> (discussed in chapter 1)</w:t>
      </w:r>
      <w:r w:rsidRPr="000649D0">
        <w:t xml:space="preserve">, more recent work has suggested that (-)-loliolide functions as part of a general defence mechanism </w:t>
      </w:r>
      <w:r w:rsidR="00EB2E6A">
        <w:t xml:space="preserve">when </w:t>
      </w:r>
      <w:r w:rsidR="00EB2E6A" w:rsidRPr="000649D0">
        <w:t>multiple species</w:t>
      </w:r>
      <w:r w:rsidR="00EB2E6A">
        <w:t xml:space="preserve"> such as rice, wheat and soybean are subjected to</w:t>
      </w:r>
      <w:r w:rsidRPr="000649D0">
        <w:t xml:space="preserve"> both biotic and abiotic stress </w:t>
      </w:r>
      <w:r w:rsidR="00F968E0">
        <w:fldChar w:fldCharType="begin" w:fldLock="1"/>
      </w:r>
      <w:r w:rsidR="0010124A">
        <w:instrText>ADDIN CSL_CITATION {"citationItems":[{"id":"ITEM-1","itemData":{"DOI":"10.1111/nph.18644","ISSN":"0028-646X","abstract":"The production of defensive metabolites in plants can be induced by signaling chemicals released by neighboring plants. Induction is mainly known from volatile aboveground signals, with belowground signals and their underlying mechanisms largely unknown. We demonstrate that (−)</w:instrText>
      </w:r>
      <w:r w:rsidR="0010124A">
        <w:rPr>
          <w:rFonts w:ascii="Cambria Math" w:hAnsi="Cambria Math" w:cs="Cambria Math"/>
        </w:rPr>
        <w:instrText>‐</w:instrText>
      </w:r>
      <w:r w:rsidR="0010124A">
        <w:instrText>loliolide triggers defensive metabolite responses to competitors, herbivores, and pathogens in seven plant species. We further explore the transcriptional responses of defensive pathways to verify the signaling role of (−)</w:instrText>
      </w:r>
      <w:r w:rsidR="0010124A">
        <w:rPr>
          <w:rFonts w:ascii="Cambria Math" w:hAnsi="Cambria Math" w:cs="Cambria Math"/>
        </w:rPr>
        <w:instrText>‐</w:instrText>
      </w:r>
      <w:r w:rsidR="0010124A">
        <w:instrText>loliolide in wheat and rice models with well</w:instrText>
      </w:r>
      <w:r w:rsidR="0010124A">
        <w:rPr>
          <w:rFonts w:ascii="Cambria Math" w:hAnsi="Cambria Math" w:cs="Cambria Math"/>
        </w:rPr>
        <w:instrText>‐</w:instrText>
      </w:r>
      <w:r w:rsidR="0010124A">
        <w:instrText>known defensive metabolites and gene systems. In response to biotic and abiotic stressors, (−)</w:instrText>
      </w:r>
      <w:r w:rsidR="0010124A">
        <w:rPr>
          <w:rFonts w:ascii="Cambria Math" w:hAnsi="Cambria Math" w:cs="Cambria Math"/>
        </w:rPr>
        <w:instrText>‐</w:instrText>
      </w:r>
      <w:r w:rsidR="0010124A">
        <w:instrText>loliolide is produced and secreted by roots. This, in turn, induces the production of defensive compounds including phenolic acids, flavonoids, terpenoids, alkaloids, benzoxazinoids, and cyanogenic glycosides, regardless of plant species. (−)</w:instrText>
      </w:r>
      <w:r w:rsidR="0010124A">
        <w:rPr>
          <w:rFonts w:ascii="Cambria Math" w:hAnsi="Cambria Math" w:cs="Cambria Math"/>
        </w:rPr>
        <w:instrText>‐</w:instrText>
      </w:r>
      <w:r w:rsidR="0010124A">
        <w:instrText>Loliolide also triggers the expression of defense</w:instrText>
      </w:r>
      <w:r w:rsidR="0010124A">
        <w:rPr>
          <w:rFonts w:ascii="Cambria Math" w:hAnsi="Cambria Math" w:cs="Cambria Math"/>
        </w:rPr>
        <w:instrText>‐</w:instrText>
      </w:r>
      <w:r w:rsidR="0010124A">
        <w:instrText>related genes, accompanied by an increase in the concentration of jasmonic acid and hydrogen peroxide (H 2 O 2 ). Transcriptome profiling and inhibitor incubation indicate that (−)</w:instrText>
      </w:r>
      <w:r w:rsidR="0010124A">
        <w:rPr>
          <w:rFonts w:ascii="Cambria Math" w:hAnsi="Cambria Math" w:cs="Cambria Math"/>
        </w:rPr>
        <w:instrText>‐</w:instrText>
      </w:r>
      <w:r w:rsidR="0010124A">
        <w:instrText>loliolide</w:instrText>
      </w:r>
      <w:r w:rsidR="0010124A">
        <w:rPr>
          <w:rFonts w:ascii="Cambria Math" w:hAnsi="Cambria Math" w:cs="Cambria Math"/>
        </w:rPr>
        <w:instrText>‐</w:instrText>
      </w:r>
      <w:r w:rsidR="0010124A">
        <w:instrText>induced defense responses are regulated through pathways mediated by jasmonic acid, H 2 O 2 , and Ca 2+ . These findings argue that (−)</w:instrText>
      </w:r>
      <w:r w:rsidR="0010124A">
        <w:rPr>
          <w:rFonts w:ascii="Cambria Math" w:hAnsi="Cambria Math" w:cs="Cambria Math"/>
        </w:rPr>
        <w:instrText>‐</w:instrText>
      </w:r>
      <w:r w:rsidR="0010124A">
        <w:instrText>loliolide functions as a common belowground signal mediating chemical defense in plants. Such perception</w:instrText>
      </w:r>
      <w:r w:rsidR="0010124A">
        <w:rPr>
          <w:rFonts w:ascii="Cambria Math" w:hAnsi="Cambria Math" w:cs="Cambria Math"/>
        </w:rPr>
        <w:instrText>‐</w:instrText>
      </w:r>
      <w:r w:rsidR="0010124A">
        <w:instrText>dependent plant chemical defenses will yield critical insights into belowground signaling interactions.","author":[{"dropping-particle":"","family":"Li","given":"Lei</w:instrText>
      </w:r>
      <w:r w:rsidR="0010124A">
        <w:rPr>
          <w:rFonts w:ascii="Cambria Math" w:hAnsi="Cambria Math" w:cs="Cambria Math"/>
        </w:rPr>
        <w:instrText>‐</w:instrText>
      </w:r>
      <w:r w:rsidR="0010124A">
        <w:instrText>Lei","non-dropping-particle":"","parse-names":false,"suffix":""},{"dropping-particle":"","family":"Li","given":"Zheng","non-dropping-particle":"","parse-names":false,"suffix":""},{"dropping-particle":"","family":"Lou","given":"Yonggen","non-dropping-particle":"","parse-names":false,"suffix":""},{"dropping-particle":"","family":"Meiners","given":"Scott J.","non-dropping-particle":"","parse-names":false,"suffix":""},{"dropping-particle":"","family":"Kong","given":"Chui</w:instrText>
      </w:r>
      <w:r w:rsidR="0010124A">
        <w:rPr>
          <w:rFonts w:ascii="Cambria Math" w:hAnsi="Cambria Math" w:cs="Cambria Math"/>
        </w:rPr>
        <w:instrText>‐</w:instrText>
      </w:r>
      <w:r w:rsidR="0010124A">
        <w:instrText>Hua","non-dropping-particle":"","parse-names":false,"suffix":""}],"container-title":"New Phytologist","id":"ITEM-1","issue":"5","issued":{"date-parts":[["2023","6","17"]]},"page":"2099-2112","title":"(−)</w:instrText>
      </w:r>
      <w:r w:rsidR="0010124A">
        <w:rPr>
          <w:rFonts w:ascii="Cambria Math" w:hAnsi="Cambria Math" w:cs="Cambria Math"/>
        </w:rPr>
        <w:instrText>‐</w:instrText>
      </w:r>
      <w:r w:rsidR="0010124A">
        <w:instrText>Loliolide is a general signal of plant stress that activates jasmonate</w:instrText>
      </w:r>
      <w:r w:rsidR="0010124A">
        <w:rPr>
          <w:rFonts w:ascii="Cambria Math" w:hAnsi="Cambria Math" w:cs="Cambria Math"/>
        </w:rPr>
        <w:instrText>‐</w:instrText>
      </w:r>
      <w:r w:rsidR="0010124A">
        <w:instrText>related responses","type":"article-journal","volume":"238"},"uris":["http://www.mendeley.com/documents/?uuid=6a0f81dd-5a5f-4dd6-809a-2205401bec06"]}],"mendeley":{"formattedCitation":"(L. Li et al., 2023)","plainTextFormattedCitation":"(L. Li et al., 2023)","previouslyFormattedCitation":"(L. Li et al., 2023)"},"properties":{"noteIndex":0},"schema":"https://github.com/citation-style-language/schema/raw/master/csl-citation.json"}</w:instrText>
      </w:r>
      <w:r w:rsidR="00F968E0">
        <w:fldChar w:fldCharType="separate"/>
      </w:r>
      <w:r w:rsidR="00F968E0" w:rsidRPr="00F968E0">
        <w:rPr>
          <w:noProof/>
        </w:rPr>
        <w:t>(L. Li et al., 2023)</w:t>
      </w:r>
      <w:r w:rsidR="00F968E0">
        <w:fldChar w:fldCharType="end"/>
      </w:r>
      <w:r w:rsidRPr="000649D0">
        <w:t>. Th</w:t>
      </w:r>
      <w:r w:rsidR="001A6003">
        <w:t>e authors found this</w:t>
      </w:r>
      <w:r w:rsidRPr="000649D0">
        <w:t xml:space="preserve"> </w:t>
      </w:r>
      <w:r w:rsidR="001A6003">
        <w:t>resulted in</w:t>
      </w:r>
      <w:r w:rsidRPr="000649D0">
        <w:t xml:space="preserve"> the biosynthesis of </w:t>
      </w:r>
      <w:r w:rsidR="00E92435">
        <w:t xml:space="preserve">plant </w:t>
      </w:r>
      <w:r w:rsidR="00E92435" w:rsidRPr="000649D0">
        <w:t>de</w:t>
      </w:r>
      <w:r w:rsidR="005C70DF">
        <w:t>fence</w:t>
      </w:r>
      <w:r w:rsidRPr="000649D0">
        <w:t xml:space="preserve"> compounds such as flavonoids and phenolic acids and th</w:t>
      </w:r>
      <w:r w:rsidR="005C70DF">
        <w:t>is</w:t>
      </w:r>
      <w:r w:rsidRPr="000649D0">
        <w:t xml:space="preserve"> defence based response has been shown to be facilitated through jasmonic acid </w:t>
      </w:r>
      <w:r w:rsidRPr="000649D0">
        <w:rPr>
          <w:b/>
        </w:rPr>
        <w:fldChar w:fldCharType="begin" w:fldLock="1"/>
      </w:r>
      <w:r w:rsidRPr="000649D0">
        <w:instrText>ADDIN CSL_CITATION {"citationItems":[{"id":"ITEM-1","itemData":{"DOI":"10.1111/nph.18644","ISSN":"0028-646X","abstract":"The production of defensive metabolites in plants can be induced by signaling chemicals released by neighboring plants. Induction is mainly known from volatile aboveground signals, with belowground signals and their underlying mechanisms largely unknown. We demonstrate that (−)</w:instrText>
      </w:r>
      <w:r w:rsidRPr="000649D0">
        <w:rPr>
          <w:rFonts w:ascii="Cambria Math" w:hAnsi="Cambria Math" w:cs="Cambria Math"/>
        </w:rPr>
        <w:instrText>‐</w:instrText>
      </w:r>
      <w:r w:rsidRPr="000649D0">
        <w:instrText>loliolide triggers defensive metabolite responses to competitors, herbivores, and pathogens in seven plant species. We further explore the transcriptional responses of defensive pathways to verify the signaling role of (−)</w:instrText>
      </w:r>
      <w:r w:rsidRPr="000649D0">
        <w:rPr>
          <w:rFonts w:ascii="Cambria Math" w:hAnsi="Cambria Math" w:cs="Cambria Math"/>
        </w:rPr>
        <w:instrText>‐</w:instrText>
      </w:r>
      <w:r w:rsidRPr="000649D0">
        <w:instrText>loliolide in wheat and rice models with well</w:instrText>
      </w:r>
      <w:r w:rsidRPr="000649D0">
        <w:rPr>
          <w:rFonts w:ascii="Cambria Math" w:hAnsi="Cambria Math" w:cs="Cambria Math"/>
        </w:rPr>
        <w:instrText>‐</w:instrText>
      </w:r>
      <w:r w:rsidRPr="000649D0">
        <w:instrText>known defensive metabolites and gene systems. In response to biotic and abiotic stressors, (−)</w:instrText>
      </w:r>
      <w:r w:rsidRPr="000649D0">
        <w:rPr>
          <w:rFonts w:ascii="Cambria Math" w:hAnsi="Cambria Math" w:cs="Cambria Math"/>
        </w:rPr>
        <w:instrText>‐</w:instrText>
      </w:r>
      <w:r w:rsidRPr="000649D0">
        <w:instrText>loliolide is produced and secreted by roots. This, in turn, induces the production of defensive compounds including phenolic acids, flavonoids, terpenoids, alkaloids, benzoxazinoids, and cyanogenic glycosides, regardless of plant species. (−)</w:instrText>
      </w:r>
      <w:r w:rsidRPr="000649D0">
        <w:rPr>
          <w:rFonts w:ascii="Cambria Math" w:hAnsi="Cambria Math" w:cs="Cambria Math"/>
        </w:rPr>
        <w:instrText>‐</w:instrText>
      </w:r>
      <w:r w:rsidRPr="000649D0">
        <w:instrText>Loliolide also triggers the expression of defense</w:instrText>
      </w:r>
      <w:r w:rsidRPr="000649D0">
        <w:rPr>
          <w:rFonts w:ascii="Cambria Math" w:hAnsi="Cambria Math" w:cs="Cambria Math"/>
        </w:rPr>
        <w:instrText>‐</w:instrText>
      </w:r>
      <w:r w:rsidRPr="000649D0">
        <w:instrText>related genes, accompanied by an increase in the concentration of jasmonic acid and hydrogen peroxide (H 2 O 2 ). Transcriptome profiling and inhibitor incubation indicate that (−)</w:instrText>
      </w:r>
      <w:r w:rsidRPr="000649D0">
        <w:rPr>
          <w:rFonts w:ascii="Cambria Math" w:hAnsi="Cambria Math" w:cs="Cambria Math"/>
        </w:rPr>
        <w:instrText>‐</w:instrText>
      </w:r>
      <w:r w:rsidRPr="000649D0">
        <w:instrText>loliolide</w:instrText>
      </w:r>
      <w:r w:rsidRPr="000649D0">
        <w:rPr>
          <w:rFonts w:ascii="Cambria Math" w:hAnsi="Cambria Math" w:cs="Cambria Math"/>
        </w:rPr>
        <w:instrText>‐</w:instrText>
      </w:r>
      <w:r w:rsidRPr="000649D0">
        <w:instrText>induced defense responses are regulated through pathways mediated by jasmonic acid, H 2 O 2 , and Ca 2+ . These findings argue that (−)</w:instrText>
      </w:r>
      <w:r w:rsidRPr="000649D0">
        <w:rPr>
          <w:rFonts w:ascii="Cambria Math" w:hAnsi="Cambria Math" w:cs="Cambria Math"/>
        </w:rPr>
        <w:instrText>‐</w:instrText>
      </w:r>
      <w:r w:rsidRPr="000649D0">
        <w:instrText>loliolide functions as a common belowground signal mediating chemical defense in plants. Such perception</w:instrText>
      </w:r>
      <w:r w:rsidRPr="000649D0">
        <w:rPr>
          <w:rFonts w:ascii="Cambria Math" w:hAnsi="Cambria Math" w:cs="Cambria Math"/>
        </w:rPr>
        <w:instrText>‐</w:instrText>
      </w:r>
      <w:r w:rsidRPr="000649D0">
        <w:instrText>dependent plant chemical defenses will yield critical insights into belowground signaling interactions.","author":[{"dropping-particle":"","family":"Li","given":"Lei</w:instrText>
      </w:r>
      <w:r w:rsidRPr="000649D0">
        <w:rPr>
          <w:rFonts w:ascii="Cambria Math" w:hAnsi="Cambria Math" w:cs="Cambria Math"/>
        </w:rPr>
        <w:instrText>‐</w:instrText>
      </w:r>
      <w:r w:rsidRPr="000649D0">
        <w:instrText>Lei","non-dropping-particle":"","parse-names":false,"suffix":""},{"dropping-particle":"","family":"Li","given":"Zheng","non-dropping-particle":"","parse-names":false,"suffix":""},{"dropping-particle":"","family":"Lou","given":"Yonggen","non-dropping-particle":"","parse-names":false,"suffix":""},{"dropping-particle":"","family":"Meiners","given":"Scott J.","non-dropping-particle":"","parse-names":false,"suffix":""},{"dropping-particle":"","family":"Kong","given":"Chui</w:instrText>
      </w:r>
      <w:r w:rsidRPr="000649D0">
        <w:rPr>
          <w:rFonts w:ascii="Cambria Math" w:hAnsi="Cambria Math" w:cs="Cambria Math"/>
        </w:rPr>
        <w:instrText>‐</w:instrText>
      </w:r>
      <w:r w:rsidRPr="000649D0">
        <w:instrText>Hua","non-dropping-particle":"","parse-names":false,"suffix":""}],"container-title":"New Phytologist","id":"ITEM-1","issue":"5","issued":{"date-parts":[["2023","6","17"]]},"page":"2099-2112","title":"(−)</w:instrText>
      </w:r>
      <w:r w:rsidRPr="000649D0">
        <w:rPr>
          <w:rFonts w:ascii="Cambria Math" w:hAnsi="Cambria Math" w:cs="Cambria Math"/>
        </w:rPr>
        <w:instrText>‐</w:instrText>
      </w:r>
      <w:r w:rsidRPr="000649D0">
        <w:instrText>Loliolide is a general signal of plant stress that activates jasmonate</w:instrText>
      </w:r>
      <w:r w:rsidRPr="000649D0">
        <w:rPr>
          <w:rFonts w:ascii="Cambria Math" w:hAnsi="Cambria Math" w:cs="Cambria Math"/>
        </w:rPr>
        <w:instrText>‐</w:instrText>
      </w:r>
      <w:r w:rsidRPr="000649D0">
        <w:instrText>related responses","type":"article-journal","volume":"238"},"uris":["http://www.mendeley.com/documents/?uuid=6a0f81dd-5a5f-4dd6-809a-2205401bec06"]}],"mendeley":{"formattedCitation":"(L. Li et al., 2023)","plainTextFormattedCitation":"(L. Li et al., 2023)","previouslyFormattedCitation":"(L. Li et al., 2023)"},"properties":{"noteIndex":0},"schema":"https://github.com/citation-style-language/schema/raw/master/csl-citation.json"}</w:instrText>
      </w:r>
      <w:r w:rsidRPr="000649D0">
        <w:rPr>
          <w:b/>
        </w:rPr>
        <w:fldChar w:fldCharType="separate"/>
      </w:r>
      <w:r w:rsidRPr="000649D0">
        <w:rPr>
          <w:noProof/>
        </w:rPr>
        <w:t>(L. Li et al., 2023)</w:t>
      </w:r>
      <w:r w:rsidRPr="000649D0">
        <w:rPr>
          <w:b/>
        </w:rPr>
        <w:fldChar w:fldCharType="end"/>
      </w:r>
      <w:r w:rsidRPr="000649D0">
        <w:t xml:space="preserve">. </w:t>
      </w:r>
      <w:r w:rsidRPr="000649D0">
        <w:rPr>
          <w:color w:val="000000" w:themeColor="text1"/>
        </w:rPr>
        <w:t xml:space="preserve">Phenolic acids have been found in many plants hence have also been suggested to act as allelochemicals </w:t>
      </w:r>
      <w:r w:rsidRPr="000649D0">
        <w:rPr>
          <w:b/>
          <w:color w:val="000000" w:themeColor="text1"/>
        </w:rPr>
        <w:fldChar w:fldCharType="begin" w:fldLock="1"/>
      </w:r>
      <w:r w:rsidRPr="000649D0">
        <w:rPr>
          <w:color w:val="000000" w:themeColor="text1"/>
        </w:rPr>
        <w:instrText>ADDIN CSL_CITATION {"citationItems":[{"id":"ITEM-1","itemData":{"author":[{"dropping-particle":"","family":"Dalton","given":"Barry R","non-dropping-particle":"","parse-names":false,"suffix":""}],"container-title":"Principles and Practices in Plant Ecology: allelochemical interactions","editor":[{"dropping-particle":"","family":"Inderjit","given":"","non-dropping-particle":"","parse-names":false,"suffix":""},{"dropping-particle":"","family":"Dakshini","given":"K.M.M","non-dropping-particle":"","parse-names":false,"suffix":""},{"dropping-particle":"","family":"Foy","given":"C.L.","non-dropping-particle":"","parse-names":false,"suffix":""}],"id":"ITEM-1","issued":{"date-parts":[["1999"]]},"page":"57-74","publisher":"CRC Press","publisher-place":"Boca Raton, FL","title":"The Occurrence and Behavior of Plant Phenolic Acids in Soil Environments and Their Potential Involvement in Allelochemical Interference Interactions: Methodological Limitations in Establishing Conclusive Proof of Allelopathy","type":"chapter"},"uris":["http://www.mendeley.com/documents/?uuid=3874d7a0-6678-442a-a8aa-ee362424a5f7"]},{"id":"ITEM-2","itemData":{"DOI":"10.1007/BF02857921","ISSN":"0006-8101","author":[{"dropping-particle":"","family":"Inderjit","given":"","non-dropping-particle":"","parse-names":false,"suffix":""}],"container-title":"The Botanical Review","id":"ITEM-2","issue":"2","issued":{"date-parts":[["1996","4"]]},"page":"186-202","title":"Plant phenolics in allelopathy","type":"article-journal","volume":"62"},"uris":["http://www.mendeley.com/documents/?uuid=36a57621-f4e2-47d0-bf42-90cd8cb44584"]}],"mendeley":{"formattedCitation":"(Inderjit, 1996; Dalton, 1999)","plainTextFormattedCitation":"(Inderjit, 1996; Dalton, 1999)","previouslyFormattedCitation":"(Inderjit, 1996; Dalton, 1999)"},"properties":{"noteIndex":0},"schema":"https://github.com/citation-style-language/schema/raw/master/csl-citation.json"}</w:instrText>
      </w:r>
      <w:r w:rsidRPr="000649D0">
        <w:rPr>
          <w:b/>
          <w:color w:val="000000" w:themeColor="text1"/>
        </w:rPr>
        <w:fldChar w:fldCharType="separate"/>
      </w:r>
      <w:r w:rsidRPr="000649D0">
        <w:rPr>
          <w:noProof/>
          <w:color w:val="000000" w:themeColor="text1"/>
        </w:rPr>
        <w:t>(Inderjit, 1996; Dalton, 1999)</w:t>
      </w:r>
      <w:r w:rsidRPr="000649D0">
        <w:rPr>
          <w:b/>
          <w:color w:val="000000" w:themeColor="text1"/>
        </w:rPr>
        <w:fldChar w:fldCharType="end"/>
      </w:r>
      <w:r w:rsidRPr="000649D0">
        <w:rPr>
          <w:color w:val="000000" w:themeColor="text1"/>
        </w:rPr>
        <w:t xml:space="preserve">. Over the last 100 years, selection pressures in </w:t>
      </w:r>
      <w:r w:rsidR="00F30111">
        <w:rPr>
          <w:color w:val="000000" w:themeColor="text1"/>
        </w:rPr>
        <w:t xml:space="preserve">European </w:t>
      </w:r>
      <w:r w:rsidRPr="000649D0">
        <w:rPr>
          <w:color w:val="000000" w:themeColor="text1"/>
        </w:rPr>
        <w:t xml:space="preserve">barley breeding programs have unintentionally resulted in variations in allelopathic capabilities, but </w:t>
      </w:r>
      <w:r w:rsidRPr="009120F0">
        <w:rPr>
          <w:bCs/>
        </w:rPr>
        <w:t>these</w:t>
      </w:r>
      <w:r w:rsidRPr="000649D0">
        <w:rPr>
          <w:b/>
        </w:rPr>
        <w:t xml:space="preserve"> </w:t>
      </w:r>
      <w:r w:rsidRPr="000649D0">
        <w:rPr>
          <w:color w:val="000000" w:themeColor="text1"/>
        </w:rPr>
        <w:t xml:space="preserve">have been suggested to have generally decreased over time compared to landraces </w:t>
      </w:r>
      <w:r w:rsidRPr="000649D0">
        <w:rPr>
          <w:b/>
          <w:color w:val="000000" w:themeColor="text1"/>
        </w:rPr>
        <w:fldChar w:fldCharType="begin" w:fldLock="1"/>
      </w:r>
      <w:r w:rsidRPr="000649D0">
        <w:rPr>
          <w:color w:val="000000" w:themeColor="text1"/>
        </w:rPr>
        <w:instrText>ADDIN CSL_CITATION {"citationItems":[{"id":"ITEM-1","itemData":{"DOI":"10.1111/j.1365-3180.2003.00375.x","ISSN":"0043-1737","author":[{"dropping-particle":"","family":"Bertholdsson","given":"N-O","non-dropping-particle":"","parse-names":false,"suffix":""}],"container-title":"Weed Research","id":"ITEM-1","issue":"2","issued":{"date-parts":[["2004","4"]]},"page":"78-86","title":"Variation in allelopathic activity over 100 years of barley selection and breeding","type":"article-journal","volume":"44"},"uris":["http://www.mendeley.com/documents/?uuid=900de782-506a-44b8-b469-ef1dd542d349"]}],"mendeley":{"formattedCitation":"(Bertholdsson, 2004)","plainTextFormattedCitation":"(Bertholdsson, 2004)","previouslyFormattedCitation":"(Bertholdsson, 2004)"},"properties":{"noteIndex":0},"schema":"https://github.com/citation-style-language/schema/raw/master/csl-citation.json"}</w:instrText>
      </w:r>
      <w:r w:rsidRPr="000649D0">
        <w:rPr>
          <w:b/>
          <w:color w:val="000000" w:themeColor="text1"/>
        </w:rPr>
        <w:fldChar w:fldCharType="separate"/>
      </w:r>
      <w:r w:rsidRPr="000649D0">
        <w:rPr>
          <w:noProof/>
          <w:color w:val="000000" w:themeColor="text1"/>
        </w:rPr>
        <w:t>(Bertholdsson, 2004)</w:t>
      </w:r>
      <w:r w:rsidRPr="000649D0">
        <w:rPr>
          <w:b/>
          <w:color w:val="000000" w:themeColor="text1"/>
        </w:rPr>
        <w:fldChar w:fldCharType="end"/>
      </w:r>
      <w:r w:rsidRPr="000649D0">
        <w:rPr>
          <w:color w:val="000000" w:themeColor="text1"/>
        </w:rPr>
        <w:t xml:space="preserve">. </w:t>
      </w:r>
      <w:r w:rsidR="00F865DC" w:rsidRPr="00FB2825">
        <w:rPr>
          <w:color w:val="000000" w:themeColor="text1"/>
        </w:rPr>
        <w:t xml:space="preserve">Allelopathy </w:t>
      </w:r>
      <w:r w:rsidR="00100F42" w:rsidRPr="00FB2825">
        <w:rPr>
          <w:color w:val="000000" w:themeColor="text1"/>
        </w:rPr>
        <w:t>is where</w:t>
      </w:r>
      <w:r w:rsidR="003401C0" w:rsidRPr="00FB2825">
        <w:rPr>
          <w:color w:val="000000" w:themeColor="text1"/>
        </w:rPr>
        <w:t xml:space="preserve"> the effects of chemical</w:t>
      </w:r>
      <w:r w:rsidR="009D4929" w:rsidRPr="00FB2825">
        <w:rPr>
          <w:color w:val="000000" w:themeColor="text1"/>
        </w:rPr>
        <w:t>s</w:t>
      </w:r>
      <w:r w:rsidR="00C96F50" w:rsidRPr="00FB2825">
        <w:rPr>
          <w:color w:val="000000" w:themeColor="text1"/>
        </w:rPr>
        <w:t xml:space="preserve"> or compound</w:t>
      </w:r>
      <w:r w:rsidR="009D4929" w:rsidRPr="00FB2825">
        <w:rPr>
          <w:color w:val="000000" w:themeColor="text1"/>
        </w:rPr>
        <w:t>s</w:t>
      </w:r>
      <w:r w:rsidR="00C96F50" w:rsidRPr="00FB2825">
        <w:rPr>
          <w:color w:val="000000" w:themeColor="text1"/>
        </w:rPr>
        <w:t xml:space="preserve"> released by a plant effects a neighbouring plant in either a </w:t>
      </w:r>
      <w:r w:rsidR="009D4929" w:rsidRPr="00FB2825">
        <w:rPr>
          <w:color w:val="000000" w:themeColor="text1"/>
        </w:rPr>
        <w:t>positive or negative manner</w:t>
      </w:r>
      <w:r w:rsidR="00E351BA">
        <w:rPr>
          <w:color w:val="000000" w:themeColor="text1"/>
        </w:rPr>
        <w:t xml:space="preserve"> </w:t>
      </w:r>
      <w:r w:rsidR="00E351BA">
        <w:rPr>
          <w:color w:val="000000" w:themeColor="text1"/>
        </w:rPr>
        <w:fldChar w:fldCharType="begin" w:fldLock="1"/>
      </w:r>
      <w:r w:rsidR="00AB17CA">
        <w:rPr>
          <w:color w:val="000000" w:themeColor="text1"/>
        </w:rPr>
        <w:instrText>ADDIN CSL_CITATION {"citationItems":[{"id":"ITEM-1","itemData":{"DOI":"10.3389/fpls.2019.00854","ISSN":"1664-462X","author":[{"dropping-particle":"","family":"Thiébaut","given":"Gabrielle","non-dropping-particle":"","parse-names":false,"suffix":""},{"dropping-particle":"","family":"Tarayre","given":"Michèle","non-dropping-particle":"","parse-names":false,"suffix":""},{"dropping-particle":"","family":"Rodríguez-Pérez","given":"Héctor","non-dropping-particle":"","parse-names":false,"suffix":""}],"container-title":"Frontiers in Plant Science","id":"ITEM-1","issued":{"date-parts":[["2019","7","2"]]},"title":"Allelopathic effects of native versus invasive plants on one major invader","type":"article-journal","volume":"10"},"uris":["http://www.mendeley.com/documents/?uuid=0503bd68-715f-4424-be7f-7a41ce9edece"]}],"mendeley":{"formattedCitation":"(Thiébaut et al., 2019)","plainTextFormattedCitation":"(Thiébaut et al., 2019)","previouslyFormattedCitation":"(Thiébaut et al., 2019)"},"properties":{"noteIndex":0},"schema":"https://github.com/citation-style-language/schema/raw/master/csl-citation.json"}</w:instrText>
      </w:r>
      <w:r w:rsidR="00E351BA">
        <w:rPr>
          <w:color w:val="000000" w:themeColor="text1"/>
        </w:rPr>
        <w:fldChar w:fldCharType="separate"/>
      </w:r>
      <w:r w:rsidR="00E351BA" w:rsidRPr="00E351BA">
        <w:rPr>
          <w:noProof/>
          <w:color w:val="000000" w:themeColor="text1"/>
        </w:rPr>
        <w:t>(Thiébaut et al., 2019)</w:t>
      </w:r>
      <w:r w:rsidR="00E351BA">
        <w:rPr>
          <w:color w:val="000000" w:themeColor="text1"/>
        </w:rPr>
        <w:fldChar w:fldCharType="end"/>
      </w:r>
      <w:r w:rsidR="009D4929">
        <w:rPr>
          <w:color w:val="000000" w:themeColor="text1"/>
        </w:rPr>
        <w:t>.</w:t>
      </w:r>
    </w:p>
    <w:p w14:paraId="7BA0F3E7" w14:textId="2A081805" w:rsidR="000649D0" w:rsidRDefault="006068FB" w:rsidP="003B4CC8">
      <w:pPr>
        <w:spacing w:line="480" w:lineRule="auto"/>
      </w:pPr>
      <w:r w:rsidRPr="000649D0">
        <w:rPr>
          <w:color w:val="000000" w:themeColor="text1"/>
        </w:rPr>
        <w:t xml:space="preserve">The ability for a crop to be allelopathic has been utilised in paddy grown rice as some cultivars have been shown to inhibit weeds </w:t>
      </w:r>
      <w:r w:rsidRPr="000649D0">
        <w:rPr>
          <w:color w:val="000000" w:themeColor="text1"/>
        </w:rPr>
        <w:fldChar w:fldCharType="begin" w:fldLock="1"/>
      </w:r>
      <w:r w:rsidRPr="000649D0">
        <w:rPr>
          <w:color w:val="000000" w:themeColor="text1"/>
        </w:rPr>
        <w:instrText>ADDIN CSL_CITATION {"citationItems":[{"id":"ITEM-1","itemData":{"DOI":"10.1111/pce.14083","ISSN":"0140-7791","abstract":"Species interactions and mechanisms affect plant coexistence and community assembly. Despite increasing knowledge of kin recognition and allelopathy in regulating inter</w:instrText>
      </w:r>
      <w:r w:rsidRPr="000649D0">
        <w:rPr>
          <w:rFonts w:ascii="Cambria Math" w:hAnsi="Cambria Math" w:cs="Cambria Math"/>
          <w:color w:val="000000" w:themeColor="text1"/>
        </w:rPr>
        <w:instrText>‐</w:instrText>
      </w:r>
      <w:r w:rsidRPr="000649D0">
        <w:rPr>
          <w:color w:val="000000" w:themeColor="text1"/>
        </w:rPr>
        <w:instrText>specific and intra</w:instrText>
      </w:r>
      <w:r w:rsidRPr="000649D0">
        <w:rPr>
          <w:rFonts w:ascii="Cambria Math" w:hAnsi="Cambria Math" w:cs="Cambria Math"/>
          <w:color w:val="000000" w:themeColor="text1"/>
        </w:rPr>
        <w:instrText>‐</w:instrText>
      </w:r>
      <w:r w:rsidRPr="000649D0">
        <w:rPr>
          <w:color w:val="000000" w:themeColor="text1"/>
        </w:rPr>
        <w:instrText>specific interactions among plants, little is known about whether kin recognition mediates allelopathic interference. We used allelopathic rice cultivars with the ability for kin recognition grown in kin versus non</w:instrText>
      </w:r>
      <w:r w:rsidRPr="000649D0">
        <w:rPr>
          <w:rFonts w:ascii="Cambria Math" w:hAnsi="Cambria Math" w:cs="Cambria Math"/>
          <w:color w:val="000000" w:themeColor="text1"/>
        </w:rPr>
        <w:instrText>‐</w:instrText>
      </w:r>
      <w:r w:rsidRPr="000649D0">
        <w:rPr>
          <w:color w:val="000000" w:themeColor="text1"/>
        </w:rPr>
        <w:instrText>kin mixtures to determine their impacts on paddy weeds in field trials and a series of controlled experiments. We experimentally tested potential mechanisms of the interaction via altered root behaviour, allelochemical production and resource partitioning in the dominant weed competitor, as well as soil microbial communities. We consistently found that the establishment and growth of paddy weeds were more inhibited by kin mixtures compared to non</w:instrText>
      </w:r>
      <w:r w:rsidRPr="000649D0">
        <w:rPr>
          <w:rFonts w:ascii="Cambria Math" w:hAnsi="Cambria Math" w:cs="Cambria Math"/>
          <w:color w:val="000000" w:themeColor="text1"/>
        </w:rPr>
        <w:instrText>‐</w:instrText>
      </w:r>
      <w:r w:rsidRPr="000649D0">
        <w:rPr>
          <w:color w:val="000000" w:themeColor="text1"/>
        </w:rPr>
        <w:instrText>kin mixtures. The effect was driven by kin recognition that induced changes in root placement, altered weed carbon and nitrogen partitioning, but was associated with similar soil microbial communities. Importantly, genetic relatedness enhanced the production of intrusive roots towards weeds and reduced the production of rice allelochemicals. These findings suggest that relatedness allows allelopathic plants to discriminate their neighbouring collaborators (kin) or competitors and adjust their growth, competitiveness and chemical defense accordingly.","author":[{"dropping-particle":"","family":"Xu","given":"You","non-dropping-particle":"","parse-names":false,"suffix":""},{"dropping-particle":"","family":"Cheng","given":"Hui</w:instrText>
      </w:r>
      <w:r w:rsidRPr="000649D0">
        <w:rPr>
          <w:rFonts w:ascii="Cambria Math" w:hAnsi="Cambria Math" w:cs="Cambria Math"/>
          <w:color w:val="000000" w:themeColor="text1"/>
        </w:rPr>
        <w:instrText>‐</w:instrText>
      </w:r>
      <w:r w:rsidRPr="000649D0">
        <w:rPr>
          <w:color w:val="000000" w:themeColor="text1"/>
        </w:rPr>
        <w:instrText>Fang","non-dropping-particle":"","parse-names":false,"suffix":""},{"dropping-particle":"","family":"Kong","given":"Chui</w:instrText>
      </w:r>
      <w:r w:rsidRPr="000649D0">
        <w:rPr>
          <w:rFonts w:ascii="Cambria Math" w:hAnsi="Cambria Math" w:cs="Cambria Math"/>
          <w:color w:val="000000" w:themeColor="text1"/>
        </w:rPr>
        <w:instrText>‐</w:instrText>
      </w:r>
      <w:r w:rsidRPr="000649D0">
        <w:rPr>
          <w:color w:val="000000" w:themeColor="text1"/>
        </w:rPr>
        <w:instrText>Hua","non-dropping-particle":"","parse-names":false,"suffix":""},{"dropping-particle":"","family":"Meiners","given":"Scott J.","non-dropping-particle":"","parse-names":false,"suffix":""}],"container-title":"Plant, Cell &amp; Environment","id":"ITEM-1","issue":"12","issued":{"date-parts":[["2021","12","28"]]},"page":"3709-3721","title":"Intra</w:instrText>
      </w:r>
      <w:r w:rsidRPr="000649D0">
        <w:rPr>
          <w:rFonts w:ascii="Cambria Math" w:hAnsi="Cambria Math" w:cs="Cambria Math"/>
          <w:color w:val="000000" w:themeColor="text1"/>
        </w:rPr>
        <w:instrText>‐</w:instrText>
      </w:r>
      <w:r w:rsidRPr="000649D0">
        <w:rPr>
          <w:color w:val="000000" w:themeColor="text1"/>
        </w:rPr>
        <w:instrText>specific kin recognition contributes to inter</w:instrText>
      </w:r>
      <w:r w:rsidRPr="000649D0">
        <w:rPr>
          <w:rFonts w:ascii="Cambria Math" w:hAnsi="Cambria Math" w:cs="Cambria Math"/>
          <w:color w:val="000000" w:themeColor="text1"/>
        </w:rPr>
        <w:instrText>‐</w:instrText>
      </w:r>
      <w:r w:rsidRPr="000649D0">
        <w:rPr>
          <w:color w:val="000000" w:themeColor="text1"/>
        </w:rPr>
        <w:instrText>specific allelopathy: A case study of allelopathic rice interference with paddy weeds","type":"article-journal","volume":"44"},"uris":["http://www.mendeley.com/documents/?uuid=068f26a5-f31c-441d-aacd-e2e627682a55"]},{"id":"ITEM-2","itemData":{"DOI":"10.1002/ps.1521","ISSN":"1526498X","author":[{"dropping-particle":"","family":"Kong","given":"Chui-Hua","non-dropping-particle":"","parse-names":false,"suffix":""},{"dropping-particle":"","family":"Hu","given":"Fei","non-dropping-particle":"","parse-names":false,"suffix":""},{"dropping-particle":"","family":"Wang","given":"Peng","non-dropping-particle":"","parse-names":false,"suffix":""},{"dropping-particle":"","family":"Wu","given":"Jing-Lun","non-dropping-particle":"","parse-names":false,"suffix":""}],"container-title":"Pest Management Science","id":"ITEM-2","issue":"3","issued":{"date-parts":[["2008","3"]]},"page":"276-282","title":"Effect of allelopathic rice varieties combined with cultural management options on paddy field weeds","type":"article-journal","volume":"64"},"uris":["http://www.mendeley.com/documents/?uuid=ad64580c-203c-4de8-9078-344ae3d1b200"]},{"id":"ITEM-3","itemData":{"DOI":"10.1016/j.jplph.2010.12.021","ISSN":"01761617","author":[{"dropping-particle":"","family":"Kato-Noguchi","given":"Hisashi","non-dropping-particle":"","parse-names":false,"suffix":""}],"container-title":"Journal of Plant Physiology","id":"ITEM-3","issue":"10","issued":{"date-parts":[["2011","7"]]},"page":"1016-1020","title":"Barnyard grass-induced rice allelopathy and momilactone B","type":"article-journal","volume":"168"},"uris":["http://www.mendeley.com/documents/?uuid=642235f0-9674-4017-8998-38d9352a4e40"]}],"mendeley":{"formattedCitation":"(Kong et al., 2008; Kato-Noguchi, 2011; Xu et al., 2021)","plainTextFormattedCitation":"(Kong et al., 2008; Kato-Noguchi, 2011; Xu et al., 2021)","previouslyFormattedCitation":"(Kong et al., 2008; Kato-Noguchi, 2011; Xu et al., 2021)"},"properties":{"noteIndex":0},"schema":"https://github.com/citation-style-language/schema/raw/master/csl-citation.json"}</w:instrText>
      </w:r>
      <w:r w:rsidRPr="000649D0">
        <w:rPr>
          <w:color w:val="000000" w:themeColor="text1"/>
        </w:rPr>
        <w:fldChar w:fldCharType="separate"/>
      </w:r>
      <w:r w:rsidRPr="000649D0">
        <w:rPr>
          <w:noProof/>
          <w:color w:val="000000" w:themeColor="text1"/>
        </w:rPr>
        <w:t>(Kong et al., 2008; Kato-</w:t>
      </w:r>
      <w:r w:rsidRPr="000649D0">
        <w:rPr>
          <w:noProof/>
          <w:color w:val="000000" w:themeColor="text1"/>
        </w:rPr>
        <w:lastRenderedPageBreak/>
        <w:t>Noguchi, 2011; Xu et al., 2021)</w:t>
      </w:r>
      <w:r w:rsidRPr="000649D0">
        <w:rPr>
          <w:color w:val="000000" w:themeColor="text1"/>
        </w:rPr>
        <w:fldChar w:fldCharType="end"/>
      </w:r>
      <w:r w:rsidRPr="000649D0">
        <w:rPr>
          <w:color w:val="000000" w:themeColor="text1"/>
        </w:rPr>
        <w:t xml:space="preserve">. Barnyard grass is a common weed found to compete with rice, and when rice and barnyard grass were grown together this caused a strong increase in concentration of a compound called momilactone B </w:t>
      </w:r>
      <w:r w:rsidRPr="000649D0">
        <w:rPr>
          <w:color w:val="000000" w:themeColor="text1"/>
        </w:rPr>
        <w:fldChar w:fldCharType="begin" w:fldLock="1"/>
      </w:r>
      <w:r w:rsidRPr="000649D0">
        <w:rPr>
          <w:color w:val="000000" w:themeColor="text1"/>
        </w:rPr>
        <w:instrText>ADDIN CSL_CITATION {"citationItems":[{"id":"ITEM-1","itemData":{"DOI":"10.1016/j.jplph.2010.12.021","ISSN":"01761617","author":[{"dropping-particle":"","family":"Kato-Noguchi","given":"Hisashi","non-dropping-particle":"","parse-names":false,"suffix":""}],"container-title":"Journal of Plant Physiology","id":"ITEM-1","issue":"10","issued":{"date-parts":[["2011","7"]]},"page":"1016-1020","title":"Barnyard grass-induced rice allelopathy and momilactone B","type":"article-journal","volume":"168"},"uris":["http://www.mendeley.com/documents/?uuid=642235f0-9674-4017-8998-38d9352a4e40"]}],"mendeley":{"formattedCitation":"(Kato-Noguchi, 2011)","plainTextFormattedCitation":"(Kato-Noguchi, 2011)","previouslyFormattedCitation":"(Kato-Noguchi, 2011)"},"properties":{"noteIndex":0},"schema":"https://github.com/citation-style-language/schema/raw/master/csl-citation.json"}</w:instrText>
      </w:r>
      <w:r w:rsidRPr="000649D0">
        <w:rPr>
          <w:color w:val="000000" w:themeColor="text1"/>
        </w:rPr>
        <w:fldChar w:fldCharType="separate"/>
      </w:r>
      <w:r w:rsidRPr="000649D0">
        <w:rPr>
          <w:noProof/>
          <w:color w:val="000000" w:themeColor="text1"/>
        </w:rPr>
        <w:t>(Kato-Noguchi, 2011)</w:t>
      </w:r>
      <w:r w:rsidRPr="000649D0">
        <w:rPr>
          <w:color w:val="000000" w:themeColor="text1"/>
        </w:rPr>
        <w:fldChar w:fldCharType="end"/>
      </w:r>
      <w:r w:rsidRPr="000649D0">
        <w:rPr>
          <w:color w:val="000000" w:themeColor="text1"/>
        </w:rPr>
        <w:t>.</w:t>
      </w:r>
      <w:r w:rsidRPr="000649D0">
        <w:rPr>
          <w:color w:val="00B050"/>
        </w:rPr>
        <w:t xml:space="preserve"> </w:t>
      </w:r>
      <w:r w:rsidRPr="000649D0">
        <w:rPr>
          <w:color w:val="000000" w:themeColor="text1"/>
        </w:rPr>
        <w:t xml:space="preserve">Momilactone B has been shown to be exuded throughout life in rice </w:t>
      </w:r>
      <w:r w:rsidRPr="000649D0">
        <w:rPr>
          <w:color w:val="000000" w:themeColor="text1"/>
        </w:rPr>
        <w:fldChar w:fldCharType="begin" w:fldLock="1"/>
      </w:r>
      <w:r w:rsidRPr="000649D0">
        <w:rPr>
          <w:color w:val="000000" w:themeColor="text1"/>
        </w:rPr>
        <w:instrText>ADDIN CSL_CITATION {"citationItems":[{"id":"ITEM-1","itemData":{"author":[{"dropping-particle":"","family":"Kato-Noguchi","given":"H","non-dropping-particle":"","parse-names":false,"suffix":""}],"container-title":"Allelopathy Journal","id":"ITEM-1","issue":"2","issued":{"date-parts":[["2008"]]},"page":"321–328","title":"Release of momilactone A and B from rice plants into the rhizosphere and its bioactivities","type":"article-journal","volume":"22"},"uris":["http://www.mendeley.com/documents/?uuid=3fe4b39c-0730-475a-bba2-af6a1b843a78"]}],"mendeley":{"formattedCitation":"(Kato-Noguchi, 2008)","plainTextFormattedCitation":"(Kato-Noguchi, 2008)","previouslyFormattedCitation":"(Kato-Noguchi, 2008)"},"properties":{"noteIndex":0},"schema":"https://github.com/citation-style-language/schema/raw/master/csl-citation.json"}</w:instrText>
      </w:r>
      <w:r w:rsidRPr="000649D0">
        <w:rPr>
          <w:color w:val="000000" w:themeColor="text1"/>
        </w:rPr>
        <w:fldChar w:fldCharType="separate"/>
      </w:r>
      <w:r w:rsidRPr="000649D0">
        <w:rPr>
          <w:noProof/>
          <w:color w:val="000000" w:themeColor="text1"/>
        </w:rPr>
        <w:t>(Kato-Noguchi, 2008)</w:t>
      </w:r>
      <w:r w:rsidRPr="000649D0">
        <w:rPr>
          <w:color w:val="000000" w:themeColor="text1"/>
        </w:rPr>
        <w:fldChar w:fldCharType="end"/>
      </w:r>
      <w:r w:rsidRPr="000649D0">
        <w:rPr>
          <w:color w:val="000000" w:themeColor="text1"/>
        </w:rPr>
        <w:t xml:space="preserve">, therefore it has been suggested that a </w:t>
      </w:r>
      <w:r w:rsidR="00C264D3">
        <w:rPr>
          <w:color w:val="000000" w:themeColor="text1"/>
        </w:rPr>
        <w:t>particular constituent</w:t>
      </w:r>
      <w:r w:rsidRPr="000649D0">
        <w:rPr>
          <w:color w:val="000000" w:themeColor="text1"/>
        </w:rPr>
        <w:t xml:space="preserve"> of barnyard grass exudates is able to trigger the release of an elevated concentration of </w:t>
      </w:r>
      <w:r w:rsidR="00AB1BEC">
        <w:rPr>
          <w:color w:val="000000" w:themeColor="text1"/>
        </w:rPr>
        <w:t xml:space="preserve">rice </w:t>
      </w:r>
      <w:r w:rsidR="003F5C34">
        <w:rPr>
          <w:color w:val="000000" w:themeColor="text1"/>
        </w:rPr>
        <w:t xml:space="preserve">produced </w:t>
      </w:r>
      <w:r w:rsidRPr="000649D0">
        <w:rPr>
          <w:color w:val="000000" w:themeColor="text1"/>
        </w:rPr>
        <w:t>momilactone B</w:t>
      </w:r>
      <w:r w:rsidR="003F5C34">
        <w:rPr>
          <w:color w:val="000000" w:themeColor="text1"/>
        </w:rPr>
        <w:t>,</w:t>
      </w:r>
      <w:r w:rsidRPr="000649D0">
        <w:rPr>
          <w:color w:val="000000" w:themeColor="text1"/>
        </w:rPr>
        <w:t xml:space="preserve"> which in turn inhibits root and shoot growth of barnyard grass in a concentration dependent manner </w:t>
      </w:r>
      <w:r w:rsidRPr="000649D0">
        <w:rPr>
          <w:color w:val="000000" w:themeColor="text1"/>
        </w:rPr>
        <w:fldChar w:fldCharType="begin" w:fldLock="1"/>
      </w:r>
      <w:r w:rsidRPr="000649D0">
        <w:rPr>
          <w:color w:val="000000" w:themeColor="text1"/>
        </w:rPr>
        <w:instrText>ADDIN CSL_CITATION {"citationItems":[{"id":"ITEM-1","itemData":{"DOI":"10.1016/j.jplph.2010.12.021","ISSN":"01761617","author":[{"dropping-particle":"","family":"Kato-Noguchi","given":"Hisashi","non-dropping-particle":"","parse-names":false,"suffix":""}],"container-title":"Journal of Plant Physiology","id":"ITEM-1","issue":"10","issued":{"date-parts":[["2011","7"]]},"page":"1016-1020","title":"Barnyard grass-induced rice allelopathy and momilactone B","type":"article-journal","volume":"168"},"uris":["http://www.mendeley.com/documents/?uuid=642235f0-9674-4017-8998-38d9352a4e40"]}],"mendeley":{"formattedCitation":"(Kato-Noguchi, 2011)","plainTextFormattedCitation":"(Kato-Noguchi, 2011)","previouslyFormattedCitation":"(Kato-Noguchi, 2011)"},"properties":{"noteIndex":0},"schema":"https://github.com/citation-style-language/schema/raw/master/csl-citation.json"}</w:instrText>
      </w:r>
      <w:r w:rsidRPr="000649D0">
        <w:rPr>
          <w:color w:val="000000" w:themeColor="text1"/>
        </w:rPr>
        <w:fldChar w:fldCharType="separate"/>
      </w:r>
      <w:r w:rsidRPr="000649D0">
        <w:rPr>
          <w:noProof/>
          <w:color w:val="000000" w:themeColor="text1"/>
        </w:rPr>
        <w:t>(Kato-Noguchi, 2011)</w:t>
      </w:r>
      <w:r w:rsidRPr="000649D0">
        <w:rPr>
          <w:color w:val="000000" w:themeColor="text1"/>
        </w:rPr>
        <w:fldChar w:fldCharType="end"/>
      </w:r>
      <w:r w:rsidRPr="000649D0">
        <w:rPr>
          <w:color w:val="000000" w:themeColor="text1"/>
        </w:rPr>
        <w:t>.</w:t>
      </w:r>
      <w:r w:rsidR="00807C93">
        <w:rPr>
          <w:color w:val="000000" w:themeColor="text1"/>
        </w:rPr>
        <w:t xml:space="preserve"> </w:t>
      </w:r>
      <w:r w:rsidRPr="000649D0">
        <w:rPr>
          <w:color w:val="000000" w:themeColor="text1"/>
        </w:rPr>
        <w:t xml:space="preserve">Intriguingly, </w:t>
      </w:r>
      <w:r w:rsidR="00807C93">
        <w:rPr>
          <w:color w:val="000000" w:themeColor="text1"/>
        </w:rPr>
        <w:t xml:space="preserve">earlier work suggested that </w:t>
      </w:r>
      <w:r w:rsidRPr="000649D0">
        <w:rPr>
          <w:color w:val="000000" w:themeColor="text1"/>
        </w:rPr>
        <w:t xml:space="preserve">momilactone B has a very minor inhibitory impact on rice roots themselves </w:t>
      </w:r>
      <w:r w:rsidRPr="000649D0">
        <w:rPr>
          <w:color w:val="000000" w:themeColor="text1"/>
        </w:rPr>
        <w:fldChar w:fldCharType="begin" w:fldLock="1"/>
      </w:r>
      <w:r w:rsidRPr="000649D0">
        <w:rPr>
          <w:color w:val="000000" w:themeColor="text1"/>
        </w:rPr>
        <w:instrText>ADDIN CSL_CITATION {"citationItems":[{"id":"ITEM-1","itemData":{"author":[{"dropping-particle":"","family":"Kato-Noguchi","given":"H","non-dropping-particle":"","parse-names":false,"suffix":""}],"container-title":"Allelopathy Journal","id":"ITEM-1","issue":"2","issued":{"date-parts":[["2008"]]},"page":"321–328","title":"Release of momilactone A and B from rice plants into the rhizosphere and its bioactivities","type":"article-journal","volume":"22"},"uris":["http://www.mendeley.com/documents/?uuid=3fe4b39c-0730-475a-bba2-af6a1b843a78"]}],"mendeley":{"formattedCitation":"(Kato-Noguchi, 2008)","plainTextFormattedCitation":"(Kato-Noguchi, 2008)","previouslyFormattedCitation":"(Kato-Noguchi, 2008)"},"properties":{"noteIndex":0},"schema":"https://github.com/citation-style-language/schema/raw/master/csl-citation.json"}</w:instrText>
      </w:r>
      <w:r w:rsidRPr="000649D0">
        <w:rPr>
          <w:color w:val="000000" w:themeColor="text1"/>
        </w:rPr>
        <w:fldChar w:fldCharType="separate"/>
      </w:r>
      <w:r w:rsidRPr="000649D0">
        <w:rPr>
          <w:noProof/>
          <w:color w:val="000000" w:themeColor="text1"/>
        </w:rPr>
        <w:t>(Kato-Noguchi, 2008)</w:t>
      </w:r>
      <w:r w:rsidRPr="000649D0">
        <w:rPr>
          <w:color w:val="000000" w:themeColor="text1"/>
        </w:rPr>
        <w:fldChar w:fldCharType="end"/>
      </w:r>
      <w:r w:rsidRPr="000649D0">
        <w:rPr>
          <w:color w:val="000000" w:themeColor="text1"/>
        </w:rPr>
        <w:t>. Subsequent work has shown that in addition to momilactone B another allelochemical</w:t>
      </w:r>
      <w:r w:rsidR="00BA16A0">
        <w:rPr>
          <w:color w:val="000000" w:themeColor="text1"/>
        </w:rPr>
        <w:t>,</w:t>
      </w:r>
      <w:r w:rsidRPr="000649D0">
        <w:rPr>
          <w:color w:val="000000" w:themeColor="text1"/>
        </w:rPr>
        <w:t xml:space="preserve"> tricin</w:t>
      </w:r>
      <w:r w:rsidR="00BA16A0">
        <w:rPr>
          <w:color w:val="000000" w:themeColor="text1"/>
        </w:rPr>
        <w:t>,</w:t>
      </w:r>
      <w:r w:rsidRPr="000649D0">
        <w:rPr>
          <w:color w:val="000000" w:themeColor="text1"/>
        </w:rPr>
        <w:t xml:space="preserve"> is </w:t>
      </w:r>
      <w:r w:rsidR="00D1389F">
        <w:rPr>
          <w:color w:val="000000" w:themeColor="text1"/>
        </w:rPr>
        <w:t>synthesised</w:t>
      </w:r>
      <w:r w:rsidRPr="000649D0">
        <w:rPr>
          <w:color w:val="000000" w:themeColor="text1"/>
        </w:rPr>
        <w:t xml:space="preserve"> when crowded with barnyard grass and that production of both </w:t>
      </w:r>
      <w:r w:rsidR="00185F47">
        <w:rPr>
          <w:color w:val="000000" w:themeColor="text1"/>
        </w:rPr>
        <w:t xml:space="preserve">of these </w:t>
      </w:r>
      <w:r w:rsidRPr="000649D0">
        <w:rPr>
          <w:color w:val="000000" w:themeColor="text1"/>
        </w:rPr>
        <w:t xml:space="preserve">chemicals by rice </w:t>
      </w:r>
      <w:r w:rsidR="002C54B3">
        <w:rPr>
          <w:color w:val="000000" w:themeColor="text1"/>
        </w:rPr>
        <w:t xml:space="preserve">plants </w:t>
      </w:r>
      <w:r w:rsidRPr="000649D0">
        <w:rPr>
          <w:color w:val="000000" w:themeColor="text1"/>
        </w:rPr>
        <w:t xml:space="preserve">is the result of recognition of barnyard grass exuded (-)-loliolide </w:t>
      </w:r>
      <w:r w:rsidRPr="000649D0">
        <w:rPr>
          <w:color w:val="000000" w:themeColor="text1"/>
        </w:rPr>
        <w:fldChar w:fldCharType="begin" w:fldLock="1"/>
      </w:r>
      <w:r w:rsidR="00B41A4E">
        <w:rPr>
          <w:color w:val="000000" w:themeColor="text1"/>
        </w:rPr>
        <w:instrText>ADDIN CSL_CITATION {"citationItems":[{"id":"ITEM-1","itemData":{"DOI":"10.1093/jxb/erz497","ISSN":"0022-0957","abstract":"Neighbor detection and allelochemical response are important mediators in plant-plant interactions. Despite increasing knowledge of plant allelochemicals in response to the presence of competitors involved in the neighbor-derived signaling chemicals, less is known about which signaling chemicals are responsible for the neighbor-induced allelochemical response. Here, we experimentally demonstrated (-)-loliolide, a carotenoid metabolite, as a signaling chemical in barnyardgrass-rice allelopathic interactions. The production of rice allelochemicals momilactone B and tricin was increased in the presence of five biotypes of barnyardgrass. (-)-Loliolide was found in all biotypes of barnyardgrass and their root exudates and rhizosphere soils. There were significant positive relationships between rice allelechemicals and (-)-loliolide concentrations across biotypes of barnyardgrass. Furthermore, (-)-loliolide elicited the production of momilactone B and tricin. Comparative transcriptome analysis showed regulation of (-)-loliolide on diterpenoid and flavonoid biosynthesis pathway. The expression of key genes involved in the biosynthesis of momilactone B (CPS4, KSL4 and MAS) and tricin (CYP75B3 and CYP75B4) was up-regulated by (-)-loliolide. These findings suggest that (-)-loliolide as a signaling chemical participates in barnyardgrass-rice allelopathic interactions. Through the signaling chemical, allelopathic rice plants can detect competing barnyardgrass and respond by increasing allelochemical levels to provide an advantage for their own growth.","author":[{"dropping-particle":"","family":"Li","given":"Lei-Lei","non-dropping-particle":"","parse-names":false,"suffix":""},{"dropping-particle":"","family":"Zhao","given":"Huan-Huan","non-dropping-particle":"","parse-names":false,"suffix":""},{"dropping-particle":"","family":"Kong","given":"Chui-Hua","non-dropping-particle":"","parse-names":false,"suffix":""}],"container-title":"Journal of Experimental Botany","id":"ITEM-1","issue":"4","issued":{"date-parts":[["2019","11","2"]]},"page":"1540–1550","title":"(-)-Loliolide, the most ubiquitous lactone, is involved in barnyardgrass-induced rice allelopathy","type":"article-journal","volume":"71"},"uris":["http://www.mendeley.com/documents/?uuid=6238b952-2b38-4560-b200-386edd54ace8"]}],"mendeley":{"formattedCitation":"(Li et al., 2019)","plainTextFormattedCitation":"(Li et al., 2019)","previouslyFormattedCitation":"(Li et al., 2019)"},"properties":{"noteIndex":0},"schema":"https://github.com/citation-style-language/schema/raw/master/csl-citation.json"}</w:instrText>
      </w:r>
      <w:r w:rsidRPr="000649D0">
        <w:rPr>
          <w:color w:val="000000" w:themeColor="text1"/>
        </w:rPr>
        <w:fldChar w:fldCharType="separate"/>
      </w:r>
      <w:r w:rsidRPr="000649D0">
        <w:rPr>
          <w:noProof/>
          <w:color w:val="000000" w:themeColor="text1"/>
        </w:rPr>
        <w:t>(Li et al., 2019)</w:t>
      </w:r>
      <w:r w:rsidRPr="000649D0">
        <w:rPr>
          <w:color w:val="000000" w:themeColor="text1"/>
        </w:rPr>
        <w:fldChar w:fldCharType="end"/>
      </w:r>
      <w:r w:rsidRPr="000649D0">
        <w:rPr>
          <w:color w:val="000000" w:themeColor="text1"/>
        </w:rPr>
        <w:t xml:space="preserve">.  Although in the example </w:t>
      </w:r>
      <w:r w:rsidR="009A0788">
        <w:rPr>
          <w:color w:val="000000" w:themeColor="text1"/>
        </w:rPr>
        <w:t xml:space="preserve">above </w:t>
      </w:r>
      <w:r w:rsidRPr="000649D0">
        <w:rPr>
          <w:color w:val="000000" w:themeColor="text1"/>
        </w:rPr>
        <w:t xml:space="preserve">of rice allelopathy where the allelochemical </w:t>
      </w:r>
      <w:r w:rsidR="00596D9D">
        <w:rPr>
          <w:color w:val="000000" w:themeColor="text1"/>
        </w:rPr>
        <w:t xml:space="preserve">momilactone B </w:t>
      </w:r>
      <w:r w:rsidRPr="000649D0">
        <w:rPr>
          <w:color w:val="000000" w:themeColor="text1"/>
        </w:rPr>
        <w:t xml:space="preserve">does not cause much self-inhibition, that is not to say that other allelochemicals act in the same manner. Nevertheless, with the increased understanding of (-)-loliolide and its prevalence in many species </w:t>
      </w:r>
      <w:r w:rsidRPr="000649D0">
        <w:rPr>
          <w:color w:val="000000" w:themeColor="text1"/>
        </w:rPr>
        <w:fldChar w:fldCharType="begin" w:fldLock="1"/>
      </w:r>
      <w:r w:rsidRPr="000649D0">
        <w:rPr>
          <w:color w:val="000000" w:themeColor="text1"/>
        </w:rPr>
        <w:instrText>ADDIN CSL_CITATION {"citationItems":[{"id":"ITEM-1","itemData":{"DOI":"10.1038/s41467-018-06429-1","ISSN":"2041-1723","author":[{"dropping-particle":"","family":"Kong","given":"Chui-Hua","non-dropping-particle":"","parse-names":false,"suffix":""},{"dropping-particle":"","family":"Zhang","given":"Song-Zhu","non-dropping-particle":"","parse-names":false,"suffix":""},{"dropping-particle":"","family":"Li","given":"Yong-Hua","non-dropping-particle":"","parse-names":false,"suffix":""},{"dropping-particle":"","family":"Xia","given":"Zhi-Chao","non-dropping-particle":"","parse-names":false,"suffix":""},{"dropping-particle":"","family":"Yang","given":"Xue-Fang","non-dropping-particle":"","parse-names":false,"suffix":""},{"dropping-particle":"","family":"Meiners","given":"Scott J.","non-dropping-particle":"","parse-names":false,"suffix":""},{"dropping-particle":"","family":"Wang","given":"Peng","non-dropping-particle":"","parse-names":false,"suffix":""}],"container-title":"Nature Communications","id":"ITEM-1","issue":"1","issued":{"date-parts":[["2018","12","24"]]},"page":"3867","title":"Plant neighbor detection and allelochemical response are driven by root-secreted signaling chemicals","type":"article-journal","volume":"9"},"uris":["http://www.mendeley.com/documents/?uuid=ed434030-e65c-3266-bb4f-d2cb579ec9ea"]},{"id":"ITEM-2","itemData":{"DOI":"10.1111/nph.18644","ISSN":"0028-646X","abstract":"The production of defensive metabolites in plants can be induced by signaling chemicals released by neighboring plants. Induction is mainly known from volatile aboveground signals, with belowground signals and their underlying mechanisms largely unknown. We demonstrate that (−)</w:instrText>
      </w:r>
      <w:r w:rsidRPr="000649D0">
        <w:rPr>
          <w:rFonts w:ascii="Cambria Math" w:hAnsi="Cambria Math" w:cs="Cambria Math"/>
          <w:color w:val="000000" w:themeColor="text1"/>
        </w:rPr>
        <w:instrText>‐</w:instrText>
      </w:r>
      <w:r w:rsidRPr="000649D0">
        <w:rPr>
          <w:color w:val="000000" w:themeColor="text1"/>
        </w:rPr>
        <w:instrText>loliolide triggers defensive metabolite responses to competitors, herbivores, and pathogens in seven plant species. We further explore the transcriptional responses of defensive pathways to verify the signaling role of (−)</w:instrText>
      </w:r>
      <w:r w:rsidRPr="000649D0">
        <w:rPr>
          <w:rFonts w:ascii="Cambria Math" w:hAnsi="Cambria Math" w:cs="Cambria Math"/>
          <w:color w:val="000000" w:themeColor="text1"/>
        </w:rPr>
        <w:instrText>‐</w:instrText>
      </w:r>
      <w:r w:rsidRPr="000649D0">
        <w:rPr>
          <w:color w:val="000000" w:themeColor="text1"/>
        </w:rPr>
        <w:instrText>loliolide in wheat and rice models with well</w:instrText>
      </w:r>
      <w:r w:rsidRPr="000649D0">
        <w:rPr>
          <w:rFonts w:ascii="Cambria Math" w:hAnsi="Cambria Math" w:cs="Cambria Math"/>
          <w:color w:val="000000" w:themeColor="text1"/>
        </w:rPr>
        <w:instrText>‐</w:instrText>
      </w:r>
      <w:r w:rsidRPr="000649D0">
        <w:rPr>
          <w:color w:val="000000" w:themeColor="text1"/>
        </w:rPr>
        <w:instrText>known defensive metabolites and gene systems. In response to biotic and abiotic stressors, (−)</w:instrText>
      </w:r>
      <w:r w:rsidRPr="000649D0">
        <w:rPr>
          <w:rFonts w:ascii="Cambria Math" w:hAnsi="Cambria Math" w:cs="Cambria Math"/>
          <w:color w:val="000000" w:themeColor="text1"/>
        </w:rPr>
        <w:instrText>‐</w:instrText>
      </w:r>
      <w:r w:rsidRPr="000649D0">
        <w:rPr>
          <w:color w:val="000000" w:themeColor="text1"/>
        </w:rPr>
        <w:instrText>loliolide is produced and secreted by roots. This, in turn, induces the production of defensive compounds including phenolic acids, flavonoids, terpenoids, alkaloids, benzoxazinoids, and cyanogenic glycosides, regardless of plant species. (−)</w:instrText>
      </w:r>
      <w:r w:rsidRPr="000649D0">
        <w:rPr>
          <w:rFonts w:ascii="Cambria Math" w:hAnsi="Cambria Math" w:cs="Cambria Math"/>
          <w:color w:val="000000" w:themeColor="text1"/>
        </w:rPr>
        <w:instrText>‐</w:instrText>
      </w:r>
      <w:r w:rsidRPr="000649D0">
        <w:rPr>
          <w:color w:val="000000" w:themeColor="text1"/>
        </w:rPr>
        <w:instrText>Loliolide also triggers the expression of defense</w:instrText>
      </w:r>
      <w:r w:rsidRPr="000649D0">
        <w:rPr>
          <w:rFonts w:ascii="Cambria Math" w:hAnsi="Cambria Math" w:cs="Cambria Math"/>
          <w:color w:val="000000" w:themeColor="text1"/>
        </w:rPr>
        <w:instrText>‐</w:instrText>
      </w:r>
      <w:r w:rsidRPr="000649D0">
        <w:rPr>
          <w:color w:val="000000" w:themeColor="text1"/>
        </w:rPr>
        <w:instrText>related genes, accompanied by an increase in the concentration of jasmonic acid and hydrogen peroxide (H 2 O 2 ). Transcriptome profiling and inhibitor incubation indicate that (−)</w:instrText>
      </w:r>
      <w:r w:rsidRPr="000649D0">
        <w:rPr>
          <w:rFonts w:ascii="Cambria Math" w:hAnsi="Cambria Math" w:cs="Cambria Math"/>
          <w:color w:val="000000" w:themeColor="text1"/>
        </w:rPr>
        <w:instrText>‐</w:instrText>
      </w:r>
      <w:r w:rsidRPr="000649D0">
        <w:rPr>
          <w:color w:val="000000" w:themeColor="text1"/>
        </w:rPr>
        <w:instrText>loliolide</w:instrText>
      </w:r>
      <w:r w:rsidRPr="000649D0">
        <w:rPr>
          <w:rFonts w:ascii="Cambria Math" w:hAnsi="Cambria Math" w:cs="Cambria Math"/>
          <w:color w:val="000000" w:themeColor="text1"/>
        </w:rPr>
        <w:instrText>‐</w:instrText>
      </w:r>
      <w:r w:rsidRPr="000649D0">
        <w:rPr>
          <w:color w:val="000000" w:themeColor="text1"/>
        </w:rPr>
        <w:instrText>induced defense responses are regulated through pathways mediated by jasmonic acid, H 2 O 2 , and Ca 2+ . These findings argue that (−)</w:instrText>
      </w:r>
      <w:r w:rsidRPr="000649D0">
        <w:rPr>
          <w:rFonts w:ascii="Cambria Math" w:hAnsi="Cambria Math" w:cs="Cambria Math"/>
          <w:color w:val="000000" w:themeColor="text1"/>
        </w:rPr>
        <w:instrText>‐</w:instrText>
      </w:r>
      <w:r w:rsidRPr="000649D0">
        <w:rPr>
          <w:color w:val="000000" w:themeColor="text1"/>
        </w:rPr>
        <w:instrText>loliolide functions as a common belowground signal mediating chemical defense in plants. Such perception</w:instrText>
      </w:r>
      <w:r w:rsidRPr="000649D0">
        <w:rPr>
          <w:rFonts w:ascii="Cambria Math" w:hAnsi="Cambria Math" w:cs="Cambria Math"/>
          <w:color w:val="000000" w:themeColor="text1"/>
        </w:rPr>
        <w:instrText>‐</w:instrText>
      </w:r>
      <w:r w:rsidRPr="000649D0">
        <w:rPr>
          <w:color w:val="000000" w:themeColor="text1"/>
        </w:rPr>
        <w:instrText>dependent plant chemical defenses will yield critical insights into belowground signaling interactions.","author":[{"dropping-particle":"","family":"Li","given":"Lei</w:instrText>
      </w:r>
      <w:r w:rsidRPr="000649D0">
        <w:rPr>
          <w:rFonts w:ascii="Cambria Math" w:hAnsi="Cambria Math" w:cs="Cambria Math"/>
          <w:color w:val="000000" w:themeColor="text1"/>
        </w:rPr>
        <w:instrText>‐</w:instrText>
      </w:r>
      <w:r w:rsidRPr="000649D0">
        <w:rPr>
          <w:color w:val="000000" w:themeColor="text1"/>
        </w:rPr>
        <w:instrText>Lei","non-dropping-particle":"","parse-names":false,"suffix":""},{"dropping-particle":"","family":"Li","given":"Zheng","non-dropping-particle":"","parse-names":false,"suffix":""},{"dropping-particle":"","family":"Lou","given":"Yonggen","non-dropping-particle":"","parse-names":false,"suffix":""},{"dropping-particle":"","family":"Meiners","given":"Scott J.","non-dropping-particle":"","parse-names":false,"suffix":""},{"dropping-particle":"","family":"Kong","given":"Chui</w:instrText>
      </w:r>
      <w:r w:rsidRPr="000649D0">
        <w:rPr>
          <w:rFonts w:ascii="Cambria Math" w:hAnsi="Cambria Math" w:cs="Cambria Math"/>
          <w:color w:val="000000" w:themeColor="text1"/>
        </w:rPr>
        <w:instrText>‐</w:instrText>
      </w:r>
      <w:r w:rsidRPr="000649D0">
        <w:rPr>
          <w:color w:val="000000" w:themeColor="text1"/>
        </w:rPr>
        <w:instrText>Hua","non-dropping-particle":"","parse-names":false,"suffix":""}],"container-title":"New Phytologist","id":"ITEM-2","issue":"5","issued":{"date-parts":[["2023","6","17"]]},"page":"2099-2112","title":"(−)</w:instrText>
      </w:r>
      <w:r w:rsidRPr="000649D0">
        <w:rPr>
          <w:rFonts w:ascii="Cambria Math" w:hAnsi="Cambria Math" w:cs="Cambria Math"/>
          <w:color w:val="000000" w:themeColor="text1"/>
        </w:rPr>
        <w:instrText>‐</w:instrText>
      </w:r>
      <w:r w:rsidRPr="000649D0">
        <w:rPr>
          <w:color w:val="000000" w:themeColor="text1"/>
        </w:rPr>
        <w:instrText>Loliolide is a general signal of plant stress that activates jasmonate</w:instrText>
      </w:r>
      <w:r w:rsidRPr="000649D0">
        <w:rPr>
          <w:rFonts w:ascii="Cambria Math" w:hAnsi="Cambria Math" w:cs="Cambria Math"/>
          <w:color w:val="000000" w:themeColor="text1"/>
        </w:rPr>
        <w:instrText>‐</w:instrText>
      </w:r>
      <w:r w:rsidRPr="000649D0">
        <w:rPr>
          <w:color w:val="000000" w:themeColor="text1"/>
        </w:rPr>
        <w:instrText>related responses","type":"article-journal","volume":"238"},"uris":["http://www.mendeley.com/documents/?uuid=6a0f81dd-5a5f-4dd6-809a-2205401bec06"]}],"mendeley":{"formattedCitation":"(Kong et al., 2018; L. Li et al., 2023)","plainTextFormattedCitation":"(Kong et al., 2018; L. Li et al., 2023)","previouslyFormattedCitation":"(Kong et al., 2018; L. Li et al., 2023)"},"properties":{"noteIndex":0},"schema":"https://github.com/citation-style-language/schema/raw/master/csl-citation.json"}</w:instrText>
      </w:r>
      <w:r w:rsidRPr="000649D0">
        <w:rPr>
          <w:color w:val="000000" w:themeColor="text1"/>
        </w:rPr>
        <w:fldChar w:fldCharType="separate"/>
      </w:r>
      <w:r w:rsidRPr="000649D0">
        <w:rPr>
          <w:noProof/>
          <w:color w:val="000000" w:themeColor="text1"/>
        </w:rPr>
        <w:t>(Kong et al., 2018; L. Li et al., 2023)</w:t>
      </w:r>
      <w:r w:rsidRPr="000649D0">
        <w:rPr>
          <w:color w:val="000000" w:themeColor="text1"/>
        </w:rPr>
        <w:fldChar w:fldCharType="end"/>
      </w:r>
      <w:r w:rsidRPr="000649D0">
        <w:rPr>
          <w:color w:val="000000" w:themeColor="text1"/>
        </w:rPr>
        <w:t>, (-)-</w:t>
      </w:r>
      <w:r w:rsidRPr="000649D0">
        <w:t>loliolide could also play a role in general plant-plant interactions.</w:t>
      </w:r>
    </w:p>
    <w:p w14:paraId="559A6ECE" w14:textId="77777777" w:rsidR="003B4CC8" w:rsidRPr="003B4CC8" w:rsidRDefault="003B4CC8" w:rsidP="003B4CC8">
      <w:pPr>
        <w:spacing w:line="480" w:lineRule="auto"/>
        <w:rPr>
          <w:b/>
        </w:rPr>
      </w:pPr>
    </w:p>
    <w:p w14:paraId="56DA84F0" w14:textId="77777777" w:rsidR="006068FB" w:rsidRDefault="006068FB" w:rsidP="000649D0">
      <w:pPr>
        <w:rPr>
          <w:u w:val="single"/>
        </w:rPr>
      </w:pPr>
      <w:r w:rsidRPr="000649D0">
        <w:rPr>
          <w:u w:val="single"/>
        </w:rPr>
        <w:t>How is soil volume and neighbour density information communicated to the shoot system?</w:t>
      </w:r>
    </w:p>
    <w:p w14:paraId="07E38354" w14:textId="77777777" w:rsidR="000649D0" w:rsidRPr="000649D0" w:rsidRDefault="000649D0" w:rsidP="000649D0">
      <w:pPr>
        <w:rPr>
          <w:b/>
          <w:u w:val="single"/>
        </w:rPr>
      </w:pPr>
    </w:p>
    <w:p w14:paraId="182AD909" w14:textId="46C2E89A" w:rsidR="006068FB" w:rsidRPr="000649D0" w:rsidRDefault="006068FB" w:rsidP="000649D0">
      <w:pPr>
        <w:spacing w:line="480" w:lineRule="auto"/>
        <w:rPr>
          <w:b/>
          <w:color w:val="000000" w:themeColor="text1"/>
        </w:rPr>
      </w:pPr>
      <w:r w:rsidRPr="000649D0">
        <w:t xml:space="preserve">SVS/SL and RDS show a clear inhibition of shoot system growth when in small soil volumes and neighbour dense environments, but how is this information </w:t>
      </w:r>
      <w:r w:rsidRPr="000649D0">
        <w:lastRenderedPageBreak/>
        <w:t xml:space="preserve">communicated to the shoot system? This was not an aim of this thesis but nevertheless is important to understand for future. Long distance signalling is key for many biological processes and several hormones (among other signals) are suggested to move from the root to the shoots (reviewed in </w:t>
      </w:r>
      <w:r w:rsidRPr="000649D0">
        <w:rPr>
          <w:b/>
        </w:rPr>
        <w:fldChar w:fldCharType="begin" w:fldLock="1"/>
      </w:r>
      <w:r w:rsidRPr="000649D0">
        <w:instrText>ADDIN CSL_CITATION {"citationItems":[{"id":"ITEM-1","itemData":{"DOI":"10.1016/j.semcdb.2020.06.011","ISSN":"10849521","author":[{"dropping-particle":"","family":"Wheeldon","given":"Cara D.","non-dropping-particle":"","parse-names":false,"suffix":""},{"dropping-particle":"","family":"Bennett","given":"Tom","non-dropping-particle":"","parse-names":false,"suffix":""}],"container-title":"Seminars in Cell &amp; Developmental Biology","id":"ITEM-1","issued":{"date-parts":[["2021","1"]]},"page":"55-67","title":"There and back again: An evolutionary perspective on long-distance coordination of plant growth and development","type":"article-journal","volume":"109"},"uris":["http://www.mendeley.com/documents/?uuid=390ed452-5e79-4e13-b4a6-c95e1e5d7bb8"]}],"mendeley":{"formattedCitation":"(Wheeldon and Bennett, 2021)","plainTextFormattedCitation":"(Wheeldon and Bennett, 2021)","previouslyFormattedCitation":"(Wheeldon and Bennett, 2021)"},"properties":{"noteIndex":0},"schema":"https://github.com/citation-style-language/schema/raw/master/csl-citation.json"}</w:instrText>
      </w:r>
      <w:r w:rsidRPr="000649D0">
        <w:rPr>
          <w:b/>
        </w:rPr>
        <w:fldChar w:fldCharType="separate"/>
      </w:r>
      <w:r w:rsidRPr="000649D0">
        <w:rPr>
          <w:noProof/>
        </w:rPr>
        <w:t>(Wheeldon and Bennett, 2021)</w:t>
      </w:r>
      <w:r w:rsidRPr="000649D0">
        <w:rPr>
          <w:b/>
        </w:rPr>
        <w:fldChar w:fldCharType="end"/>
      </w:r>
      <w:r w:rsidRPr="000649D0">
        <w:t xml:space="preserve">. </w:t>
      </w:r>
      <w:r w:rsidRPr="000649D0">
        <w:rPr>
          <w:color w:val="000000" w:themeColor="text1"/>
        </w:rPr>
        <w:t xml:space="preserve">While hormonal long-distance signalling is relatively slow, other forms of long distance signalling such as changes in turgor pressure and calcium signalling have been shown to occur much faster in response to environmental stressors </w:t>
      </w:r>
      <w:r w:rsidRPr="000649D0">
        <w:rPr>
          <w:b/>
          <w:color w:val="000000" w:themeColor="text1"/>
        </w:rPr>
        <w:fldChar w:fldCharType="begin" w:fldLock="1"/>
      </w:r>
      <w:r w:rsidRPr="000649D0">
        <w:rPr>
          <w:color w:val="000000" w:themeColor="text1"/>
        </w:rPr>
        <w:instrText>ADDIN CSL_CITATION {"citationItems":[{"id":"ITEM-1","itemData":{"DOI":"10.1111/nph.14966","ISSN":"0028-646X","author":[{"dropping-particle":"","family":"Kudla","given":"Jörg","non-dropping-particle":"","parse-names":false,"suffix":""},{"dropping-particle":"","family":"Becker","given":"Dirk","non-dropping-particle":"","parse-names":false,"suffix":""},{"dropping-particle":"","family":"Grill","given":"Erwin","non-dropping-particle":"","parse-names":false,"suffix":""},{"dropping-particle":"","family":"Hedrich","given":"Rainer","non-dropping-particle":"","parse-names":false,"suffix":""},{"dropping-particle":"","family":"Hippler","given":"Michael","non-dropping-particle":"","parse-names":false,"suffix":""},{"dropping-particle":"","family":"Kummer","given":"Ursula","non-dropping-particle":"","parse-names":false,"suffix":""},{"dropping-particle":"","family":"Parniske","given":"Martin","non-dropping-particle":"","parse-names":false,"suffix":""},{"dropping-particle":"","family":"Romeis","given":"Tina","non-dropping-particle":"","parse-names":false,"suffix":""},{"dropping-particle":"","family":"Schumacher","given":"Karin","non-dropping-particle":"","parse-names":false,"suffix":""}],"container-title":"New Phytologist","id":"ITEM-1","issue":"2","issued":{"date-parts":[["2018","4","14"]]},"page":"414-431","title":"Advances and current challenges in calcium signaling","type":"article-journal","volume":"218"},"uris":["http://www.mendeley.com/documents/?uuid=05b5084f-d5a0-4a91-9ceb-4c59d83efb4d"]},{"id":"ITEM-2","itemData":{"DOI":"10.1111/tpj.13492","ISSN":"0960-7412","abstract":"Plants show a rapid systemic response to a wide range of environmental stresses, where the signals from the site of stimulus perception are transmitted to distal organs to elicit plant</w:instrText>
      </w:r>
      <w:r w:rsidRPr="000649D0">
        <w:rPr>
          <w:rFonts w:ascii="Cambria Math" w:hAnsi="Cambria Math" w:cs="Cambria Math"/>
          <w:color w:val="000000" w:themeColor="text1"/>
        </w:rPr>
        <w:instrText>‐</w:instrText>
      </w:r>
      <w:r w:rsidRPr="000649D0">
        <w:rPr>
          <w:color w:val="000000" w:themeColor="text1"/>
        </w:rPr>
        <w:instrText>wide responses. A wide range of signaling molecules are trafficked through the plant, but a trio of potentially interacting messengers, reactive oxygen species ( ROS ), Ca 2+ and electrical signaling (‘trio signaling’) appear to form a network supporting rapid signal transmission. The molecular components underlying this rapid communication are beginning to be identified, such as the ROS producing NAPDH oxidase RBOHD , the ion channel two pore channel 1 ( TPC 1), and glutamate receptor</w:instrText>
      </w:r>
      <w:r w:rsidRPr="000649D0">
        <w:rPr>
          <w:rFonts w:ascii="Cambria Math" w:hAnsi="Cambria Math" w:cs="Cambria Math"/>
          <w:color w:val="000000" w:themeColor="text1"/>
        </w:rPr>
        <w:instrText>‐</w:instrText>
      </w:r>
      <w:r w:rsidRPr="000649D0">
        <w:rPr>
          <w:color w:val="000000" w:themeColor="text1"/>
        </w:rPr>
        <w:instrText>like channels GLR 3.3 and GLR 3.6. The plant cell wall presents a plant</w:instrText>
      </w:r>
      <w:r w:rsidRPr="000649D0">
        <w:rPr>
          <w:rFonts w:ascii="Cambria Math" w:hAnsi="Cambria Math" w:cs="Cambria Math"/>
          <w:color w:val="000000" w:themeColor="text1"/>
        </w:rPr>
        <w:instrText>‐</w:instrText>
      </w:r>
      <w:r w:rsidRPr="000649D0">
        <w:rPr>
          <w:color w:val="000000" w:themeColor="text1"/>
        </w:rPr>
        <w:instrText>specific route for possible propagation of signals from cell to cell. However, the degree to which the cell wall limits information exchange between cells via transfer of small molecules through an extracellular route, or whether it provides an environment to facilitate transmission of regulators such as ROS or H + remains to be determined. Similarly, the role of plasmodesmata as both conduits and gatekeepers for the propagation of rapid cell</w:instrText>
      </w:r>
      <w:r w:rsidRPr="000649D0">
        <w:rPr>
          <w:rFonts w:ascii="Cambria Math" w:hAnsi="Cambria Math" w:cs="Cambria Math"/>
          <w:color w:val="000000" w:themeColor="text1"/>
        </w:rPr>
        <w:instrText>‐</w:instrText>
      </w:r>
      <w:r w:rsidRPr="000649D0">
        <w:rPr>
          <w:color w:val="000000" w:themeColor="text1"/>
        </w:rPr>
        <w:instrText>to</w:instrText>
      </w:r>
      <w:r w:rsidRPr="000649D0">
        <w:rPr>
          <w:rFonts w:ascii="Cambria Math" w:hAnsi="Cambria Math" w:cs="Cambria Math"/>
          <w:color w:val="000000" w:themeColor="text1"/>
        </w:rPr>
        <w:instrText>‐</w:instrText>
      </w:r>
      <w:r w:rsidRPr="000649D0">
        <w:rPr>
          <w:color w:val="000000" w:themeColor="text1"/>
        </w:rPr>
        <w:instrText>cell signaling remains a key open question. Regardless of how signals move from cell to cell, they help prepare distant parts of the plant for impending challenges from specific biotic or abiotic stresses.","author":[{"dropping-particle":"","family":"Choi","given":"Won</w:instrText>
      </w:r>
      <w:r w:rsidRPr="000649D0">
        <w:rPr>
          <w:rFonts w:ascii="Cambria Math" w:hAnsi="Cambria Math" w:cs="Cambria Math"/>
          <w:color w:val="000000" w:themeColor="text1"/>
        </w:rPr>
        <w:instrText>‐</w:instrText>
      </w:r>
      <w:r w:rsidRPr="000649D0">
        <w:rPr>
          <w:color w:val="000000" w:themeColor="text1"/>
        </w:rPr>
        <w:instrText>Gyu","non-dropping-particle":"","parse-names":false,"suffix":""},{"dropping-particle":"","family":"Miller","given":"Gad","non-dropping-particle":"","parse-names":false,"suffix":""},{"dropping-particle":"","family":"Wallace","given":"Ian","non-dropping-particle":"","parse-names":false,"suffix":""},{"dropping-particle":"","family":"Harper","given":"Jeffrey","non-dropping-particle":"","parse-names":false,"suffix":""},{"dropping-particle":"","family":"Mittler","given":"Ron","non-dropping-particle":"","parse-names":false,"suffix":""},{"dropping-particle":"","family":"Gilroy","given":"Simon","non-dropping-particle":"","parse-names":false,"suffix":""}],"container-title":"The Plant Journal","id":"ITEM-2","issue":"4","issued":{"date-parts":[["2017","5","30"]]},"page":"698-707","title":"Orchestrating rapid long</w:instrText>
      </w:r>
      <w:r w:rsidRPr="000649D0">
        <w:rPr>
          <w:rFonts w:ascii="Cambria Math" w:hAnsi="Cambria Math" w:cs="Cambria Math"/>
          <w:color w:val="000000" w:themeColor="text1"/>
        </w:rPr>
        <w:instrText>‐</w:instrText>
      </w:r>
      <w:r w:rsidRPr="000649D0">
        <w:rPr>
          <w:color w:val="000000" w:themeColor="text1"/>
        </w:rPr>
        <w:instrText>distance signaling in plants with Ca 2+ , ROS and electrical signals","type":"article-journal","volume":"90"},"uris":["http://www.mendeley.com/documents/?uuid=37fa885c-9484-4149-abb0-b539ed482b67"]},{"id":"ITEM-3","itemData":{"DOI":"10.1016/j.pbi.2013.02.011","ISSN":"13695266","author":[{"dropping-particle":"","family":"Christmann","given":"Alexander","non-dropping-particle":"","parse-names":false,"suffix":""},{"dropping-particle":"","family":"Grill","given":"Erwin","non-dropping-particle":"","parse-names":false,"suffix":""},{"dropping-particle":"","family":"Huang","given":"Jin","non-dropping-particle":"","parse-names":false,"suffix":""}],"container-title":"Current Opinion in Plant Biology","id":"ITEM-3","issue":"3","issued":{"date-parts":[["2013","6"]]},"page":"293-300","title":"Hydraulic signals in long-distance signaling","type":"article-journal","volume":"16"},"uris":["http://www.mendeley.com/documents/?uuid=5679aa70-78f4-4821-acb6-a02a48f58ba2"]}],"mendeley":{"formattedCitation":"(Christmann et al., 2013; Choi et al., 2017; Kudla et al., 2018)","plainTextFormattedCitation":"(Christmann et al., 2013; Choi et al., 2017; Kudla et al., 2018)","previouslyFormattedCitation":"(Christmann et al., 2013; Choi et al., 2017; Kudla et al., 2018)"},"properties":{"noteIndex":0},"schema":"https://github.com/citation-style-language/schema/raw/master/csl-citation.json"}</w:instrText>
      </w:r>
      <w:r w:rsidRPr="000649D0">
        <w:rPr>
          <w:b/>
          <w:color w:val="000000" w:themeColor="text1"/>
        </w:rPr>
        <w:fldChar w:fldCharType="separate"/>
      </w:r>
      <w:r w:rsidRPr="000649D0">
        <w:rPr>
          <w:noProof/>
          <w:color w:val="000000" w:themeColor="text1"/>
        </w:rPr>
        <w:t>(Christmann et al., 2013; Choi et al., 2017; Kudla et al., 2018)</w:t>
      </w:r>
      <w:r w:rsidRPr="000649D0">
        <w:rPr>
          <w:b/>
          <w:color w:val="000000" w:themeColor="text1"/>
        </w:rPr>
        <w:fldChar w:fldCharType="end"/>
      </w:r>
      <w:r w:rsidRPr="000649D0">
        <w:rPr>
          <w:color w:val="000000" w:themeColor="text1"/>
        </w:rPr>
        <w:t>. A</w:t>
      </w:r>
      <w:r w:rsidR="009351EE">
        <w:rPr>
          <w:color w:val="000000" w:themeColor="text1"/>
        </w:rPr>
        <w:t>s mentioned earlier</w:t>
      </w:r>
      <w:r w:rsidR="005846EC">
        <w:rPr>
          <w:color w:val="000000" w:themeColor="text1"/>
        </w:rPr>
        <w:t xml:space="preserve">, peptides have been shown to move long distances through plants. One such example of </w:t>
      </w:r>
      <w:r w:rsidRPr="000649D0">
        <w:rPr>
          <w:color w:val="000000" w:themeColor="text1"/>
        </w:rPr>
        <w:t xml:space="preserve">the role of peptides in long distance signalling of environmental stressors was highlighted by work in Arabidopsis, which identified the expression of a large number small open reading frames (sORFS) compared to control treatments </w:t>
      </w:r>
      <w:r w:rsidRPr="000649D0">
        <w:rPr>
          <w:b/>
          <w:color w:val="000000" w:themeColor="text1"/>
        </w:rPr>
        <w:fldChar w:fldCharType="begin" w:fldLock="1"/>
      </w:r>
      <w:r w:rsidRPr="000649D0">
        <w:rPr>
          <w:color w:val="000000" w:themeColor="text1"/>
        </w:rPr>
        <w:instrText xml:space="preserve">ADDIN CSL_CITATION {"citationItems":[{"id":"ITEM-1","itemData":{"DOI":"10.1101/gr.5836207","ISSN":"1088-9051","abstract":"Large-scale cDNA sequencing projects and tiling array studies have revealed the presence of many unannotated genes. For protein coding genes, small coding sequences may not be identified by gene finders because of the conservative nature of prediction algorithms. In this study, we identified small open reading frames (sORFs) with high coding potential by a simple gene finding method (Coding Index, CI) based on the nucleotide composition bias found in most coding sequences. Applying this method to 18 Arabidopsis thaliana and 84 yeast sORF genes with evidence of expression at the protein level gives 100% accurate prediction. In the A. thaliana genome, we identified 7159 sORFs that are likely coding sequences (coding sORFs) with the CI measure at the 1% false-positive rate. To determine if these coding sORFs are parts of functional genes, we evaluated each coding sORF for evidence of transcription or evolutionary conservation. At the 5% false-positive rate, we found that 2996 coding sORFs are likely expressed in at least one experimental condition of the A. thaliana tiling array data. In addition, the evolutionary conservation of each A. thaliana sORF was examined within A. thaliana or between A. thaliana and five plants with complete or partial genome sequences. In 3997 coding sORFs with readily identifiable homologous sequences, 2376 are subject to purifying selection at the 1% false-positive rate. After eliminating coding sORFs with similarity to known transposable elements and those that are likely missing exons of known genes, the remaining 3241 coding sORFs with either evidence of transcription or purifying selection likely belong to novel coding genes in the A. thaliana genome.","author":[{"dropping-particle":"","family":"Hanada","given":"Kousuke","non-dropping-particle":"","parse-names":false,"suffix":""},{"dropping-particle":"","family":"Zhang","given":"Xu","non-dropping-particle":"","parse-names":false,"suffix":""},{"dropping-particle":"","family":"Borevitz","given":"Justin O.","non-dropping-particle":"","parse-names":false,"suffix":""},{"dropping-particle":"","family":"Li","given":"Wen-Hsiung","non-dropping-particle":"","parse-names":false,"suffix":""},{"dropping-particle":"","family":"Shiu","given":"Shin-Han","non-dropping-particle":"","parse-names":false,"suffix":""}],"container-title":"Genome Research","id":"ITEM-1","issue":"5","issued":{"date-parts":[["2007","5"]]},"page":"632-640","title":"A large number of novel coding small open reading frames in the intergenic regions of the Arabidopsis thaliana genome are transcribed and/or under purifying selection","type":"article-journal","volume":"17"},"uris":["http://www.mendeley.com/documents/?uuid=67aebeca-9f61-4d84-a5a2-d1cd76c92848"]},{"id":"ITEM-2","itemData":{"DOI":"10.1073/pnas.1213958110","ISSN":"0027-8424","abstract":"It is likely that many small ORFs (sORFs; 30–100 amino acids) are missed when genomes are annotated. To overcome this limitation, we identified </w:instrText>
      </w:r>
      <w:r w:rsidRPr="000649D0">
        <w:rPr>
          <w:rFonts w:ascii="Cambria Math" w:hAnsi="Cambria Math" w:cs="Cambria Math"/>
          <w:color w:val="000000" w:themeColor="text1"/>
        </w:rPr>
        <w:instrText>∼</w:instrText>
      </w:r>
      <w:r w:rsidRPr="000649D0">
        <w:rPr>
          <w:color w:val="000000" w:themeColor="text1"/>
        </w:rPr>
        <w:instrText xml:space="preserve">8,000 sORFs with high coding potential in intergenic regions of the Arabidopsis thaliana genome. However, the question remains as to whether these coding sORFs play functional roles. Using a designed array, we generated an expression atlas for 16 organs and 17 environmental conditions among 7,901 identified coding sORFs. A total of 2,099 coding sORFs were highly expressed under at least one experimental condition, and 571 were significantly conserved in other land plants. A total of 473 coding sORFs were overexpressed; </w:instrText>
      </w:r>
      <w:r w:rsidRPr="000649D0">
        <w:rPr>
          <w:rFonts w:ascii="Cambria Math" w:hAnsi="Cambria Math" w:cs="Cambria Math"/>
          <w:color w:val="000000" w:themeColor="text1"/>
        </w:rPr>
        <w:instrText>∼</w:instrText>
      </w:r>
      <w:r w:rsidRPr="000649D0">
        <w:rPr>
          <w:color w:val="000000" w:themeColor="text1"/>
        </w:rPr>
        <w:instrText>10% (49/473) induced visible phenotypic effects, a proportion that is approximately seven times higher than that of randomly chosen known genes. These results indicate that many coding sORFs hidden in plant genomes are associated with morphogenesis. We believe that the expression atlas will contribute to further study of the roles of sORFs in plants.","author":[{"dropping-particle":"","family":"Hanada","given":"Kousuke","non-dropping-particle":"","parse-names":false,"suffix":""},{"dropping-particle":"","family":"Higuchi-Takeuchi","given":"Mieko","non-dropping-particle":"","parse-names":false,"suffix":""},{"dropping-particle":"","family":"Okamoto","given":"Masanori","non-dropping-particle":"","parse-names":false,"suffix":""},{"dropping-particle":"","family":"Yoshizumi","given":"Takeshi","non-dropping-particle":"","parse-names":false,"suffix":""},{"dropping-particle":"","family":"Shimizu","given":"Minami","non-dropping-particle":"","parse-names":false,"suffix":""},{"dropping-particle":"","family":"Nakaminami","given":"Kentaro","non-dropping-particle":"","parse-names":false,"suffix":""},{"dropping-particle":"","family":"Nishi","given":"Ranko","non-dropping-particle":"","parse-names":false,"suffix":""},{"dropping-particle":"","family":"Ohashi","given":"Chihiro","non-dropping-particle":"","parse-names":false,"suffix":""},{"dropping-particle":"","family":"Iida","given":"Kei","non-dropping-particle":"","parse-names":false,"suffix":""},{"dropping-particle":"","family":"Tanaka","given":"Maho","non-dropping-particle":"","parse-names":false,"suffix":""},{"dropping-particle":"","family":"Horii","given":"Yoko","non-dropping-particle":"","parse-names":false,"suffix":""},{"dropping-particle":"","family":"Kawashima","given":"Mika","non-dropping-particle":"","parse-names":false,"suffix":""},{"dropping-particle":"","family":"Matsui","given":"Keiko","non-dropping-particle":"","parse-names":false,"suffix":""},{"dropping-particle":"","family":"Toyoda","given":"Tetsuro","non-dropping-particle":"","parse-names":false,"suffix":""},{"dropping-particle":"","family":"Shinozaki","given":"Kazuo","non-dropping-particle":"","parse-names":false,"suffix":""},{"dropping-particle":"","family":"Seki","given":"Motoaki","non-dropping-particle":"","parse-names":false,"suffix":""},{"dropping-particle":"","family":"Matsui","given":"Minami","non-dropping-particle":"","parse-names":false,"suffix":""}],"container-title":"Proceedings of the National Academy of Sciences","id":"ITEM-2","issue":"6","issued":{"date-parts":[["2013","2","5"]]},"page":"2395-2400","title":"Small open reading frames associated with morphogenesis are hidden in plant genomes","type":"article-journal","volume":"110"},"uris":["http://www.mendeley.com/documents/?uuid=9d0e08d0-d81f-4e60-8899-ad882a90dda9"]}],"mendeley":{"formattedCitation":"(Hanada et al., 2007; Hanada et al., 2013)","plainTextFormattedCitation":"(Hanada et al., 2007; Hanada et al., 2013)","previouslyFormattedCitation":"(Hanada et al., 2007; Hanada et al., 2013)"},"properties":{"noteIndex":0},"schema":"https://github.com/citation-style-language/schema/raw/master/csl-citation.json"}</w:instrText>
      </w:r>
      <w:r w:rsidRPr="000649D0">
        <w:rPr>
          <w:b/>
          <w:color w:val="000000" w:themeColor="text1"/>
        </w:rPr>
        <w:fldChar w:fldCharType="separate"/>
      </w:r>
      <w:r w:rsidRPr="000649D0">
        <w:rPr>
          <w:noProof/>
          <w:color w:val="000000" w:themeColor="text1"/>
        </w:rPr>
        <w:t>(Hanada et al., 2007; Hanada et al., 2013)</w:t>
      </w:r>
      <w:r w:rsidRPr="000649D0">
        <w:rPr>
          <w:b/>
          <w:color w:val="000000" w:themeColor="text1"/>
        </w:rPr>
        <w:fldChar w:fldCharType="end"/>
      </w:r>
      <w:r w:rsidRPr="000649D0">
        <w:rPr>
          <w:color w:val="000000" w:themeColor="text1"/>
        </w:rPr>
        <w:t>.</w:t>
      </w:r>
      <w:r w:rsidR="001064B3">
        <w:rPr>
          <w:color w:val="000000" w:themeColor="text1"/>
        </w:rPr>
        <w:t xml:space="preserve"> Additional support for this comes from a study which identified that </w:t>
      </w:r>
      <w:r w:rsidR="002703A7">
        <w:rPr>
          <w:color w:val="000000" w:themeColor="text1"/>
        </w:rPr>
        <w:t xml:space="preserve">over 100 sORFs are upregulated </w:t>
      </w:r>
      <w:r w:rsidR="007F5E17">
        <w:rPr>
          <w:color w:val="000000" w:themeColor="text1"/>
        </w:rPr>
        <w:t xml:space="preserve">in </w:t>
      </w:r>
      <w:r w:rsidR="004E5BB3">
        <w:rPr>
          <w:color w:val="000000" w:themeColor="text1"/>
        </w:rPr>
        <w:t>Arabidopsis</w:t>
      </w:r>
      <w:r w:rsidR="007F5E17">
        <w:rPr>
          <w:color w:val="000000" w:themeColor="text1"/>
        </w:rPr>
        <w:t xml:space="preserve"> roots and shoots </w:t>
      </w:r>
      <w:r w:rsidR="002703A7">
        <w:rPr>
          <w:color w:val="000000" w:themeColor="text1"/>
        </w:rPr>
        <w:t>in response to drought</w:t>
      </w:r>
      <w:r w:rsidR="004E5BB3">
        <w:rPr>
          <w:color w:val="000000" w:themeColor="text1"/>
        </w:rPr>
        <w:t xml:space="preserve"> </w:t>
      </w:r>
      <w:r w:rsidR="004E5BB3">
        <w:rPr>
          <w:color w:val="000000" w:themeColor="text1"/>
        </w:rPr>
        <w:fldChar w:fldCharType="begin" w:fldLock="1"/>
      </w:r>
      <w:r w:rsidR="008B101C">
        <w:rPr>
          <w:color w:val="000000" w:themeColor="text1"/>
        </w:rPr>
        <w:instrText>ADDIN CSL_CITATION {"citationItems":[{"id":"ITEM-1","itemData":{"DOI":"10.1080/15592324.2016.1215792","ISSN":"1559-2324","author":[{"dropping-particle":"","family":"Rasheed","given":"Sultana","non-dropping-particle":"","parse-names":false,"suffix":""},{"dropping-particle":"","family":"Bashir","given":"Khurram","non-dropping-particle":"","parse-names":false,"suffix":""},{"dropping-particle":"","family":"Nakaminami","given":"Kentaro","non-dropping-particle":"","parse-names":false,"suffix":""},{"dropping-particle":"","family":"Hanada","given":"Kousuke","non-dropping-particle":"","parse-names":false,"suffix":""},{"dropping-particle":"","family":"Matsui","given":"Akihiro","non-dropping-particle":"","parse-names":false,"suffix":""},{"dropping-particle":"","family":"Seki","given":"Motoaki","non-dropping-particle":"","parse-names":false,"suffix":""}],"container-title":"Plant Signaling &amp; Behavior","id":"ITEM-1","issue":"8","issued":{"date-parts":[["2016","8","2"]]},"page":"e1215792","title":"Drought stress differentially regulates the expression of small open reading frames (sORFs) in Arabidopsis roots and shoots","type":"article-journal","volume":"11"},"uris":["http://www.mendeley.com/documents/?uuid=ce7f4f21-1a92-40d6-a33b-de914479d38d"]}],"mendeley":{"formattedCitation":"(Rasheed et al., 2016)","plainTextFormattedCitation":"(Rasheed et al., 2016)","previouslyFormattedCitation":"(Rasheed et al., 2016)"},"properties":{"noteIndex":0},"schema":"https://github.com/citation-style-language/schema/raw/master/csl-citation.json"}</w:instrText>
      </w:r>
      <w:r w:rsidR="004E5BB3">
        <w:rPr>
          <w:color w:val="000000" w:themeColor="text1"/>
        </w:rPr>
        <w:fldChar w:fldCharType="separate"/>
      </w:r>
      <w:r w:rsidR="004E5BB3" w:rsidRPr="004E5BB3">
        <w:rPr>
          <w:noProof/>
          <w:color w:val="000000" w:themeColor="text1"/>
        </w:rPr>
        <w:t>(Rasheed et al., 2016)</w:t>
      </w:r>
      <w:r w:rsidR="004E5BB3">
        <w:rPr>
          <w:color w:val="000000" w:themeColor="text1"/>
        </w:rPr>
        <w:fldChar w:fldCharType="end"/>
      </w:r>
      <w:r w:rsidR="004E5BB3">
        <w:rPr>
          <w:color w:val="000000" w:themeColor="text1"/>
        </w:rPr>
        <w:t>.</w:t>
      </w:r>
      <w:r w:rsidRPr="000649D0">
        <w:rPr>
          <w:color w:val="000000" w:themeColor="text1"/>
        </w:rPr>
        <w:t xml:space="preserve"> </w:t>
      </w:r>
      <w:r w:rsidR="0097166E">
        <w:rPr>
          <w:color w:val="000000" w:themeColor="text1"/>
        </w:rPr>
        <w:t xml:space="preserve">Other peptide signals have been shown to be important for communicating </w:t>
      </w:r>
      <w:r w:rsidR="00FF3DB0">
        <w:rPr>
          <w:color w:val="000000" w:themeColor="text1"/>
        </w:rPr>
        <w:t>environmental stressors such as r</w:t>
      </w:r>
      <w:r w:rsidRPr="000649D0">
        <w:rPr>
          <w:color w:val="000000" w:themeColor="text1"/>
        </w:rPr>
        <w:t xml:space="preserve">oot derived CEPs </w:t>
      </w:r>
      <w:r w:rsidR="00FF3DB0">
        <w:rPr>
          <w:color w:val="000000" w:themeColor="text1"/>
        </w:rPr>
        <w:t xml:space="preserve">which </w:t>
      </w:r>
      <w:r w:rsidRPr="000649D0">
        <w:rPr>
          <w:color w:val="000000" w:themeColor="text1"/>
        </w:rPr>
        <w:t xml:space="preserve">are transported to the shoot </w:t>
      </w:r>
      <w:r w:rsidRPr="00C4670B">
        <w:rPr>
          <w:bCs/>
          <w:color w:val="000000" w:themeColor="text1"/>
        </w:rPr>
        <w:t>and</w:t>
      </w:r>
      <w:r w:rsidRPr="000649D0">
        <w:rPr>
          <w:b/>
          <w:color w:val="000000" w:themeColor="text1"/>
        </w:rPr>
        <w:t xml:space="preserve"> </w:t>
      </w:r>
      <w:r w:rsidRPr="000649D0">
        <w:rPr>
          <w:color w:val="000000" w:themeColor="text1"/>
        </w:rPr>
        <w:t xml:space="preserve">interact with the CEP receptor (CEPR) which together results in the formation of CEP DOWNSTREAM1/2 (CEPD1/2) peptides which subsequently move rootward to trigger upregulation of NRTs in the root system in response to nitrate deprivation </w:t>
      </w:r>
      <w:r w:rsidRPr="000649D0">
        <w:rPr>
          <w:b/>
          <w:color w:val="000000" w:themeColor="text1"/>
        </w:rPr>
        <w:fldChar w:fldCharType="begin" w:fldLock="1"/>
      </w:r>
      <w:r w:rsidRPr="000649D0">
        <w:rPr>
          <w:color w:val="000000" w:themeColor="text1"/>
        </w:rPr>
        <w:instrText>ADDIN CSL_CITATION {"citationItems":[{"id":"ITEM-1","itemData":{"DOI":"10.1038/nplants.2017.29","ISSN":"20550278","abstract":"Plants uptake nitrogen (N) from the soil mainly in the form of nitrate. However, nitrate is often distributed heterogeneously in natural soil. Plants, therefore, have a systemic long-distance signalling mechanism by which N starvation on one side of the root leads to a compensatory N uptake on the other N-rich side 1,2. This systemic N acquisition response is triggered by a root-to-shoot mobile peptide hormone, C-TERMINALLY ENCODED PEPTIDE (CEP), originating from the N-starved roots 3,4, but the molecular nature of the descending shoot-to-root signal remains elusive. Here, we show that phloem-specific polypeptides that are induced in leaves upon perception of root-derived CEP act as descending long-distance mobile signals translocated to each root. These shoot-derived polypeptides, which we named CEP DOWNSTREAM 1 (CEPD1) and CEPD2, upregulate the expression of the nitrate transporter gene NRT2.1 in roots specifically when nitrate is present in the rhizosphere. Arabidopsis plants deficient in this pathway show impaired systemic N acquisition response accompanied with N-deficiency symptoms. These fundamental mechanistic insights should provide a conceptual framework for understanding systemic nutrient acquisition responses in plants.","author":[{"dropping-particle":"","family":"Ohkubo","given":"Yuri","non-dropping-particle":"","parse-names":false,"suffix":""},{"dropping-particle":"","family":"Tanaka","given":"Mina","non-dropping-particle":"","parse-names":false,"suffix":""},{"dropping-particle":"","family":"Tabata","given":"Ryo","non-dropping-particle":"","parse-names":false,"suffix":""},{"dropping-particle":"","family":"Ogawa-Ohnishi","given":"Mari","non-dropping-particle":"","parse-names":false,"suffix":""},{"dropping-particle":"","family":"Matsubayashi","given":"Yoshikatsu","non-dropping-particle":"","parse-names":false,"suffix":""}],"container-title":"Nature Plants","id":"ITEM-1","issue":"4","issued":{"date-parts":[["2017","3","20"]]},"page":"1-6","publisher":"Palgrave Macmillan Ltd.","title":"Shoot-to-root mobile polypeptides involved in systemic regulation of nitrogen acquisition","type":"article-journal","volume":"3"},"uris":["http://www.mendeley.com/documents/?uuid=c4eac449-f9d3-4199-bc8f-5aa47caf7c4f"]},{"id":"ITEM-2","itemData":{"DOI":"10.1093/jxb/ery037","ISSN":"0022-0957","author":[{"dropping-particle":"","family":"Taleski","given":"Michael","non-dropping-particle":"","parse-names":false,"suffix":""},{"dropping-particle":"","family":"Imin","given":"Nijat","non-dropping-particle":"","parse-names":false,"suffix":""},{"dropping-particle":"","family":"Djordjevic","given":"Michael A","non-dropping-particle":"","parse-names":false,"suffix":""}],"container-title":"Journal of Experimental Botany","id":"ITEM-2","issue":"8","issued":{"date-parts":[["2018","4","9"]]},"page":"1829-1836","title":"CEP peptide hormones: key players in orchestrating nitrogen-demand signalling, root nodulation, and lateral root development","type":"article-journal","volume":"69"},"uris":["http://www.mendeley.com/documents/?uuid=44bc933e-345d-4091-a241-4f609faef797"]},{"id":"ITEM-3","itemData":{"DOI":"10.1093/jxb/ert332","ISSN":"1460-2431","author":[{"dropping-particle":"","family":"Delay","given":"Christina","non-dropping-particle":"","parse-names":false,"suffix":""},{"dropping-particle":"","family":"Imin","given":"Nijat","non-dropping-particle":"","parse-names":false,"suffix":""},{"dropping-particle":"","family":"Djordjevic","given":"Michael A.","non-dropping-particle":"","parse-names":false,"suffix":""}],"container-title":"Journal of Experimental Botany","id":"ITEM-3","issue":"17","issued":{"date-parts":[["2013","12"]]},"page":"5383-5394","title":"CEP genes regulate root and shoot development in response to environmental cues and are specific to seed plants","type":"article-journal","volume":"64"},"uris":["http://www.mendeley.com/documents/?uuid=babce119-6bca-474a-b1cd-89a88f7bf497"]}],"mendeley":{"formattedCitation":"(Delay et al., 2013; Ohkubo et al., 2017; Taleski et al., 2018)","plainTextFormattedCitation":"(Delay et al., 2013; Ohkubo et al., 2017; Taleski et al., 2018)","previouslyFormattedCitation":"(Delay et al., 2013; Ohkubo et al., 2017; Taleski et al., 2018)"},"properties":{"noteIndex":0},"schema":"https://github.com/citation-style-language/schema/raw/master/csl-citation.json"}</w:instrText>
      </w:r>
      <w:r w:rsidRPr="000649D0">
        <w:rPr>
          <w:b/>
          <w:color w:val="000000" w:themeColor="text1"/>
        </w:rPr>
        <w:fldChar w:fldCharType="separate"/>
      </w:r>
      <w:r w:rsidRPr="000649D0">
        <w:rPr>
          <w:noProof/>
          <w:color w:val="000000" w:themeColor="text1"/>
        </w:rPr>
        <w:t>(Delay et al., 2013; Ohkubo et al., 2017; Taleski et al., 2018)</w:t>
      </w:r>
      <w:r w:rsidRPr="000649D0">
        <w:rPr>
          <w:b/>
          <w:color w:val="000000" w:themeColor="text1"/>
        </w:rPr>
        <w:fldChar w:fldCharType="end"/>
      </w:r>
      <w:r w:rsidRPr="000649D0">
        <w:rPr>
          <w:color w:val="000000" w:themeColor="text1"/>
        </w:rPr>
        <w:t>. CLEs are other peptides which ha</w:t>
      </w:r>
      <w:r w:rsidR="0077047E">
        <w:rPr>
          <w:color w:val="000000" w:themeColor="text1"/>
        </w:rPr>
        <w:t>ve</w:t>
      </w:r>
      <w:r w:rsidRPr="000649D0">
        <w:rPr>
          <w:color w:val="000000" w:themeColor="text1"/>
        </w:rPr>
        <w:t xml:space="preserve"> been shown to travel from the roots to the shoots in response to nitrate levels in the soil </w:t>
      </w:r>
      <w:r w:rsidRPr="000649D0">
        <w:rPr>
          <w:b/>
          <w:color w:val="000000" w:themeColor="text1"/>
        </w:rPr>
        <w:fldChar w:fldCharType="begin" w:fldLock="1"/>
      </w:r>
      <w:r w:rsidRPr="000649D0">
        <w:rPr>
          <w:color w:val="000000" w:themeColor="text1"/>
        </w:rPr>
        <w:instrText>ADDIN CSL_CITATION {"citationItems":[{"id":"ITEM-1","itemData":{"DOI":"10.1016/j.pbi.2018.04.006","ISSN":"13695266","author":[{"dropping-particle":"","family":"Nishida","given":"Hanna","non-dropping-particle":"","parse-names":false,"suffix":""},{"dropping-particle":"","family":"Suzaki","given":"Takuya","non-dropping-particle":"","parse-names":false,"suffix":""}],"container-title":"Current Opinion in Plant Biology","id":"ITEM-1","issued":{"date-parts":[["2018","8"]]},"page":"129-136","title":"Nitrate-mediated control of root nodule symbiosis","type":"article-journal","volume":"44"},"uris":["http://www.mendeley.com/documents/?uuid=131bd890-3a0a-4b43-aeec-1d25f1448c32"]}],"mendeley":{"formattedCitation":"(Nishida and Suzaki, 2018)","plainTextFormattedCitation":"(Nishida and Suzaki, 2018)","previouslyFormattedCitation":"(Nishida and Suzaki, 2018)"},"properties":{"noteIndex":0},"schema":"https://github.com/citation-style-language/schema/raw/master/csl-citation.json"}</w:instrText>
      </w:r>
      <w:r w:rsidRPr="000649D0">
        <w:rPr>
          <w:b/>
          <w:color w:val="000000" w:themeColor="text1"/>
        </w:rPr>
        <w:fldChar w:fldCharType="separate"/>
      </w:r>
      <w:r w:rsidRPr="000649D0">
        <w:rPr>
          <w:noProof/>
          <w:color w:val="000000" w:themeColor="text1"/>
        </w:rPr>
        <w:t>(Nishida and Suzaki, 2018)</w:t>
      </w:r>
      <w:r w:rsidRPr="000649D0">
        <w:rPr>
          <w:b/>
          <w:color w:val="000000" w:themeColor="text1"/>
        </w:rPr>
        <w:fldChar w:fldCharType="end"/>
      </w:r>
      <w:r w:rsidRPr="000649D0">
        <w:rPr>
          <w:color w:val="000000" w:themeColor="text1"/>
        </w:rPr>
        <w:t xml:space="preserve">. </w:t>
      </w:r>
    </w:p>
    <w:p w14:paraId="3ED4ECAF" w14:textId="152879DC" w:rsidR="006068FB" w:rsidRDefault="006068FB" w:rsidP="000649D0">
      <w:pPr>
        <w:spacing w:line="480" w:lineRule="auto"/>
        <w:rPr>
          <w:color w:val="00B050"/>
        </w:rPr>
      </w:pPr>
      <w:r w:rsidRPr="000649D0">
        <w:rPr>
          <w:color w:val="000000" w:themeColor="text1"/>
        </w:rPr>
        <w:t xml:space="preserve">The possibility that soil volume and neighbour density information could be communicated to the shoot system via proteins or peptides could be </w:t>
      </w:r>
      <w:r w:rsidRPr="000649D0">
        <w:rPr>
          <w:color w:val="000000" w:themeColor="text1"/>
        </w:rPr>
        <w:lastRenderedPageBreak/>
        <w:t>investigated further.</w:t>
      </w:r>
      <w:r w:rsidRPr="000649D0">
        <w:rPr>
          <w:color w:val="00B050"/>
        </w:rPr>
        <w:t xml:space="preserve"> </w:t>
      </w:r>
      <w:r w:rsidR="004F0533" w:rsidRPr="00691DEE">
        <w:rPr>
          <w:color w:val="000000" w:themeColor="text1"/>
        </w:rPr>
        <w:t xml:space="preserve">This could be investigated by grafting </w:t>
      </w:r>
      <w:r w:rsidR="00BB44D5" w:rsidRPr="00691DEE">
        <w:rPr>
          <w:color w:val="000000" w:themeColor="text1"/>
        </w:rPr>
        <w:t xml:space="preserve">combinations of WT and candidate CEP mutant scions and </w:t>
      </w:r>
      <w:r w:rsidR="005E518F" w:rsidRPr="00691DEE">
        <w:rPr>
          <w:color w:val="000000" w:themeColor="text1"/>
        </w:rPr>
        <w:t>rootstocks</w:t>
      </w:r>
      <w:r w:rsidR="003C1686" w:rsidRPr="00691DEE">
        <w:rPr>
          <w:color w:val="000000" w:themeColor="text1"/>
        </w:rPr>
        <w:t xml:space="preserve"> in different pot sizes</w:t>
      </w:r>
      <w:r w:rsidR="005E518F" w:rsidRPr="00691DEE">
        <w:rPr>
          <w:color w:val="000000" w:themeColor="text1"/>
        </w:rPr>
        <w:t>. If the root to shoot signal was a CEP</w:t>
      </w:r>
      <w:r w:rsidR="00B70C88" w:rsidRPr="00691DEE">
        <w:rPr>
          <w:color w:val="000000" w:themeColor="text1"/>
        </w:rPr>
        <w:t>,</w:t>
      </w:r>
      <w:r w:rsidR="007E6703" w:rsidRPr="00691DEE">
        <w:rPr>
          <w:color w:val="000000" w:themeColor="text1"/>
        </w:rPr>
        <w:t xml:space="preserve"> it would be expected that</w:t>
      </w:r>
      <w:r w:rsidR="00B70C88" w:rsidRPr="00691DEE">
        <w:rPr>
          <w:color w:val="000000" w:themeColor="text1"/>
        </w:rPr>
        <w:t xml:space="preserve"> the combination of WT root stock and CEP receptor </w:t>
      </w:r>
      <w:r w:rsidR="00605227" w:rsidRPr="00691DEE">
        <w:rPr>
          <w:color w:val="000000" w:themeColor="text1"/>
        </w:rPr>
        <w:t xml:space="preserve">mutant </w:t>
      </w:r>
      <w:r w:rsidR="00B70C88" w:rsidRPr="00691DEE">
        <w:rPr>
          <w:color w:val="000000" w:themeColor="text1"/>
        </w:rPr>
        <w:t xml:space="preserve">scion would </w:t>
      </w:r>
      <w:r w:rsidR="003C1686" w:rsidRPr="00691DEE">
        <w:rPr>
          <w:color w:val="000000" w:themeColor="text1"/>
        </w:rPr>
        <w:t xml:space="preserve">produce shoot systems which do not reflect </w:t>
      </w:r>
      <w:r w:rsidR="00314584" w:rsidRPr="00691DEE">
        <w:rPr>
          <w:color w:val="000000" w:themeColor="text1"/>
        </w:rPr>
        <w:t>the soil volume</w:t>
      </w:r>
      <w:r w:rsidR="0016753D" w:rsidRPr="00691DEE">
        <w:rPr>
          <w:color w:val="000000" w:themeColor="text1"/>
        </w:rPr>
        <w:t xml:space="preserve"> they are grown in compared to WT scion with WT rootstock plants</w:t>
      </w:r>
      <w:r w:rsidR="007E6703" w:rsidRPr="00691DEE">
        <w:rPr>
          <w:color w:val="000000" w:themeColor="text1"/>
        </w:rPr>
        <w:t>.</w:t>
      </w:r>
      <w:r w:rsidR="003E26FE" w:rsidRPr="00691DEE">
        <w:rPr>
          <w:color w:val="000000" w:themeColor="text1"/>
        </w:rPr>
        <w:t xml:space="preserve"> </w:t>
      </w:r>
      <w:r w:rsidR="00CD0524" w:rsidRPr="00691DEE">
        <w:rPr>
          <w:color w:val="000000" w:themeColor="text1"/>
        </w:rPr>
        <w:t xml:space="preserve">Grafting experiments have been instrumental in demonstrating root to shoot activity of </w:t>
      </w:r>
      <w:r w:rsidR="00403779" w:rsidRPr="00691DEE">
        <w:rPr>
          <w:color w:val="000000" w:themeColor="text1"/>
        </w:rPr>
        <w:t>phyto</w:t>
      </w:r>
      <w:r w:rsidR="0093378A" w:rsidRPr="00691DEE">
        <w:rPr>
          <w:color w:val="000000" w:themeColor="text1"/>
        </w:rPr>
        <w:t>hormones such as strigolactone and cytokinin</w:t>
      </w:r>
      <w:r w:rsidR="0093378A">
        <w:rPr>
          <w:color w:val="000000" w:themeColor="text1"/>
        </w:rPr>
        <w:t xml:space="preserve"> </w:t>
      </w:r>
      <w:r w:rsidR="00FF4006">
        <w:rPr>
          <w:color w:val="000000" w:themeColor="text1"/>
        </w:rPr>
        <w:fldChar w:fldCharType="begin" w:fldLock="1"/>
      </w:r>
      <w:r w:rsidR="00A7289E">
        <w:rPr>
          <w:color w:val="000000" w:themeColor="text1"/>
        </w:rPr>
        <w:instrText xml:space="preserve">ADDIN CSL_CITATION {"citationItems":[{"id":"ITEM-1","itemData":{"DOI":"10.1073/pnas.1321519111","ISSN":"10916490","abstract":"Cytokinins are phytohormones that induce cytokinesis and are essential for diverse developmental and physiological processes in plants. Cytokinins of the trans-zeatin type are mainly synthesized in root vasculature and transported to the shoot, where they regulate shoot growth. However, the mechanism of long-distance transport of cytokinin was hitherto unknown. Here, we report that the Arabidopsis ATP-binding cassette (ABC) transporter subfamily G14 (AtABCG14) is mainly expressed in roots and plays a major role in delivering cytokinins to the shoot. Loss of AtABCG14 expression resulted in severe shoot growth retardation, which was rescued by exogenous trans-zeatin application. Cytokinin content was decreased in the shoots of atabcg14 plants and increased in the roots, with consistent changes in the expression of cytokinin-responsive genes. Grafting of atabcg14 scions onto wild-type rootstocks restored shoot growth, whereas wild-type scions grafted onto atabcg14 rootstocks exhibited shoot growth retardation similar to that of atabcg14. Cytokinin concentrations in the xylem are reduced by </w:instrText>
      </w:r>
      <w:r w:rsidR="00A7289E">
        <w:rPr>
          <w:rFonts w:ascii="Cambria Math" w:hAnsi="Cambria Math" w:cs="Cambria Math"/>
          <w:color w:val="000000" w:themeColor="text1"/>
        </w:rPr>
        <w:instrText>∼</w:instrText>
      </w:r>
      <w:r w:rsidR="00A7289E">
        <w:rPr>
          <w:color w:val="000000" w:themeColor="text1"/>
        </w:rPr>
        <w:instrText>90% in the atabcg14 mutant. These results indicate that AtABCG14 is crucial for the translocation of cytokinin to the shoot. Our results provide molecular evidence for the long-distance transport of cytokinin and show that this transport is necessary for normal shoot development.","author":[{"dropping-particle":"","family":"Ko","given":"Donghwi","non-dropping-particle":"","parse-names":false,"suffix":""},{"dropping-particle":"","family":"Kang","given":"Joohyun","non-dropping-particle":"","parse-names":false,"suffix":""},{"dropping-particle":"","family":"Kiba","given":"Takatoshi","non-dropping-particle":"","parse-names":false,"suffix":""},{"dropping-particle":"","family":"Park","given":"Jiyoung","non-dropping-particle":"","parse-names":false,"suffix":""},{"dropping-particle":"","family":"Kojima","given":"Mikiko","non-dropping-particle":"","parse-names":false,"suffix":""},{"dropping-particle":"","family":"Do","given":"Jihye","non-dropping-particle":"","parse-names":false,"suffix":""},{"dropping-particle":"","family":"Kim","given":"Kyung Yoon","non-dropping-particle":"","parse-names":false,"suffix":""},{"dropping-particle":"","family":"Kwon","given":"Mi","non-dropping-particle":"","parse-names":false,"suffix":""},{"dropping-particle":"","family":"Endler","given":"Anne","non-dropping-particle":"","parse-names":false,"suffix":""},{"dropping-particle":"","family":"Song","given":"Won Yong","non-dropping-particle":"","parse-names":false,"suffix":""},{"dropping-particle":"","family":"Martinoia","given":"Enrico","non-dropping-particle":"","parse-names":false,"suffix":""},{"dropping-particle":"","family":"Sakakibara","given":"Hitoshi","non-dropping-particle":"","parse-names":false,"suffix":""},{"dropping-particle":"","family":"Lee","given":"Youngsook","non-dropping-particle":"","parse-names":false,"suffix":""}],"container-title":"Proceedings of the National Academy of Sciences of the United States of America","id":"ITEM-1","issue":"19","issued":{"date-parts":[["2014","5","13"]]},"page":"7150-7155","publisher":"National Academy of Sciences","title":"Arabidopsis ABCG14 is essential for the root-to-shoot translocation of cytokinin","type":"article-journal","volume":"111"},"uris":["http://www.mendeley.com/documents/?uuid=98a231e0-78b8-37fe-9c4a-5533c2ecb869"]},{"id":"ITEM-2","itemData":{"DOI":"10.1038/ncomms4274","ISSN":"2041-1723","abstract":"Cytokinins are a major group of phytohormones regulating plant growth, development and stress responses. However, in contrast to the well-defined polar transport of auxins, the molecular basis of cytokinin transport is poorly understood. Here we show that an ATP-binding cassette transporter in Arabidopsis, AtABCG14, is essential for the acropetal (root to shoot) translocation of the root-synthesized cytokinins. AtABCG14 is expressed primarily in the pericycle and stelar cells of roots. Knocking out AtABCG14 strongly impairs the translocation of trans-zeatin (tZ)-type cytokinins from roots to shoots, thereby affecting the plant's growth and development. AtABCG14 localizes to the plasma membrane of transformed cells. In planta feeding of C(14) or C(13)-labelled tZ suggests that it acts as an efflux pump and its presence in the cells directly correlates with the transport of the fed cytokinin. Therefore, AtABCG14 is a transporter likely involved in the long-distance translocation of cytokinins in planta.","author":[{"dropping-particle":"","family":"Zhang","given":"Kewei","non-dropping-particle":"","parse-names":false,"suffix":""},{"dropping-particle":"","family":"Novak","given":"Ondrej","non-dropping-particle":"","parse-names":false,"suffix":""},{"dropping-particle":"","family":"Wei","given":"Zhaoyang","non-dropping-particle":"","parse-names":false,"suffix":""},{"dropping-particle":"","family":"Gou","given":"Mingyue","non-dropping-particle":"","parse-names":false,"suffix":""},{"dropping-particle":"","family":"Zhang","given":"Xuebin","non-dropping-particle":"","parse-names":false,"suffix":""},{"dropping-particle":"","family":"Yu","given":"Yong","non-dropping-particle":"","parse-names":false,"suffix":""},{"dropping-particle":"","family":"Yang","given":"Huijun","non-dropping-particle":"","parse-names":false,"suffix":""},{"dropping-particle":"","family":"Cai","given":"Yuanheng","non-dropping-particle":"","parse-names":false,"suffix":""},{"dropping-particle":"","family":"Strnad","given":"Miroslav","non-dropping-particle":"","parse-names":false,"suffix":""},{"dropping-particle":"","family":"Liu","given":"Chang-Jun","non-dropping-particle":"","parse-names":false,"suffix":""}],"container-title":"Nature Communications","id":"ITEM-2","issue":"1","issued":{"date-parts":[["2014","2","11"]]},"page":"3274","title":"Arabidopsis ABCG14 protein controls the acropetal translocation of root-synthesized cytokinins","type":"article-journal","volume":"5"},"uris":["http://www.mendeley.com/documents/?uuid=eaa8b473-22f7-3aad-b5b9-82b25eb946e8"]},{"id":"ITEM-3","itemData":{"DOI":"10.1038/nplants.2017.112","ISSN":"20550278","abstract":"Organ-to-organ signal transmission is essential for higher organisms to ensure coordinated biological reactions during metabolism and morphogenesis. Similar to organs in animals, plant organs communicate by various signalling molecules. Among them, cytokinins, a class of phytohormones, play a key role as root-to-shoot long-distance signals, regulating various growth and developmental processes in shoots 1,2. Previous studies have proposed that trans-zeatin-riboside, a type of cytokinin precursor, is a major long-distance signalling form in xylem vessels and its action depends on metabolic conversion via the LONELY GUY enzyme in proximity to the site of action 3-5. Here we report an additional long-distance signalling form of cytokinin: trans-zeatin, an active form. Grafting between various cytokinin biosynthetic and transportation mutants revealed that root-to-shoot translocation of trans-zeatin, a minor component of xylem cytokinin, controls leaf size but not meristem activity-related traits, whereas that of trans-zeatin riboside is sufficient for regulating both traits. Considering the ratio of trans-zeatin to trans-zeatin-riboside in xylem and their delivery rate change in response to environmental conditions, this dual long-distance cytokinin signalling system allows plants to fine-tune the manner of shoot growth to adapt to fluctuating environments.","author":[{"dropping-particle":"","family":"Osugi","given":"Asami","non-dropping-particle":"","parse-names":false,"suffix":""},{"dropping-particle":"","family":"Kojima","given":"Mikiko","non-dropping-particle":"","parse-names":false,"suffix":""},{"dropping-particle":"","family":"Takebayashi","given":"Yumiko","non-dropping-particle":"","parse-names":false,"suffix":""},{"dropping-particle":"","family":"Ueda","given":"Nanae","non-dropping-particle":"","parse-names":false,"suffix":""},{"dropping-particle":"","family":"Kiba","given":"Takatoshi","non-dropping-particle":"","parse-names":false,"suffix":""},{"dropping-particle":"","family":"Sakakibara","given":"Hitoshi","non-dropping-particle":"","parse-names":false,"suffix":""}],"container-title":"Nature Plants","id":"ITEM-3","issue":"8","issued":{"date-parts":[["2017","7","24"]]},"publisher":"Palgrave Macmillan Ltd.","title":"Systemic transport of trans-zeatin and its precursor have differing roles in Arabidopsis shoots","type":"article-journal","volume":"3"},"uris":["http://www.mendeley.com/documents/?uuid=99173351-d188-3a9b-ad21-7ae8187a0755"]},{"id":"ITEM-4","itemData":{"DOI":"10.1016/j.pbi.2009.10.003","ISSN":"13695266","abstract":"Shoot branching is controlled by the formation and subsequent outgrowth of axillary buds in the axils of leaves. Axillary buds are indeterminate structures that can be arrested and await endogenous or environmental cues for outgrowth. A major breakthrough in this area of plant development has been the discovery that a specific group of terpenoid lactones, named strigolactones, can directly or indirectly, inhibit axillary bud outgrowth. Since that discovery, new branching mutants have been identified with reduced strigolactone levels or which are defective in strigolactone regulation or response. DWARF27 and DWARF14 probably act on strigolactone biosynthesis and strigolactone metabolism or signal transduction, respectively. Auxin signaling mutants have also been useful in demonstrating that strigolactone levels are mediated by a classical auxin signal transduction pathway. The discovery and characterization of these mutants is an important first step toward understanding the mechanisms of strigolactone biosynthesis and signaling and their importance in regulating shoot branching. Crown Copyright © 2009.","author":[{"dropping-particle":"","family":"Beveridge","given":"Christine Anne","non-dropping-particle":"","parse-names":false,"suffix":""},{"dropping-particle":"","family":"Kyozuka","given":"Junko","non-dropping-particle":"","parse-names":false,"suffix":""}],"container-title":"Current Opinion in Plant Biology","id":"ITEM-4","issue":"1","issued":{"date-parts":[["2010","2"]]},"page":"34-39","title":"New genes in the strigolactone-related shoot branching pathway","type":"article-journal","volume":"13"},"uris":["http://www.mendeley.com/documents/?uuid=8aae6aa5-1569-3775-a829-7d6b14e60a8c"]},{"id":"ITEM-5","itemData":{"DOI":"10.1104/pp.126.3.1205","ISSN":"00320889","abstract":"The fifth increased branching ramosus (rms) mutant, rms5, from pea (Pisum sativum), is described here for phenotype and grafting responses with four other rms mutants. Xylem sap zeatin riboside concentration and shoot auxin levels in rms5 plants have also been compared with rms1 and wild type (WT). Rms1 and Rms5 appear to act closely at the biochemical or cellular level to control branching, because branching was inhibited in reciprocal epicotyl grafts between rms5 or rms1 and WT plants, but not inhibited in reciprocal grafts between rms5 and rms1 seedlings. The weakly transgressive or slightly additive phenotype of the rms1 rms5 double mutant provides further evidence for this interaction. Like rms1, rms5 rootstocks have reduced xylem sap cytokinin concentrations, and rms5 shoots do not appear deficient in indole-3-acetic acid or 4-chloroindole-3-acetic acid. Rms1 and Rms5 are similar in their interaction with other Rms genes. Reciprocal grafting studies with rms1, rms2, and rms5, together with the fact that root xylem sap cytokinin concentrations are reduced in rms1 and rms5 and elevated in rms2 plants, indicates that Rms1 and Rms5 may control a different pathway than that controlled by Rms2. Our studies indicate that Rms1 and Rms5 may regulate a novel graft-transmissible signal involved in the control of branching.","author":[{"dropping-particle":"","family":"Morris","given":"S. E.","non-dropping-particle":"","parse-names":false,"suffix":""},{"dropping-particle":"","family":"Turnbull","given":"C. G.N.","non-dropping-particle":"","parse-names":false,"suffix":""},{"dropping-particle":"","family":"Murfet","given":"I. C.","non-dropping-particle":"","parse-names":false,"suffix":""},{"dropping-particle":"","family":"Beveridge","given":"C. A.","non-dropping-particle":"","parse-names":false,"suffix":""}],"container-title":"Plant Physiology","id":"ITEM-5","issue":"3","issued":{"date-parts":[["2001"]]},"page":"1205-1213","title":"Mutational analysis of branching in pea. Evidence that Rms1 and Rms5 regulate the same novel signal","type":"article-journal","volume":"126"},"uris":["http://www.mendeley.com/documents/?uuid=943af426-f3f3-333a-bdc3-e3980aca9502"]}],"mendeley":{"formattedCitation":"(Morris et al., 2001; Beveridge and Kyozuka, 2010; K. Zhang et al., 2014; Ko et al., 2014; Osugi et al., 2017)","plainTextFormattedCitation":"(Morris et al., 2001; Beveridge and Kyozuka, 2010; K. Zhang et al., 2014; Ko et al., 2014; Osugi et al., 2017)","previouslyFormattedCitation":"(Morris et al., 2001; Beveridge and Kyozuka, 2010; K. Zhang et al., 2014; Ko et al., 2014; Osugi et al., 2017)"},"properties":{"noteIndex":0},"schema":"https://github.com/citation-style-language/schema/raw/master/csl-citation.json"}</w:instrText>
      </w:r>
      <w:r w:rsidR="00FF4006">
        <w:rPr>
          <w:color w:val="000000" w:themeColor="text1"/>
        </w:rPr>
        <w:fldChar w:fldCharType="separate"/>
      </w:r>
      <w:r w:rsidR="00417142" w:rsidRPr="00417142">
        <w:rPr>
          <w:noProof/>
          <w:color w:val="000000" w:themeColor="text1"/>
        </w:rPr>
        <w:t>(Morris et al., 2001; Beveridge and Kyozuka, 2010; K. Zhang et al., 2014; Ko et al., 2014; Osugi et al., 2017)</w:t>
      </w:r>
      <w:r w:rsidR="00FF4006">
        <w:rPr>
          <w:color w:val="000000" w:themeColor="text1"/>
        </w:rPr>
        <w:fldChar w:fldCharType="end"/>
      </w:r>
      <w:r w:rsidR="00403779">
        <w:rPr>
          <w:color w:val="000000" w:themeColor="text1"/>
        </w:rPr>
        <w:t xml:space="preserve"> </w:t>
      </w:r>
      <w:r w:rsidR="00403779" w:rsidRPr="008670FC">
        <w:rPr>
          <w:color w:val="000000" w:themeColor="text1"/>
        </w:rPr>
        <w:t xml:space="preserve">therefore using grafting to explore root to shoot </w:t>
      </w:r>
      <w:r w:rsidR="00D035FA" w:rsidRPr="008670FC">
        <w:rPr>
          <w:color w:val="000000" w:themeColor="text1"/>
        </w:rPr>
        <w:t>communication of soil volume information could be valuable.</w:t>
      </w:r>
    </w:p>
    <w:p w14:paraId="17ADDE0C" w14:textId="77777777" w:rsidR="00A54E0B" w:rsidRDefault="00A54E0B" w:rsidP="000649D0">
      <w:pPr>
        <w:spacing w:line="480" w:lineRule="auto"/>
        <w:rPr>
          <w:u w:val="single"/>
        </w:rPr>
      </w:pPr>
    </w:p>
    <w:p w14:paraId="0988DB2E" w14:textId="7A07C8C3" w:rsidR="006068FB" w:rsidRPr="000649D0" w:rsidRDefault="006068FB" w:rsidP="000649D0">
      <w:pPr>
        <w:spacing w:line="480" w:lineRule="auto"/>
        <w:rPr>
          <w:b/>
          <w:u w:val="single"/>
        </w:rPr>
      </w:pPr>
      <w:r w:rsidRPr="000649D0">
        <w:rPr>
          <w:u w:val="single"/>
        </w:rPr>
        <w:t>How is SL from the environment taken up by plant roots?</w:t>
      </w:r>
    </w:p>
    <w:p w14:paraId="07C70893" w14:textId="479780F4" w:rsidR="000649D0" w:rsidRDefault="006068FB" w:rsidP="00C136FE">
      <w:pPr>
        <w:spacing w:line="480" w:lineRule="auto"/>
      </w:pPr>
      <w:r w:rsidRPr="000649D0">
        <w:t xml:space="preserve">SL is clearly taken up by plant roots (Chapter 5) </w:t>
      </w:r>
      <w:r w:rsidRPr="000649D0">
        <w:rPr>
          <w:b/>
        </w:rPr>
        <w:fldChar w:fldCharType="begin" w:fldLock="1"/>
      </w:r>
      <w:r w:rsidRPr="000649D0">
        <w:instrText>ADDIN CSL_CITATION {"citationItems":[{"id":"ITEM-1","itemData":{"DOI":"10.1016/j.cub.2022.06.063","ISSN":"18790445","PMID":"35839764","abstract":"There has been a dramatic recent increase in the understanding of the mechanisms by which plants detect their neighbors,1 including by touch,2 reflected light,3 volatile organic chemicals, and root exudates.4,5 The importance of root exudates remains ill-defined because of confounding experimental variables6,7 and difficulties disentangling neighbor detection in shoot and roots.8–10 There is evidence that root exudates allow distinction between kin and non-kin neighbors,11–13 but identification of specific exudates that function in neighbor detection and/or kin recognition remain elusive.1 Strigolactones (SLs), which are exuded into the soil in significant quantities in flowering plants to promote recruitment of arbuscular mycorrhizal fungi (AMF),14 seem intuitive candidates to act as plant-plant signals, since they also act as hormones in plants,15–17 with dramatic effects on shoot growth18,19 and milder effects on root development.20 Here, using pea, we test whether SLs act as either cues or signals for neighbor detection. We show that peas detect neighbors early in the life cycle through their root systems, resulting in strong changes in shoot biomass and branching, and that this requires SL biosynthesis. We demonstrate that uptake and detection of SLs exuded by neighboring plants are needed for this early neighbor detection, and that plants that cannot exude SLs are outcompeted by neighboring plants and fail to adjust growth to their soil volume. We conclude that plants both exude SLs as signals to modulate neighbor growth and detect environmental SLs as a cue for neighbor presence; collectively, this allows plants to proactively adjust their shoot growth according to neighbor density.","author":[{"dropping-particle":"","family":"Wheeldon","given":"Cara D.","non-dropping-particle":"","parse-names":false,"suffix":""},{"dropping-particle":"","family":"Hamon-Josse","given":"Maxime","non-dropping-particle":"","parse-names":false,"suffix":""},{"dropping-particle":"","family":"Lund","given":"Hannah","non-dropping-particle":"","parse-names":false,"suffix":""},{"dropping-particle":"","family":"Yoneyama","given":"Kaori","non-dropping-particle":"","parse-names":false,"suffix":""},{"dropping-particle":"","family":"Bennett","given":"Tom","non-dropping-particle":"","parse-names":false,"suffix":""}],"container-title":"Current Biology","id":"ITEM-1","issue":"16","issued":{"date-parts":[["2022"]]},"page":"3593-3600.e3","publisher":"The Author(s)","title":"Environmental strigolactone drives early growth responses to neighboring plants and soil volume in pea","type":"article-journal","volume":"32"},"uris":["http://www.mendeley.com/documents/?uuid=7883806e-2a76-4f53-bb1a-22950167e6e2"]},{"id":"ITEM-2","itemData":{"DOI":"10.1016/j.cub.2022.06.047","ISSN":"18790445","PMID":"35839765","abstract":"Plants have evolved elaborate mechanisms to detect neighboring plants, which typically involve the perception of “cues” inadvertently produced by the neighbor.1 Strigolactones are hormonal signaling molecules2,3 that are also exuded into the rhizosphere by most flowering plant species to promote arbuscular mycorrhizal symbioses.4 Since flowering plants have an endogenous perception system for strigolactones,5 strigolactones are obvious candidates to act as a cue for neighbor presence, but have not been shown to act as such. To test this hypothesis in rice plants, we quantified two major strigolactones of rice plants, orobanchol and 4-deoxyorobanchol, in root exudates by using LC-MS/MS (MRM) and examined feedback regulation of strigolactone biosynthesis and changes in shoot branching phenotypes in rice plants grown at different densities in hydroponics and soil culture. We show that the presence of neighboring plants, or greater root volume, results in rapidly induced changes in strigolactone biosynthesis, sensitivity, and exudation and the subsequent longer-term changes in shoot architecture. These changes require intact strigolactone biosynthesis in neighboring plants and intact strigolactone signaling in focal plants. These results suggest that strigolactone biosynthesis and exudation in rice plants are driven by supra-organismal environmental strigolactone levels. Strigolactones thus act as a cue for neighbor presence in rice plants, but also seem to act as a more general root density-sensing mechanism in flowering plants that integrates soil volume and neighbor density and allows plants to adapt to the limitations of the rhizosphere.","author":[{"dropping-particle":"","family":"Yoneyama","given":"Kaori","non-dropping-particle":"","parse-names":false,"suffix":""},{"dropping-particle":"","family":"Xie","given":"Xiaonan","non-dropping-particle":"","parse-names":false,"suffix":""},{"dropping-particle":"","family":"Nomura","given":"Takahito","non-dropping-particle":"","parse-names":false,"suffix":""},{"dropping-particle":"","family":"Yoneyama","given":"Koichi","non-dropping-particle":"","parse-names":false,"suffix":""},{"dropping-particle":"","family":"Bennett","given":"Tom","non-dropping-particle":"","parse-names":false,"suffix":""}],"container-title":"Current Biology","id":"ITEM-2","issue":"16","issued":{"date-parts":[["2022"]]},"page":"3601-3608.e3","publisher":"Elsevier Inc.","title":"Supra-organismal regulation of strigolactone exudation and plant development in response to rhizospheric cues in rice","type":"article-journal","volume":"32"},"uris":["http://www.mendeley.com/documents/?uuid=4c628643-9300-4288-a8ad-ed115777b710"]}],"mendeley":{"formattedCitation":"(Wheeldon et al., 2022; Yoneyama et al., 2022)","plainTextFormattedCitation":"(Wheeldon et al., 2022; Yoneyama et al., 2022)","previouslyFormattedCitation":"(Wheeldon et al., 2022; Yoneyama et al., 2022)"},"properties":{"noteIndex":0},"schema":"https://github.com/citation-style-language/schema/raw/master/csl-citation.json"}</w:instrText>
      </w:r>
      <w:r w:rsidRPr="000649D0">
        <w:rPr>
          <w:b/>
        </w:rPr>
        <w:fldChar w:fldCharType="separate"/>
      </w:r>
      <w:r w:rsidRPr="000649D0">
        <w:rPr>
          <w:noProof/>
        </w:rPr>
        <w:t>(Wheeldon et al., 2022; Yoneyama et al., 2022)</w:t>
      </w:r>
      <w:r w:rsidRPr="000649D0">
        <w:rPr>
          <w:b/>
        </w:rPr>
        <w:fldChar w:fldCharType="end"/>
      </w:r>
      <w:r w:rsidRPr="000649D0">
        <w:t xml:space="preserve"> however the means by which this occurs remains unknown. A member of the PDR family of transporters (ATP-binding cassette type G: ABCG transporter) </w:t>
      </w:r>
      <w:r w:rsidRPr="000649D0">
        <w:rPr>
          <w:bCs/>
        </w:rPr>
        <w:t>are</w:t>
      </w:r>
      <w:r w:rsidRPr="000649D0">
        <w:t xml:space="preserve"> a likely candidate</w:t>
      </w:r>
      <w:r w:rsidRPr="00056500">
        <w:rPr>
          <w:bCs/>
        </w:rPr>
        <w:t>s</w:t>
      </w:r>
      <w:r w:rsidRPr="000649D0">
        <w:t xml:space="preserve"> given </w:t>
      </w:r>
      <w:r w:rsidRPr="000649D0">
        <w:rPr>
          <w:bCs/>
        </w:rPr>
        <w:t>one of which; PDR1</w:t>
      </w:r>
      <w:r w:rsidRPr="000649D0">
        <w:rPr>
          <w:b/>
        </w:rPr>
        <w:t xml:space="preserve"> </w:t>
      </w:r>
      <w:r w:rsidRPr="000649D0">
        <w:rPr>
          <w:bCs/>
        </w:rPr>
        <w:t>has been</w:t>
      </w:r>
      <w:r w:rsidRPr="000649D0">
        <w:rPr>
          <w:b/>
        </w:rPr>
        <w:t xml:space="preserve"> </w:t>
      </w:r>
      <w:r w:rsidRPr="000649D0">
        <w:t xml:space="preserve">identified as </w:t>
      </w:r>
      <w:r w:rsidR="001C0B50">
        <w:t xml:space="preserve">an </w:t>
      </w:r>
      <w:r w:rsidRPr="000649D0">
        <w:t xml:space="preserve">SL exporter in the root </w:t>
      </w:r>
      <w:r w:rsidRPr="000649D0">
        <w:rPr>
          <w:b/>
        </w:rPr>
        <w:fldChar w:fldCharType="begin" w:fldLock="1"/>
      </w:r>
      <w:r w:rsidR="00C85115">
        <w:instrText>ADDIN CSL_CITATION {"citationItems":[{"id":"ITEM-1","itemData":{"DOI":"10.1038/nature10873","ISSN":"00280836","abstract":"Strigolactones were originally identified as stimulators of the germination of root-parasitic weeds that pose a serious threat to resource-limited agriculture. They are mostly exuded from roots and function as signalling compounds in the initiation of arbuscular mycorrhizae, which are plant-fungus symbionts with a global effect on carbon and phosphate cycling. Recently, strigolactones were established to be phytohormones that regulate plant shoot architecture by inhibiting the outgrowth of axillary buds. Despite their importance, it is not known how strigolactones are transported. ATP-binding cassette (ABC) transporters, however, are known to have functions in phytohormone translocation. Here we show that the Petunia hybrida ABC transporter PDR1 has a key role in regulating the development of arbuscular mycorrhizae and axillary branches, by functioning as a cellular strigolactone exporter. P. hybrida pdr1 mutants are defective in strigolactone exudation from their roots, resulting in reduced symbiotic interactions. Above ground, pdr1 mutants have an enhanced branching phenotype, which is indicative of impaired strigolactone allocation. Overexpression of Petunia axillaris PDR1 in Arabidopsis thaliana results in increased tolerance to high concentrations of a synthetic strigolactone, consistent with increased export of strigolactones from the roots. PDR1 is the first known component in strigolactone transport, providing new opportunities for investigating and manipulating strigolactone-dependent processes. ©2012 Macmillan Publishers Limited. All rights reserved.","author":[{"dropping-particle":"","family":"Kretzschmar","given":"Tobias","non-dropping-particle":"","parse-names":false,"suffix":""},{"dropping-particle":"","family":"Kohlen","given":"Wouter","non-dropping-particle":"","parse-names":false,"suffix":""},{"dropping-particle":"","family":"Sasse","given":"Joelle","non-dropping-particle":"","parse-names":false,"suffix":""},{"dropping-particle":"","family":"Borghi","given":"Lorenzo","non-dropping-particle":"","parse-names":false,"suffix":""},{"dropping-particle":"","family":"Schlegel","given":"Markus","non-dropping-particle":"","parse-names":false,"suffix":""},{"dropping-particle":"","family":"Bachelier","given":"Julien B.","non-dropping-particle":"","parse-names":false,"suffix":""},{"dropping-particle":"","family":"Reinhardt","given":"Didier","non-dropping-particle":"","parse-names":false,"suffix":""},{"dropping-particle":"","family":"Bours","given":"Ralph","non-dropping-particle":"","parse-names":false,"suffix":""},{"dropping-particle":"","family":"Bouwmeester","given":"Harro J.","non-dropping-particle":"","parse-names":false,"suffix":""},{"dropping-particle":"","family":"Martinoia","given":"Enrico","non-dropping-particle":"","parse-names":false,"suffix":""}],"container-title":"Nature","id":"ITEM-1","issue":"7389","issued":{"date-parts":[["2012","3","15"]]},"page":"341-344","title":"A petunia ABC protein controls strigolactone-dependent symbiotic signalling and branching","type":"article-journal","volume":"483"},"uris":["http://www.mendeley.com/documents/?uuid=ca351854-37ab-3655-b35d-ba24d25a9e8b"]},{"id":"ITEM-2","itemData":{"DOI":"10.1016/J.CUB.2015.01.015","ISSN":"0960-9822","PMID":"25683808","abstract":"Strigolactones, first discovered as germination stimulants for parasitic weeds [1], are carotenoid-derived phytohormones that play major roles in inhibiting lateral bud outgrowth and promoting plant-mycorrhizal symbiosis [2-4]. Furthermore, strigolactones are involved in the regulation of lateral and adventitious root development, root cell division [5, 6], secondary growth [7], and leaf senescence [8]. Recently, we discovered the strigolactone transporter Petunia axillaris PLEIOTROPIC DRUG RESISTANCE 1 (PaPDR1), which is required for efficient mycorrhizal colonization and inhibition of lateral bud outgrowth [9]. However, how strigolactones are transported through the plant remained unknown. Here we show that PaPDR1 exhibits a cell-type-specific asymmetric localization in different root tissues. In root tips, PaPDR1 is co-expressed with the strigolactone biosynthetic gene DAD1 (CCD8), and it is localized at the apical membrane of root hypodermal cells, presumably mediating the shootward transport of strigolactone. Above the root tip, in the hypodermal passage cells that form gates for the entry of mycorrhizal fungi, PaPDR1 is present in the outer-lateral membrane, compatible with its postulated function as strigolactone exporter from root to soil. Transport studies are in line with our localization studies since (1) a papdr1 mutant displays impaired transport of strigolactones out of the root tip to the shoot as well as into the rhizosphere and (2) DAD1 expression and PIN1/PIN2 levels change in plants deregulated for PDR1 expression, suggestive of variations in endogenous strigolactone contents. In conclusion, our results indicate that the polar localizations of PaPDR1 mediate directional shootward strigolactone transport as well as localized exudation into the soil.","author":[{"dropping-particle":"","family":"Sasse","given":"Joëlle","non-dropping-particle":"","parse-names":false,"suffix":""},{"dropping-particle":"","family":"Simon","given":"Sibu","non-dropping-particle":"","parse-names":false,"suffix":""},{"dropping-particle":"","family":"Gübeli","given":"Christian","non-dropping-particle":"","parse-names":false,"suffix":""},{"dropping-particle":"","family":"Liu","given":"Guo Wei","non-dropping-particle":"","parse-names":false,"suffix":""},{"dropping-particle":"","family":"Cheng","given":"Xi","non-dropping-particle":"","parse-names":false,"suffix":""},{"dropping-particle":"","family":"Friml","given":"Jiří","non-dropping-particle":"","parse-names":false,"suffix":""},{"dropping-particle":"","family":"Bouwmeester","given":"Harro","non-dropping-particle":"","parse-names":false,"suffix":""},{"dropping-particle":"","family":"Martinoia","given":"Enrico","non-dropping-particle":"","parse-names":false,"suffix":""},{"dropping-particle":"","family":"Borghi","given":"Lorenzo","non-dropping-particle":"","parse-names":false,"suffix":""}],"container-title":"Current Biology","id":"ITEM-2","issue":"5","issued":{"date-parts":[["2015","3","2"]]},"page":"647-655","publisher":"Cell Press","title":"Asymmetric localizations of the ABC transporter PaPDR1 trace paths of directional strigolactone transport","type":"article-journal","volume":"25"},"uris":["http://www.mendeley.com/documents/?uuid=bab00c25-d0e3-35f3-b328-5a80da7ac3d8"]}],"mendeley":{"formattedCitation":"(Kretzschmar et al., 2012; Sasse et al., 2015)","plainTextFormattedCitation":"(Kretzschmar et al., 2012; Sasse et al., 2015)","previouslyFormattedCitation":"(Kretzschmar et al., 2012; Sasse et al., 2015)"},"properties":{"noteIndex":0},"schema":"https://github.com/citation-style-language/schema/raw/master/csl-citation.json"}</w:instrText>
      </w:r>
      <w:r w:rsidRPr="000649D0">
        <w:rPr>
          <w:b/>
        </w:rPr>
        <w:fldChar w:fldCharType="separate"/>
      </w:r>
      <w:r w:rsidRPr="000649D0">
        <w:rPr>
          <w:noProof/>
        </w:rPr>
        <w:t>(Kretzschmar et al., 2012; Sasse et al., 2015)</w:t>
      </w:r>
      <w:r w:rsidRPr="000649D0">
        <w:rPr>
          <w:b/>
        </w:rPr>
        <w:fldChar w:fldCharType="end"/>
      </w:r>
      <w:r w:rsidRPr="000649D0">
        <w:rPr>
          <w:b/>
        </w:rPr>
        <w:t xml:space="preserve">. </w:t>
      </w:r>
      <w:r w:rsidRPr="000649D0">
        <w:t xml:space="preserve">In order to identify the SL importer a key first step would be the generation of a more detailed phylogeny of PDR/ABCG genes across multiple species, to supersede the simple phylogeny presented in </w:t>
      </w:r>
      <w:r w:rsidRPr="000649D0">
        <w:rPr>
          <w:b/>
        </w:rPr>
        <w:fldChar w:fldCharType="begin" w:fldLock="1"/>
      </w:r>
      <w:r w:rsidRPr="000649D0">
        <w:rPr>
          <w:b/>
        </w:rPr>
        <w:instrText>ADDIN CSL_CITATION {"citationItems":[{"id":"ITEM-1","itemData":{"DOI":"10.1038/nature10873","ISSN":"00280836","abstract":"Strigolactones were originally identified as stimulators of the germination of root-parasitic weeds that pose a serious threat to resource-limited agriculture. They are mostly exuded from roots and function as signalling compounds in the initiation of arbuscular mycorrhizae, which are plant-fungus symbionts with a global effect on carbon and phosphate cycling. Recently, strigolactones were established to be phytohormones that regulate plant shoot architecture by inhibiting the outgrowth of axillary buds. Despite their importance, it is not known how strigolactones are transported. ATP-binding cassette (ABC) transporters, however, are known to have functions in phytohormone translocation. Here we show that the Petunia hybrida ABC transporter PDR1 has a key role in regulating the development of arbuscular mycorrhizae and axillary branches, by functioning as a cellular strigolactone exporter. P. hybrida pdr1 mutants are defective in strigolactone exudation from their roots, resulting in reduced symbiotic interactions. Above ground, pdr1 mutants have an enhanced branching phenotype, which is indicative of impaired strigolactone allocation. Overexpression of Petunia axillaris PDR1 in Arabidopsis thaliana results in increased tolerance to high concentrations of a synthetic strigolactone, consistent with increased export of strigolactones from the roots. PDR1 is the first known component in strigolactone transport, providing new opportunities for investigating and manipulating strigolactone-dependent processes. ©2012 Macmillan Publishers Limited. All rights reserved.","author":[{"dropping-particle":"","family":"Kretzschmar","given":"Tobias","non-dropping-particle":"","parse-names":false,"suffix":""},{"dropping-particle":"","family":"Kohlen","given":"Wouter","non-dropping-particle":"","parse-names":false,"suffix":""},{"dropping-particle":"","family":"Sasse","given":"Joelle","non-dropping-particle":"","parse-names":false,"suffix":""},{"dropping-particle":"","family":"Borghi","given":"Lorenzo","non-dropping-particle":"","parse-names":false,"suffix":""},{"dropping-particle":"","family":"Schlegel","given":"Markus","non-dropping-particle":"","parse-names":false,"suffix":""},{"dropping-particle":"","family":"Bachelier","given":"Julien B.","non-dropping-particle":"","parse-names":false,"suffix":""},{"dropping-particle":"","family":"Reinhardt","given":"Didier","non-dropping-particle":"","parse-names":false,"suffix":""},{"dropping-particle":"","family":"Bours","given":"Ralph","non-dropping-particle":"","parse-names":false,"suffix":""},{"dropping-particle":"","family":"Bouwmeester","given":"Harro J.","non-dropping-particle":"","parse-names":false,"suffix":""},{"dropping-particle":"","family":"Martinoia","given":"Enrico","non-dropping-particle":"","parse-names":false,"suffix":""}],"container-title":"Nature","id":"ITEM-1","issue":"7389","issued":{"date-parts":[["2012","3","15"]]},"page":"341-344","title":"A petunia ABC protein controls strigolactone-dependent symbiotic signalling and branching","type":"article-journal","volume":"483"},"uris":["http://www.mendeley.com/documents/?uuid=ca351854-37ab-3655-b35d-ba24d25a9e8b"]}],"mendeley":{"formattedCitation":"(Kretzschmar et al., 2012)","manualFormatting":"Kretzschmar et al., (2012)","plainTextFormattedCitation":"(Kretzschmar et al., 2012)","previouslyFormattedCitation":"(Kretzschmar et al., 2012)"},"properties":{"noteIndex":0},"schema":"https://github.com/citation-style-language/schema/raw/master/csl-citation.json"}</w:instrText>
      </w:r>
      <w:r w:rsidRPr="000649D0">
        <w:rPr>
          <w:b/>
        </w:rPr>
        <w:fldChar w:fldCharType="separate"/>
      </w:r>
      <w:r w:rsidRPr="000649D0">
        <w:rPr>
          <w:noProof/>
        </w:rPr>
        <w:t xml:space="preserve">Kretzschmar et al., </w:t>
      </w:r>
      <w:r w:rsidRPr="00B354E4">
        <w:rPr>
          <w:bCs/>
          <w:noProof/>
        </w:rPr>
        <w:t>(</w:t>
      </w:r>
      <w:r w:rsidRPr="000649D0">
        <w:rPr>
          <w:noProof/>
        </w:rPr>
        <w:t>2012)</w:t>
      </w:r>
      <w:r w:rsidRPr="000649D0">
        <w:rPr>
          <w:b/>
        </w:rPr>
        <w:fldChar w:fldCharType="end"/>
      </w:r>
      <w:r w:rsidRPr="000649D0">
        <w:t xml:space="preserve">. Many ABCG type genes have been identified in Arabidopsis, barley and rice (43, 49 and 56-63 respectively) </w:t>
      </w:r>
      <w:r w:rsidRPr="000649D0">
        <w:rPr>
          <w:bCs/>
        </w:rPr>
        <w:fldChar w:fldCharType="begin" w:fldLock="1"/>
      </w:r>
      <w:r w:rsidR="00B845AE">
        <w:rPr>
          <w:bCs/>
        </w:rPr>
        <w:instrText>ADDIN CSL_CITATION {"citationItems":[{"id":"ITEM-1","itemData":{"DOI":"10.3389/fpls.2017.00349","ISSN":"1664-462X","author":[{"dropping-particle":"","family":"Yan","given":"Chao","non-dropping-particle":"","parse-names":false,"suffix":""},{"dropping-particle":"","family":"Duan","given":"Weike","non-dropping-particle":"","parse-names":false,"suffix":""},{"dropping-particle":"","family":"Lyu","given":"Shanwu","non-dropping-particle":"","parse-names":false,"suffix":""},{"dropping-particle":"","family":"Li","given":"Ying","non-dropping-particle":"","parse-names":false,"suffix":""},{"dropping-particle":"","family":"Hou","given":"Xilin","non-dropping-particle":"","parse-names":false,"suffix":""}],"container-title":"Frontiers in Plant Science","id":"ITEM-1","issued":{"date-parts":[["2017","3","17"]]},"title":"Genome-wide identification, evolution, and expression analysis of the ATP-binding cassette transporter gene family in Brassica rapa","type":"article-journal","volume":"8"},"uris":["http://www.mendeley.com/documents/?uuid=5ffe4aa5-de8e-4886-a2bb-61688c410abe"]},{"id":"ITEM-2","itemData":{"DOI":"10.1186/s12870-014-0323-2","ISSN":"1471-2229","author":[{"dropping-particle":"","family":"Andolfo","given":"Giuseppe","non-dropping-particle":"","parse-names":false,"suffix":""},{"dropping-particle":"","family":"Ruocco","given":"Michelina","non-dropping-particle":"","parse-names":false,"suffix":""},{"dropping-particle":"","family":"Donato","given":"Antimo","non-dropping-particle":"Di","parse-names":false,"suffix":""},{"dropping-particle":"","family":"Frusciante","given":"Luigi","non-dropping-particle":"","parse-names":false,"suffix":""},{"dropping-particle":"","family":"Lorito","given":"Matteo","non-dropping-particle":"","parse-names":false,"suffix":""},{"dropping-particle":"","family":"Scala","given":"Felice","non-dropping-particle":"","parse-names":false,"suffix":""},{"dropping-particle":"","family":"Ercolano","given":"Maria Raffaella","non-dropping-particle":"","parse-names":false,"suffix":""}],"container-title":"BMC Plant Biology","id":"ITEM-2","issue":"1","issued":{"date-parts":[["2015","12","13"]]},"page":"51","title":"Genetic variability and evolutionary diversification of membrane ABC transporters in plants","type":"article-journal","volume":"15"},"uris":["http://www.mendeley.com/documents/?uuid=9fbb9cfe-8619-483b-8313-f3c7f9f23ecf"]},{"id":"ITEM-3","itemData":{"DOI":"10.1038/ncomms4274","ISSN":"2041-1723","abstract":"Cytokinins are a major group of phytohormones regulating plant growth, development and stress responses. However, in contrast to the well-defined polar transport of auxins, the molecular basis of cytokinin transport is poorly understood. Here we show that an ATP-binding cassette transporter in Arabidopsis, AtABCG14, is essential for the acropetal (root to shoot) translocation of the root-synthesized cytokinins. AtABCG14 is expressed primarily in the pericycle and stelar cells of roots. Knocking out AtABCG14 strongly impairs the translocation of trans-zeatin (tZ)-type cytokinins from roots to shoots, thereby affecting the plant's growth and development. AtABCG14 localizes to the plasma membrane of transformed cells. In planta feeding of C(14) or C(13)-labelled tZ suggests that it acts as an efflux pump and its presence in the cells directly correlates with the transport of the fed cytokinin. Therefore, AtABCG14 is a transporter likely involved in the long-distance translocation of cytokinins in planta.","author":[{"dropping-particle":"","family":"Zhang","given":"Kewei","non-dropping-particle":"","parse-names":false,"suffix":""},{"dropping-particle":"","family":"Novak","given":"Ondrej","non-dropping-particle":"","parse-names":false,"suffix":""},{"dropping-particle":"","family":"Wei","given":"Zhaoyang","non-dropping-particle":"","parse-names":false,"suffix":""},{"dropping-particle":"","family":"Gou","given":"Mingyue","non-dropping-particle":"","parse-names":false,"suffix":""},{"dropping-particle":"","family":"Zhang","given":"Xuebin","non-dropping-particle":"","parse-names":false,"suffix":""},{"dropping-particle":"","family":"Yu","given":"Yong","non-dropping-particle":"","parse-names":false,"suffix":""},{"dropping-particle":"","family":"Yang","given":"Huijun","non-dropping-particle":"","parse-names":false,"suffix":""},{"dropping-particle":"","family":"Cai","given":"Yuanheng","non-dropping-particle":"","parse-names":false,"suffix":""},{"dropping-particle":"","family":"Strnad","given":"Miroslav","non-dropping-particle":"","parse-names":false,"suffix":""},{"dropping-particle":"","family":"Liu","given":"Chang-Jun","non-dropping-particle":"","parse-names":false,"suffix":""}],"container-title":"Nature Communications","id":"ITEM-3","issue":"1","issued":{"date-parts":[["2014","2","11"]]},"page":"3274","title":"Arabidopsis ABCG14 protein controls the acropetal translocation of root-synthesized cytokinins","type":"article-journal","volume":"5"},"uris":["http://www.mendeley.com/documents/?uuid=eaa8b473-22f7-3aad-b5b9-82b25eb946e8"]}],"mendeley":{"formattedCitation":"(K. Zhang et al., 2014; Andolfo et al., 2015; C. Yan et al., 2017)","plainTextFormattedCitation":"(K. Zhang et al., 2014; Andolfo et al., 2015; C. Yan et al., 2017)","previouslyFormattedCitation":"(K. Zhang et al., 2014; Andolfo et al., 2015; C. Yan et al., 2017)"},"properties":{"noteIndex":0},"schema":"https://github.com/citation-style-language/schema/raw/master/csl-citation.json"}</w:instrText>
      </w:r>
      <w:r w:rsidRPr="000649D0">
        <w:rPr>
          <w:bCs/>
        </w:rPr>
        <w:fldChar w:fldCharType="separate"/>
      </w:r>
      <w:r w:rsidRPr="000649D0">
        <w:rPr>
          <w:bCs/>
          <w:noProof/>
        </w:rPr>
        <w:t>(K. Zhang et al., 2014; Andolfo et al., 2015; C. Yan et al., 2017)</w:t>
      </w:r>
      <w:r w:rsidRPr="000649D0">
        <w:rPr>
          <w:bCs/>
        </w:rPr>
        <w:fldChar w:fldCharType="end"/>
      </w:r>
      <w:r w:rsidRPr="000649D0">
        <w:t xml:space="preserve"> and incorporating this into the </w:t>
      </w:r>
      <w:r w:rsidRPr="000649D0">
        <w:lastRenderedPageBreak/>
        <w:t xml:space="preserve">phylogeny would allow the for a more focussed approach for testing of the possibility of the SL importer being a PDR type transporter. </w:t>
      </w:r>
    </w:p>
    <w:p w14:paraId="6EBB222E" w14:textId="77777777" w:rsidR="00C136FE" w:rsidRPr="00C136FE" w:rsidRDefault="00C136FE" w:rsidP="00C136FE">
      <w:pPr>
        <w:spacing w:line="480" w:lineRule="auto"/>
        <w:rPr>
          <w:b/>
        </w:rPr>
      </w:pPr>
    </w:p>
    <w:p w14:paraId="15B7CF86" w14:textId="0E59B9EB" w:rsidR="000649D0" w:rsidRDefault="006068FB" w:rsidP="000649D0">
      <w:pPr>
        <w:rPr>
          <w:u w:val="single"/>
        </w:rPr>
      </w:pPr>
      <w:r w:rsidRPr="000649D0">
        <w:rPr>
          <w:u w:val="single"/>
        </w:rPr>
        <w:t>Potential applications</w:t>
      </w:r>
    </w:p>
    <w:p w14:paraId="1CD523EA" w14:textId="77777777" w:rsidR="00C136FE" w:rsidRPr="00C136FE" w:rsidRDefault="00C136FE" w:rsidP="000649D0">
      <w:pPr>
        <w:rPr>
          <w:u w:val="single"/>
        </w:rPr>
      </w:pPr>
    </w:p>
    <w:p w14:paraId="5A0F4881" w14:textId="5075987C" w:rsidR="006068FB" w:rsidRPr="00A2083C" w:rsidRDefault="006068FB" w:rsidP="000649D0">
      <w:pPr>
        <w:spacing w:line="480" w:lineRule="auto"/>
        <w:rPr>
          <w:b/>
          <w:color w:val="000000" w:themeColor="text1"/>
        </w:rPr>
      </w:pPr>
      <w:r>
        <w:t>Data presented in this thesis highlight the negative effects on shoot system growth when plants are subjected to small soil volumes and neighbour density.</w:t>
      </w:r>
      <w:r>
        <w:rPr>
          <w:color w:val="00B050"/>
        </w:rPr>
        <w:t xml:space="preserve"> </w:t>
      </w:r>
      <w:r w:rsidRPr="00A2083C">
        <w:rPr>
          <w:color w:val="000000" w:themeColor="text1"/>
        </w:rPr>
        <w:t xml:space="preserve">By the year 2000, over half of the land on earth has been influenced by humans and as such is used for arable land, pasture land or human habitation </w:t>
      </w:r>
      <w:r w:rsidRPr="00A2083C">
        <w:rPr>
          <w:b/>
          <w:color w:val="000000" w:themeColor="text1"/>
        </w:rPr>
        <w:fldChar w:fldCharType="begin" w:fldLock="1"/>
      </w:r>
      <w:r w:rsidR="004A5BD3">
        <w:rPr>
          <w:color w:val="000000" w:themeColor="text1"/>
        </w:rPr>
        <w:instrText>ADDIN CSL_CITATION {"citationItems":[{"id":"ITEM-1","itemData":{"DOI":"10.1111/j.1466-8238.2010.00540.x","ISSN":"1466-822X","abstract":"Aim To map and characterize anthropogenic transformation of the terrestrial biosphere before and during the Industrial Revolution, from 1700 to 2000.","author":[{"dropping-particle":"","family":"Ellis","given":"Erle C.","non-dropping-particle":"","parse-names":false,"suffix":""},{"dropping-particle":"","family":"Klein Goldewijk","given":"Kees","non-dropping-particle":"","parse-names":false,"suffix":""},{"dropping-particle":"","family":"Siebert","given":"Stefan","non-dropping-particle":"","parse-names":false,"suffix":""},{"dropping-particle":"","family":"Lightman","given":"Deborah","non-dropping-particle":"","parse-names":false,"suffix":""},{"dropping-particle":"","family":"Ramankutty","given":"Navin","non-dropping-particle":"","parse-names":false,"suffix":""}],"container-title":"Global Ecology and Biogeography","id":"ITEM-1","issue":"5","issued":{"date-parts":[["2010","9","4"]]},"page":"589-606","title":"Anthropogenic transformation of the biomes, 1700 to 2000","type":"article-journal","volume":"19"},"uris":["http://www.mendeley.com/documents/?uuid=1140012d-668f-480d-be55-ca7fe3214b79"]}],"mendeley":{"formattedCitation":"(Ellis et al., 2010)","plainTextFormattedCitation":"(Ellis et al., 2010)","previouslyFormattedCitation":"(Ellis et al., 2010)"},"properties":{"noteIndex":0},"schema":"https://github.com/citation-style-language/schema/raw/master/csl-citation.json"}</w:instrText>
      </w:r>
      <w:r w:rsidRPr="00A2083C">
        <w:rPr>
          <w:b/>
          <w:color w:val="000000" w:themeColor="text1"/>
        </w:rPr>
        <w:fldChar w:fldCharType="separate"/>
      </w:r>
      <w:r w:rsidRPr="00A2083C">
        <w:rPr>
          <w:noProof/>
          <w:color w:val="000000" w:themeColor="text1"/>
        </w:rPr>
        <w:t>(Ellis et al., 2010)</w:t>
      </w:r>
      <w:r w:rsidRPr="00A2083C">
        <w:rPr>
          <w:b/>
          <w:color w:val="000000" w:themeColor="text1"/>
        </w:rPr>
        <w:fldChar w:fldCharType="end"/>
      </w:r>
      <w:r w:rsidRPr="00A2083C">
        <w:rPr>
          <w:color w:val="000000" w:themeColor="text1"/>
        </w:rPr>
        <w:t xml:space="preserve">. Vertical farming poses an alternative to further land use and </w:t>
      </w:r>
      <w:r w:rsidR="00132788">
        <w:rPr>
          <w:color w:val="000000" w:themeColor="text1"/>
        </w:rPr>
        <w:t>multiple projects have been</w:t>
      </w:r>
      <w:r w:rsidRPr="00A2083C">
        <w:rPr>
          <w:color w:val="000000" w:themeColor="text1"/>
        </w:rPr>
        <w:t xml:space="preserve"> implemented in urban areas</w:t>
      </w:r>
      <w:r w:rsidR="00C9153A">
        <w:rPr>
          <w:color w:val="000000" w:themeColor="text1"/>
        </w:rPr>
        <w:t>, in several countries</w:t>
      </w:r>
      <w:r w:rsidRPr="00A2083C">
        <w:rPr>
          <w:color w:val="000000" w:themeColor="text1"/>
        </w:rPr>
        <w:t xml:space="preserve"> </w:t>
      </w:r>
      <w:r w:rsidRPr="00A2083C">
        <w:rPr>
          <w:b/>
          <w:color w:val="000000" w:themeColor="text1"/>
        </w:rPr>
        <w:fldChar w:fldCharType="begin" w:fldLock="1"/>
      </w:r>
      <w:r w:rsidRPr="00A2083C">
        <w:rPr>
          <w:color w:val="000000" w:themeColor="text1"/>
        </w:rPr>
        <w:instrText>ADDIN CSL_CITATION {"citationItems":[{"id":"ITEM-1","itemData":{"DOI":"10.1016/j.scs.2015.06.003","ISSN":"22106707","author":[{"dropping-particle":"","family":"Al-Chalabi","given":"Malek","non-dropping-particle":"","parse-names":false,"suffix":""}],"container-title":"Sustainable Cities and Society","id":"ITEM-1","issued":{"date-parts":[["2015","11"]]},"page":"74-77","title":"Vertical farming: Skyscraper sustainability?","type":"article-journal","volume":"18"},"uris":["http://www.mendeley.com/documents/?uuid=b4b7abc3-7fc9-4660-af42-dbbd575697f6"]},{"id":"ITEM-2","itemData":{"DOI":"10.3390/buildings8020024","ISSN":"2075-5309","author":[{"dropping-particle":"","family":"Al-Kodmany","given":"Kheir","non-dropping-particle":"","parse-names":false,"suffix":""}],"container-title":"Buildings","id":"ITEM-2","issue":"2","issued":{"date-parts":[["2018","2","5"]]},"page":"24","title":"The Vertical Farm: A Review of Developments and Implications for the Vertical City","type":"article-journal","volume":"8"},"uris":["http://www.mendeley.com/documents/?uuid=7d656163-e03a-4dd2-ba2b-e7d747b09acf"]}],"mendeley":{"formattedCitation":"(Al-Chalabi, 2015; Al-Kodmany, 2018)","plainTextFormattedCitation":"(Al-Chalabi, 2015; Al-Kodmany, 2018)","previouslyFormattedCitation":"(Al-Chalabi, 2015; Al-Kodmany, 2018)"},"properties":{"noteIndex":0},"schema":"https://github.com/citation-style-language/schema/raw/master/csl-citation.json"}</w:instrText>
      </w:r>
      <w:r w:rsidRPr="00A2083C">
        <w:rPr>
          <w:b/>
          <w:color w:val="000000" w:themeColor="text1"/>
        </w:rPr>
        <w:fldChar w:fldCharType="separate"/>
      </w:r>
      <w:r w:rsidRPr="00A2083C">
        <w:rPr>
          <w:noProof/>
          <w:color w:val="000000" w:themeColor="text1"/>
        </w:rPr>
        <w:t>(Al-Chalabi, 2015; Al-Kodmany, 2018)</w:t>
      </w:r>
      <w:r w:rsidRPr="00A2083C">
        <w:rPr>
          <w:b/>
          <w:color w:val="000000" w:themeColor="text1"/>
        </w:rPr>
        <w:fldChar w:fldCharType="end"/>
      </w:r>
      <w:r w:rsidRPr="00A2083C">
        <w:rPr>
          <w:color w:val="000000" w:themeColor="text1"/>
        </w:rPr>
        <w:t xml:space="preserve">. Vertical farming often uses hydroponic systems and has been utilised for the production of many food crops with a particular focus on leafy greens </w:t>
      </w:r>
      <w:r w:rsidRPr="00A2083C">
        <w:rPr>
          <w:b/>
          <w:color w:val="000000" w:themeColor="text1"/>
        </w:rPr>
        <w:fldChar w:fldCharType="begin" w:fldLock="1"/>
      </w:r>
      <w:r w:rsidRPr="00A2083C">
        <w:rPr>
          <w:color w:val="000000" w:themeColor="text1"/>
        </w:rPr>
        <w:instrText>ADDIN CSL_CITATION {"citationItems":[{"id":"ITEM-1","itemData":{"DOI":"10.3390/buildings8020024","ISSN":"2075-5309","author":[{"dropping-particle":"","family":"Al-Kodmany","given":"Kheir","non-dropping-particle":"","parse-names":false,"suffix":""}],"container-title":"Buildings","id":"ITEM-1","issue":"2","issued":{"date-parts":[["2018","2","5"]]},"page":"24","title":"The Vertical Farm: A Review of Developments and Implications for the Vertical City","type":"article-journal","volume":"8"},"uris":["http://www.mendeley.com/documents/?uuid=7d656163-e03a-4dd2-ba2b-e7d747b09acf"]},{"id":"ITEM-2","itemData":{"DOI":"10.1016/j.scs.2015.06.003","ISSN":"22106707","author":[{"dropping-particle":"","family":"Al-Chalabi","given":"Malek","non-dropping-particle":"","parse-names":false,"suffix":""}],"container-title":"Sustainable Cities and Society","id":"ITEM-2","issued":{"date-parts":[["2015","11"]]},"page":"74-77","title":"Vertical farming: Skyscraper sustainability?","type":"article-journal","volume":"18"},"uris":["http://www.mendeley.com/documents/?uuid=b4b7abc3-7fc9-4660-af42-dbbd575697f6"]}],"mendeley":{"formattedCitation":"(Al-Chalabi, 2015; Al-Kodmany, 2018)","plainTextFormattedCitation":"(Al-Chalabi, 2015; Al-Kodmany, 2018)","previouslyFormattedCitation":"(Al-Chalabi, 2015; Al-Kodmany, 2018)"},"properties":{"noteIndex":0},"schema":"https://github.com/citation-style-language/schema/raw/master/csl-citation.json"}</w:instrText>
      </w:r>
      <w:r w:rsidRPr="00A2083C">
        <w:rPr>
          <w:b/>
          <w:color w:val="000000" w:themeColor="text1"/>
        </w:rPr>
        <w:fldChar w:fldCharType="separate"/>
      </w:r>
      <w:r w:rsidRPr="00A2083C">
        <w:rPr>
          <w:noProof/>
          <w:color w:val="000000" w:themeColor="text1"/>
        </w:rPr>
        <w:t>(Al-Chalabi, 2015; Al-Kodmany, 2018)</w:t>
      </w:r>
      <w:r w:rsidRPr="00A2083C">
        <w:rPr>
          <w:b/>
          <w:color w:val="000000" w:themeColor="text1"/>
        </w:rPr>
        <w:fldChar w:fldCharType="end"/>
      </w:r>
      <w:r w:rsidRPr="00A2083C">
        <w:rPr>
          <w:color w:val="000000" w:themeColor="text1"/>
        </w:rPr>
        <w:t xml:space="preserve">. The use of hydroponic systems poses an ability to dilute SVS, or replace media frequently to ensure its concentration remains low therefore preventing its strong inhibition on the shoot systems of other plants in the environment. This could allow the plants to grow larger for longer, with potential increases in yields. However, further investigations would be required to identify if such yield gains, rather than just biomass gains, are possible. </w:t>
      </w:r>
    </w:p>
    <w:p w14:paraId="175D5F2C" w14:textId="2034FEC8" w:rsidR="006068FB" w:rsidRPr="00C92992" w:rsidRDefault="006068FB" w:rsidP="000649D0">
      <w:pPr>
        <w:spacing w:line="480" w:lineRule="auto"/>
        <w:rPr>
          <w:b/>
          <w:color w:val="000000" w:themeColor="text1"/>
        </w:rPr>
      </w:pPr>
      <w:r w:rsidRPr="00A2083C">
        <w:rPr>
          <w:color w:val="000000" w:themeColor="text1"/>
        </w:rPr>
        <w:t xml:space="preserve">In arable farming, selection criteria </w:t>
      </w:r>
      <w:r w:rsidR="003F2554">
        <w:rPr>
          <w:color w:val="000000" w:themeColor="text1"/>
        </w:rPr>
        <w:t xml:space="preserve">for many agronomically important crop species </w:t>
      </w:r>
      <w:r w:rsidRPr="00A2083C">
        <w:rPr>
          <w:color w:val="000000" w:themeColor="text1"/>
        </w:rPr>
        <w:t xml:space="preserve">have mainly aimed to produce high yield in a setting which requires high levels of fertiliser inputs, however this has led to multiple negative environmental consequences including pollution and greenhouse gas </w:t>
      </w:r>
      <w:r w:rsidRPr="00A2083C">
        <w:rPr>
          <w:color w:val="000000" w:themeColor="text1"/>
        </w:rPr>
        <w:lastRenderedPageBreak/>
        <w:t xml:space="preserve">emissions </w:t>
      </w:r>
      <w:r w:rsidRPr="00A2083C">
        <w:rPr>
          <w:b/>
          <w:color w:val="000000" w:themeColor="text1"/>
        </w:rPr>
        <w:fldChar w:fldCharType="begin" w:fldLock="1"/>
      </w:r>
      <w:r w:rsidR="00D673B8">
        <w:rPr>
          <w:b/>
        </w:rPr>
        <w:instrText xml:space="preserve">ADDIN CSL_CITATION {"citationItems":[{"id":"ITEM-1","itemData":{"DOI":"10.1038/nature10452","ISSN":"0028-0836","author":[{"dropping-particle":"","family":"Foley","given":"Jonathan A.","non-dropping-particle":"","parse-names":false,"suffix":""},{"dropping-particle":"","family":"Ramankutty","given":"Navin","non-dropping-particle":"","parse-names":false,"suffix":""},{"dropping-particle":"","family":"Brauman","given":"Kate A.","non-dropping-particle":"","parse-names":false,"suffix":""},{"dropping-particle":"","family":"Cassidy","given":"Emily S.","non-dropping-particle":"","parse-names":false,"suffix":""},{"dropping-particle":"","family":"Gerber","given":"James S.","non-dropping-particle":"","parse-names":false,"suffix":""},{"dropping-particle":"","family":"Johnston","given":"Matt","non-dropping-particle":"","parse-names":false,"suffix":""},{"dropping-particle":"","family":"Mueller","given":"Nathaniel D.","non-dropping-particle":"","parse-names":false,"suffix":""},{"dropping-particle":"","family":"O’Connell","given":"Christine","non-dropping-particle":"","parse-names":false,"suffix":""},{"dropping-particle":"","family":"Ray","given":"Deepak K.","non-dropping-particle":"","parse-names":false,"suffix":""},{"dropping-particle":"","family":"West","given":"Paul C.","non-dropping-particle":"","parse-names":false,"suffix":""},{"dropping-particle":"","family":"Balzer","given":"Christian","non-dropping-particle":"","parse-names":false,"suffix":""},{"dropping-particle":"","family":"Bennett","given":"Elena M.","non-dropping-particle":"","parse-names":false,"suffix":""},{"dropping-particle":"","family":"Carpenter","given":"Stephen R.","non-dropping-particle":"","parse-names":false,"suffix":""},{"dropping-particle":"","family":"Hill","given":"Jason","non-dropping-particle":"","parse-names":false,"suffix":""},{"dropping-particle":"","family":"Monfreda","given":"Chad","non-dropping-particle":"","parse-names":false,"suffix":""},{"dropping-particle":"","family":"Polasky","given":"Stephen","non-dropping-particle":"","parse-names":false,"suffix":""},{"dropping-particle":"","family":"Rockström","given":"Johan","non-dropping-particle":"","parse-names":false,"suffix":""},{"dropping-particle":"","family":"Sheehan","given":"John","non-dropping-particle":"","parse-names":false,"suffix":""},{"dropping-particle":"","family":"Siebert","given":"Stefan","non-dropping-particle":"","parse-names":false,"suffix":""},{"dropping-particle":"","family":"Tilman","given":"David","non-dropping-particle":"","parse-names":false,"suffix":""},{"dropping-particle":"","family":"Zaks","given":"David P. M.","non-dropping-particle":"","parse-names":false,"suffix":""}],"container-title":"Nature","id":"ITEM-1","issue":"7369","issued":{"date-parts":[["2011","10","12"]]},"page":"337-342","title":"Solutions for a cultivated planet","type":"article-journal","volume":"478"},"uris":["http://www.mendeley.com/documents/?uuid=698ee7b1-c94d-49ca-96c3-57f3a6b95a38"]},{"id":"ITEM-2","itemData":{"DOI":"10.1038/nature01014","ISSN":"0028-0836","author":[{"dropping-particle":"","family":"Tilman","given":"David","non-dropping-particle":"","parse-names":false,"suffix":""},{"dropping-particle":"","family":"Cassman","given":"Kenneth G.","non-dropping-particle":"","parse-names":false,"suffix":""},{"dropping-particle":"","family":"Matson","given":"Pamela A.","non-dropping-particle":"","parse-names":false,"suffix":""},{"dropping-particle":"","family":"Naylor","given":"Rosamond","non-dropping-particle":"","parse-names":false,"suffix":""},{"dropping-particle":"","family":"Polasky","given":"Stephen","non-dropping-particle":"","parse-names":false,"suffix":""}],"container-title":"Nature","id":"ITEM-2","issue":"6898","issued":{"date-parts":[["2002","8"]]},"page":"671-677","title":"Agricultural sustainability and intensive production practices","type":"article-journal","volume":"418"},"uris":["http://www.mendeley.com/documents/?uuid=0fd1376b-050e-4958-aae9-174f1a8e5367"]},{"id":"ITEM-3","itemData":{"DOI":"10.1073/pnas.1116437108","ISSN":"0027-8424","abstract":"Global food demand is increasing rapidly, as are the environmental impacts of agricultural expansion. Here, we project global demand for crop production in 2050 and evaluate the environmental impacts of alternative ways that this demand might be met. We find that per capita demand for crops, when measured as caloric or protein content of all crops combined, has been a similarly increasing function of per capita real income since 1960. This relationship forecasts a 100–110% increase in global crop demand from 2005 to 2050. Quantitative assessments show that the environmental impacts of meeting this demand depend on how global agriculture expands. If current trends of greater agricultural intensification in richer nations and greater land clearing (extensification) in poorer nations were to continue, </w:instrText>
      </w:r>
      <w:r w:rsidR="00D673B8">
        <w:rPr>
          <w:rFonts w:ascii="Cambria Math" w:hAnsi="Cambria Math" w:cs="Cambria Math"/>
          <w:b/>
        </w:rPr>
        <w:instrText>∼</w:instrText>
      </w:r>
      <w:r w:rsidR="00D673B8">
        <w:rPr>
          <w:b/>
        </w:rPr>
        <w:instrText xml:space="preserve">1 billion ha of land would be cleared globally by 2050, with CO 2 -C equivalent greenhouse gas emissions reaching </w:instrText>
      </w:r>
      <w:r w:rsidR="00D673B8">
        <w:rPr>
          <w:rFonts w:ascii="Cambria Math" w:hAnsi="Cambria Math" w:cs="Cambria Math"/>
          <w:b/>
        </w:rPr>
        <w:instrText>∼</w:instrText>
      </w:r>
      <w:r w:rsidR="00D673B8">
        <w:rPr>
          <w:b/>
        </w:rPr>
        <w:instrText xml:space="preserve">3 Gt y −1 and N use </w:instrText>
      </w:r>
      <w:r w:rsidR="00D673B8">
        <w:rPr>
          <w:rFonts w:ascii="Cambria Math" w:hAnsi="Cambria Math" w:cs="Cambria Math"/>
          <w:b/>
        </w:rPr>
        <w:instrText>∼</w:instrText>
      </w:r>
      <w:r w:rsidR="00D673B8">
        <w:rPr>
          <w:b/>
        </w:rPr>
        <w:instrText xml:space="preserve">250 Mt y −1 by then. In contrast, if 2050 crop demand was met by moderate intensification focused on existing croplands of underyielding nations, adaptation and transfer of high-yielding technologies to these croplands, and global technological improvements, our analyses forecast land clearing of only </w:instrText>
      </w:r>
      <w:r w:rsidR="00D673B8">
        <w:rPr>
          <w:rFonts w:ascii="Cambria Math" w:hAnsi="Cambria Math" w:cs="Cambria Math"/>
          <w:b/>
        </w:rPr>
        <w:instrText>∼</w:instrText>
      </w:r>
      <w:r w:rsidR="00D673B8">
        <w:rPr>
          <w:b/>
        </w:rPr>
        <w:instrText xml:space="preserve">0.2 billion ha, greenhouse gas emissions of </w:instrText>
      </w:r>
      <w:r w:rsidR="00D673B8">
        <w:rPr>
          <w:rFonts w:ascii="Cambria Math" w:hAnsi="Cambria Math" w:cs="Cambria Math"/>
          <w:b/>
        </w:rPr>
        <w:instrText>∼</w:instrText>
      </w:r>
      <w:r w:rsidR="00D673B8">
        <w:rPr>
          <w:b/>
        </w:rPr>
        <w:instrText xml:space="preserve">1 Gt y −1 , and global N use of </w:instrText>
      </w:r>
      <w:r w:rsidR="00D673B8">
        <w:rPr>
          <w:rFonts w:ascii="Cambria Math" w:hAnsi="Cambria Math" w:cs="Cambria Math"/>
          <w:b/>
        </w:rPr>
        <w:instrText>∼</w:instrText>
      </w:r>
      <w:r w:rsidR="00D673B8">
        <w:rPr>
          <w:b/>
        </w:rPr>
        <w:instrText>225 Mt y −1 . Efficient management practices could substantially lower nitrogen use. Attainment of high yields on existing croplands of underyielding nations is of great importance if global crop demand is to be met with minimal environmental impacts.","author":[{"dropping-particle":"","family":"Tilman","given":"David","non-dropping-particle":"","parse-names":false,"suffix":""},{"dropping-particle":"","family":"Balzer","given":"Christian","non-dropping-particle":"","parse-names":false,"suffix":""},{"dropping-particle":"","family":"Hill","given":"Jason","non-dropping-particle":"","parse-names":false,"suffix":""},{"dropping-particle":"","family":"Befort","given":"Belinda L.","non-dropping-particle":"","parse-names":false,"suffix":""}],"container-title":"Proceedings of the National Academy of Sciences","id":"ITEM-3","issue":"50","issued":{"date-parts":[["2011","12","13"]]},"page":"20260-20264","title":"Global food demand and the sustainable intensification of agriculture","type":"article-journal","volume":"108"},"uris":["http://www.mendeley.com/documents/?uuid=16e287ef-50fe-47a1-bf98-208655b48165"]},{"id":"ITEM-4","itemData":{"DOI":"10.1126/science.1234485","ISSN":"0036-8075","abstract":"Clearer understanding is needed of the premises underlying SI and how it relates to food-system priorities.","author":[{"dropping-particle":"","family":"Garnett","given":"T.","non-dropping-particle":"","parse-names":false,"suffix":""},{"dropping-particle":"","family":"Appleby","given":"M. C.","non-dropping-particle":"","parse-names":false,"suffix":""},{"dropping-particle":"","family":"Balmford","given":"A.","non-dropping-particle":"","parse-names":false,"suffix":""},{"dropping-particle":"","family":"Bateman","given":"I. J.","non-dropping-particle":"","parse-names":false,"suffix":""},{"dropping-particle":"","family":"Benton","given":"T. G.","non-dropping-particle":"","parse-names":false,"suffix":""},{"dropping-particle":"","family":"Bloomer","given":"P.","non-dropping-particle":"","parse-names":false,"suffix":""},{"dropping-particle":"","family":"Burlingame","given":"B.","non-dropping-particle":"","parse-names":false,"suffix":""},{"dropping-particle":"","family":"Dawkins","given":"M.","non-dropping-particle":"","parse-names":false,"suffix":""},{"dropping-particle":"","family":"Dolan","given":"L.","non-dropping-particle":"","parse-names":false,"suffix":""},{"dropping-particle":"","family":"Fraser","given":"D.","non-dropping-particle":"","parse-names":false,"suffix":""},{"dropping-particle":"","family":"Herrero","given":"M.","non-dropping-particle":"","parse-names":false,"suffix":""},{"dropping-particle":"","family":"Hoffmann","given":"I.","non-dropping-particle":"","parse-names":false,"suffix":""},{"dropping-particle":"","family":"Smith","given":"P.","non-dropping-particle":"","parse-names":false,"suffix":""},{"dropping-particle":"","family":"Thornton","given":"P. K.","non-dropping-particle":"","parse-names":false,"suffix":""},{"dropping-particle":"","family":"Toulmin","given":"C.","non-dropping-particle":"","parse-names":false,"suffix":""},{"dropping-particle":"","family":"Vermeulen","given":"S. J.","non-dropping-particle":"","parse-names":false,"suffix":""},{"dropping-particle":"","family":"Godfray","given":"H. C. J.","non-dropping-particle":"","parse-names":false,"suffix":""}],"container-title":"Science","id":"ITEM-4","issue":"6141","issued":{"date-parts":[["2013","7","5"]]},"page":"33-34","title":"Sustainable intensification in agriculture: Premises and policies","type":"article-journal","volume":"341"},"uris":["http://www.mendeley.com/documents/?uuid=3df8fe37-f715-4432-9445-7474fc5fb91b"]},{"id":"ITEM-5","itemData":{"DOI":"10.1126/science.277.5325.494","ISSN":"0036-8075","abstract":"Human alteration of Earth is substantial and growing. Between one-third and one-half of the land surface has been transformed by human action; the carbon dioxide concentration in the atmosphere has increased by nearly 30 percent since the beginning of the Industrial Revolution; more atmospheric nitrogen is fixed by humanity than by all natural terrestrial sources combined; more than half of all accessible surface fresh water is put to use by humanity; and about one-quarter of the bird species on Earth have been driven to extinction. By these and other standards, it is clear that we live on a human-dominated planet.","author":[{"dropping-particle":"","family":"Vitousek","given":"Peter M.","non-dropping-particle":"","parse-names":false,"suffix":""},{"dropping-particle":"","family":"Mooney","given":"Harold A.","non-dropping-particle":"","parse-names":false,"suffix":""},{"dropping-particle":"","family":"Lubchenco","given":"Jane","non-dropping-particle":"","parse-names":false,"suffix":""},{"dropping-particle":"","family":"Melillo","given":"Jerry M.","non-dropping-particle":"","parse-names":false,"suffix":""}],"container-title":"Science","id":"ITEM-5","issue":"5325","issued":{"date-parts":[["1997","7","25"]]},"page":"494-499","title":"Human domination of Earth's ecosystems","type":"article-journal","volume":"277"},"uris":["http://www.mendeley.com/documents/?uuid=8a70ed6b-4ac3-4cf5-abb2-5fe05d318654"]},{"id":"ITEM-6","itemData":{"DOI":"10.1038/s41477-019-0445-5","ISSN":"2055-0278","author":[{"dropping-particle":"","family":"Voss-Fels","given":"Kai P.","non-dropping-particle":"","parse-names":false,"suffix":""},{"dropping-particle":"","family":"Stahl","given":"Andreas","non-dropping-particle":"","parse-names":false,"suffix":""},{"dropping-particle":"","family":"Wittkop","given":"Benjamin","non-dropping-particle":"","parse-names":false,"suffix":""},{"dropping-particle":"","family":"Lichthardt","given":"Carolin","non-dropping-particle":"","parse-names":false,"suffix":""},{"dropping-particle":"","family":"Nagler","given":"Sabrina","non-dropping-particle":"","parse-names":false,"suffix":""},{"dropping-particle":"","family":"Rose","given":"Till","non-dropping-particle":"","parse-names":false,"suffix":""},{"dropping-particle":"","family":"Chen","given":"Tsu-Wei","non-dropping-particle":"","parse-names":false,"suffix":""},{"dropping-particle":"","family":"Zetzsche","given":"Holger","non-dropping-particle":"","parse-names":false,"suffix":""},{"dropping-particle":"","family":"Seddig","given":"Sylvia","non-dropping-particle":"","parse-names":false,"suffix":""},{"dropping-particle":"","family":"Majid Baig","given":"Mirza","non-dropping-particle":"","parse-names":false,"suffix":""},{"dropping-particle":"","family":"Ballvora","given":"Agim","non-dropping-particle":"","parse-names":false,"suffix":""},{"dropping-particle":"","family":"Frisch","given":"Matthias","non-dropping-particle":"","parse-names":false,"suffix":""},{"dropping-particle":"","family":"Ross","given":"Elizabeth","non-dropping-particle":"","parse-names":false,"suffix":""},{"dropping-particle":"","family":"Hayes","given":"Ben J.","non-dropping-particle":"","parse-names":false,"suffix":""},{"dropping-particle":"","family":"Hayden","given":"Matthew J.","non-dropping-particle":"","parse-names":false,"suffix":""},{"dropping-particle":"","family":"Ordon","given":"Frank","non-dropping-particle":"","parse-names":false,"suffix":""},{"dropping-particle":"","family":"Leon","given":"Jens","non-dropping-particle":"","parse-names":false,"suffix":""},{"dropping-particle":"","family":"Kage","given":"Henning","non-dropping-particle":"","parse-names":false,"suffix":""},{"dropping-particle":"","family":"Friedt","given":"Wolfgang","non-dropping-particle":"","parse-names":false,"suffix":""},{"dropping-particle":"","family":"Stützel","given":"Hartmut","non-dropping-particle":"","parse-names":false,"suffix":""},{"dropping-particle":"","family":"Snowdon","given":"Rod J.","non-dropping-particle":"","parse-names":false,"suffix":""}],"container-title":"Nature Plants","id":"ITEM-6","issue":"7","issued":{"date-parts":[["2019","6","17"]]},"page":"706-714","title":"Breeding improves wheat productivity under contrasting agrochemical input levels","type":"article-journal","volume":"5"},"uris":["http://www.mendeley.com/documents/?uuid=a9e4e3e6-c34f-4bed-a14e-21c2da5a1f9e"]},{"id":"ITEM-7","itemData":{"DOI":"10.1201/9781351075718","ISBN":"9781351075718","author":[{"dropping-particle":"","family":"Blum","given":"Abraham","non-dropping-particle":"","parse-names":false,"suffix":""}],"id":"ITEM-7","issued":{"date-parts":[["2018","1","18"]]},"publisher":"CRC Press","title":"Plant Breeding for Stress Environments","type":"book"},"uris":["http://www.mendeley.com/documents/?uuid=72fd70b9-1ad5-4189-b8e4-335fb682a3ae"]}],"mendeley":{"formattedCitation":"(Vitousek et al., 1997; Tilman et al., 2002; Foley et al., 2011; Tilman et al., 2011; Garnett et al., 2013; Blum, 2018; Voss-Fels et al., 2019)","plainTextFormattedCitation":"(Vitousek et al., 1997; Tilman et al., 2002; Foley et al., 2011; Tilman et al., 2011; Garnett et al., 2013; Blum, 2018; Voss-Fels et al., 2019)","previouslyFormattedCitation":"(Vitousek et al., 1997; Tilman et al., 2002; Foley et al., 2011; Tilman et al., 2011; Garnett et al., 2013; Blum, 2018; Voss-Fels et al., 2019)"},"properties":{"noteIndex":0},"schema":"https://github.com/citation-style-language/schema/raw/master/csl-citation.json"}</w:instrText>
      </w:r>
      <w:r w:rsidRPr="00A2083C">
        <w:rPr>
          <w:b/>
          <w:color w:val="000000" w:themeColor="text1"/>
        </w:rPr>
        <w:fldChar w:fldCharType="separate"/>
      </w:r>
      <w:r w:rsidR="00604867" w:rsidRPr="00604867">
        <w:rPr>
          <w:noProof/>
          <w:color w:val="000000" w:themeColor="text1"/>
        </w:rPr>
        <w:t>(Vitousek et al., 1997; Tilman et al., 2002; Foley et al., 2011; Tilman et al., 2011; Garnett et al., 2013; Blum, 2018; Voss-Fels et al., 2019)</w:t>
      </w:r>
      <w:r w:rsidRPr="00A2083C">
        <w:rPr>
          <w:b/>
          <w:color w:val="000000" w:themeColor="text1"/>
        </w:rPr>
        <w:fldChar w:fldCharType="end"/>
      </w:r>
      <w:r w:rsidRPr="00A2083C">
        <w:rPr>
          <w:color w:val="000000" w:themeColor="text1"/>
        </w:rPr>
        <w:t xml:space="preserve">. There is no doubt that fertiliser application is highly beneficial to yield </w:t>
      </w:r>
      <w:r w:rsidRPr="00A2083C">
        <w:rPr>
          <w:b/>
          <w:color w:val="000000" w:themeColor="text1"/>
        </w:rPr>
        <w:fldChar w:fldCharType="begin" w:fldLock="1"/>
      </w:r>
      <w:r w:rsidRPr="00A2083C">
        <w:rPr>
          <w:color w:val="000000" w:themeColor="text1"/>
        </w:rPr>
        <w:instrText>ADDIN CSL_CITATION {"citationItems":[{"id":"ITEM-1","itemData":{"DOI":"10.1038/s41477-019-0445-5","ISSN":"2055-0278","author":[{"dropping-particle":"","family":"Voss-Fels","given":"Kai P.","non-dropping-particle":"","parse-names":false,"suffix":""},{"dropping-particle":"","family":"Stahl","given":"Andreas","non-dropping-particle":"","parse-names":false,"suffix":""},{"dropping-particle":"","family":"Wittkop","given":"Benjamin","non-dropping-particle":"","parse-names":false,"suffix":""},{"dropping-particle":"","family":"Lichthardt","given":"Carolin","non-dropping-particle":"","parse-names":false,"suffix":""},{"dropping-particle":"","family":"Nagler","given":"Sabrina","non-dropping-particle":"","parse-names":false,"suffix":""},{"dropping-particle":"","family":"Rose","given":"Till","non-dropping-particle":"","parse-names":false,"suffix":""},{"dropping-particle":"","family":"Chen","given":"Tsu-Wei","non-dropping-particle":"","parse-names":false,"suffix":""},{"dropping-particle":"","family":"Zetzsche","given":"Holger","non-dropping-particle":"","parse-names":false,"suffix":""},{"dropping-particle":"","family":"Seddig","given":"Sylvia","non-dropping-particle":"","parse-names":false,"suffix":""},{"dropping-particle":"","family":"Majid Baig","given":"Mirza","non-dropping-particle":"","parse-names":false,"suffix":""},{"dropping-particle":"","family":"Ballvora","given":"Agim","non-dropping-particle":"","parse-names":false,"suffix":""},{"dropping-particle":"","family":"Frisch","given":"Matthias","non-dropping-particle":"","parse-names":false,"suffix":""},{"dropping-particle":"","family":"Ross","given":"Elizabeth","non-dropping-particle":"","parse-names":false,"suffix":""},{"dropping-particle":"","family":"Hayes","given":"Ben J.","non-dropping-particle":"","parse-names":false,"suffix":""},{"dropping-particle":"","family":"Hayden","given":"Matthew J.","non-dropping-particle":"","parse-names":false,"suffix":""},{"dropping-particle":"","family":"Ordon","given":"Frank","non-dropping-particle":"","parse-names":false,"suffix":""},{"dropping-particle":"","family":"Leon","given":"Jens","non-dropping-particle":"","parse-names":false,"suffix":""},{"dropping-particle":"","family":"Kage","given":"Henning","non-dropping-particle":"","parse-names":false,"suffix":""},{"dropping-particle":"","family":"Friedt","given":"Wolfgang","non-dropping-particle":"","parse-names":false,"suffix":""},{"dropping-particle":"","family":"Stützel","given":"Hartmut","non-dropping-particle":"","parse-names":false,"suffix":""},{"dropping-particle":"","family":"Snowdon","given":"Rod J.","non-dropping-particle":"","parse-names":false,"suffix":""}],"container-title":"Nature Plants","id":"ITEM-1","issue":"7","issued":{"date-parts":[["2019","6","17"]]},"page":"706-714","title":"Breeding improves wheat productivity under contrasting agrochemical input levels","type":"article-journal","volume":"5"},"uris":["http://www.mendeley.com/documents/?uuid=a9e4e3e6-c34f-4bed-a14e-21c2da5a1f9e"]}],"mendeley":{"formattedCitation":"(Voss-Fels et al., 2019)","plainTextFormattedCitation":"(Voss-Fels et al., 2019)","previouslyFormattedCitation":"(Voss-Fels et al., 2019)"},"properties":{"noteIndex":0},"schema":"https://github.com/citation-style-language/schema/raw/master/csl-citation.json"}</w:instrText>
      </w:r>
      <w:r w:rsidRPr="00A2083C">
        <w:rPr>
          <w:b/>
          <w:color w:val="000000" w:themeColor="text1"/>
        </w:rPr>
        <w:fldChar w:fldCharType="separate"/>
      </w:r>
      <w:r w:rsidRPr="00A2083C">
        <w:rPr>
          <w:noProof/>
          <w:color w:val="000000" w:themeColor="text1"/>
        </w:rPr>
        <w:t>(Voss-Fels et al., 2019)</w:t>
      </w:r>
      <w:r w:rsidRPr="00A2083C">
        <w:rPr>
          <w:b/>
          <w:color w:val="000000" w:themeColor="text1"/>
        </w:rPr>
        <w:fldChar w:fldCharType="end"/>
      </w:r>
      <w:r w:rsidRPr="00A2083C">
        <w:rPr>
          <w:color w:val="000000" w:themeColor="text1"/>
        </w:rPr>
        <w:t xml:space="preserve">, however application of nitrogen and phosphorus are generally found to be in excess across many crop species </w:t>
      </w:r>
      <w:r w:rsidRPr="00A2083C">
        <w:rPr>
          <w:b/>
          <w:color w:val="000000" w:themeColor="text1"/>
        </w:rPr>
        <w:fldChar w:fldCharType="begin" w:fldLock="1"/>
      </w:r>
      <w:r w:rsidRPr="00A2083C">
        <w:rPr>
          <w:color w:val="000000" w:themeColor="text1"/>
        </w:rPr>
        <w:instrText>ADDIN CSL_CITATION {"citationItems":[{"id":"ITEM-1","itemData":{"DOI":"10.1126/science.1246067","ISSN":"0036-8075","abstract":"Keeping societies stable and managing Earth's resources sustainably depend on doing a good, steady job producing and distributing food. West et al. asked what combinations of crops and regions offer the best chance of progress. Their analysis focused on reducing greenhouse gas emissions, nutrient pollution, water use, and food waste. They identify regions that are likely to yield the best balance between applying fertilizer to increase crop yields versus the resulting environmental impact.","author":[{"dropping-particle":"","family":"West","given":"Paul C.","non-dropping-particle":"","parse-names":false,"suffix":""},{"dropping-particle":"","family":"Gerber","given":"James S.","non-dropping-particle":"","parse-names":false,"suffix":""},{"dropping-particle":"","family":"Engstrom","given":"Peder M.","non-dropping-particle":"","parse-names":false,"suffix":""},{"dropping-particle":"","family":"Mueller","given":"Nathaniel D.","non-dropping-particle":"","parse-names":false,"suffix":""},{"dropping-particle":"","family":"Brauman","given":"Kate A.","non-dropping-particle":"","parse-names":false,"suffix":""},{"dropping-particle":"","family":"Carlson","given":"Kimberly M.","non-dropping-particle":"","parse-names":false,"suffix":""},{"dropping-particle":"","family":"Cassidy","given":"Emily S.","non-dropping-particle":"","parse-names":false,"suffix":""},{"dropping-particle":"","family":"Johnston","given":"Matt","non-dropping-particle":"","parse-names":false,"suffix":""},{"dropping-particle":"","family":"MacDonald","given":"Graham K.","non-dropping-particle":"","parse-names":false,"suffix":""},{"dropping-particle":"","family":"Ray","given":"Deepak K.","non-dropping-particle":"","parse-names":false,"suffix":""},{"dropping-particle":"","family":"Siebert","given":"Stefan","non-dropping-particle":"","parse-names":false,"suffix":""}],"container-title":"Science","id":"ITEM-1","issue":"6194","issued":{"date-parts":[["2014","7","18"]]},"page":"325-328","title":"Leverage points for improving global food security and the environment","type":"article-journal","volume":"345"},"uris":["http://www.mendeley.com/documents/?uuid=1e9a3f2e-fa71-4e2e-b043-4fee328ab14a"]}],"mendeley":{"formattedCitation":"(West et al., 2014)","plainTextFormattedCitation":"(West et al., 2014)","previouslyFormattedCitation":"(West et al., 2014)"},"properties":{"noteIndex":0},"schema":"https://github.com/citation-style-language/schema/raw/master/csl-citation.json"}</w:instrText>
      </w:r>
      <w:r w:rsidRPr="00A2083C">
        <w:rPr>
          <w:b/>
          <w:color w:val="000000" w:themeColor="text1"/>
        </w:rPr>
        <w:fldChar w:fldCharType="separate"/>
      </w:r>
      <w:r w:rsidRPr="00A2083C">
        <w:rPr>
          <w:noProof/>
          <w:color w:val="000000" w:themeColor="text1"/>
        </w:rPr>
        <w:t>(West et al., 2014)</w:t>
      </w:r>
      <w:r w:rsidRPr="00A2083C">
        <w:rPr>
          <w:b/>
          <w:color w:val="000000" w:themeColor="text1"/>
        </w:rPr>
        <w:fldChar w:fldCharType="end"/>
      </w:r>
      <w:r w:rsidRPr="00A2083C">
        <w:rPr>
          <w:color w:val="000000" w:themeColor="text1"/>
        </w:rPr>
        <w:t xml:space="preserve">. </w:t>
      </w:r>
      <w:r w:rsidRPr="009E3B36">
        <w:rPr>
          <w:color w:val="000000" w:themeColor="text1"/>
        </w:rPr>
        <w:t xml:space="preserve">Yields of food crops must increase to meet </w:t>
      </w:r>
      <w:r w:rsidR="00DD7969">
        <w:rPr>
          <w:color w:val="000000" w:themeColor="text1"/>
        </w:rPr>
        <w:t xml:space="preserve">the </w:t>
      </w:r>
      <w:r w:rsidR="00E65FB8">
        <w:rPr>
          <w:color w:val="000000" w:themeColor="text1"/>
        </w:rPr>
        <w:t>rising</w:t>
      </w:r>
      <w:r w:rsidR="00DD7969">
        <w:rPr>
          <w:color w:val="000000" w:themeColor="text1"/>
        </w:rPr>
        <w:t xml:space="preserve"> </w:t>
      </w:r>
      <w:r w:rsidRPr="009E3B36">
        <w:rPr>
          <w:color w:val="000000" w:themeColor="text1"/>
        </w:rPr>
        <w:t xml:space="preserve">global demand </w:t>
      </w:r>
      <w:r w:rsidRPr="009E3B36">
        <w:rPr>
          <w:b/>
          <w:color w:val="000000" w:themeColor="text1"/>
        </w:rPr>
        <w:fldChar w:fldCharType="begin" w:fldLock="1"/>
      </w:r>
      <w:r w:rsidRPr="009E3B36">
        <w:rPr>
          <w:color w:val="000000" w:themeColor="text1"/>
        </w:rPr>
        <w:instrText>ADDIN CSL_CITATION {"citationItems":[{"id":"ITEM-1","itemData":{"DOI":"10.1038/nature10452","ISSN":"0028-0836","author":[{"dropping-particle":"","family":"Foley","given":"Jonathan A.","non-dropping-particle":"","parse-names":false,"suffix":""},{"dropping-particle":"","family":"Ramankutty","given":"Navin","non-dropping-particle":"","parse-names":false,"suffix":""},{"dropping-particle":"","family":"Brauman","given":"Kate A.","non-dropping-particle":"","parse-names":false,"suffix":""},{"dropping-particle":"","family":"Cassidy","given":"Emily S.","non-dropping-particle":"","parse-names":false,"suffix":""},{"dropping-particle":"","family":"Gerber","given":"James S.","non-dropping-particle":"","parse-names":false,"suffix":""},{"dropping-particle":"","family":"Johnston","given":"Matt","non-dropping-particle":"","parse-names":false,"suffix":""},{"dropping-particle":"","family":"Mueller","given":"Nathaniel D.","non-dropping-particle":"","parse-names":false,"suffix":""},{"dropping-particle":"","family":"O’Connell","given":"Christine","non-dropping-particle":"","parse-names":false,"suffix":""},{"dropping-particle":"","family":"Ray","given":"Deepak K.","non-dropping-particle":"","parse-names":false,"suffix":""},{"dropping-particle":"","family":"West","given":"Paul C.","non-dropping-particle":"","parse-names":false,"suffix":""},{"dropping-particle":"","family":"Balzer","given":"Christian","non-dropping-particle":"","parse-names":false,"suffix":""},{"dropping-particle":"","family":"Bennett","given":"Elena M.","non-dropping-particle":"","parse-names":false,"suffix":""},{"dropping-particle":"","family":"Carpenter","given":"Stephen R.","non-dropping-particle":"","parse-names":false,"suffix":""},{"dropping-particle":"","family":"Hill","given":"Jason","non-dropping-particle":"","parse-names":false,"suffix":""},{"dropping-particle":"","family":"Monfreda","given":"Chad","non-dropping-particle":"","parse-names":false,"suffix":""},{"dropping-particle":"","family":"Polasky","given":"Stephen","non-dropping-particle":"","parse-names":false,"suffix":""},{"dropping-particle":"","family":"Rockström","given":"Johan","non-dropping-particle":"","parse-names":false,"suffix":""},{"dropping-particle":"","family":"Sheehan","given":"John","non-dropping-particle":"","parse-names":false,"suffix":""},{"dropping-particle":"","family":"Siebert","given":"Stefan","non-dropping-particle":"","parse-names":false,"suffix":""},{"dropping-particle":"","family":"Tilman","given":"David","non-dropping-particle":"","parse-names":false,"suffix":""},{"dropping-particle":"","family":"Zaks","given":"David P. M.","non-dropping-particle":"","parse-names":false,"suffix":""}],"container-title":"Nature","id":"ITEM-1","issue":"7369","issued":{"date-parts":[["2011","10","12"]]},"page":"337-342","title":"Solutions for a cultivated planet","type":"article-journal","volume":"478"},"uris":["http://www.mendeley.com/documents/?uuid=698ee7b1-c94d-49ca-96c3-57f3a6b95a38"]}],"mendeley":{"formattedCitation":"(Foley et al., 2011)","plainTextFormattedCitation":"(Foley et al., 2011)","previouslyFormattedCitation":"(Foley et al., 2011)"},"properties":{"noteIndex":0},"schema":"https://github.com/citation-style-language/schema/raw/master/csl-citation.json"}</w:instrText>
      </w:r>
      <w:r w:rsidRPr="009E3B36">
        <w:rPr>
          <w:b/>
          <w:color w:val="000000" w:themeColor="text1"/>
        </w:rPr>
        <w:fldChar w:fldCharType="separate"/>
      </w:r>
      <w:r w:rsidRPr="009E3B36">
        <w:rPr>
          <w:noProof/>
          <w:color w:val="000000" w:themeColor="text1"/>
        </w:rPr>
        <w:t>(Foley et al., 2011)</w:t>
      </w:r>
      <w:r w:rsidRPr="009E3B36">
        <w:rPr>
          <w:b/>
          <w:color w:val="000000" w:themeColor="text1"/>
        </w:rPr>
        <w:fldChar w:fldCharType="end"/>
      </w:r>
      <w:r w:rsidR="00E65FB8">
        <w:rPr>
          <w:b/>
          <w:color w:val="000000" w:themeColor="text1"/>
        </w:rPr>
        <w:t>,</w:t>
      </w:r>
      <w:r w:rsidR="00A259A8">
        <w:rPr>
          <w:color w:val="000000" w:themeColor="text1"/>
        </w:rPr>
        <w:t xml:space="preserve"> and</w:t>
      </w:r>
      <w:r w:rsidR="005F13E7">
        <w:rPr>
          <w:color w:val="000000" w:themeColor="text1"/>
        </w:rPr>
        <w:t xml:space="preserve"> to</w:t>
      </w:r>
      <w:r w:rsidR="00A259A8">
        <w:rPr>
          <w:color w:val="000000" w:themeColor="text1"/>
        </w:rPr>
        <w:t xml:space="preserve"> limit the global food insecurities </w:t>
      </w:r>
      <w:r w:rsidR="00610EFF">
        <w:rPr>
          <w:color w:val="000000" w:themeColor="text1"/>
        </w:rPr>
        <w:t xml:space="preserve">related to the </w:t>
      </w:r>
      <w:r w:rsidR="005F13E7">
        <w:rPr>
          <w:color w:val="000000" w:themeColor="text1"/>
        </w:rPr>
        <w:t>effects of</w:t>
      </w:r>
      <w:r w:rsidR="00610EFF">
        <w:rPr>
          <w:color w:val="000000" w:themeColor="text1"/>
        </w:rPr>
        <w:t xml:space="preserve"> climate change</w:t>
      </w:r>
      <w:r w:rsidRPr="009E3B36">
        <w:rPr>
          <w:color w:val="000000" w:themeColor="text1"/>
        </w:rPr>
        <w:t xml:space="preserve"> </w:t>
      </w:r>
      <w:r w:rsidR="00610EFF">
        <w:rPr>
          <w:color w:val="000000" w:themeColor="text1"/>
        </w:rPr>
        <w:fldChar w:fldCharType="begin" w:fldLock="1"/>
      </w:r>
      <w:r w:rsidR="000B05FB">
        <w:rPr>
          <w:color w:val="000000" w:themeColor="text1"/>
        </w:rPr>
        <w:instrText>ADDIN CSL_CITATION {"citationItems":[{"id":"ITEM-1","itemData":{"DOI":"10.1016/S2542-5196(23)00003-7","ISSN":"25425196","author":[{"dropping-particle":"","family":"Hadley","given":"Kristie","non-dropping-particle":"","parse-names":false,"suffix":""},{"dropping-particle":"","family":"Wheat","given":"Stefan","non-dropping-particle":"","parse-names":false,"suffix":""},{"dropping-particle":"","family":"Rogers","given":"Heidi Honegger","non-dropping-particle":"","parse-names":false,"suffix":""},{"dropping-particle":"","family":"Balakumar","given":"Arjun","non-dropping-particle":"","parse-names":false,"suffix":""},{"dropping-particle":"","family":"Gonzales-Pacheco","given":"Diana","non-dropping-particle":"","parse-names":false,"suffix":""},{"dropping-particle":"","family":"Davis","given":"Sarah Shrum","non-dropping-particle":"","parse-names":false,"suffix":""},{"dropping-particle":"","family":"Linstadt","given":"Hanna","non-dropping-particle":"","parse-names":false,"suffix":""},{"dropping-particle":"","family":"Cushing","given":"Tracy","non-dropping-particle":"","parse-names":false,"suffix":""},{"dropping-particle":"","family":"Ziska","given":"Lewis H","non-dropping-particle":"","parse-names":false,"suffix":""},{"dropping-particle":"","family":"Piper","given":"Christi","non-dropping-particle":"","parse-names":false,"suffix":""},{"dropping-particle":"","family":"Sorensen","given":"Cecilia","non-dropping-particle":"","parse-names":false,"suffix":""}],"container-title":"The Lancet Planetary Health","id":"ITEM-1","issue":"3","issued":{"date-parts":[["2023","3"]]},"page":"e242-e250","title":"Mechanisms underlying food insecurity in the aftermath of climate-related shocks: a systematic review","type":"article-journal","volume":"7"},"uris":["http://www.mendeley.com/documents/?uuid=88be3730-7c16-4de9-929c-0c89f9190172"]}],"mendeley":{"formattedCitation":"(Hadley et al., 2023)","plainTextFormattedCitation":"(Hadley et al., 2023)","previouslyFormattedCitation":"(Hadley et al., 2023)"},"properties":{"noteIndex":0},"schema":"https://github.com/citation-style-language/schema/raw/master/csl-citation.json"}</w:instrText>
      </w:r>
      <w:r w:rsidR="00610EFF">
        <w:rPr>
          <w:color w:val="000000" w:themeColor="text1"/>
        </w:rPr>
        <w:fldChar w:fldCharType="separate"/>
      </w:r>
      <w:r w:rsidR="00610EFF" w:rsidRPr="00610EFF">
        <w:rPr>
          <w:noProof/>
          <w:color w:val="000000" w:themeColor="text1"/>
        </w:rPr>
        <w:t>(Hadley et al., 2023)</w:t>
      </w:r>
      <w:r w:rsidR="00610EFF">
        <w:rPr>
          <w:color w:val="000000" w:themeColor="text1"/>
        </w:rPr>
        <w:fldChar w:fldCharType="end"/>
      </w:r>
      <w:r w:rsidR="005F13E7">
        <w:rPr>
          <w:color w:val="000000" w:themeColor="text1"/>
        </w:rPr>
        <w:t>,</w:t>
      </w:r>
      <w:r w:rsidR="00610EFF">
        <w:rPr>
          <w:color w:val="000000" w:themeColor="text1"/>
        </w:rPr>
        <w:t xml:space="preserve"> </w:t>
      </w:r>
      <w:r w:rsidRPr="009E3B36">
        <w:rPr>
          <w:color w:val="000000" w:themeColor="text1"/>
        </w:rPr>
        <w:t xml:space="preserve">however such gains need to be made </w:t>
      </w:r>
      <w:r w:rsidR="003B4A89">
        <w:rPr>
          <w:color w:val="000000" w:themeColor="text1"/>
        </w:rPr>
        <w:t>in an environment conscious manner</w:t>
      </w:r>
      <w:r w:rsidR="00046185">
        <w:rPr>
          <w:color w:val="000000" w:themeColor="text1"/>
        </w:rPr>
        <w:t xml:space="preserve"> </w:t>
      </w:r>
      <w:r w:rsidRPr="009E3B36">
        <w:rPr>
          <w:b/>
          <w:color w:val="000000" w:themeColor="text1"/>
        </w:rPr>
        <w:fldChar w:fldCharType="begin" w:fldLock="1"/>
      </w:r>
      <w:r w:rsidR="00E81B2F">
        <w:rPr>
          <w:color w:val="000000" w:themeColor="text1"/>
        </w:rPr>
        <w:instrText xml:space="preserve">ADDIN CSL_CITATION {"citationItems":[{"id":"ITEM-1","itemData":{"DOI":"10.1126/science.1234485","ISSN":"0036-8075","abstract":"Clearer understanding is needed of the premises underlying SI and how it relates to food-system priorities.","author":[{"dropping-particle":"","family":"Garnett","given":"T.","non-dropping-particle":"","parse-names":false,"suffix":""},{"dropping-particle":"","family":"Appleby","given":"M. C.","non-dropping-particle":"","parse-names":false,"suffix":""},{"dropping-particle":"","family":"Balmford","given":"A.","non-dropping-particle":"","parse-names":false,"suffix":""},{"dropping-particle":"","family":"Bateman","given":"I. J.","non-dropping-particle":"","parse-names":false,"suffix":""},{"dropping-particle":"","family":"Benton","given":"T. G.","non-dropping-particle":"","parse-names":false,"suffix":""},{"dropping-particle":"","family":"Bloomer","given":"P.","non-dropping-particle":"","parse-names":false,"suffix":""},{"dropping-particle":"","family":"Burlingame","given":"B.","non-dropping-particle":"","parse-names":false,"suffix":""},{"dropping-particle":"","family":"Dawkins","given":"M.","non-dropping-particle":"","parse-names":false,"suffix":""},{"dropping-particle":"","family":"Dolan","given":"L.","non-dropping-particle":"","parse-names":false,"suffix":""},{"dropping-particle":"","family":"Fraser","given":"D.","non-dropping-particle":"","parse-names":false,"suffix":""},{"dropping-particle":"","family":"Herrero","given":"M.","non-dropping-particle":"","parse-names":false,"suffix":""},{"dropping-particle":"","family":"Hoffmann","given":"I.","non-dropping-particle":"","parse-names":false,"suffix":""},{"dropping-particle":"","family":"Smith","given":"P.","non-dropping-particle":"","parse-names":false,"suffix":""},{"dropping-particle":"","family":"Thornton","given":"P. K.","non-dropping-particle":"","parse-names":false,"suffix":""},{"dropping-particle":"","family":"Toulmin","given":"C.","non-dropping-particle":"","parse-names":false,"suffix":""},{"dropping-particle":"","family":"Vermeulen","given":"S. J.","non-dropping-particle":"","parse-names":false,"suffix":""},{"dropping-particle":"","family":"Godfray","given":"H. C. J.","non-dropping-particle":"","parse-names":false,"suffix":""}],"container-title":"Science","id":"ITEM-1","issue":"6141","issued":{"date-parts":[["2013","7","5"]]},"page":"33-34","title":"Sustainable intensification in agriculture: Premises and policies","type":"article-journal","volume":"341"},"uris":["http://www.mendeley.com/documents/?uuid=3df8fe37-f715-4432-9445-7474fc5fb91b"]},{"id":"ITEM-2","itemData":{"DOI":"10.1073/pnas.1116437108","ISSN":"0027-8424","abstract":"Global food demand is increasing rapidly, as are the environmental impacts of agricultural expansion. Here, we project global demand for crop production in 2050 and evaluate the environmental impacts of alternative ways that this demand might be met. We find that per capita demand for crops, when measured as caloric or protein content of all crops combined, has been a similarly increasing function of per capita real income since 1960. This relationship forecasts a 100–110% increase in global crop demand from 2005 to 2050. Quantitative assessments show that the environmental impacts of meeting this demand depend on how global agriculture expands. If current trends of greater agricultural intensification in richer nations and greater land clearing (extensification) in poorer nations were to continue, </w:instrText>
      </w:r>
      <w:r w:rsidR="00E81B2F">
        <w:rPr>
          <w:rFonts w:ascii="Cambria Math" w:hAnsi="Cambria Math" w:cs="Cambria Math"/>
          <w:color w:val="000000" w:themeColor="text1"/>
        </w:rPr>
        <w:instrText>∼</w:instrText>
      </w:r>
      <w:r w:rsidR="00E81B2F">
        <w:rPr>
          <w:color w:val="000000" w:themeColor="text1"/>
        </w:rPr>
        <w:instrText xml:space="preserve">1 billion ha of land would be cleared globally by 2050, with CO 2 -C equivalent greenhouse gas emissions reaching </w:instrText>
      </w:r>
      <w:r w:rsidR="00E81B2F">
        <w:rPr>
          <w:rFonts w:ascii="Cambria Math" w:hAnsi="Cambria Math" w:cs="Cambria Math"/>
          <w:color w:val="000000" w:themeColor="text1"/>
        </w:rPr>
        <w:instrText>∼</w:instrText>
      </w:r>
      <w:r w:rsidR="00E81B2F">
        <w:rPr>
          <w:color w:val="000000" w:themeColor="text1"/>
        </w:rPr>
        <w:instrText xml:space="preserve">3 Gt y −1 and N use </w:instrText>
      </w:r>
      <w:r w:rsidR="00E81B2F">
        <w:rPr>
          <w:rFonts w:ascii="Cambria Math" w:hAnsi="Cambria Math" w:cs="Cambria Math"/>
          <w:color w:val="000000" w:themeColor="text1"/>
        </w:rPr>
        <w:instrText>∼</w:instrText>
      </w:r>
      <w:r w:rsidR="00E81B2F">
        <w:rPr>
          <w:color w:val="000000" w:themeColor="text1"/>
        </w:rPr>
        <w:instrText xml:space="preserve">250 Mt y −1 by then. In contrast, if 2050 crop demand was met by moderate intensification focused on existing croplands of underyielding nations, adaptation and transfer of high-yielding technologies to these croplands, and global technological improvements, our analyses forecast land clearing of only </w:instrText>
      </w:r>
      <w:r w:rsidR="00E81B2F">
        <w:rPr>
          <w:rFonts w:ascii="Cambria Math" w:hAnsi="Cambria Math" w:cs="Cambria Math"/>
          <w:color w:val="000000" w:themeColor="text1"/>
        </w:rPr>
        <w:instrText>∼</w:instrText>
      </w:r>
      <w:r w:rsidR="00E81B2F">
        <w:rPr>
          <w:color w:val="000000" w:themeColor="text1"/>
        </w:rPr>
        <w:instrText xml:space="preserve">0.2 billion ha, greenhouse gas emissions of </w:instrText>
      </w:r>
      <w:r w:rsidR="00E81B2F">
        <w:rPr>
          <w:rFonts w:ascii="Cambria Math" w:hAnsi="Cambria Math" w:cs="Cambria Math"/>
          <w:color w:val="000000" w:themeColor="text1"/>
        </w:rPr>
        <w:instrText>∼</w:instrText>
      </w:r>
      <w:r w:rsidR="00E81B2F">
        <w:rPr>
          <w:color w:val="000000" w:themeColor="text1"/>
        </w:rPr>
        <w:instrText xml:space="preserve">1 Gt y −1 , and global N use of </w:instrText>
      </w:r>
      <w:r w:rsidR="00E81B2F">
        <w:rPr>
          <w:rFonts w:ascii="Cambria Math" w:hAnsi="Cambria Math" w:cs="Cambria Math"/>
          <w:color w:val="000000" w:themeColor="text1"/>
        </w:rPr>
        <w:instrText>∼</w:instrText>
      </w:r>
      <w:r w:rsidR="00E81B2F">
        <w:rPr>
          <w:color w:val="000000" w:themeColor="text1"/>
        </w:rPr>
        <w:instrText>225 Mt y −1 . Efficient management practices could substantially lower nitrogen use. Attainment of high yields on existing croplands of underyielding nations is of great importance if global crop demand is to be met with minimal environmental impacts.","author":[{"dropping-particle":"","family":"Tilman","given":"David","non-dropping-particle":"","parse-names":false,"suffix":""},{"dropping-particle":"","family":"Balzer","given":"Christian","non-dropping-particle":"","parse-names":false,"suffix":""},{"dropping-particle":"","family":"Hill","given":"Jason","non-dropping-particle":"","parse-names":false,"suffix":""},{"dropping-particle":"","family":"Befort","given":"Belinda L.","non-dropping-particle":"","parse-names":false,"suffix":""}],"container-title":"Proceedings of the National Academy of Sciences","id":"ITEM-2","issue":"50","issued":{"date-parts":[["2011","12","13"]]},"page":"20260-20264","title":"Global food demand and the sustainable intensification of agriculture","type":"article-journal","volume":"108"},"uris":["http://www.mendeley.com/documents/?uuid=16e287ef-50fe-47a1-bf98-208655b48165"]}],"mendeley":{"formattedCitation":"(Tilman et al., 2011; Garnett et al., 2013)","plainTextFormattedCitation":"(Tilman et al., 2011; Garnett et al., 2013)","previouslyFormattedCitation":"(Tilman et al., 2011; Garnett et al., 2013)"},"properties":{"noteIndex":0},"schema":"https://github.com/citation-style-language/schema/raw/master/csl-citation.json"}</w:instrText>
      </w:r>
      <w:r w:rsidRPr="009E3B36">
        <w:rPr>
          <w:b/>
          <w:color w:val="000000" w:themeColor="text1"/>
        </w:rPr>
        <w:fldChar w:fldCharType="separate"/>
      </w:r>
      <w:r w:rsidRPr="009E3B36">
        <w:rPr>
          <w:noProof/>
          <w:color w:val="000000" w:themeColor="text1"/>
        </w:rPr>
        <w:t>(Tilman et al., 2011; Garnett et al., 2013)</w:t>
      </w:r>
      <w:r w:rsidRPr="009E3B36">
        <w:rPr>
          <w:b/>
          <w:color w:val="000000" w:themeColor="text1"/>
        </w:rPr>
        <w:fldChar w:fldCharType="end"/>
      </w:r>
      <w:r w:rsidRPr="009E3B36">
        <w:rPr>
          <w:color w:val="000000" w:themeColor="text1"/>
        </w:rPr>
        <w:t xml:space="preserve">. Data presented in this thesis has suggested the possibility of increasing plant size without additional nutrition. Plants grown densely in the field, where the soil volume they can explore is shared, could be inhibiting each other’s growth due to available space and the presence of neighbours </w:t>
      </w:r>
      <w:r w:rsidRPr="009E3B36">
        <w:rPr>
          <w:b/>
          <w:color w:val="000000" w:themeColor="text1"/>
        </w:rPr>
        <w:fldChar w:fldCharType="begin" w:fldLock="1"/>
      </w:r>
      <w:r w:rsidR="003C795E">
        <w:rPr>
          <w:color w:val="000000" w:themeColor="text1"/>
        </w:rPr>
        <w:instrText>ADDIN CSL_CITATION {"citationItems":[{"id":"ITEM-1","itemData":{"DOI":"10.3389/fpls.2016.00944","ISSN":"1664-462X","PMID":"27446171","abstract":"Studies on the function of root traits and the genetic variation in these traits are often conducted under controlled conditions using individual potted plants. Little is known about root growth under field conditions and how root traits are affected by agronomic practices in particular sowing density. We hypothesized that with increasing sowing density, root length density (root length per soil volume, cm cm(-3)) increases in the topsoil as well as specific root length (root length per root dry weight, cm g(-1)) due to greater investment in fine roots. Therefore, we studied two spring barley cultivars at ten different sowing densities (24-340 seeds m(-2)) in 2 consecutive years in a clay loam field in Germany and established sowing density dose-response curves for several root and shoot traits. We took soil cores for measuring roots up to a depth of 60 cm in and between plant rows (inter-row distance 21 cm). Root length density increased with increasing sowing density and was greatest in the plant row in the topsoil (0-10 cm). Greater sowing density increased specific root length partly through greater production of fine roots in the topsoil. Rooting depth (D50) of the major root axes (root diameter class 0.4-1.0 mm) was not affected. Root mass fraction decreased, while stem mass fraction increased with sowing density and over time. Leaf mass fraction was constant over sowing density but greater leaf area was realized through increased specific leaf area. Considering fertilization, we assume that light competition caused plants to grow more shoot mass at the cost of investment into roots, which is partly compensated by increased specific root length and shallow rooting. Increased biomass per area with greater densities suggest that density increases the efficiency of the cropping system, however, declines in harvest index at densities over 230 plants m(-2) suggest that this efficiency did not translate into greater yield. We conclude that plant density is a modifier of root architecture and that root traits and their utility in breeding for greater productivity have to be understood in the context of high sowing densities.","author":[{"dropping-particle":"","family":"Hecht","given":"Vera L","non-dropping-particle":"","parse-names":false,"suffix":""},{"dropping-particle":"","family":"Temperton","given":"Vicky M","non-dropping-particle":"","parse-names":false,"suffix":""},{"dropping-particle":"","family":"Nagel","given":"Kerstin A","non-dropping-particle":"","parse-names":false,"suffix":""},{"dropping-particle":"","family":"Rascher","given":"Uwe","non-dropping-particle":"","parse-names":false,"suffix":""},{"dropping-particle":"","family":"Postma","given":"Johannes A","non-dropping-particle":"","parse-names":false,"suffix":""}],"container-title":"Frontiers in plant science","id":"ITEM-1","issued":{"date-parts":[["2016"]]},"page":"944","publisher":"Frontiers Media SA","title":"Sowing density: A neglected factor fundamentally affecting root distribution and biomass allocation of field grown spring barley (Hordeum Vulgare L.).","type":"article-journal","volume":"7"},"uris":["http://www.mendeley.com/documents/?uuid=dc1d2700-06b5-303e-bbc1-0d14b3ce1e0f"]},{"id":"ITEM-2","itemData":{"DOI":"10.1111/pce.13968","ISSN":"0140-7791","abstract":"Plant population density is an important variable in agronomy and forestry and offers an experimental way to better understand plant–plant competition. We made a meta</w:instrText>
      </w:r>
      <w:r w:rsidR="003C795E">
        <w:rPr>
          <w:rFonts w:ascii="Cambria Math" w:hAnsi="Cambria Math" w:cs="Cambria Math"/>
          <w:color w:val="000000" w:themeColor="text1"/>
        </w:rPr>
        <w:instrText>‐</w:instrText>
      </w:r>
      <w:r w:rsidR="003C795E">
        <w:rPr>
          <w:color w:val="000000" w:themeColor="text1"/>
        </w:rPr>
        <w:instrText>analysis of responses of even</w:instrText>
      </w:r>
      <w:r w:rsidR="003C795E">
        <w:rPr>
          <w:rFonts w:ascii="Cambria Math" w:hAnsi="Cambria Math" w:cs="Cambria Math"/>
          <w:color w:val="000000" w:themeColor="text1"/>
        </w:rPr>
        <w:instrText>‐</w:instrText>
      </w:r>
      <w:r w:rsidR="003C795E">
        <w:rPr>
          <w:color w:val="000000" w:themeColor="text1"/>
        </w:rPr>
        <w:instrText>aged mono</w:instrText>
      </w:r>
      <w:r w:rsidR="003C795E">
        <w:rPr>
          <w:rFonts w:ascii="Cambria Math" w:hAnsi="Cambria Math" w:cs="Cambria Math"/>
          <w:color w:val="000000" w:themeColor="text1"/>
        </w:rPr>
        <w:instrText>‐</w:instrText>
      </w:r>
      <w:r w:rsidR="003C795E">
        <w:rPr>
          <w:color w:val="000000" w:themeColor="text1"/>
        </w:rPr>
        <w:instrText>specific stands to population density by quantifying for 3 stand and 33 individual plant variables in 334 experiments how much both plant biomass and phenotypic traits change with a doubling in density. Increasing density increases standing crop per area, but decreases the mean size of its individuals, mostly through reduced tillering and branching. Among the phenotypic traits, stem diameter is negatively affected, but plant height remains remarkably similar, partly due to an increased stem length</w:instrText>
      </w:r>
      <w:r w:rsidR="003C795E">
        <w:rPr>
          <w:rFonts w:ascii="Cambria Math" w:hAnsi="Cambria Math" w:cs="Cambria Math"/>
          <w:color w:val="000000" w:themeColor="text1"/>
        </w:rPr>
        <w:instrText>‐</w:instrText>
      </w:r>
      <w:r w:rsidR="003C795E">
        <w:rPr>
          <w:color w:val="000000" w:themeColor="text1"/>
        </w:rPr>
        <w:instrText>to</w:instrText>
      </w:r>
      <w:r w:rsidR="003C795E">
        <w:rPr>
          <w:rFonts w:ascii="Cambria Math" w:hAnsi="Cambria Math" w:cs="Cambria Math"/>
          <w:color w:val="000000" w:themeColor="text1"/>
        </w:rPr>
        <w:instrText>‐</w:instrText>
      </w:r>
      <w:r w:rsidR="003C795E">
        <w:rPr>
          <w:color w:val="000000" w:themeColor="text1"/>
        </w:rPr>
        <w:instrText>mass ratio and partly by increased allocation to stems. The reduction in biomass is caused by a lower photosynthetic rate, mainly due to shading of part of the foliage. Total seed mass per plant is also strongly reduced, marginally by lower mass per seed, but mainly because of lower seed numbers. Plants generally have fewer shoot</w:instrText>
      </w:r>
      <w:r w:rsidR="003C795E">
        <w:rPr>
          <w:rFonts w:ascii="Cambria Math" w:hAnsi="Cambria Math" w:cs="Cambria Math"/>
          <w:color w:val="000000" w:themeColor="text1"/>
        </w:rPr>
        <w:instrText>‐</w:instrText>
      </w:r>
      <w:r w:rsidR="003C795E">
        <w:rPr>
          <w:color w:val="000000" w:themeColor="text1"/>
        </w:rPr>
        <w:instrText>born roots, but their overall rooting depth seems hardly affected. The phenotypic plasticity responses to high densities correlate strongly with those to low light, and less with those to low nutrients, suggesting that at high density, shading affects plants more than nutrient depletion.","author":[{"dropping-particle":"","family":"Postma","given":"Johannes A.","non-dropping-particle":"","parse-names":false,"suffix":""},{"dropping-particle":"","family":"Hecht","given":"Vera L.","non-dropping-particle":"","parse-names":false,"suffix":""},{"dropping-particle":"","family":"Hikosaka","given":"Kouki","non-dropping-particle":"","parse-names":false,"suffix":""},{"dropping-particle":"","family":"Nord","given":"Eric A.","non-dropping-particle":"","parse-names":false,"suffix":""},{"dropping-particle":"","family":"Pons","given":"Thijs L.","non-dropping-particle":"","parse-names":false,"suffix":""},{"dropping-particle":"","family":"Poorter","given":"Hendrik","non-dropping-particle":"","parse-names":false,"suffix":""}],"container-title":"Plant, Cell &amp; Environment","id":"ITEM-2","issue":"4","issued":{"date-parts":[["2021","4","29"]]},"page":"1072-1094","title":"Dividing the pie: A quantitative review on plant density responses","type":"article-journal","volume":"44"},"uris":["http://www.mendeley.com/documents/?uuid=00cd269a-084b-483e-b7b2-ab64257dc25a"]},{"id":"ITEM-3","itemData":{"DOI":"10.2134/agronj14.0522","ISSN":"0002-1962","abstract":"Modern maize ( Zea mays L.) hybrids are generally regarded as strongly population dependent because maximum grain yields (GYs) per area are achieved primarily in high</w:instrText>
      </w:r>
      <w:r w:rsidR="003C795E">
        <w:rPr>
          <w:rFonts w:ascii="Cambria Math" w:hAnsi="Cambria Math" w:cs="Cambria Math"/>
          <w:color w:val="000000" w:themeColor="text1"/>
        </w:rPr>
        <w:instrText>‐</w:instrText>
      </w:r>
      <w:r w:rsidR="003C795E">
        <w:rPr>
          <w:color w:val="000000" w:themeColor="text1"/>
        </w:rPr>
        <w:instrText>density populations. This study was conducted to analyze changes in density independence with plant density based on the response of GY, dry matter (DM) accumulation, and the harvest index (HI) to changes in plant density. Two modern cultivars, ZhengDan958 and ZhongDan909, were planted at 12 densities ranging from 1.5 to 18 plants m −2 . The experiment was conducted for 3 yr, with drip irrigation and plastic mulching, at the 71 Group and Qitai Farms located in Xinjiang, China. With increased plant density, DM accumulation per area increased logarithmically, the HI decreased according to a cubic curve, and GY per area increased quadratically; the optimum density was 10.57 plants m −2 . Further analysis showed that the response of GY per area, DM per area, and the HI to changes in plant density could be divided into four density ranges: Range I (≤4.7 plants m −2 ), in which DM per area, the HI, and GY per area were significantly affected by density; Range II (4.7–8.3 plants m −2 ), in which the HI was unaffected by density but DM per area and GY per area were significantly affected; Range III (8.3–10.75 plants m −2 ), in which GY per area was unaffected by density but DM per area and the HI were significantly affected; and Range IV (≥10.7 plants m −2 ), in which DM per area was unaffected by density but the HI and GY per area were significantly affected. These results indicated that Range II is a density</w:instrText>
      </w:r>
      <w:r w:rsidR="003C795E">
        <w:rPr>
          <w:rFonts w:ascii="Cambria Math" w:hAnsi="Cambria Math" w:cs="Cambria Math"/>
          <w:color w:val="000000" w:themeColor="text1"/>
        </w:rPr>
        <w:instrText>‐</w:instrText>
      </w:r>
      <w:r w:rsidR="003C795E">
        <w:rPr>
          <w:color w:val="000000" w:themeColor="text1"/>
        </w:rPr>
        <w:instrText>independent range and Range III is a GY</w:instrText>
      </w:r>
      <w:r w:rsidR="003C795E">
        <w:rPr>
          <w:rFonts w:ascii="Cambria Math" w:hAnsi="Cambria Math" w:cs="Cambria Math"/>
          <w:color w:val="000000" w:themeColor="text1"/>
        </w:rPr>
        <w:instrText>‐</w:instrText>
      </w:r>
      <w:r w:rsidR="003C795E">
        <w:rPr>
          <w:color w:val="000000" w:themeColor="text1"/>
        </w:rPr>
        <w:instrText>stable range.","author":[{"dropping-particle":"","family":"Li","given":"J.","non-dropping-particle":"","parse-names":false,"suffix":""},{"dropping-particle":"","family":"Xie","given":"R. Z.","non-dropping-particle":"","parse-names":false,"suffix":""},{"dropping-particle":"","family":"Wang","given":"K. R.","non-dropping-particle":"","parse-names":false,"suffix":""},{"dropping-particle":"","family":"Ming","given":"B.","non-dropping-particle":"","parse-names":false,"suffix":""},{"dropping-particle":"","family":"Guo","given":"Y. Q.","non-dropping-particle":"","parse-names":false,"suffix":""},{"dropping-particle":"","family":"Zhang","given":"G. Q.","non-dropping-particle":"","parse-names":false,"suffix":""},{"dropping-particle":"","family":"Li","given":"S. K.","non-dropping-particle":"","parse-names":false,"suffix":""}],"container-title":"Agronomy Journal","id":"ITEM-3","issue":"3","issued":{"date-parts":[["2015","5"]]},"page":"829-834","title":"Variations in maize dry matter, harvest index, and grain yield with plant density","type":"article-journal","volume":"107"},"uris":["http://www.mendeley.com/documents/?uuid=9f7a23e4-a771-4c4e-ad33-27fc70eb0667"]}],"mendeley":{"formattedCitation":"(Li et al., 2015; Hecht et al., 2016; Postma et al., 2021)","plainTextFormattedCitation":"(Li et al., 2015; Hecht et al., 2016; Postma et al., 2021)","previouslyFormattedCitation":"(Li et al., 2015; Hecht et al., 2016; Postma et al., 2021)"},"properties":{"noteIndex":0},"schema":"https://github.com/citation-style-language/schema/raw/master/csl-citation.json"}</w:instrText>
      </w:r>
      <w:r w:rsidRPr="009E3B36">
        <w:rPr>
          <w:b/>
          <w:color w:val="000000" w:themeColor="text1"/>
        </w:rPr>
        <w:fldChar w:fldCharType="separate"/>
      </w:r>
      <w:r w:rsidRPr="009E3B36">
        <w:rPr>
          <w:noProof/>
          <w:color w:val="000000" w:themeColor="text1"/>
        </w:rPr>
        <w:t>(Li et al., 2015; Hecht et al., 2016; Postma et al., 2021)</w:t>
      </w:r>
      <w:r w:rsidRPr="009E3B36">
        <w:rPr>
          <w:b/>
          <w:color w:val="000000" w:themeColor="text1"/>
        </w:rPr>
        <w:fldChar w:fldCharType="end"/>
      </w:r>
      <w:r w:rsidRPr="009E3B36">
        <w:rPr>
          <w:color w:val="000000" w:themeColor="text1"/>
        </w:rPr>
        <w:t xml:space="preserve">. Subsequently, additional fertiliser inputs may be being ‘ignored’ by the plant due to detection of space limitations/neighbour density. From work presented in this thesis, by providing increased space between plants in field settings, this could ensure that SVS is diluted in a larger soil volume preventing inhibition of shoot growth early in life allowing crops to grow larger, furthermore additional space would ensure that the density of roots in the environment would not rise as quickly. However, if lines were bred in which SVS and RDS exudation were reduced this could allow for plants to perceive they have more space than they actually do in high density scenarios. </w:t>
      </w:r>
      <w:r w:rsidRPr="00C92992">
        <w:rPr>
          <w:color w:val="000000" w:themeColor="text1"/>
        </w:rPr>
        <w:t>This however would need to be carefully managed, as this would only be beneficial so long as the plants do not grow too large for the resources available to them. Thus</w:t>
      </w:r>
      <w:r>
        <w:rPr>
          <w:b/>
        </w:rPr>
        <w:t>,</w:t>
      </w:r>
      <w:r w:rsidRPr="00C92992">
        <w:rPr>
          <w:color w:val="000000" w:themeColor="text1"/>
        </w:rPr>
        <w:t xml:space="preserve"> the major message from this thesis is that more detailed understanding of how SVS and RDS behave in </w:t>
      </w:r>
      <w:r w:rsidR="00550C7B" w:rsidRPr="00C92992">
        <w:rPr>
          <w:color w:val="000000" w:themeColor="text1"/>
        </w:rPr>
        <w:t>agricultur</w:t>
      </w:r>
      <w:r w:rsidR="00550C7B">
        <w:rPr>
          <w:color w:val="000000" w:themeColor="text1"/>
        </w:rPr>
        <w:t>al</w:t>
      </w:r>
      <w:r w:rsidR="00550C7B" w:rsidRPr="00C92992">
        <w:rPr>
          <w:color w:val="000000" w:themeColor="text1"/>
        </w:rPr>
        <w:t xml:space="preserve"> </w:t>
      </w:r>
      <w:r w:rsidRPr="00C92992">
        <w:rPr>
          <w:color w:val="000000" w:themeColor="text1"/>
        </w:rPr>
        <w:t xml:space="preserve">settings </w:t>
      </w:r>
      <w:r w:rsidRPr="00C92992">
        <w:rPr>
          <w:color w:val="000000" w:themeColor="text1"/>
        </w:rPr>
        <w:lastRenderedPageBreak/>
        <w:t xml:space="preserve">could unlock the potential to increase yields in crop production without the need for additional fertiliser inputs. </w:t>
      </w:r>
    </w:p>
    <w:p w14:paraId="23803389" w14:textId="77777777" w:rsidR="0061630E" w:rsidRDefault="0061630E" w:rsidP="0061630E"/>
    <w:p w14:paraId="3C86CA16" w14:textId="77777777" w:rsidR="00A7289E" w:rsidRDefault="00A7289E" w:rsidP="0061630E"/>
    <w:p w14:paraId="1114EF5E" w14:textId="77777777" w:rsidR="00A7289E" w:rsidRDefault="00A7289E" w:rsidP="0061630E"/>
    <w:p w14:paraId="398D2D18" w14:textId="77777777" w:rsidR="00A7289E" w:rsidRDefault="00A7289E" w:rsidP="0061630E"/>
    <w:p w14:paraId="5C333B34" w14:textId="77777777" w:rsidR="00A7289E" w:rsidRDefault="00A7289E" w:rsidP="0061630E"/>
    <w:p w14:paraId="50D18BEF" w14:textId="77777777" w:rsidR="00A7289E" w:rsidRDefault="00A7289E" w:rsidP="0061630E"/>
    <w:p w14:paraId="2DAEDE44" w14:textId="77777777" w:rsidR="00A7289E" w:rsidRDefault="00A7289E" w:rsidP="0061630E"/>
    <w:p w14:paraId="0085CADD" w14:textId="77777777" w:rsidR="00A7289E" w:rsidRDefault="00A7289E" w:rsidP="0061630E"/>
    <w:p w14:paraId="4BCB5E7C" w14:textId="77777777" w:rsidR="00A7289E" w:rsidRDefault="00A7289E" w:rsidP="0061630E"/>
    <w:p w14:paraId="01AD55EA" w14:textId="77777777" w:rsidR="00A7289E" w:rsidRDefault="00A7289E" w:rsidP="0061630E"/>
    <w:p w14:paraId="0535E85A" w14:textId="77777777" w:rsidR="00A7289E" w:rsidRDefault="00A7289E" w:rsidP="0061630E"/>
    <w:p w14:paraId="429C0609" w14:textId="77777777" w:rsidR="00A7289E" w:rsidRDefault="00A7289E" w:rsidP="0061630E"/>
    <w:p w14:paraId="2661A8C6" w14:textId="77777777" w:rsidR="00A7289E" w:rsidRDefault="00A7289E" w:rsidP="0061630E"/>
    <w:p w14:paraId="7F327E69" w14:textId="77777777" w:rsidR="00A7289E" w:rsidRDefault="00A7289E" w:rsidP="0061630E"/>
    <w:p w14:paraId="1C84C214" w14:textId="77777777" w:rsidR="00A7289E" w:rsidRDefault="00A7289E" w:rsidP="0061630E"/>
    <w:p w14:paraId="64570C02" w14:textId="77777777" w:rsidR="00A7289E" w:rsidRDefault="00A7289E" w:rsidP="0061630E"/>
    <w:p w14:paraId="74171E90" w14:textId="77777777" w:rsidR="00A7289E" w:rsidRDefault="00A7289E" w:rsidP="0061630E"/>
    <w:p w14:paraId="0BF7F615" w14:textId="77777777" w:rsidR="00A7289E" w:rsidRDefault="00A7289E" w:rsidP="0061630E"/>
    <w:p w14:paraId="433548A7" w14:textId="77777777" w:rsidR="00A7289E" w:rsidRDefault="00A7289E" w:rsidP="0061630E"/>
    <w:p w14:paraId="742A265B" w14:textId="77777777" w:rsidR="00A7289E" w:rsidRDefault="00A7289E" w:rsidP="0061630E"/>
    <w:p w14:paraId="1B6AA16B" w14:textId="77777777" w:rsidR="00A7289E" w:rsidRDefault="00A7289E" w:rsidP="0061630E"/>
    <w:p w14:paraId="5F24AF88" w14:textId="77777777" w:rsidR="00A7289E" w:rsidRDefault="00A7289E" w:rsidP="0061630E"/>
    <w:p w14:paraId="491FFDA8" w14:textId="77777777" w:rsidR="00A7289E" w:rsidRDefault="00A7289E" w:rsidP="0061630E"/>
    <w:p w14:paraId="0CC29C71" w14:textId="77777777" w:rsidR="00A7289E" w:rsidRPr="0061630E" w:rsidRDefault="00A7289E" w:rsidP="0061630E"/>
    <w:p w14:paraId="288A9ADC" w14:textId="77777777" w:rsidR="00AA08C2" w:rsidRDefault="00256141" w:rsidP="00F3071B">
      <w:pPr>
        <w:pStyle w:val="Heading1"/>
        <w:numPr>
          <w:ilvl w:val="0"/>
          <w:numId w:val="0"/>
        </w:numPr>
      </w:pPr>
      <w:bookmarkStart w:id="246" w:name="_Toc154331514"/>
      <w:r>
        <w:lastRenderedPageBreak/>
        <w:t>Bibliography</w:t>
      </w:r>
      <w:bookmarkEnd w:id="246"/>
    </w:p>
    <w:p w14:paraId="6863B599" w14:textId="77777777" w:rsidR="00AA08C2" w:rsidRPr="00AA08C2" w:rsidRDefault="00AA08C2" w:rsidP="00AA08C2"/>
    <w:p w14:paraId="1A3F8104" w14:textId="2F491C83" w:rsidR="00540661" w:rsidRPr="00540661" w:rsidRDefault="0008677B" w:rsidP="00540661">
      <w:pPr>
        <w:widowControl w:val="0"/>
        <w:autoSpaceDE w:val="0"/>
        <w:autoSpaceDN w:val="0"/>
        <w:adjustRightInd w:val="0"/>
        <w:spacing w:line="240" w:lineRule="atLeast"/>
        <w:ind w:left="480" w:hanging="480"/>
        <w:rPr>
          <w:noProof/>
          <w:szCs w:val="24"/>
        </w:rPr>
      </w:pPr>
      <w:r>
        <w:fldChar w:fldCharType="begin" w:fldLock="1"/>
      </w:r>
      <w:r>
        <w:instrText xml:space="preserve">ADDIN Mendeley Bibliography CSL_BIBLIOGRAPHY </w:instrText>
      </w:r>
      <w:r>
        <w:fldChar w:fldCharType="separate"/>
      </w:r>
      <w:r w:rsidR="00540661" w:rsidRPr="00540661">
        <w:rPr>
          <w:noProof/>
          <w:szCs w:val="24"/>
        </w:rPr>
        <w:t xml:space="preserve">Abe, S., Sado, A., Tanaka, K., Kisugi, T., Asami, K., Ota, S., Il Kim, H., Yoneyama, Kaori, Xie, X., Ohnishi, T., Seto, Y., Yamaguchi, S., Akiyama, K., Yoneyama, Koichi and Nomura, T. 2014. Carlactone is converted to carlactonoic acid by MAX1 in Arabidopsis and its methyl ester can directly interact with AtD14 in vitro. </w:t>
      </w:r>
      <w:r w:rsidR="00540661" w:rsidRPr="00540661">
        <w:rPr>
          <w:i/>
          <w:iCs/>
          <w:noProof/>
          <w:szCs w:val="24"/>
        </w:rPr>
        <w:t>Proceedings of the National Academy of Sciences of the United States of America</w:t>
      </w:r>
      <w:r w:rsidR="00540661" w:rsidRPr="00540661">
        <w:rPr>
          <w:noProof/>
          <w:szCs w:val="24"/>
        </w:rPr>
        <w:t xml:space="preserve">. </w:t>
      </w:r>
      <w:r w:rsidR="00540661" w:rsidRPr="00540661">
        <w:rPr>
          <w:b/>
          <w:bCs/>
          <w:noProof/>
          <w:szCs w:val="24"/>
        </w:rPr>
        <w:t>111</w:t>
      </w:r>
      <w:r w:rsidR="00540661" w:rsidRPr="00540661">
        <w:rPr>
          <w:noProof/>
          <w:szCs w:val="24"/>
        </w:rPr>
        <w:t>(50), pp.18084–18089.</w:t>
      </w:r>
    </w:p>
    <w:p w14:paraId="114541F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AHDB Cereals &amp; Oilseeds 2023a. </w:t>
      </w:r>
      <w:r w:rsidRPr="00540661">
        <w:rPr>
          <w:i/>
          <w:iCs/>
          <w:noProof/>
          <w:szCs w:val="24"/>
        </w:rPr>
        <w:t>Barley Growth Guide</w:t>
      </w:r>
      <w:r w:rsidRPr="00540661">
        <w:rPr>
          <w:noProof/>
          <w:szCs w:val="24"/>
        </w:rPr>
        <w:t xml:space="preserve"> [Online]. Coventry: Agriculture and Horticulture Development Board. Available from: https://ahdb.org.uk/knowledge-library/barley-growth-guide.</w:t>
      </w:r>
    </w:p>
    <w:p w14:paraId="2901179F"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AHDB Cereals &amp; Oilseeds 2023b. </w:t>
      </w:r>
      <w:r w:rsidRPr="00540661">
        <w:rPr>
          <w:i/>
          <w:iCs/>
          <w:noProof/>
          <w:szCs w:val="24"/>
        </w:rPr>
        <w:t>Wheat Growth Guide</w:t>
      </w:r>
      <w:r w:rsidRPr="00540661">
        <w:rPr>
          <w:noProof/>
          <w:szCs w:val="24"/>
        </w:rPr>
        <w:t xml:space="preserve"> [Online]. Coventry: Agriculture and Horticulture Development Board. Available from: https://ahdb.org.uk/knowledge-library/wheat-growth-guide.</w:t>
      </w:r>
    </w:p>
    <w:p w14:paraId="29F3F5A5"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Akiyama, K., Matsuzaki, K.I. and Hayashi, H. 2005. Plant sesquiterpenes induce hyphal branching in arbuscular mycorrhizal fungi. </w:t>
      </w:r>
      <w:r w:rsidRPr="00540661">
        <w:rPr>
          <w:i/>
          <w:iCs/>
          <w:noProof/>
          <w:szCs w:val="24"/>
        </w:rPr>
        <w:t>Nature</w:t>
      </w:r>
      <w:r w:rsidRPr="00540661">
        <w:rPr>
          <w:noProof/>
          <w:szCs w:val="24"/>
        </w:rPr>
        <w:t xml:space="preserve">. </w:t>
      </w:r>
      <w:r w:rsidRPr="00540661">
        <w:rPr>
          <w:b/>
          <w:bCs/>
          <w:noProof/>
          <w:szCs w:val="24"/>
        </w:rPr>
        <w:t>435</w:t>
      </w:r>
      <w:r w:rsidRPr="00540661">
        <w:rPr>
          <w:noProof/>
          <w:szCs w:val="24"/>
        </w:rPr>
        <w:t>(7043), pp.824–827.</w:t>
      </w:r>
    </w:p>
    <w:p w14:paraId="0F238E57"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Al-Chalabi, M. 2015. Vertical farming: Skyscraper sustainability? </w:t>
      </w:r>
      <w:r w:rsidRPr="00540661">
        <w:rPr>
          <w:i/>
          <w:iCs/>
          <w:noProof/>
          <w:szCs w:val="24"/>
        </w:rPr>
        <w:t>Sustainable Cities and Society</w:t>
      </w:r>
      <w:r w:rsidRPr="00540661">
        <w:rPr>
          <w:noProof/>
          <w:szCs w:val="24"/>
        </w:rPr>
        <w:t xml:space="preserve">. </w:t>
      </w:r>
      <w:r w:rsidRPr="00540661">
        <w:rPr>
          <w:b/>
          <w:bCs/>
          <w:noProof/>
          <w:szCs w:val="24"/>
        </w:rPr>
        <w:t>18</w:t>
      </w:r>
      <w:r w:rsidRPr="00540661">
        <w:rPr>
          <w:noProof/>
          <w:szCs w:val="24"/>
        </w:rPr>
        <w:t>, pp.74–77.</w:t>
      </w:r>
    </w:p>
    <w:p w14:paraId="62185973"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Al-Kodmany, K. 2018. The Vertical Farm: A Review of Developments and Implications for the Vertical City. </w:t>
      </w:r>
      <w:r w:rsidRPr="00540661">
        <w:rPr>
          <w:i/>
          <w:iCs/>
          <w:noProof/>
          <w:szCs w:val="24"/>
        </w:rPr>
        <w:t>Buildings</w:t>
      </w:r>
      <w:r w:rsidRPr="00540661">
        <w:rPr>
          <w:noProof/>
          <w:szCs w:val="24"/>
        </w:rPr>
        <w:t xml:space="preserve">. </w:t>
      </w:r>
      <w:r w:rsidRPr="00540661">
        <w:rPr>
          <w:b/>
          <w:bCs/>
          <w:noProof/>
          <w:szCs w:val="24"/>
        </w:rPr>
        <w:t>8</w:t>
      </w:r>
      <w:r w:rsidRPr="00540661">
        <w:rPr>
          <w:noProof/>
          <w:szCs w:val="24"/>
        </w:rPr>
        <w:t>(2), p.24.</w:t>
      </w:r>
    </w:p>
    <w:p w14:paraId="5B2C734F"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Alder, A., Jamil, M., Marzorati, M., Bruno, M., Vermathen, M., Bigler, P., Ghisla, S., Bouwmeester, H., Beyer, P. and Al-Babili, S. 2012. The path from β-carotene to carlactone, a strigolactone-like plant hormone. </w:t>
      </w:r>
      <w:r w:rsidRPr="00540661">
        <w:rPr>
          <w:i/>
          <w:iCs/>
          <w:noProof/>
          <w:szCs w:val="24"/>
        </w:rPr>
        <w:t>Science</w:t>
      </w:r>
      <w:r w:rsidRPr="00540661">
        <w:rPr>
          <w:noProof/>
          <w:szCs w:val="24"/>
        </w:rPr>
        <w:t xml:space="preserve">. </w:t>
      </w:r>
      <w:r w:rsidRPr="00540661">
        <w:rPr>
          <w:b/>
          <w:bCs/>
          <w:noProof/>
          <w:szCs w:val="24"/>
        </w:rPr>
        <w:t>335</w:t>
      </w:r>
      <w:r w:rsidRPr="00540661">
        <w:rPr>
          <w:noProof/>
          <w:szCs w:val="24"/>
        </w:rPr>
        <w:t>(6074), pp.1348–1351.</w:t>
      </w:r>
    </w:p>
    <w:p w14:paraId="53507211"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Andolfo, G., Ruocco, M., Di Donato, A., Frusciante, L., Lorito, M., Scala, F. and Ercolano, M.R. 2015. Genetic variability and evolutionary diversification of membrane ABC transporters in plants. </w:t>
      </w:r>
      <w:r w:rsidRPr="00540661">
        <w:rPr>
          <w:i/>
          <w:iCs/>
          <w:noProof/>
          <w:szCs w:val="24"/>
        </w:rPr>
        <w:t>BMC Plant Biology</w:t>
      </w:r>
      <w:r w:rsidRPr="00540661">
        <w:rPr>
          <w:noProof/>
          <w:szCs w:val="24"/>
        </w:rPr>
        <w:t xml:space="preserve">. </w:t>
      </w:r>
      <w:r w:rsidRPr="00540661">
        <w:rPr>
          <w:b/>
          <w:bCs/>
          <w:noProof/>
          <w:szCs w:val="24"/>
        </w:rPr>
        <w:t>15</w:t>
      </w:r>
      <w:r w:rsidRPr="00540661">
        <w:rPr>
          <w:noProof/>
          <w:szCs w:val="24"/>
        </w:rPr>
        <w:t>(1), p.51.</w:t>
      </w:r>
    </w:p>
    <w:p w14:paraId="5034E43F"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Anten, N.P.R. and Chen, B.J.W. 2021. Detect thy family: Mechanisms, ecology and agricultural aspects of kin recognition in plants. </w:t>
      </w:r>
      <w:r w:rsidRPr="00540661">
        <w:rPr>
          <w:i/>
          <w:iCs/>
          <w:noProof/>
          <w:szCs w:val="24"/>
        </w:rPr>
        <w:t>Plant, Cell &amp; Environment</w:t>
      </w:r>
      <w:r w:rsidRPr="00540661">
        <w:rPr>
          <w:noProof/>
          <w:szCs w:val="24"/>
        </w:rPr>
        <w:t xml:space="preserve">. </w:t>
      </w:r>
      <w:r w:rsidRPr="00540661">
        <w:rPr>
          <w:b/>
          <w:bCs/>
          <w:noProof/>
          <w:szCs w:val="24"/>
        </w:rPr>
        <w:t>44</w:t>
      </w:r>
      <w:r w:rsidRPr="00540661">
        <w:rPr>
          <w:noProof/>
          <w:szCs w:val="24"/>
        </w:rPr>
        <w:t>(4), pp.1059–1071.</w:t>
      </w:r>
    </w:p>
    <w:p w14:paraId="18251836"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Bais, H.P., Vepachedu, R., Gilroy, S., Callaway, R.M. and Vivanco, J.M. 2003. Allelopathy and exotic plant invasion: From molecules and genes to species interactions. </w:t>
      </w:r>
      <w:r w:rsidRPr="00540661">
        <w:rPr>
          <w:i/>
          <w:iCs/>
          <w:noProof/>
          <w:szCs w:val="24"/>
        </w:rPr>
        <w:t>Science</w:t>
      </w:r>
      <w:r w:rsidRPr="00540661">
        <w:rPr>
          <w:noProof/>
          <w:szCs w:val="24"/>
        </w:rPr>
        <w:t xml:space="preserve">. </w:t>
      </w:r>
      <w:r w:rsidRPr="00540661">
        <w:rPr>
          <w:b/>
          <w:bCs/>
          <w:noProof/>
          <w:szCs w:val="24"/>
        </w:rPr>
        <w:t>301</w:t>
      </w:r>
      <w:r w:rsidRPr="00540661">
        <w:rPr>
          <w:noProof/>
          <w:szCs w:val="24"/>
        </w:rPr>
        <w:t>(5638), pp.1377–1380.</w:t>
      </w:r>
    </w:p>
    <w:p w14:paraId="621E827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Bakker, P.A.H.M., Berendsen, R.L., Doornbos, R.F., Wintermans, P.C.A. and Pieterse, C.M.J. 2013. The rhizosphere revisited: root microbiomics. </w:t>
      </w:r>
      <w:r w:rsidRPr="00540661">
        <w:rPr>
          <w:i/>
          <w:iCs/>
          <w:noProof/>
          <w:szCs w:val="24"/>
        </w:rPr>
        <w:t>Frontiers in Plant Science</w:t>
      </w:r>
      <w:r w:rsidRPr="00540661">
        <w:rPr>
          <w:noProof/>
          <w:szCs w:val="24"/>
        </w:rPr>
        <w:t xml:space="preserve">. </w:t>
      </w:r>
      <w:r w:rsidRPr="00540661">
        <w:rPr>
          <w:b/>
          <w:bCs/>
          <w:noProof/>
          <w:szCs w:val="24"/>
        </w:rPr>
        <w:t>4</w:t>
      </w:r>
      <w:r w:rsidRPr="00540661">
        <w:rPr>
          <w:noProof/>
          <w:szCs w:val="24"/>
        </w:rPr>
        <w:t>.</w:t>
      </w:r>
    </w:p>
    <w:p w14:paraId="4781026D"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Bar-Tal, A., Feigin, A., Sheinfeld, S., Rosenberg, R., Sternbaum, B., Rylski, I. and Pressman, E. 1995. Root restriction and N-NO3 solution concentration effects on nutrient uptake, transpiration and dry matter production of tomato. </w:t>
      </w:r>
      <w:r w:rsidRPr="00540661">
        <w:rPr>
          <w:i/>
          <w:iCs/>
          <w:noProof/>
          <w:szCs w:val="24"/>
        </w:rPr>
        <w:t>Scientia Horticulturae</w:t>
      </w:r>
      <w:r w:rsidRPr="00540661">
        <w:rPr>
          <w:noProof/>
          <w:szCs w:val="24"/>
        </w:rPr>
        <w:t xml:space="preserve">. </w:t>
      </w:r>
      <w:r w:rsidRPr="00540661">
        <w:rPr>
          <w:b/>
          <w:bCs/>
          <w:noProof/>
          <w:szCs w:val="24"/>
        </w:rPr>
        <w:t>63</w:t>
      </w:r>
      <w:r w:rsidRPr="00540661">
        <w:rPr>
          <w:noProof/>
          <w:szCs w:val="24"/>
        </w:rPr>
        <w:t>(3–4), pp.195–208.</w:t>
      </w:r>
    </w:p>
    <w:p w14:paraId="3B46E398"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Bar-Tal, A. and Pressman, E. 1996. Root restriction and potassium and calcium solution concentrations affect dry-matter production, cation </w:t>
      </w:r>
      <w:r w:rsidRPr="00540661">
        <w:rPr>
          <w:noProof/>
          <w:szCs w:val="24"/>
        </w:rPr>
        <w:lastRenderedPageBreak/>
        <w:t xml:space="preserve">uptake, and blossom-end rot in greenhouse tomato. </w:t>
      </w:r>
      <w:r w:rsidRPr="00540661">
        <w:rPr>
          <w:i/>
          <w:iCs/>
          <w:noProof/>
          <w:szCs w:val="24"/>
        </w:rPr>
        <w:t>Journal of the American Society for Horticultural Science</w:t>
      </w:r>
      <w:r w:rsidRPr="00540661">
        <w:rPr>
          <w:noProof/>
          <w:szCs w:val="24"/>
        </w:rPr>
        <w:t xml:space="preserve">. </w:t>
      </w:r>
      <w:r w:rsidRPr="00540661">
        <w:rPr>
          <w:b/>
          <w:bCs/>
          <w:noProof/>
          <w:szCs w:val="24"/>
        </w:rPr>
        <w:t>121</w:t>
      </w:r>
      <w:r w:rsidRPr="00540661">
        <w:rPr>
          <w:noProof/>
          <w:szCs w:val="24"/>
        </w:rPr>
        <w:t>(4), pp.649–655.</w:t>
      </w:r>
    </w:p>
    <w:p w14:paraId="29960973"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Bengough, A.G. 2003. Root Growth and Function in Relation to Soil Structure, Composition, and Strength </w:t>
      </w:r>
      <w:r w:rsidRPr="00540661">
        <w:rPr>
          <w:i/>
          <w:iCs/>
          <w:noProof/>
          <w:szCs w:val="24"/>
        </w:rPr>
        <w:t>In</w:t>
      </w:r>
      <w:r w:rsidRPr="00540661">
        <w:rPr>
          <w:noProof/>
          <w:szCs w:val="24"/>
        </w:rPr>
        <w:t xml:space="preserve">: </w:t>
      </w:r>
      <w:r w:rsidRPr="00540661">
        <w:rPr>
          <w:i/>
          <w:iCs/>
          <w:noProof/>
          <w:szCs w:val="24"/>
        </w:rPr>
        <w:t>Root ecology</w:t>
      </w:r>
      <w:r w:rsidRPr="00540661">
        <w:rPr>
          <w:noProof/>
          <w:szCs w:val="24"/>
        </w:rPr>
        <w:t xml:space="preserve"> [Online]. Berlin, Germany: Springer-Verlag, pp.151–171. Available from: https://link.springer.com/10.1007/978-3-662-09784-7_6.</w:t>
      </w:r>
    </w:p>
    <w:p w14:paraId="7BF54256"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Bennett, T., Liang, Y., Seale, M., Ward, S., Müller, D. and Leyser, O. 2016. Strigolactone regulates shoot development through a core signalling pathway. </w:t>
      </w:r>
      <w:r w:rsidRPr="00540661">
        <w:rPr>
          <w:i/>
          <w:iCs/>
          <w:noProof/>
          <w:szCs w:val="24"/>
        </w:rPr>
        <w:t>Biology Open</w:t>
      </w:r>
      <w:r w:rsidRPr="00540661">
        <w:rPr>
          <w:noProof/>
          <w:szCs w:val="24"/>
        </w:rPr>
        <w:t xml:space="preserve">. </w:t>
      </w:r>
      <w:r w:rsidRPr="00540661">
        <w:rPr>
          <w:b/>
          <w:bCs/>
          <w:noProof/>
          <w:szCs w:val="24"/>
        </w:rPr>
        <w:t>5</w:t>
      </w:r>
      <w:r w:rsidRPr="00540661">
        <w:rPr>
          <w:noProof/>
          <w:szCs w:val="24"/>
        </w:rPr>
        <w:t>(12), pp.1806–1820.</w:t>
      </w:r>
    </w:p>
    <w:p w14:paraId="0AFEDAF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Berardini, T.Z., Reiser, L., Li, D., Mezheritsky, Y., Muller, R., Strait, E. and Huala, E. 2015. The Arabidopsis information resource: Making and mining the “gold standard” annotated reference plant genome. </w:t>
      </w:r>
      <w:r w:rsidRPr="00540661">
        <w:rPr>
          <w:i/>
          <w:iCs/>
          <w:noProof/>
          <w:szCs w:val="24"/>
        </w:rPr>
        <w:t>Genesis</w:t>
      </w:r>
      <w:r w:rsidRPr="00540661">
        <w:rPr>
          <w:noProof/>
          <w:szCs w:val="24"/>
        </w:rPr>
        <w:t xml:space="preserve">. </w:t>
      </w:r>
      <w:r w:rsidRPr="00540661">
        <w:rPr>
          <w:b/>
          <w:bCs/>
          <w:noProof/>
          <w:szCs w:val="24"/>
        </w:rPr>
        <w:t>53</w:t>
      </w:r>
      <w:r w:rsidRPr="00540661">
        <w:rPr>
          <w:noProof/>
          <w:szCs w:val="24"/>
        </w:rPr>
        <w:t>(8), pp.474–485.</w:t>
      </w:r>
    </w:p>
    <w:p w14:paraId="6E23548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Berendsen, R.L., Pieterse, C.M.J. and Bakker, P.A.H.M. 2012. The rhizosphere microbiome and plant health. </w:t>
      </w:r>
      <w:r w:rsidRPr="00540661">
        <w:rPr>
          <w:i/>
          <w:iCs/>
          <w:noProof/>
          <w:szCs w:val="24"/>
        </w:rPr>
        <w:t>Trends in Plant Science</w:t>
      </w:r>
      <w:r w:rsidRPr="00540661">
        <w:rPr>
          <w:noProof/>
          <w:szCs w:val="24"/>
        </w:rPr>
        <w:t xml:space="preserve">. </w:t>
      </w:r>
      <w:r w:rsidRPr="00540661">
        <w:rPr>
          <w:b/>
          <w:bCs/>
          <w:noProof/>
          <w:szCs w:val="24"/>
        </w:rPr>
        <w:t>17</w:t>
      </w:r>
      <w:r w:rsidRPr="00540661">
        <w:rPr>
          <w:noProof/>
          <w:szCs w:val="24"/>
        </w:rPr>
        <w:t>(8), pp.478–486.</w:t>
      </w:r>
    </w:p>
    <w:p w14:paraId="5C6DAEB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Bertholdsson, N.-O. 2004. Variation in allelopathic activity over 100 years of barley selection and breeding. </w:t>
      </w:r>
      <w:r w:rsidRPr="00540661">
        <w:rPr>
          <w:i/>
          <w:iCs/>
          <w:noProof/>
          <w:szCs w:val="24"/>
        </w:rPr>
        <w:t>Weed Research</w:t>
      </w:r>
      <w:r w:rsidRPr="00540661">
        <w:rPr>
          <w:noProof/>
          <w:szCs w:val="24"/>
        </w:rPr>
        <w:t xml:space="preserve">. </w:t>
      </w:r>
      <w:r w:rsidRPr="00540661">
        <w:rPr>
          <w:b/>
          <w:bCs/>
          <w:noProof/>
          <w:szCs w:val="24"/>
        </w:rPr>
        <w:t>44</w:t>
      </w:r>
      <w:r w:rsidRPr="00540661">
        <w:rPr>
          <w:noProof/>
          <w:szCs w:val="24"/>
        </w:rPr>
        <w:t>(2), pp.78–86.</w:t>
      </w:r>
    </w:p>
    <w:p w14:paraId="76D51C1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Bertin, C., Yang, X. and Weston, L.A. 2003. The role of root exudates and allelochemicals in the rhizosphere. </w:t>
      </w:r>
      <w:r w:rsidRPr="00540661">
        <w:rPr>
          <w:i/>
          <w:iCs/>
          <w:noProof/>
          <w:szCs w:val="24"/>
        </w:rPr>
        <w:t>Plant and Soil</w:t>
      </w:r>
      <w:r w:rsidRPr="00540661">
        <w:rPr>
          <w:noProof/>
          <w:szCs w:val="24"/>
        </w:rPr>
        <w:t xml:space="preserve">. </w:t>
      </w:r>
      <w:r w:rsidRPr="00540661">
        <w:rPr>
          <w:b/>
          <w:bCs/>
          <w:noProof/>
          <w:szCs w:val="24"/>
        </w:rPr>
        <w:t>256</w:t>
      </w:r>
      <w:r w:rsidRPr="00540661">
        <w:rPr>
          <w:noProof/>
          <w:szCs w:val="24"/>
        </w:rPr>
        <w:t>(1), pp.67–83.</w:t>
      </w:r>
    </w:p>
    <w:p w14:paraId="68A293B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Beveridge, C.A. 2006. Axillary bud outgrowth: Sending a message. </w:t>
      </w:r>
      <w:r w:rsidRPr="00540661">
        <w:rPr>
          <w:i/>
          <w:iCs/>
          <w:noProof/>
          <w:szCs w:val="24"/>
        </w:rPr>
        <w:t>Current Opinion in Plant Biology</w:t>
      </w:r>
      <w:r w:rsidRPr="00540661">
        <w:rPr>
          <w:noProof/>
          <w:szCs w:val="24"/>
        </w:rPr>
        <w:t xml:space="preserve">. </w:t>
      </w:r>
      <w:r w:rsidRPr="00540661">
        <w:rPr>
          <w:b/>
          <w:bCs/>
          <w:noProof/>
          <w:szCs w:val="24"/>
        </w:rPr>
        <w:t>9</w:t>
      </w:r>
      <w:r w:rsidRPr="00540661">
        <w:rPr>
          <w:noProof/>
          <w:szCs w:val="24"/>
        </w:rPr>
        <w:t>(1), pp.35–40.</w:t>
      </w:r>
    </w:p>
    <w:p w14:paraId="400A924D"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Beveridge, C.A. and Kyozuka, J. 2010. New genes in the strigolactone-related shoot branching pathway. </w:t>
      </w:r>
      <w:r w:rsidRPr="00540661">
        <w:rPr>
          <w:i/>
          <w:iCs/>
          <w:noProof/>
          <w:szCs w:val="24"/>
        </w:rPr>
        <w:t>Current Opinion in Plant Biology</w:t>
      </w:r>
      <w:r w:rsidRPr="00540661">
        <w:rPr>
          <w:noProof/>
          <w:szCs w:val="24"/>
        </w:rPr>
        <w:t xml:space="preserve">. </w:t>
      </w:r>
      <w:r w:rsidRPr="00540661">
        <w:rPr>
          <w:b/>
          <w:bCs/>
          <w:noProof/>
          <w:szCs w:val="24"/>
        </w:rPr>
        <w:t>13</w:t>
      </w:r>
      <w:r w:rsidRPr="00540661">
        <w:rPr>
          <w:noProof/>
          <w:szCs w:val="24"/>
        </w:rPr>
        <w:t>(1), pp.34–39.</w:t>
      </w:r>
    </w:p>
    <w:p w14:paraId="709B693D"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Beveridge, C.A., Symons, G.M., Murfet, I.C., Ross, J.J. and Rameau, C. 1997. The rms1 mutant of pea has elevated Indole-3-Acetic Acid levels and reduced root-sap zeatin riboside content but increased branching controlled by graft-transmissible signal(s). </w:t>
      </w:r>
      <w:r w:rsidRPr="00540661">
        <w:rPr>
          <w:i/>
          <w:iCs/>
          <w:noProof/>
          <w:szCs w:val="24"/>
        </w:rPr>
        <w:t>Physiology</w:t>
      </w:r>
      <w:r w:rsidRPr="00540661">
        <w:rPr>
          <w:noProof/>
          <w:szCs w:val="24"/>
        </w:rPr>
        <w:t xml:space="preserve">. </w:t>
      </w:r>
      <w:r w:rsidRPr="00540661">
        <w:rPr>
          <w:b/>
          <w:bCs/>
          <w:noProof/>
          <w:szCs w:val="24"/>
        </w:rPr>
        <w:t>115</w:t>
      </w:r>
      <w:r w:rsidRPr="00540661">
        <w:rPr>
          <w:noProof/>
          <w:szCs w:val="24"/>
        </w:rPr>
        <w:t>(3), pp.1251–1258.</w:t>
      </w:r>
    </w:p>
    <w:p w14:paraId="15213E2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Biedrzycki, M.L., Jilany, T.A., Dudley, S.A. and Bais, H.P. 2010. Root exudates mediate kin recognition in plants. </w:t>
      </w:r>
      <w:r w:rsidRPr="00540661">
        <w:rPr>
          <w:i/>
          <w:iCs/>
          <w:noProof/>
          <w:szCs w:val="24"/>
        </w:rPr>
        <w:t>Communicative &amp; Integrative biology</w:t>
      </w:r>
      <w:r w:rsidRPr="00540661">
        <w:rPr>
          <w:noProof/>
          <w:szCs w:val="24"/>
        </w:rPr>
        <w:t xml:space="preserve">. </w:t>
      </w:r>
      <w:r w:rsidRPr="00540661">
        <w:rPr>
          <w:b/>
          <w:bCs/>
          <w:noProof/>
          <w:szCs w:val="24"/>
        </w:rPr>
        <w:t>3</w:t>
      </w:r>
      <w:r w:rsidRPr="00540661">
        <w:rPr>
          <w:noProof/>
          <w:szCs w:val="24"/>
        </w:rPr>
        <w:t>(1), pp.28–35.</w:t>
      </w:r>
    </w:p>
    <w:p w14:paraId="375919EF"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Bilas, R.D., Bretman, A. and Bennett, T. 2021. Friends, neighbours and enemies: an overview of the communal and social biology of plants. </w:t>
      </w:r>
      <w:r w:rsidRPr="00540661">
        <w:rPr>
          <w:i/>
          <w:iCs/>
          <w:noProof/>
          <w:szCs w:val="24"/>
        </w:rPr>
        <w:t>Plant, Cell &amp; Environment</w:t>
      </w:r>
      <w:r w:rsidRPr="00540661">
        <w:rPr>
          <w:noProof/>
          <w:szCs w:val="24"/>
        </w:rPr>
        <w:t xml:space="preserve">. </w:t>
      </w:r>
      <w:r w:rsidRPr="00540661">
        <w:rPr>
          <w:b/>
          <w:bCs/>
          <w:noProof/>
          <w:szCs w:val="24"/>
        </w:rPr>
        <w:t>44</w:t>
      </w:r>
      <w:r w:rsidRPr="00540661">
        <w:rPr>
          <w:noProof/>
          <w:szCs w:val="24"/>
        </w:rPr>
        <w:t>(4), pp.997–1013.</w:t>
      </w:r>
    </w:p>
    <w:p w14:paraId="7044A429"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Blum, A. 2018. </w:t>
      </w:r>
      <w:r w:rsidRPr="00540661">
        <w:rPr>
          <w:i/>
          <w:iCs/>
          <w:noProof/>
          <w:szCs w:val="24"/>
        </w:rPr>
        <w:t>Plant Breeding for Stress Environments</w:t>
      </w:r>
      <w:r w:rsidRPr="00540661">
        <w:rPr>
          <w:noProof/>
          <w:szCs w:val="24"/>
        </w:rPr>
        <w:t xml:space="preserve"> [Online]. CRC Press. Available from: https://www.taylorfrancis.com/books/9781351084161.</w:t>
      </w:r>
    </w:p>
    <w:p w14:paraId="145ABDE5"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Bontpart, T., Concha, C., Giuffrida, M.V., Robertson, I., Admkie, K., Degefu, T., Girma, N., Tesfaye, K., Haileselassie, T., Fikre, A., Fetene, M., Tsaftaris, S.A. and Doerner, P. 2020. Affordable and robust phenotyping framework to analyse root system architecture of soil</w:t>
      </w:r>
      <w:r w:rsidRPr="00540661">
        <w:rPr>
          <w:rFonts w:ascii="Cambria Math" w:hAnsi="Cambria Math" w:cs="Cambria Math"/>
          <w:noProof/>
          <w:szCs w:val="24"/>
        </w:rPr>
        <w:t>‐</w:t>
      </w:r>
      <w:r w:rsidRPr="00540661">
        <w:rPr>
          <w:noProof/>
          <w:szCs w:val="24"/>
        </w:rPr>
        <w:t xml:space="preserve">grown plants. </w:t>
      </w:r>
      <w:r w:rsidRPr="00540661">
        <w:rPr>
          <w:i/>
          <w:iCs/>
          <w:noProof/>
          <w:szCs w:val="24"/>
        </w:rPr>
        <w:t>The Plant Journal</w:t>
      </w:r>
      <w:r w:rsidRPr="00540661">
        <w:rPr>
          <w:noProof/>
          <w:szCs w:val="24"/>
        </w:rPr>
        <w:t xml:space="preserve">. </w:t>
      </w:r>
      <w:r w:rsidRPr="00540661">
        <w:rPr>
          <w:b/>
          <w:bCs/>
          <w:noProof/>
          <w:szCs w:val="24"/>
        </w:rPr>
        <w:t>103</w:t>
      </w:r>
      <w:r w:rsidRPr="00540661">
        <w:rPr>
          <w:noProof/>
          <w:szCs w:val="24"/>
        </w:rPr>
        <w:t>(6), pp.2330–2343.</w:t>
      </w:r>
    </w:p>
    <w:p w14:paraId="7833BD8D"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Bopp, M. and Klein, B. 1963. Vercuch zur analyse protonemaentwicklung der laubmoose. I. Endogene wahestumregulatoren im protonema von </w:t>
      </w:r>
      <w:r w:rsidRPr="00540661">
        <w:rPr>
          <w:noProof/>
          <w:szCs w:val="24"/>
        </w:rPr>
        <w:lastRenderedPageBreak/>
        <w:t xml:space="preserve">Funaria hygrometrica. </w:t>
      </w:r>
      <w:r w:rsidRPr="00540661">
        <w:rPr>
          <w:i/>
          <w:iCs/>
          <w:noProof/>
          <w:szCs w:val="24"/>
        </w:rPr>
        <w:t>Portugalia Acta Biologica</w:t>
      </w:r>
      <w:r w:rsidRPr="00540661">
        <w:rPr>
          <w:noProof/>
          <w:szCs w:val="24"/>
        </w:rPr>
        <w:t xml:space="preserve">. </w:t>
      </w:r>
      <w:r w:rsidRPr="00540661">
        <w:rPr>
          <w:b/>
          <w:bCs/>
          <w:noProof/>
          <w:szCs w:val="24"/>
        </w:rPr>
        <w:t>A</w:t>
      </w:r>
      <w:r w:rsidRPr="00540661">
        <w:rPr>
          <w:noProof/>
          <w:szCs w:val="24"/>
        </w:rPr>
        <w:t>-</w:t>
      </w:r>
      <w:r w:rsidRPr="00540661">
        <w:rPr>
          <w:b/>
          <w:bCs/>
          <w:noProof/>
          <w:szCs w:val="24"/>
        </w:rPr>
        <w:t>7</w:t>
      </w:r>
      <w:r w:rsidRPr="00540661">
        <w:rPr>
          <w:noProof/>
          <w:szCs w:val="24"/>
        </w:rPr>
        <w:t>, p.95.</w:t>
      </w:r>
    </w:p>
    <w:p w14:paraId="73FBAF5F"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Bouwmeester, H., Li, C., Thiombiano, B., Rahimi, M. and Dong, L. 2021. Adaptation of the parasitic plant lifecycle: germination is controlled by essential host signaling molecules. </w:t>
      </w:r>
      <w:r w:rsidRPr="00540661">
        <w:rPr>
          <w:i/>
          <w:iCs/>
          <w:noProof/>
          <w:szCs w:val="24"/>
        </w:rPr>
        <w:t>Plant Physiology</w:t>
      </w:r>
      <w:r w:rsidRPr="00540661">
        <w:rPr>
          <w:noProof/>
          <w:szCs w:val="24"/>
        </w:rPr>
        <w:t xml:space="preserve">. </w:t>
      </w:r>
      <w:r w:rsidRPr="00540661">
        <w:rPr>
          <w:b/>
          <w:bCs/>
          <w:noProof/>
          <w:szCs w:val="24"/>
        </w:rPr>
        <w:t>185</w:t>
      </w:r>
      <w:r w:rsidRPr="00540661">
        <w:rPr>
          <w:noProof/>
          <w:szCs w:val="24"/>
        </w:rPr>
        <w:t>(4), pp.1292–1308.</w:t>
      </w:r>
    </w:p>
    <w:p w14:paraId="1983D81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Bouwmeester, H.J., Roux, C., Lopez-Raez, J.A. and Bécard, G. 2007. Rhizosphere communication of plants, parasitic plants and AM fungi. </w:t>
      </w:r>
      <w:r w:rsidRPr="00540661">
        <w:rPr>
          <w:i/>
          <w:iCs/>
          <w:noProof/>
          <w:szCs w:val="24"/>
        </w:rPr>
        <w:t>Trends in Plant Science</w:t>
      </w:r>
      <w:r w:rsidRPr="00540661">
        <w:rPr>
          <w:noProof/>
          <w:szCs w:val="24"/>
        </w:rPr>
        <w:t xml:space="preserve">. </w:t>
      </w:r>
      <w:r w:rsidRPr="00540661">
        <w:rPr>
          <w:b/>
          <w:bCs/>
          <w:noProof/>
          <w:szCs w:val="24"/>
        </w:rPr>
        <w:t>12</w:t>
      </w:r>
      <w:r w:rsidRPr="00540661">
        <w:rPr>
          <w:noProof/>
          <w:szCs w:val="24"/>
        </w:rPr>
        <w:t>(5), pp.224–230.</w:t>
      </w:r>
    </w:p>
    <w:p w14:paraId="720662BD"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Broz, A.K., Broeckling, C.D., De-la-Peña, C., Lewis, M.R., Greene, E., Callaway, R.M., Sumner, L.W. and Vivanco, J.M. 2010. Plant neighbor identity influences plant biochemistry and physiology related to defense. </w:t>
      </w:r>
      <w:r w:rsidRPr="00540661">
        <w:rPr>
          <w:i/>
          <w:iCs/>
          <w:noProof/>
          <w:szCs w:val="24"/>
        </w:rPr>
        <w:t>BMC Plant Biology</w:t>
      </w:r>
      <w:r w:rsidRPr="00540661">
        <w:rPr>
          <w:noProof/>
          <w:szCs w:val="24"/>
        </w:rPr>
        <w:t xml:space="preserve">. </w:t>
      </w:r>
      <w:r w:rsidRPr="00540661">
        <w:rPr>
          <w:b/>
          <w:bCs/>
          <w:noProof/>
          <w:szCs w:val="24"/>
        </w:rPr>
        <w:t>10</w:t>
      </w:r>
      <w:r w:rsidRPr="00540661">
        <w:rPr>
          <w:noProof/>
          <w:szCs w:val="24"/>
        </w:rPr>
        <w:t>(1), p.115.</w:t>
      </w:r>
    </w:p>
    <w:p w14:paraId="7A06F22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Bruex, A., Kainkaryam, R.M., Wieckowski, Y., Kang, Y.H., Bernhardt, C., Xia, Y., Zheng, X., Wang, J.Y., Lee, M.M., Benfey, P., Woolf, P.J. and Schiefelbein, J. 2012. A gene regulatory network for root epidermis cell differentiation in Arabidopsis. </w:t>
      </w:r>
      <w:r w:rsidRPr="00540661">
        <w:rPr>
          <w:i/>
          <w:iCs/>
          <w:noProof/>
          <w:szCs w:val="24"/>
        </w:rPr>
        <w:t>PLoS Genetics</w:t>
      </w:r>
      <w:r w:rsidRPr="00540661">
        <w:rPr>
          <w:noProof/>
          <w:szCs w:val="24"/>
        </w:rPr>
        <w:t xml:space="preserve">. </w:t>
      </w:r>
      <w:r w:rsidRPr="00540661">
        <w:rPr>
          <w:b/>
          <w:bCs/>
          <w:noProof/>
          <w:szCs w:val="24"/>
        </w:rPr>
        <w:t>8</w:t>
      </w:r>
      <w:r w:rsidRPr="00540661">
        <w:rPr>
          <w:noProof/>
          <w:szCs w:val="24"/>
        </w:rPr>
        <w:t>(1), p.e1002446.</w:t>
      </w:r>
    </w:p>
    <w:p w14:paraId="7785C2E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Brzobohatý, B., Moore, I., Kristoffersen, P., Bako, L., Campos, N., Schell, J. and Palme, K. 1993. Release of active cytokinin by a β-Glucosidase localized to the maize root meristem. </w:t>
      </w:r>
      <w:r w:rsidRPr="00540661">
        <w:rPr>
          <w:i/>
          <w:iCs/>
          <w:noProof/>
          <w:szCs w:val="24"/>
        </w:rPr>
        <w:t>Science</w:t>
      </w:r>
      <w:r w:rsidRPr="00540661">
        <w:rPr>
          <w:noProof/>
          <w:szCs w:val="24"/>
        </w:rPr>
        <w:t xml:space="preserve">. </w:t>
      </w:r>
      <w:r w:rsidRPr="00540661">
        <w:rPr>
          <w:b/>
          <w:bCs/>
          <w:noProof/>
          <w:szCs w:val="24"/>
        </w:rPr>
        <w:t>262</w:t>
      </w:r>
      <w:r w:rsidRPr="00540661">
        <w:rPr>
          <w:noProof/>
          <w:szCs w:val="24"/>
        </w:rPr>
        <w:t>(5136), pp.1051–1054.</w:t>
      </w:r>
    </w:p>
    <w:p w14:paraId="6193CD7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Carlson, L.W. and Endean, F. 1976. The effect of rooting volume and container configuration on the early growth of white spruce seedlings. </w:t>
      </w:r>
      <w:r w:rsidRPr="00540661">
        <w:rPr>
          <w:i/>
          <w:iCs/>
          <w:noProof/>
          <w:szCs w:val="24"/>
        </w:rPr>
        <w:t>Canadian Journal of Forest Research</w:t>
      </w:r>
      <w:r w:rsidRPr="00540661">
        <w:rPr>
          <w:noProof/>
          <w:szCs w:val="24"/>
        </w:rPr>
        <w:t xml:space="preserve">. </w:t>
      </w:r>
      <w:r w:rsidRPr="00540661">
        <w:rPr>
          <w:b/>
          <w:bCs/>
          <w:noProof/>
          <w:szCs w:val="24"/>
        </w:rPr>
        <w:t>6</w:t>
      </w:r>
      <w:r w:rsidRPr="00540661">
        <w:rPr>
          <w:noProof/>
          <w:szCs w:val="24"/>
        </w:rPr>
        <w:t>(2), pp.221–224.</w:t>
      </w:r>
    </w:p>
    <w:p w14:paraId="7E3D7609"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Carmi, A. and Heuer, B. 1981. The role of roots in control of bean shoot growth. </w:t>
      </w:r>
      <w:r w:rsidRPr="00540661">
        <w:rPr>
          <w:i/>
          <w:iCs/>
          <w:noProof/>
          <w:szCs w:val="24"/>
        </w:rPr>
        <w:t>Annals of Botany</w:t>
      </w:r>
      <w:r w:rsidRPr="00540661">
        <w:rPr>
          <w:noProof/>
          <w:szCs w:val="24"/>
        </w:rPr>
        <w:t xml:space="preserve">. </w:t>
      </w:r>
      <w:r w:rsidRPr="00540661">
        <w:rPr>
          <w:b/>
          <w:bCs/>
          <w:noProof/>
          <w:szCs w:val="24"/>
        </w:rPr>
        <w:t>48</w:t>
      </w:r>
      <w:r w:rsidRPr="00540661">
        <w:rPr>
          <w:noProof/>
          <w:szCs w:val="24"/>
        </w:rPr>
        <w:t>, pp.519–527.</w:t>
      </w:r>
    </w:p>
    <w:p w14:paraId="16E63F7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Cederholm, H.M. and Benfey, P.N. 2015. Distinct sensitivities to phosphate deprivation suggest that RGF peptides play disparate roles in Arabidopsis thaliana root development. </w:t>
      </w:r>
      <w:r w:rsidRPr="00540661">
        <w:rPr>
          <w:i/>
          <w:iCs/>
          <w:noProof/>
          <w:szCs w:val="24"/>
        </w:rPr>
        <w:t>New Phytologist</w:t>
      </w:r>
      <w:r w:rsidRPr="00540661">
        <w:rPr>
          <w:noProof/>
          <w:szCs w:val="24"/>
        </w:rPr>
        <w:t xml:space="preserve">. </w:t>
      </w:r>
      <w:r w:rsidRPr="00540661">
        <w:rPr>
          <w:b/>
          <w:bCs/>
          <w:noProof/>
          <w:szCs w:val="24"/>
        </w:rPr>
        <w:t>207</w:t>
      </w:r>
      <w:r w:rsidRPr="00540661">
        <w:rPr>
          <w:noProof/>
          <w:szCs w:val="24"/>
        </w:rPr>
        <w:t>(3), pp.683–691.</w:t>
      </w:r>
    </w:p>
    <w:p w14:paraId="1A1E80F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Cerezo, M., Tillard, P., Filleur, S., Muños, S., Daniel-Vedele, F. and Gojon, A. 2001. Major alterations of the regulation of Root NO3 − uptake are associated with the mutation of Nrt2.1 and Nrt2.2 genes in Arabidopsis. </w:t>
      </w:r>
      <w:r w:rsidRPr="00540661">
        <w:rPr>
          <w:i/>
          <w:iCs/>
          <w:noProof/>
          <w:szCs w:val="24"/>
        </w:rPr>
        <w:t>Plant Physiology</w:t>
      </w:r>
      <w:r w:rsidRPr="00540661">
        <w:rPr>
          <w:noProof/>
          <w:szCs w:val="24"/>
        </w:rPr>
        <w:t xml:space="preserve">. </w:t>
      </w:r>
      <w:r w:rsidRPr="00540661">
        <w:rPr>
          <w:b/>
          <w:bCs/>
          <w:noProof/>
          <w:szCs w:val="24"/>
        </w:rPr>
        <w:t>127</w:t>
      </w:r>
      <w:r w:rsidRPr="00540661">
        <w:rPr>
          <w:noProof/>
          <w:szCs w:val="24"/>
        </w:rPr>
        <w:t>(1), pp.262–271.</w:t>
      </w:r>
    </w:p>
    <w:p w14:paraId="1F4571E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Chapman, K., Ivanovici, A., Taleski, M., Sturrock, C.J., Ng, J.L.P., Mohd</w:t>
      </w:r>
      <w:r w:rsidRPr="00540661">
        <w:rPr>
          <w:rFonts w:ascii="Cambria Math" w:hAnsi="Cambria Math" w:cs="Cambria Math"/>
          <w:noProof/>
          <w:szCs w:val="24"/>
        </w:rPr>
        <w:t>‐</w:t>
      </w:r>
      <w:r w:rsidRPr="00540661">
        <w:rPr>
          <w:noProof/>
          <w:szCs w:val="24"/>
        </w:rPr>
        <w:t xml:space="preserve">Radzman, N.A., Frugier, F., Bennett, M.J., Mathesius, U. and Djordjevic, M.A. 2020. CEP receptor signalling controls root system architecture in Arabidopsis and Medicago. </w:t>
      </w:r>
      <w:r w:rsidRPr="00540661">
        <w:rPr>
          <w:i/>
          <w:iCs/>
          <w:noProof/>
          <w:szCs w:val="24"/>
        </w:rPr>
        <w:t>New Phytologist</w:t>
      </w:r>
      <w:r w:rsidRPr="00540661">
        <w:rPr>
          <w:noProof/>
          <w:szCs w:val="24"/>
        </w:rPr>
        <w:t>., pp.1809–1821.</w:t>
      </w:r>
    </w:p>
    <w:p w14:paraId="46303271"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Chen, B.J.W., During, H.J. and Anten, N.P.R. 2012. Detect thy neighbor: Identity recognition at the root level in plants. </w:t>
      </w:r>
      <w:r w:rsidRPr="00540661">
        <w:rPr>
          <w:i/>
          <w:iCs/>
          <w:noProof/>
          <w:szCs w:val="24"/>
        </w:rPr>
        <w:t>Plant Science</w:t>
      </w:r>
      <w:r w:rsidRPr="00540661">
        <w:rPr>
          <w:noProof/>
          <w:szCs w:val="24"/>
        </w:rPr>
        <w:t xml:space="preserve">. </w:t>
      </w:r>
      <w:r w:rsidRPr="00540661">
        <w:rPr>
          <w:b/>
          <w:bCs/>
          <w:noProof/>
          <w:szCs w:val="24"/>
        </w:rPr>
        <w:t>195</w:t>
      </w:r>
      <w:r w:rsidRPr="00540661">
        <w:rPr>
          <w:noProof/>
          <w:szCs w:val="24"/>
        </w:rPr>
        <w:t>, pp.157–167.</w:t>
      </w:r>
    </w:p>
    <w:p w14:paraId="420BEC5F"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Chen, B.J.W., During, H.J., Vermeulen, P.J., de Kroon, H., Poorter, H. and Anten, N.P.R. 2015. Corrections for rooting volume and plant size reveal negative effects of neighbour presence on root allocation in pea J. Schweitzer, ed. </w:t>
      </w:r>
      <w:r w:rsidRPr="00540661">
        <w:rPr>
          <w:i/>
          <w:iCs/>
          <w:noProof/>
          <w:szCs w:val="24"/>
        </w:rPr>
        <w:t>Functional Ecology</w:t>
      </w:r>
      <w:r w:rsidRPr="00540661">
        <w:rPr>
          <w:noProof/>
          <w:szCs w:val="24"/>
        </w:rPr>
        <w:t xml:space="preserve">. </w:t>
      </w:r>
      <w:r w:rsidRPr="00540661">
        <w:rPr>
          <w:b/>
          <w:bCs/>
          <w:noProof/>
          <w:szCs w:val="24"/>
        </w:rPr>
        <w:t>29</w:t>
      </w:r>
      <w:r w:rsidRPr="00540661">
        <w:rPr>
          <w:noProof/>
          <w:szCs w:val="24"/>
        </w:rPr>
        <w:t>(11), pp.1383–1391.</w:t>
      </w:r>
    </w:p>
    <w:p w14:paraId="5E77D1C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Cheng, C., Krishnakumar, V., Chan, A.P., Thibaud</w:t>
      </w:r>
      <w:r w:rsidRPr="00540661">
        <w:rPr>
          <w:rFonts w:ascii="Cambria Math" w:hAnsi="Cambria Math" w:cs="Cambria Math"/>
          <w:noProof/>
          <w:szCs w:val="24"/>
        </w:rPr>
        <w:t>‐</w:t>
      </w:r>
      <w:r w:rsidRPr="00540661">
        <w:rPr>
          <w:noProof/>
          <w:szCs w:val="24"/>
        </w:rPr>
        <w:t xml:space="preserve">Nissen, F., Schobel, S. and Town, C.D. 2017. Araport11: a complete reannotation of the Arabidopsis thaliana reference genome. </w:t>
      </w:r>
      <w:r w:rsidRPr="00540661">
        <w:rPr>
          <w:i/>
          <w:iCs/>
          <w:noProof/>
          <w:szCs w:val="24"/>
        </w:rPr>
        <w:t>The Plant Journal</w:t>
      </w:r>
      <w:r w:rsidRPr="00540661">
        <w:rPr>
          <w:noProof/>
          <w:szCs w:val="24"/>
        </w:rPr>
        <w:t xml:space="preserve">. </w:t>
      </w:r>
      <w:r w:rsidRPr="00540661">
        <w:rPr>
          <w:b/>
          <w:bCs/>
          <w:noProof/>
          <w:szCs w:val="24"/>
        </w:rPr>
        <w:t>89</w:t>
      </w:r>
      <w:r w:rsidRPr="00540661">
        <w:rPr>
          <w:noProof/>
          <w:szCs w:val="24"/>
        </w:rPr>
        <w:t xml:space="preserve">(4), </w:t>
      </w:r>
      <w:r w:rsidRPr="00540661">
        <w:rPr>
          <w:noProof/>
          <w:szCs w:val="24"/>
        </w:rPr>
        <w:lastRenderedPageBreak/>
        <w:t>pp.789–804.</w:t>
      </w:r>
    </w:p>
    <w:p w14:paraId="35B69967"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Choi, W., Miller, G., Wallace, I., Harper, J., Mittler, R. and Gilroy, S. 2017. Orchestrating rapid long</w:t>
      </w:r>
      <w:r w:rsidRPr="00540661">
        <w:rPr>
          <w:rFonts w:ascii="Cambria Math" w:hAnsi="Cambria Math" w:cs="Cambria Math"/>
          <w:noProof/>
          <w:szCs w:val="24"/>
        </w:rPr>
        <w:t>‐</w:t>
      </w:r>
      <w:r w:rsidRPr="00540661">
        <w:rPr>
          <w:noProof/>
          <w:szCs w:val="24"/>
        </w:rPr>
        <w:t xml:space="preserve">distance signaling in plants with Ca 2+ , ROS and electrical signals. </w:t>
      </w:r>
      <w:r w:rsidRPr="00540661">
        <w:rPr>
          <w:i/>
          <w:iCs/>
          <w:noProof/>
          <w:szCs w:val="24"/>
        </w:rPr>
        <w:t>The Plant Journal</w:t>
      </w:r>
      <w:r w:rsidRPr="00540661">
        <w:rPr>
          <w:noProof/>
          <w:szCs w:val="24"/>
        </w:rPr>
        <w:t xml:space="preserve">. </w:t>
      </w:r>
      <w:r w:rsidRPr="00540661">
        <w:rPr>
          <w:b/>
          <w:bCs/>
          <w:noProof/>
          <w:szCs w:val="24"/>
        </w:rPr>
        <w:t>90</w:t>
      </w:r>
      <w:r w:rsidRPr="00540661">
        <w:rPr>
          <w:noProof/>
          <w:szCs w:val="24"/>
        </w:rPr>
        <w:t>(4), pp.698–707.</w:t>
      </w:r>
    </w:p>
    <w:p w14:paraId="3927D86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Christmann, A., Grill, E. and Huang, J. 2013. Hydraulic signals in long-distance signaling. </w:t>
      </w:r>
      <w:r w:rsidRPr="00540661">
        <w:rPr>
          <w:i/>
          <w:iCs/>
          <w:noProof/>
          <w:szCs w:val="24"/>
        </w:rPr>
        <w:t>Current Opinion in Plant Biology</w:t>
      </w:r>
      <w:r w:rsidRPr="00540661">
        <w:rPr>
          <w:noProof/>
          <w:szCs w:val="24"/>
        </w:rPr>
        <w:t xml:space="preserve">. </w:t>
      </w:r>
      <w:r w:rsidRPr="00540661">
        <w:rPr>
          <w:b/>
          <w:bCs/>
          <w:noProof/>
          <w:szCs w:val="24"/>
        </w:rPr>
        <w:t>16</w:t>
      </w:r>
      <w:r w:rsidRPr="00540661">
        <w:rPr>
          <w:noProof/>
          <w:szCs w:val="24"/>
        </w:rPr>
        <w:t>(3), pp.293–300.</w:t>
      </w:r>
    </w:p>
    <w:p w14:paraId="48A625B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Clark, J. and Bennett, T. 2023. Cracking the enigma: understanding strigolactone signalling in the rhizosphere. </w:t>
      </w:r>
      <w:r w:rsidRPr="00540661">
        <w:rPr>
          <w:i/>
          <w:iCs/>
          <w:noProof/>
          <w:szCs w:val="24"/>
        </w:rPr>
        <w:t>Journal of Experimental Botany</w:t>
      </w:r>
      <w:r w:rsidRPr="00540661">
        <w:rPr>
          <w:noProof/>
          <w:szCs w:val="24"/>
        </w:rPr>
        <w:t>.</w:t>
      </w:r>
    </w:p>
    <w:p w14:paraId="29028539"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Clark, L.J.J., Whalley, W.R.R. and Barraclough, P.B.B. 2003. How do roots penetrate strong soil? </w:t>
      </w:r>
      <w:r w:rsidRPr="00540661">
        <w:rPr>
          <w:i/>
          <w:iCs/>
          <w:noProof/>
          <w:szCs w:val="24"/>
        </w:rPr>
        <w:t>In</w:t>
      </w:r>
      <w:r w:rsidRPr="00540661">
        <w:rPr>
          <w:noProof/>
          <w:szCs w:val="24"/>
        </w:rPr>
        <w:t xml:space="preserve">: </w:t>
      </w:r>
      <w:r w:rsidRPr="00540661">
        <w:rPr>
          <w:i/>
          <w:iCs/>
          <w:noProof/>
          <w:szCs w:val="24"/>
        </w:rPr>
        <w:t>Roots: The Dynamic Interface between Plants and the Earth</w:t>
      </w:r>
      <w:r w:rsidRPr="00540661">
        <w:rPr>
          <w:noProof/>
          <w:szCs w:val="24"/>
        </w:rPr>
        <w:t xml:space="preserve"> [Online]. Dordrecht: Kluwer Academic Publishers, pp.93–104. [Accessed 27 January 2019]. Available from: http://link.springer.com/10.1007/978-94-017-2923-9_10.</w:t>
      </w:r>
    </w:p>
    <w:p w14:paraId="60BDB31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Cook, C.E., Whichard, L.P., Turner, B., Wall, M.E. and Egley, G.H. 1966. Germination of Witchweed (Striga lutea Lour.): Isolation and properties of a potent stimulant. </w:t>
      </w:r>
      <w:r w:rsidRPr="00540661">
        <w:rPr>
          <w:i/>
          <w:iCs/>
          <w:noProof/>
          <w:szCs w:val="24"/>
        </w:rPr>
        <w:t>Science (New York, N.Y.)</w:t>
      </w:r>
      <w:r w:rsidRPr="00540661">
        <w:rPr>
          <w:noProof/>
          <w:szCs w:val="24"/>
        </w:rPr>
        <w:t xml:space="preserve">. </w:t>
      </w:r>
      <w:r w:rsidRPr="00540661">
        <w:rPr>
          <w:b/>
          <w:bCs/>
          <w:noProof/>
          <w:szCs w:val="24"/>
        </w:rPr>
        <w:t>154</w:t>
      </w:r>
      <w:r w:rsidRPr="00540661">
        <w:rPr>
          <w:noProof/>
          <w:szCs w:val="24"/>
        </w:rPr>
        <w:t>(3753), pp.1189–1190.</w:t>
      </w:r>
    </w:p>
    <w:p w14:paraId="688BB1C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Crawford, S., Shinohara, N., Sieberer, T., Williamson, L., George, G., Hepworth, J., Müller, D., Domagalska, M.A. and Leyser, O. 2010. Strigolactones enhance competition between shoot branches by dampening auxin transport. </w:t>
      </w:r>
      <w:r w:rsidRPr="00540661">
        <w:rPr>
          <w:i/>
          <w:iCs/>
          <w:noProof/>
          <w:szCs w:val="24"/>
        </w:rPr>
        <w:t>Development</w:t>
      </w:r>
      <w:r w:rsidRPr="00540661">
        <w:rPr>
          <w:noProof/>
          <w:szCs w:val="24"/>
        </w:rPr>
        <w:t xml:space="preserve">. </w:t>
      </w:r>
      <w:r w:rsidRPr="00540661">
        <w:rPr>
          <w:b/>
          <w:bCs/>
          <w:noProof/>
          <w:szCs w:val="24"/>
        </w:rPr>
        <w:t>137</w:t>
      </w:r>
      <w:r w:rsidRPr="00540661">
        <w:rPr>
          <w:noProof/>
          <w:szCs w:val="24"/>
        </w:rPr>
        <w:t>(17), pp.2905–2913.</w:t>
      </w:r>
    </w:p>
    <w:p w14:paraId="5230CD67"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Dalton, B.R. 1999. The Occurrence and Behavior of Plant Phenolic Acids in Soil Environments and Their Potential Involvement in Allelochemical Interference Interactions: Methodological Limitations in Establishing Conclusive Proof of Allelopathy </w:t>
      </w:r>
      <w:r w:rsidRPr="00540661">
        <w:rPr>
          <w:i/>
          <w:iCs/>
          <w:noProof/>
          <w:szCs w:val="24"/>
        </w:rPr>
        <w:t>In</w:t>
      </w:r>
      <w:r w:rsidRPr="00540661">
        <w:rPr>
          <w:noProof/>
          <w:szCs w:val="24"/>
        </w:rPr>
        <w:t xml:space="preserve">: Inderjit, K. M. . Dakshini and C. L. Foy, eds. </w:t>
      </w:r>
      <w:r w:rsidRPr="00540661">
        <w:rPr>
          <w:i/>
          <w:iCs/>
          <w:noProof/>
          <w:szCs w:val="24"/>
        </w:rPr>
        <w:t>Principles and Practices in Plant Ecology: allelochemical interactions</w:t>
      </w:r>
      <w:r w:rsidRPr="00540661">
        <w:rPr>
          <w:noProof/>
          <w:szCs w:val="24"/>
        </w:rPr>
        <w:t>. Boca Raton, FL: CRC Press, pp.57–74.</w:t>
      </w:r>
    </w:p>
    <w:p w14:paraId="3544D0A5"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Darwin, C. and Darwin, F. 1896. </w:t>
      </w:r>
      <w:r w:rsidRPr="00540661">
        <w:rPr>
          <w:i/>
          <w:iCs/>
          <w:noProof/>
          <w:szCs w:val="24"/>
        </w:rPr>
        <w:t>The Power of Movement in Plants</w:t>
      </w:r>
      <w:r w:rsidRPr="00540661">
        <w:rPr>
          <w:noProof/>
          <w:szCs w:val="24"/>
        </w:rPr>
        <w:t>. New York, USA: D. Appleton.</w:t>
      </w:r>
    </w:p>
    <w:p w14:paraId="2C0516D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Delay, C., Imin, N. and Djordjevic, M.A. 2013. CEP genes regulate root and shoot development in response to environmental cues and are specific to seed plants. </w:t>
      </w:r>
      <w:r w:rsidRPr="00540661">
        <w:rPr>
          <w:i/>
          <w:iCs/>
          <w:noProof/>
          <w:szCs w:val="24"/>
        </w:rPr>
        <w:t>Journal of Experimental Botany</w:t>
      </w:r>
      <w:r w:rsidRPr="00540661">
        <w:rPr>
          <w:noProof/>
          <w:szCs w:val="24"/>
        </w:rPr>
        <w:t xml:space="preserve">. </w:t>
      </w:r>
      <w:r w:rsidRPr="00540661">
        <w:rPr>
          <w:b/>
          <w:bCs/>
          <w:noProof/>
          <w:szCs w:val="24"/>
        </w:rPr>
        <w:t>64</w:t>
      </w:r>
      <w:r w:rsidRPr="00540661">
        <w:rPr>
          <w:noProof/>
          <w:szCs w:val="24"/>
        </w:rPr>
        <w:t>(17), pp.5383–5394.</w:t>
      </w:r>
    </w:p>
    <w:p w14:paraId="5A4937B3"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Duan, X., Jin, K., Mao, Z., Liu, L., He, Y., Xia, S., Hammond, J.P., White, P.J., Xu, F. and Shi, L. 2023. Compacted soil adaptability of Brassica napus driven by root mechanical traits. </w:t>
      </w:r>
      <w:r w:rsidRPr="00540661">
        <w:rPr>
          <w:i/>
          <w:iCs/>
          <w:noProof/>
          <w:szCs w:val="24"/>
        </w:rPr>
        <w:t>Soil and Tillage Research</w:t>
      </w:r>
      <w:r w:rsidRPr="00540661">
        <w:rPr>
          <w:noProof/>
          <w:szCs w:val="24"/>
        </w:rPr>
        <w:t xml:space="preserve">. </w:t>
      </w:r>
      <w:r w:rsidRPr="00540661">
        <w:rPr>
          <w:b/>
          <w:bCs/>
          <w:noProof/>
          <w:szCs w:val="24"/>
        </w:rPr>
        <w:t>233</w:t>
      </w:r>
      <w:r w:rsidRPr="00540661">
        <w:rPr>
          <w:noProof/>
          <w:szCs w:val="24"/>
        </w:rPr>
        <w:t>, p.105785.</w:t>
      </w:r>
    </w:p>
    <w:p w14:paraId="45EABDD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Dudley, S.A. and File, A.L. 2007. Kin recognition in an annual plant. </w:t>
      </w:r>
      <w:r w:rsidRPr="00540661">
        <w:rPr>
          <w:i/>
          <w:iCs/>
          <w:noProof/>
          <w:szCs w:val="24"/>
        </w:rPr>
        <w:t>Biology Letters</w:t>
      </w:r>
      <w:r w:rsidRPr="00540661">
        <w:rPr>
          <w:noProof/>
          <w:szCs w:val="24"/>
        </w:rPr>
        <w:t xml:space="preserve">. </w:t>
      </w:r>
      <w:r w:rsidRPr="00540661">
        <w:rPr>
          <w:b/>
          <w:bCs/>
          <w:noProof/>
          <w:szCs w:val="24"/>
        </w:rPr>
        <w:t>3</w:t>
      </w:r>
      <w:r w:rsidRPr="00540661">
        <w:rPr>
          <w:noProof/>
          <w:szCs w:val="24"/>
        </w:rPr>
        <w:t>(4), pp.435–438.</w:t>
      </w:r>
    </w:p>
    <w:p w14:paraId="5980FB6D"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Dun, E.A., Brewer, P.B. and Beveridge, C.A. 2009. Strigolactones: discovery of the elusive shoot branching hormone. </w:t>
      </w:r>
      <w:r w:rsidRPr="00540661">
        <w:rPr>
          <w:i/>
          <w:iCs/>
          <w:noProof/>
          <w:szCs w:val="24"/>
        </w:rPr>
        <w:t>Trends in Plant Science</w:t>
      </w:r>
      <w:r w:rsidRPr="00540661">
        <w:rPr>
          <w:noProof/>
          <w:szCs w:val="24"/>
        </w:rPr>
        <w:t xml:space="preserve">. </w:t>
      </w:r>
      <w:r w:rsidRPr="00540661">
        <w:rPr>
          <w:b/>
          <w:bCs/>
          <w:noProof/>
          <w:szCs w:val="24"/>
        </w:rPr>
        <w:t>14</w:t>
      </w:r>
      <w:r w:rsidRPr="00540661">
        <w:rPr>
          <w:noProof/>
          <w:szCs w:val="24"/>
        </w:rPr>
        <w:t>(7), pp.364–372.</w:t>
      </w:r>
    </w:p>
    <w:p w14:paraId="443A7225"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Edwards, K., Johnstone, C. and Thompson, C. 1991. A simple and rapid method for the preparation of plant genomic DNA for PCR analysis. </w:t>
      </w:r>
      <w:r w:rsidRPr="00540661">
        <w:rPr>
          <w:i/>
          <w:iCs/>
          <w:noProof/>
          <w:szCs w:val="24"/>
        </w:rPr>
        <w:t>Nucleic Acids Research</w:t>
      </w:r>
      <w:r w:rsidRPr="00540661">
        <w:rPr>
          <w:noProof/>
          <w:szCs w:val="24"/>
        </w:rPr>
        <w:t xml:space="preserve">. </w:t>
      </w:r>
      <w:r w:rsidRPr="00540661">
        <w:rPr>
          <w:b/>
          <w:bCs/>
          <w:noProof/>
          <w:szCs w:val="24"/>
        </w:rPr>
        <w:t>19</w:t>
      </w:r>
      <w:r w:rsidRPr="00540661">
        <w:rPr>
          <w:noProof/>
          <w:szCs w:val="24"/>
        </w:rPr>
        <w:t>(6), p.1349.</w:t>
      </w:r>
    </w:p>
    <w:p w14:paraId="1139BE5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Ehlers, B.K., Berg, M.P., Staudt, M., Holmstrup, M., Glasius, M., Ellers, J., </w:t>
      </w:r>
      <w:r w:rsidRPr="00540661">
        <w:rPr>
          <w:noProof/>
          <w:szCs w:val="24"/>
        </w:rPr>
        <w:lastRenderedPageBreak/>
        <w:t xml:space="preserve">Tomiolo, S., Madsen, R.B., Slotsbo, S. and Penuelas, J. 2020. Plant secondary compounds in soil and their role in belowground species interactions. </w:t>
      </w:r>
      <w:r w:rsidRPr="00540661">
        <w:rPr>
          <w:i/>
          <w:iCs/>
          <w:noProof/>
          <w:szCs w:val="24"/>
        </w:rPr>
        <w:t>Trends in Ecology &amp; Evolution</w:t>
      </w:r>
      <w:r w:rsidRPr="00540661">
        <w:rPr>
          <w:noProof/>
          <w:szCs w:val="24"/>
        </w:rPr>
        <w:t xml:space="preserve">. </w:t>
      </w:r>
      <w:r w:rsidRPr="00540661">
        <w:rPr>
          <w:b/>
          <w:bCs/>
          <w:noProof/>
          <w:szCs w:val="24"/>
        </w:rPr>
        <w:t>35</w:t>
      </w:r>
      <w:r w:rsidRPr="00540661">
        <w:rPr>
          <w:noProof/>
          <w:szCs w:val="24"/>
        </w:rPr>
        <w:t>(8), pp.716–730.</w:t>
      </w:r>
    </w:p>
    <w:p w14:paraId="6F482C0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Ellis, E.C., Klein Goldewijk, K., Siebert, S., Lightman, D. and Ramankutty, N. 2010. Anthropogenic transformation of the biomes, 1700 to 2000. </w:t>
      </w:r>
      <w:r w:rsidRPr="00540661">
        <w:rPr>
          <w:i/>
          <w:iCs/>
          <w:noProof/>
          <w:szCs w:val="24"/>
        </w:rPr>
        <w:t>Global Ecology and Biogeography</w:t>
      </w:r>
      <w:r w:rsidRPr="00540661">
        <w:rPr>
          <w:noProof/>
          <w:szCs w:val="24"/>
        </w:rPr>
        <w:t xml:space="preserve">. </w:t>
      </w:r>
      <w:r w:rsidRPr="00540661">
        <w:rPr>
          <w:b/>
          <w:bCs/>
          <w:noProof/>
          <w:szCs w:val="24"/>
        </w:rPr>
        <w:t>19</w:t>
      </w:r>
      <w:r w:rsidRPr="00540661">
        <w:rPr>
          <w:noProof/>
          <w:szCs w:val="24"/>
        </w:rPr>
        <w:t>(5), pp.589–606.</w:t>
      </w:r>
    </w:p>
    <w:p w14:paraId="3ECEF91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EnsemblPlants 2021. Hordeum vulgare Assembly and Gene Annotation. Available from: https://plants.ensembl.org/Hordeum_vulgare/Info/Annotation/.</w:t>
      </w:r>
    </w:p>
    <w:p w14:paraId="2537BA4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Falik, O., Reides, P., Gersani, M. and Novoplansky, A. 2005. Root navigation by self inhibition. </w:t>
      </w:r>
      <w:r w:rsidRPr="00540661">
        <w:rPr>
          <w:i/>
          <w:iCs/>
          <w:noProof/>
          <w:szCs w:val="24"/>
        </w:rPr>
        <w:t>Plant, Cell and Environment</w:t>
      </w:r>
      <w:r w:rsidRPr="00540661">
        <w:rPr>
          <w:noProof/>
          <w:szCs w:val="24"/>
        </w:rPr>
        <w:t xml:space="preserve">. </w:t>
      </w:r>
      <w:r w:rsidRPr="00540661">
        <w:rPr>
          <w:b/>
          <w:bCs/>
          <w:noProof/>
          <w:szCs w:val="24"/>
        </w:rPr>
        <w:t>28</w:t>
      </w:r>
      <w:r w:rsidRPr="00540661">
        <w:rPr>
          <w:noProof/>
          <w:szCs w:val="24"/>
        </w:rPr>
        <w:t>(4), pp.562–569.</w:t>
      </w:r>
    </w:p>
    <w:p w14:paraId="65F13EF4"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Falik, O., Reides, P., Gersani, M. and Novoplansky, A. 2003. Self/Non-Self discrimination in roots. </w:t>
      </w:r>
      <w:r w:rsidRPr="00540661">
        <w:rPr>
          <w:i/>
          <w:iCs/>
          <w:noProof/>
          <w:szCs w:val="24"/>
        </w:rPr>
        <w:t>Journal of Ecology</w:t>
      </w:r>
      <w:r w:rsidRPr="00540661">
        <w:rPr>
          <w:noProof/>
          <w:szCs w:val="24"/>
        </w:rPr>
        <w:t xml:space="preserve">. </w:t>
      </w:r>
      <w:r w:rsidRPr="00540661">
        <w:rPr>
          <w:b/>
          <w:bCs/>
          <w:noProof/>
          <w:szCs w:val="24"/>
        </w:rPr>
        <w:t>91</w:t>
      </w:r>
      <w:r w:rsidRPr="00540661">
        <w:rPr>
          <w:noProof/>
          <w:szCs w:val="24"/>
        </w:rPr>
        <w:t>, pp.525–531.</w:t>
      </w:r>
    </w:p>
    <w:p w14:paraId="730913B1"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Fang, S., Clark, R.T., Zheng, Y., Iyer-Pascuzzi, A.S., Weitz, J.S., Kochian, L. V., Edelsbrunner, H., Liao, H. and Benfey, P.N. 2013. Genotypic recognition and spatial responses by rice roots. </w:t>
      </w:r>
      <w:r w:rsidRPr="00540661">
        <w:rPr>
          <w:i/>
          <w:iCs/>
          <w:noProof/>
          <w:szCs w:val="24"/>
        </w:rPr>
        <w:t>Proceedings of the National Academy of Sciences of the United States of America</w:t>
      </w:r>
      <w:r w:rsidRPr="00540661">
        <w:rPr>
          <w:noProof/>
          <w:szCs w:val="24"/>
        </w:rPr>
        <w:t xml:space="preserve">. </w:t>
      </w:r>
      <w:r w:rsidRPr="00540661">
        <w:rPr>
          <w:b/>
          <w:bCs/>
          <w:noProof/>
          <w:szCs w:val="24"/>
        </w:rPr>
        <w:t>110</w:t>
      </w:r>
      <w:r w:rsidRPr="00540661">
        <w:rPr>
          <w:noProof/>
          <w:szCs w:val="24"/>
        </w:rPr>
        <w:t>(7), pp.2670–2675.</w:t>
      </w:r>
    </w:p>
    <w:p w14:paraId="3E457393"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Fang, S., Gao, X., Deng, Y., Chen, X. and Liao, H. 2011. Crop root behavior coordinates phosphorus status and neighbors: From field studies to three-dimensional in situ reconstruction of root system architecture. </w:t>
      </w:r>
      <w:r w:rsidRPr="00540661">
        <w:rPr>
          <w:i/>
          <w:iCs/>
          <w:noProof/>
          <w:szCs w:val="24"/>
        </w:rPr>
        <w:t>Plant Physiology</w:t>
      </w:r>
      <w:r w:rsidRPr="00540661">
        <w:rPr>
          <w:noProof/>
          <w:szCs w:val="24"/>
        </w:rPr>
        <w:t xml:space="preserve">. </w:t>
      </w:r>
      <w:r w:rsidRPr="00540661">
        <w:rPr>
          <w:b/>
          <w:bCs/>
          <w:noProof/>
          <w:szCs w:val="24"/>
        </w:rPr>
        <w:t>155</w:t>
      </w:r>
      <w:r w:rsidRPr="00540661">
        <w:rPr>
          <w:noProof/>
          <w:szCs w:val="24"/>
        </w:rPr>
        <w:t>(3), pp.1277–1285.</w:t>
      </w:r>
    </w:p>
    <w:p w14:paraId="096F951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Fink, F. 2014. Extraction of genomic DNA using ‘Edwards’ buffer V.1, modified after Edwards et al. , 1991 Nucleic Acids Research. Available from: https://www.protocols.io/view/extraction-of-genomic-dna-using-edwards-buffer-grdbv26.html.</w:t>
      </w:r>
    </w:p>
    <w:p w14:paraId="18B6454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Foley, J.A., Ramankutty, N., Brauman, K.A., Cassidy, E.S., Gerber, J.S., Johnston, M., Mueller, N.D., O’Connell, C., Ray, D.K., West, P.C., Balzer, C., Bennett, E.M., Carpenter, S.R., Hill, J., Monfreda, C., Polasky, S., Rockström, J., Sheehan, J., Siebert, S., Tilman, D. and Zaks, D.P.M. 2011. Solutions for a cultivated planet. </w:t>
      </w:r>
      <w:r w:rsidRPr="00540661">
        <w:rPr>
          <w:i/>
          <w:iCs/>
          <w:noProof/>
          <w:szCs w:val="24"/>
        </w:rPr>
        <w:t>Nature</w:t>
      </w:r>
      <w:r w:rsidRPr="00540661">
        <w:rPr>
          <w:noProof/>
          <w:szCs w:val="24"/>
        </w:rPr>
        <w:t xml:space="preserve">. </w:t>
      </w:r>
      <w:r w:rsidRPr="00540661">
        <w:rPr>
          <w:b/>
          <w:bCs/>
          <w:noProof/>
          <w:szCs w:val="24"/>
        </w:rPr>
        <w:t>478</w:t>
      </w:r>
      <w:r w:rsidRPr="00540661">
        <w:rPr>
          <w:noProof/>
          <w:szCs w:val="24"/>
        </w:rPr>
        <w:t>(7369), pp.337–342.</w:t>
      </w:r>
    </w:p>
    <w:p w14:paraId="238D878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Forde, B.G. 2002. The role of long-distance signalling in plant responses to nitrate and other nutrients. </w:t>
      </w:r>
      <w:r w:rsidRPr="00540661">
        <w:rPr>
          <w:i/>
          <w:iCs/>
          <w:noProof/>
          <w:szCs w:val="24"/>
        </w:rPr>
        <w:t>Journal of Experimental Botany</w:t>
      </w:r>
      <w:r w:rsidRPr="00540661">
        <w:rPr>
          <w:noProof/>
          <w:szCs w:val="24"/>
        </w:rPr>
        <w:t xml:space="preserve">. </w:t>
      </w:r>
      <w:r w:rsidRPr="00540661">
        <w:rPr>
          <w:b/>
          <w:bCs/>
          <w:noProof/>
          <w:szCs w:val="24"/>
        </w:rPr>
        <w:t>53</w:t>
      </w:r>
      <w:r w:rsidRPr="00540661">
        <w:rPr>
          <w:noProof/>
          <w:szCs w:val="24"/>
        </w:rPr>
        <w:t>(366), pp.39–43.</w:t>
      </w:r>
    </w:p>
    <w:p w14:paraId="0795C0E8"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Fradgley, N., Evans, G., Biernaskie, J.M., Cockram, J., Marr, E.C., Oliver, A.G., Ober, E. and Jones, H. 2020. Effects of breeding history and crop management on the root architecture of wheat. </w:t>
      </w:r>
      <w:r w:rsidRPr="00540661">
        <w:rPr>
          <w:i/>
          <w:iCs/>
          <w:noProof/>
          <w:szCs w:val="24"/>
        </w:rPr>
        <w:t>Plant and Soil</w:t>
      </w:r>
      <w:r w:rsidRPr="00540661">
        <w:rPr>
          <w:noProof/>
          <w:szCs w:val="24"/>
        </w:rPr>
        <w:t xml:space="preserve">. </w:t>
      </w:r>
      <w:r w:rsidRPr="00540661">
        <w:rPr>
          <w:b/>
          <w:bCs/>
          <w:noProof/>
          <w:szCs w:val="24"/>
        </w:rPr>
        <w:t>452</w:t>
      </w:r>
      <w:r w:rsidRPr="00540661">
        <w:rPr>
          <w:noProof/>
          <w:szCs w:val="24"/>
        </w:rPr>
        <w:t>(1–2), pp.587–600.</w:t>
      </w:r>
    </w:p>
    <w:p w14:paraId="17163CD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Gao, Y.-Q., Bu, L.-H., Han, M.-L., Wang, Y.-L., Li, Z.-Y., Liu, H.-T. and Chao, D.-Y. 2021. Long-distance blue light signalling regulates phosphate deficiency-induced primary root growth inhibition. </w:t>
      </w:r>
      <w:r w:rsidRPr="00540661">
        <w:rPr>
          <w:i/>
          <w:iCs/>
          <w:noProof/>
          <w:szCs w:val="24"/>
        </w:rPr>
        <w:t>Molecular Plant</w:t>
      </w:r>
      <w:r w:rsidRPr="00540661">
        <w:rPr>
          <w:noProof/>
          <w:szCs w:val="24"/>
        </w:rPr>
        <w:t xml:space="preserve">. </w:t>
      </w:r>
      <w:r w:rsidRPr="00540661">
        <w:rPr>
          <w:b/>
          <w:bCs/>
          <w:noProof/>
          <w:szCs w:val="24"/>
        </w:rPr>
        <w:t>14</w:t>
      </w:r>
      <w:r w:rsidRPr="00540661">
        <w:rPr>
          <w:noProof/>
          <w:szCs w:val="24"/>
        </w:rPr>
        <w:t>(9), pp.1539–1553.</w:t>
      </w:r>
    </w:p>
    <w:p w14:paraId="4B29565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Garnett, T., Appleby, M.C., Balmford, A., Bateman, I.J., Benton, T.G., Bloomer, P., Burlingame, B., Dawkins, M., Dolan, L., Fraser, D., Herrero, M., Hoffmann, I., Smith, P., Thornton, P.K., Toulmin, C., Vermeulen, S.J. and Godfray, H.C.J. 2013. Sustainable intensification in agriculture: </w:t>
      </w:r>
      <w:r w:rsidRPr="00540661">
        <w:rPr>
          <w:noProof/>
          <w:szCs w:val="24"/>
        </w:rPr>
        <w:lastRenderedPageBreak/>
        <w:t xml:space="preserve">Premises and policies. </w:t>
      </w:r>
      <w:r w:rsidRPr="00540661">
        <w:rPr>
          <w:i/>
          <w:iCs/>
          <w:noProof/>
          <w:szCs w:val="24"/>
        </w:rPr>
        <w:t>Science</w:t>
      </w:r>
      <w:r w:rsidRPr="00540661">
        <w:rPr>
          <w:noProof/>
          <w:szCs w:val="24"/>
        </w:rPr>
        <w:t xml:space="preserve">. </w:t>
      </w:r>
      <w:r w:rsidRPr="00540661">
        <w:rPr>
          <w:b/>
          <w:bCs/>
          <w:noProof/>
          <w:szCs w:val="24"/>
        </w:rPr>
        <w:t>341</w:t>
      </w:r>
      <w:r w:rsidRPr="00540661">
        <w:rPr>
          <w:noProof/>
          <w:szCs w:val="24"/>
        </w:rPr>
        <w:t>(6141), pp.33–34.</w:t>
      </w:r>
    </w:p>
    <w:p w14:paraId="0BE2AEC3"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Gates-Anderson, D.D., Siegrist, R.L. and Cline, S.R. 2001. Comparison of potassium permanganate and hydrogen peroxide as chemical oxidants for organically contaminated soils. </w:t>
      </w:r>
      <w:r w:rsidRPr="00540661">
        <w:rPr>
          <w:i/>
          <w:iCs/>
          <w:noProof/>
          <w:szCs w:val="24"/>
        </w:rPr>
        <w:t>Journal of Environmental Engineering</w:t>
      </w:r>
      <w:r w:rsidRPr="00540661">
        <w:rPr>
          <w:noProof/>
          <w:szCs w:val="24"/>
        </w:rPr>
        <w:t xml:space="preserve">. </w:t>
      </w:r>
      <w:r w:rsidRPr="00540661">
        <w:rPr>
          <w:b/>
          <w:bCs/>
          <w:noProof/>
          <w:szCs w:val="24"/>
        </w:rPr>
        <w:t>127</w:t>
      </w:r>
      <w:r w:rsidRPr="00540661">
        <w:rPr>
          <w:noProof/>
          <w:szCs w:val="24"/>
        </w:rPr>
        <w:t>(4), pp.337–347.</w:t>
      </w:r>
    </w:p>
    <w:p w14:paraId="1257302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Gersani, M., Brown, J. s., O’Brien, E.E., Maina, G.M. and Abramsky, Z. 2001. Tragedy of the commons as a result of root competition. </w:t>
      </w:r>
      <w:r w:rsidRPr="00540661">
        <w:rPr>
          <w:i/>
          <w:iCs/>
          <w:noProof/>
          <w:szCs w:val="24"/>
        </w:rPr>
        <w:t>Journal of Ecology</w:t>
      </w:r>
      <w:r w:rsidRPr="00540661">
        <w:rPr>
          <w:noProof/>
          <w:szCs w:val="24"/>
        </w:rPr>
        <w:t xml:space="preserve">. </w:t>
      </w:r>
      <w:r w:rsidRPr="00540661">
        <w:rPr>
          <w:b/>
          <w:bCs/>
          <w:noProof/>
          <w:szCs w:val="24"/>
        </w:rPr>
        <w:t>89</w:t>
      </w:r>
      <w:r w:rsidRPr="00540661">
        <w:rPr>
          <w:noProof/>
          <w:szCs w:val="24"/>
        </w:rPr>
        <w:t>(4), pp.660–669.</w:t>
      </w:r>
    </w:p>
    <w:p w14:paraId="35E0172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Gomez-Roldan, V., Fermas, S., Brewer, P.B., Puech-Pagès, V., Dun, E.A., Pillot, J.P., Letisse, F., Matusova, R., Danoun, S., Portais, J.C., Bouwmeester, H., Bécard, G., Beveridge, C.A., Rameau, C. and Rochange, S.F. 2008. Strigolactone inhibition of shoot branching. </w:t>
      </w:r>
      <w:r w:rsidRPr="00540661">
        <w:rPr>
          <w:i/>
          <w:iCs/>
          <w:noProof/>
          <w:szCs w:val="24"/>
        </w:rPr>
        <w:t>Nature</w:t>
      </w:r>
      <w:r w:rsidRPr="00540661">
        <w:rPr>
          <w:noProof/>
          <w:szCs w:val="24"/>
        </w:rPr>
        <w:t xml:space="preserve">. </w:t>
      </w:r>
      <w:r w:rsidRPr="00540661">
        <w:rPr>
          <w:b/>
          <w:bCs/>
          <w:noProof/>
          <w:szCs w:val="24"/>
        </w:rPr>
        <w:t>455</w:t>
      </w:r>
      <w:r w:rsidRPr="00540661">
        <w:rPr>
          <w:noProof/>
          <w:szCs w:val="24"/>
        </w:rPr>
        <w:t>(7210), pp.189–194.</w:t>
      </w:r>
    </w:p>
    <w:p w14:paraId="70E5D13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Goodstein, D.M., Shu, S., Howson, R., Neupane, R., Hayes, R.D., Fazo, J., Mitros, T., Dirks, W., Hellsten, U., Putnam, N. and Rokhsar, D.S. 2012. Phytozome: a comparative platform for green plant genomics. </w:t>
      </w:r>
      <w:r w:rsidRPr="00540661">
        <w:rPr>
          <w:i/>
          <w:iCs/>
          <w:noProof/>
          <w:szCs w:val="24"/>
        </w:rPr>
        <w:t>Nucleic Acids Research</w:t>
      </w:r>
      <w:r w:rsidRPr="00540661">
        <w:rPr>
          <w:noProof/>
          <w:szCs w:val="24"/>
        </w:rPr>
        <w:t xml:space="preserve">. </w:t>
      </w:r>
      <w:r w:rsidRPr="00540661">
        <w:rPr>
          <w:b/>
          <w:bCs/>
          <w:noProof/>
          <w:szCs w:val="24"/>
        </w:rPr>
        <w:t>40</w:t>
      </w:r>
      <w:r w:rsidRPr="00540661">
        <w:rPr>
          <w:noProof/>
          <w:szCs w:val="24"/>
        </w:rPr>
        <w:t>(D1), pp.D1178–D1186.</w:t>
      </w:r>
    </w:p>
    <w:p w14:paraId="3B9924B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Goss, M.J. 1977. Effects of mechanical impedance on root Growth in barley ( Hordeum vulgare L.). </w:t>
      </w:r>
      <w:r w:rsidRPr="00540661">
        <w:rPr>
          <w:i/>
          <w:iCs/>
          <w:noProof/>
          <w:szCs w:val="24"/>
        </w:rPr>
        <w:t>Journal of Experimental Botany</w:t>
      </w:r>
      <w:r w:rsidRPr="00540661">
        <w:rPr>
          <w:noProof/>
          <w:szCs w:val="24"/>
        </w:rPr>
        <w:t xml:space="preserve">. </w:t>
      </w:r>
      <w:r w:rsidRPr="00540661">
        <w:rPr>
          <w:b/>
          <w:bCs/>
          <w:noProof/>
          <w:szCs w:val="24"/>
        </w:rPr>
        <w:t>28</w:t>
      </w:r>
      <w:r w:rsidRPr="00540661">
        <w:rPr>
          <w:noProof/>
          <w:szCs w:val="24"/>
        </w:rPr>
        <w:t>(1), pp.96–111.</w:t>
      </w:r>
    </w:p>
    <w:p w14:paraId="7D218D2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Grando, S. and Ceccarelli, S. 1995. Seminal root morphology and coleoptile length in wild (Hordeum vulgare ssp. spontaneum) and cultivated (Hordeum vulgare ssp. vulgare) barley. </w:t>
      </w:r>
      <w:r w:rsidRPr="00540661">
        <w:rPr>
          <w:i/>
          <w:iCs/>
          <w:noProof/>
          <w:szCs w:val="24"/>
        </w:rPr>
        <w:t>Euphytica</w:t>
      </w:r>
      <w:r w:rsidRPr="00540661">
        <w:rPr>
          <w:noProof/>
          <w:szCs w:val="24"/>
        </w:rPr>
        <w:t xml:space="preserve">. </w:t>
      </w:r>
      <w:r w:rsidRPr="00540661">
        <w:rPr>
          <w:b/>
          <w:bCs/>
          <w:noProof/>
          <w:szCs w:val="24"/>
        </w:rPr>
        <w:t>86</w:t>
      </w:r>
      <w:r w:rsidRPr="00540661">
        <w:rPr>
          <w:noProof/>
          <w:szCs w:val="24"/>
        </w:rPr>
        <w:t>(1), pp.73–80.</w:t>
      </w:r>
    </w:p>
    <w:p w14:paraId="0B316F8F"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de Groot, C.C., Marcelis, L.F.M., van den Boogaard, R., Kaiser, W.M. and Lambers, H. 2003. Interaction of nitrogen and phosphorus nutrition in determining growth. </w:t>
      </w:r>
      <w:r w:rsidRPr="00540661">
        <w:rPr>
          <w:i/>
          <w:iCs/>
          <w:noProof/>
          <w:szCs w:val="24"/>
        </w:rPr>
        <w:t>Plant and Soil</w:t>
      </w:r>
      <w:r w:rsidRPr="00540661">
        <w:rPr>
          <w:noProof/>
          <w:szCs w:val="24"/>
        </w:rPr>
        <w:t xml:space="preserve">. </w:t>
      </w:r>
      <w:r w:rsidRPr="00540661">
        <w:rPr>
          <w:b/>
          <w:bCs/>
          <w:noProof/>
          <w:szCs w:val="24"/>
        </w:rPr>
        <w:t>248</w:t>
      </w:r>
      <w:r w:rsidRPr="00540661">
        <w:rPr>
          <w:noProof/>
          <w:szCs w:val="24"/>
        </w:rPr>
        <w:t>(1/2), pp.257–268.</w:t>
      </w:r>
    </w:p>
    <w:p w14:paraId="029178A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Gruntman, M. and Novoplansky, A. 2004. Physiologically mediated self/non-self discrimination in roots. </w:t>
      </w:r>
      <w:r w:rsidRPr="00540661">
        <w:rPr>
          <w:i/>
          <w:iCs/>
          <w:noProof/>
          <w:szCs w:val="24"/>
        </w:rPr>
        <w:t>Proceedings of the National Academy of Sciences of the United States of America</w:t>
      </w:r>
      <w:r w:rsidRPr="00540661">
        <w:rPr>
          <w:noProof/>
          <w:szCs w:val="24"/>
        </w:rPr>
        <w:t xml:space="preserve">. </w:t>
      </w:r>
      <w:r w:rsidRPr="00540661">
        <w:rPr>
          <w:b/>
          <w:bCs/>
          <w:noProof/>
          <w:szCs w:val="24"/>
        </w:rPr>
        <w:t>101</w:t>
      </w:r>
      <w:r w:rsidRPr="00540661">
        <w:rPr>
          <w:noProof/>
          <w:szCs w:val="24"/>
        </w:rPr>
        <w:t>(11), pp.3863–3867.</w:t>
      </w:r>
    </w:p>
    <w:p w14:paraId="21CD4408"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Gutjahr, C. 2014. Phytohormone signaling in arbuscular mycorhiza development. </w:t>
      </w:r>
      <w:r w:rsidRPr="00540661">
        <w:rPr>
          <w:i/>
          <w:iCs/>
          <w:noProof/>
          <w:szCs w:val="24"/>
        </w:rPr>
        <w:t>Current Opinion in Plant Biology</w:t>
      </w:r>
      <w:r w:rsidRPr="00540661">
        <w:rPr>
          <w:noProof/>
          <w:szCs w:val="24"/>
        </w:rPr>
        <w:t xml:space="preserve">. </w:t>
      </w:r>
      <w:r w:rsidRPr="00540661">
        <w:rPr>
          <w:b/>
          <w:bCs/>
          <w:noProof/>
          <w:szCs w:val="24"/>
        </w:rPr>
        <w:t>20</w:t>
      </w:r>
      <w:r w:rsidRPr="00540661">
        <w:rPr>
          <w:noProof/>
          <w:szCs w:val="24"/>
        </w:rPr>
        <w:t>, pp.26–34.</w:t>
      </w:r>
    </w:p>
    <w:p w14:paraId="5AB79956"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Hadley, K., Wheat, S., Rogers, H.H., Balakumar, A., Gonzales-Pacheco, D., Davis, S.S., Linstadt, H., Cushing, T., Ziska, L.H., Piper, C. and Sorensen, C. 2023. Mechanisms underlying food insecurity in the aftermath of climate-related shocks: a systematic review. </w:t>
      </w:r>
      <w:r w:rsidRPr="00540661">
        <w:rPr>
          <w:i/>
          <w:iCs/>
          <w:noProof/>
          <w:szCs w:val="24"/>
        </w:rPr>
        <w:t>The Lancet Planetary Health</w:t>
      </w:r>
      <w:r w:rsidRPr="00540661">
        <w:rPr>
          <w:noProof/>
          <w:szCs w:val="24"/>
        </w:rPr>
        <w:t xml:space="preserve">. </w:t>
      </w:r>
      <w:r w:rsidRPr="00540661">
        <w:rPr>
          <w:b/>
          <w:bCs/>
          <w:noProof/>
          <w:szCs w:val="24"/>
        </w:rPr>
        <w:t>7</w:t>
      </w:r>
      <w:r w:rsidRPr="00540661">
        <w:rPr>
          <w:noProof/>
          <w:szCs w:val="24"/>
        </w:rPr>
        <w:t>(3), pp.e242–e250.</w:t>
      </w:r>
    </w:p>
    <w:p w14:paraId="50824C16"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Hameed, M.A., Reid, J.B. and Rowe, R.N. 1987. Root Confinement and its Effects on the Water Relations, Growth and Assimilate Partitioning of Tomato (Lycopersicon esculentum Mill). </w:t>
      </w:r>
      <w:r w:rsidRPr="00540661">
        <w:rPr>
          <w:i/>
          <w:iCs/>
          <w:noProof/>
          <w:szCs w:val="24"/>
        </w:rPr>
        <w:t>Annals of Botany</w:t>
      </w:r>
      <w:r w:rsidRPr="00540661">
        <w:rPr>
          <w:noProof/>
          <w:szCs w:val="24"/>
        </w:rPr>
        <w:t xml:space="preserve">. </w:t>
      </w:r>
      <w:r w:rsidRPr="00540661">
        <w:rPr>
          <w:b/>
          <w:bCs/>
          <w:noProof/>
          <w:szCs w:val="24"/>
        </w:rPr>
        <w:t>59</w:t>
      </w:r>
      <w:r w:rsidRPr="00540661">
        <w:rPr>
          <w:noProof/>
          <w:szCs w:val="24"/>
        </w:rPr>
        <w:t>(6), pp.685–692.</w:t>
      </w:r>
    </w:p>
    <w:p w14:paraId="31ADCBA6"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Hamiaux, C., Drummond, R.S.M., Janssen, B.J., Ledger, S.E., Cooney, J.M., Newcomb, R.D. and Snowden, K.C. 2012. DAD2 is an α/β hydrolase likely to be involved in the perception of the plant branching hormone, strigolactone. </w:t>
      </w:r>
      <w:r w:rsidRPr="00540661">
        <w:rPr>
          <w:i/>
          <w:iCs/>
          <w:noProof/>
          <w:szCs w:val="24"/>
        </w:rPr>
        <w:t>Current Biology</w:t>
      </w:r>
      <w:r w:rsidRPr="00540661">
        <w:rPr>
          <w:noProof/>
          <w:szCs w:val="24"/>
        </w:rPr>
        <w:t xml:space="preserve">. </w:t>
      </w:r>
      <w:r w:rsidRPr="00540661">
        <w:rPr>
          <w:b/>
          <w:bCs/>
          <w:noProof/>
          <w:szCs w:val="24"/>
        </w:rPr>
        <w:t>22</w:t>
      </w:r>
      <w:r w:rsidRPr="00540661">
        <w:rPr>
          <w:noProof/>
          <w:szCs w:val="24"/>
        </w:rPr>
        <w:t>(21), pp.2032–2036.</w:t>
      </w:r>
    </w:p>
    <w:p w14:paraId="736A691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Hanada, K., Higuchi-Takeuchi, M., Okamoto, M., Yoshizumi, T., Shimizu, M., Nakaminami, K., Nishi, R., Ohashi, C., Iida, K., Tanaka, M., Horii, Y., </w:t>
      </w:r>
      <w:r w:rsidRPr="00540661">
        <w:rPr>
          <w:noProof/>
          <w:szCs w:val="24"/>
        </w:rPr>
        <w:lastRenderedPageBreak/>
        <w:t xml:space="preserve">Kawashima, M., Matsui, K., Toyoda, T., Shinozaki, K., Seki, M. and Matsui, M. 2013. Small open reading frames associated with morphogenesis are hidden in plant genomes. </w:t>
      </w:r>
      <w:r w:rsidRPr="00540661">
        <w:rPr>
          <w:i/>
          <w:iCs/>
          <w:noProof/>
          <w:szCs w:val="24"/>
        </w:rPr>
        <w:t>Proceedings of the National Academy of Sciences</w:t>
      </w:r>
      <w:r w:rsidRPr="00540661">
        <w:rPr>
          <w:noProof/>
          <w:szCs w:val="24"/>
        </w:rPr>
        <w:t xml:space="preserve">. </w:t>
      </w:r>
      <w:r w:rsidRPr="00540661">
        <w:rPr>
          <w:b/>
          <w:bCs/>
          <w:noProof/>
          <w:szCs w:val="24"/>
        </w:rPr>
        <w:t>110</w:t>
      </w:r>
      <w:r w:rsidRPr="00540661">
        <w:rPr>
          <w:noProof/>
          <w:szCs w:val="24"/>
        </w:rPr>
        <w:t>(6), pp.2395–2400.</w:t>
      </w:r>
    </w:p>
    <w:p w14:paraId="544F2DC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Hanada, K., Zhang, X., Borevitz, J.O., Li, W.-H. and Shiu, S.-H. 2007. A large number of novel coding small open reading frames in the intergenic regions of the Arabidopsis thaliana genome are transcribed and/or under purifying selection. </w:t>
      </w:r>
      <w:r w:rsidRPr="00540661">
        <w:rPr>
          <w:i/>
          <w:iCs/>
          <w:noProof/>
          <w:szCs w:val="24"/>
        </w:rPr>
        <w:t>Genome Research</w:t>
      </w:r>
      <w:r w:rsidRPr="00540661">
        <w:rPr>
          <w:noProof/>
          <w:szCs w:val="24"/>
        </w:rPr>
        <w:t xml:space="preserve">. </w:t>
      </w:r>
      <w:r w:rsidRPr="00540661">
        <w:rPr>
          <w:b/>
          <w:bCs/>
          <w:noProof/>
          <w:szCs w:val="24"/>
        </w:rPr>
        <w:t>17</w:t>
      </w:r>
      <w:r w:rsidRPr="00540661">
        <w:rPr>
          <w:noProof/>
          <w:szCs w:val="24"/>
        </w:rPr>
        <w:t>(5), pp.632–640.</w:t>
      </w:r>
    </w:p>
    <w:p w14:paraId="7C9C775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Hanson, P.J., Dixon, R.K. and Dickson, R.E. 1987. Effect of container size and shape on the growth of northern red oak seedlings. </w:t>
      </w:r>
      <w:r w:rsidRPr="00540661">
        <w:rPr>
          <w:i/>
          <w:iCs/>
          <w:noProof/>
          <w:szCs w:val="24"/>
        </w:rPr>
        <w:t>HortScience</w:t>
      </w:r>
      <w:r w:rsidRPr="00540661">
        <w:rPr>
          <w:noProof/>
          <w:szCs w:val="24"/>
        </w:rPr>
        <w:t xml:space="preserve">. </w:t>
      </w:r>
      <w:r w:rsidRPr="00540661">
        <w:rPr>
          <w:b/>
          <w:bCs/>
          <w:noProof/>
          <w:szCs w:val="24"/>
        </w:rPr>
        <w:t>22</w:t>
      </w:r>
      <w:r w:rsidRPr="00540661">
        <w:rPr>
          <w:noProof/>
          <w:szCs w:val="24"/>
        </w:rPr>
        <w:t>(6), pp.1293–1295.</w:t>
      </w:r>
    </w:p>
    <w:p w14:paraId="199A75EF"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Harper, J.L. 1977. </w:t>
      </w:r>
      <w:r w:rsidRPr="00540661">
        <w:rPr>
          <w:i/>
          <w:iCs/>
          <w:noProof/>
          <w:szCs w:val="24"/>
        </w:rPr>
        <w:t>Population biology of plants</w:t>
      </w:r>
      <w:r w:rsidRPr="00540661">
        <w:rPr>
          <w:noProof/>
          <w:szCs w:val="24"/>
        </w:rPr>
        <w:t>. London: Academic Press.</w:t>
      </w:r>
    </w:p>
    <w:p w14:paraId="55AB1017"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Hecht, V.L., Temperton, V.M., Nagel, K.A., Rascher, U. and Postma, J.A. 2016. Sowing density: A neglected factor fundamentally affecting root distribution and biomass allocation of field grown spring barley (Hordeum Vulgare L.). </w:t>
      </w:r>
      <w:r w:rsidRPr="00540661">
        <w:rPr>
          <w:i/>
          <w:iCs/>
          <w:noProof/>
          <w:szCs w:val="24"/>
        </w:rPr>
        <w:t>Frontiers in plant science</w:t>
      </w:r>
      <w:r w:rsidRPr="00540661">
        <w:rPr>
          <w:noProof/>
          <w:szCs w:val="24"/>
        </w:rPr>
        <w:t xml:space="preserve">. </w:t>
      </w:r>
      <w:r w:rsidRPr="00540661">
        <w:rPr>
          <w:b/>
          <w:bCs/>
          <w:noProof/>
          <w:szCs w:val="24"/>
        </w:rPr>
        <w:t>7</w:t>
      </w:r>
      <w:r w:rsidRPr="00540661">
        <w:rPr>
          <w:noProof/>
          <w:szCs w:val="24"/>
        </w:rPr>
        <w:t>, p.944.</w:t>
      </w:r>
    </w:p>
    <w:p w14:paraId="1E951A06"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Hecht, V.L., Temperton, V.M., Nagel, K.A., Rascher, U., Pude, R. and Postma, J.A. 2019. Plant density modifies root system architecture in spring barley (Hordeum vulgare L.) through a change in nodal root number. </w:t>
      </w:r>
      <w:r w:rsidRPr="00540661">
        <w:rPr>
          <w:i/>
          <w:iCs/>
          <w:noProof/>
          <w:szCs w:val="24"/>
        </w:rPr>
        <w:t>Plant and Soil</w:t>
      </w:r>
      <w:r w:rsidRPr="00540661">
        <w:rPr>
          <w:noProof/>
          <w:szCs w:val="24"/>
        </w:rPr>
        <w:t xml:space="preserve">. </w:t>
      </w:r>
      <w:r w:rsidRPr="00540661">
        <w:rPr>
          <w:b/>
          <w:bCs/>
          <w:noProof/>
          <w:szCs w:val="24"/>
        </w:rPr>
        <w:t>439</w:t>
      </w:r>
      <w:r w:rsidRPr="00540661">
        <w:rPr>
          <w:noProof/>
          <w:szCs w:val="24"/>
        </w:rPr>
        <w:t>(1–2), pp.179–200.</w:t>
      </w:r>
    </w:p>
    <w:p w14:paraId="59141F96"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Heil, M. and Adame-Álvarez, R.M. 2010. Short signalling distances make plant communication a soliloquy. </w:t>
      </w:r>
      <w:r w:rsidRPr="00540661">
        <w:rPr>
          <w:i/>
          <w:iCs/>
          <w:noProof/>
          <w:szCs w:val="24"/>
        </w:rPr>
        <w:t>Biology Letters</w:t>
      </w:r>
      <w:r w:rsidRPr="00540661">
        <w:rPr>
          <w:noProof/>
          <w:szCs w:val="24"/>
        </w:rPr>
        <w:t xml:space="preserve">. </w:t>
      </w:r>
      <w:r w:rsidRPr="00540661">
        <w:rPr>
          <w:b/>
          <w:bCs/>
          <w:noProof/>
          <w:szCs w:val="24"/>
        </w:rPr>
        <w:t>6</w:t>
      </w:r>
      <w:r w:rsidRPr="00540661">
        <w:rPr>
          <w:noProof/>
          <w:szCs w:val="24"/>
        </w:rPr>
        <w:t>(6), pp.843–845.</w:t>
      </w:r>
    </w:p>
    <w:p w14:paraId="740C9B4D"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Heil, M. and Karban, R. 2010. Explaining evolution of plant communication by airborne signals. </w:t>
      </w:r>
      <w:r w:rsidRPr="00540661">
        <w:rPr>
          <w:i/>
          <w:iCs/>
          <w:noProof/>
          <w:szCs w:val="24"/>
        </w:rPr>
        <w:t>Trends in Ecology &amp; Evolution</w:t>
      </w:r>
      <w:r w:rsidRPr="00540661">
        <w:rPr>
          <w:noProof/>
          <w:szCs w:val="24"/>
        </w:rPr>
        <w:t xml:space="preserve">. </w:t>
      </w:r>
      <w:r w:rsidRPr="00540661">
        <w:rPr>
          <w:b/>
          <w:bCs/>
          <w:noProof/>
          <w:szCs w:val="24"/>
        </w:rPr>
        <w:t>25</w:t>
      </w:r>
      <w:r w:rsidRPr="00540661">
        <w:rPr>
          <w:noProof/>
          <w:szCs w:val="24"/>
        </w:rPr>
        <w:t>(3), pp.137–144.</w:t>
      </w:r>
    </w:p>
    <w:p w14:paraId="22AEC2B3"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Hess, L. and De Kroon, H. 2007. Effects of rooting volume and nutrient availability as an alternative explanation for root self/non-self discrimination. </w:t>
      </w:r>
      <w:r w:rsidRPr="00540661">
        <w:rPr>
          <w:i/>
          <w:iCs/>
          <w:noProof/>
          <w:szCs w:val="24"/>
        </w:rPr>
        <w:t>Journal of Ecology</w:t>
      </w:r>
      <w:r w:rsidRPr="00540661">
        <w:rPr>
          <w:noProof/>
          <w:szCs w:val="24"/>
        </w:rPr>
        <w:t xml:space="preserve">. </w:t>
      </w:r>
      <w:r w:rsidRPr="00540661">
        <w:rPr>
          <w:b/>
          <w:bCs/>
          <w:noProof/>
          <w:szCs w:val="24"/>
        </w:rPr>
        <w:t>95</w:t>
      </w:r>
      <w:r w:rsidRPr="00540661">
        <w:rPr>
          <w:noProof/>
          <w:szCs w:val="24"/>
        </w:rPr>
        <w:t>(2), pp.241–251.</w:t>
      </w:r>
    </w:p>
    <w:p w14:paraId="25700BE5"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Hickman, J.F. 1889. Experiments in wheat seeding: Comparative test of varieties of wheat. </w:t>
      </w:r>
      <w:r w:rsidRPr="00540661">
        <w:rPr>
          <w:i/>
          <w:iCs/>
          <w:noProof/>
          <w:szCs w:val="24"/>
        </w:rPr>
        <w:t>Bulletin of the Ohio Agricultural Experiment Station</w:t>
      </w:r>
      <w:r w:rsidRPr="00540661">
        <w:rPr>
          <w:noProof/>
          <w:szCs w:val="24"/>
        </w:rPr>
        <w:t xml:space="preserve">. </w:t>
      </w:r>
      <w:r w:rsidRPr="00540661">
        <w:rPr>
          <w:b/>
          <w:bCs/>
          <w:noProof/>
          <w:szCs w:val="24"/>
        </w:rPr>
        <w:t>ll</w:t>
      </w:r>
      <w:r w:rsidRPr="00540661">
        <w:rPr>
          <w:noProof/>
          <w:szCs w:val="24"/>
        </w:rPr>
        <w:t>, pp.9–10.</w:t>
      </w:r>
    </w:p>
    <w:p w14:paraId="568512E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Hu, L., Robert, C.A.M., Cadot, S., Zhang, X., Ye, M., Li, B., Manzo, D., Chervet, N., Steinger, T., van der Heijden, M.G.A., Schlaeppi, K. and Erb, M. 2018. Root exudate metabolites drive plant-soil feedbacks on growth and defense by shaping the rhizosphere microbiota. </w:t>
      </w:r>
      <w:r w:rsidRPr="00540661">
        <w:rPr>
          <w:i/>
          <w:iCs/>
          <w:noProof/>
          <w:szCs w:val="24"/>
        </w:rPr>
        <w:t>Nature Communications</w:t>
      </w:r>
      <w:r w:rsidRPr="00540661">
        <w:rPr>
          <w:noProof/>
          <w:szCs w:val="24"/>
        </w:rPr>
        <w:t xml:space="preserve">. </w:t>
      </w:r>
      <w:r w:rsidRPr="00540661">
        <w:rPr>
          <w:b/>
          <w:bCs/>
          <w:noProof/>
          <w:szCs w:val="24"/>
        </w:rPr>
        <w:t>9</w:t>
      </w:r>
      <w:r w:rsidRPr="00540661">
        <w:rPr>
          <w:noProof/>
          <w:szCs w:val="24"/>
        </w:rPr>
        <w:t>(1), p.2738.</w:t>
      </w:r>
    </w:p>
    <w:p w14:paraId="4A320E8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Huber, M., Nieuwendijk, N.M., Pantazopoulou, C.K. and Pierik, R. 2021. Light signalling shapes plant–plant interactions in dense canopies. </w:t>
      </w:r>
      <w:r w:rsidRPr="00540661">
        <w:rPr>
          <w:i/>
          <w:iCs/>
          <w:noProof/>
          <w:szCs w:val="24"/>
        </w:rPr>
        <w:t>Plant, Cell &amp; Environment</w:t>
      </w:r>
      <w:r w:rsidRPr="00540661">
        <w:rPr>
          <w:noProof/>
          <w:szCs w:val="24"/>
        </w:rPr>
        <w:t xml:space="preserve">. </w:t>
      </w:r>
      <w:r w:rsidRPr="00540661">
        <w:rPr>
          <w:b/>
          <w:bCs/>
          <w:noProof/>
          <w:szCs w:val="24"/>
        </w:rPr>
        <w:t>44</w:t>
      </w:r>
      <w:r w:rsidRPr="00540661">
        <w:rPr>
          <w:noProof/>
          <w:szCs w:val="24"/>
        </w:rPr>
        <w:t>(4), pp.1014–1029.</w:t>
      </w:r>
    </w:p>
    <w:p w14:paraId="7D64A4F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Hunt, R. 1982. </w:t>
      </w:r>
      <w:r w:rsidRPr="00540661">
        <w:rPr>
          <w:i/>
          <w:iCs/>
          <w:noProof/>
          <w:szCs w:val="24"/>
        </w:rPr>
        <w:t>Plant Growth Curves: A Functional Approach to Plant Growth Analysis</w:t>
      </w:r>
      <w:r w:rsidRPr="00540661">
        <w:rPr>
          <w:noProof/>
          <w:szCs w:val="24"/>
        </w:rPr>
        <w:t>. London: Edwin Arnold.</w:t>
      </w:r>
    </w:p>
    <w:p w14:paraId="19187F1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van Iersel, M. 1997. Root restriction effects on growth and development of Salvia (Salvia splendens). </w:t>
      </w:r>
      <w:r w:rsidRPr="00540661">
        <w:rPr>
          <w:i/>
          <w:iCs/>
          <w:noProof/>
          <w:szCs w:val="24"/>
        </w:rPr>
        <w:t>HortScience</w:t>
      </w:r>
      <w:r w:rsidRPr="00540661">
        <w:rPr>
          <w:noProof/>
          <w:szCs w:val="24"/>
        </w:rPr>
        <w:t xml:space="preserve">. </w:t>
      </w:r>
      <w:r w:rsidRPr="00540661">
        <w:rPr>
          <w:b/>
          <w:bCs/>
          <w:noProof/>
          <w:szCs w:val="24"/>
        </w:rPr>
        <w:t>32</w:t>
      </w:r>
      <w:r w:rsidRPr="00540661">
        <w:rPr>
          <w:noProof/>
          <w:szCs w:val="24"/>
        </w:rPr>
        <w:t>(7), pp.1186–1190.</w:t>
      </w:r>
    </w:p>
    <w:p w14:paraId="5BD0E248"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Imin, N., Mohd-Radzman, N.A., Ogilvie, H.A. and Djordjevic, M.A. 2013. The peptide-encoding CEP1 gene modulates lateral root and nodule numbers in Medicago truncatula. </w:t>
      </w:r>
      <w:r w:rsidRPr="00540661">
        <w:rPr>
          <w:i/>
          <w:iCs/>
          <w:noProof/>
          <w:szCs w:val="24"/>
        </w:rPr>
        <w:t>Journal of Experimental Botany</w:t>
      </w:r>
      <w:r w:rsidRPr="00540661">
        <w:rPr>
          <w:noProof/>
          <w:szCs w:val="24"/>
        </w:rPr>
        <w:t xml:space="preserve">. </w:t>
      </w:r>
      <w:r w:rsidRPr="00540661">
        <w:rPr>
          <w:b/>
          <w:bCs/>
          <w:noProof/>
          <w:szCs w:val="24"/>
        </w:rPr>
        <w:t>64</w:t>
      </w:r>
      <w:r w:rsidRPr="00540661">
        <w:rPr>
          <w:noProof/>
          <w:szCs w:val="24"/>
        </w:rPr>
        <w:t xml:space="preserve">(17), </w:t>
      </w:r>
      <w:r w:rsidRPr="00540661">
        <w:rPr>
          <w:noProof/>
          <w:szCs w:val="24"/>
        </w:rPr>
        <w:lastRenderedPageBreak/>
        <w:t>pp.5395–5409.</w:t>
      </w:r>
    </w:p>
    <w:p w14:paraId="7785DC3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Inderjit 1996. Plant phenolics in allelopathy. </w:t>
      </w:r>
      <w:r w:rsidRPr="00540661">
        <w:rPr>
          <w:i/>
          <w:iCs/>
          <w:noProof/>
          <w:szCs w:val="24"/>
        </w:rPr>
        <w:t>The Botanical Review</w:t>
      </w:r>
      <w:r w:rsidRPr="00540661">
        <w:rPr>
          <w:noProof/>
          <w:szCs w:val="24"/>
        </w:rPr>
        <w:t xml:space="preserve">. </w:t>
      </w:r>
      <w:r w:rsidRPr="00540661">
        <w:rPr>
          <w:b/>
          <w:bCs/>
          <w:noProof/>
          <w:szCs w:val="24"/>
        </w:rPr>
        <w:t>62</w:t>
      </w:r>
      <w:r w:rsidRPr="00540661">
        <w:rPr>
          <w:noProof/>
          <w:szCs w:val="24"/>
        </w:rPr>
        <w:t>(2), pp.186–202.</w:t>
      </w:r>
    </w:p>
    <w:p w14:paraId="655D1D3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Ito, S., Braguy, J., Wang, J.Y., Yoda, A., Fiorilli, V., Takahashi, I., Jamil, M., Felemban, A., Miyazaki, S., Mazzarella, T., Chen, G.-T.E., Shinozawa, A., Balakrishna, A., Berqdar, L., Rajan, C., Ali, S., Haider, I., Sasaki, Y., Yajima, S., Akiyama, K., Lanfranco, L., Zurbriggen, M.D., Nomura, T., Asami, T. and Al-Babili, S. 2022. Canonical strigolactones are not the major determinant of tillering but important rhizospheric signals in rice. </w:t>
      </w:r>
      <w:r w:rsidRPr="00540661">
        <w:rPr>
          <w:i/>
          <w:iCs/>
          <w:noProof/>
          <w:szCs w:val="24"/>
        </w:rPr>
        <w:t>Science Advances</w:t>
      </w:r>
      <w:r w:rsidRPr="00540661">
        <w:rPr>
          <w:noProof/>
          <w:szCs w:val="24"/>
        </w:rPr>
        <w:t xml:space="preserve">. </w:t>
      </w:r>
      <w:r w:rsidRPr="00540661">
        <w:rPr>
          <w:b/>
          <w:bCs/>
          <w:noProof/>
          <w:szCs w:val="24"/>
        </w:rPr>
        <w:t>8</w:t>
      </w:r>
      <w:r w:rsidRPr="00540661">
        <w:rPr>
          <w:noProof/>
          <w:szCs w:val="24"/>
        </w:rPr>
        <w:t>(44), p.eadd1278.</w:t>
      </w:r>
    </w:p>
    <w:p w14:paraId="4035AF1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Jameson, P.E. 1994. Cytokinin metabolism and compartmentation </w:t>
      </w:r>
      <w:r w:rsidRPr="00540661">
        <w:rPr>
          <w:i/>
          <w:iCs/>
          <w:noProof/>
          <w:szCs w:val="24"/>
        </w:rPr>
        <w:t>In</w:t>
      </w:r>
      <w:r w:rsidRPr="00540661">
        <w:rPr>
          <w:noProof/>
          <w:szCs w:val="24"/>
        </w:rPr>
        <w:t xml:space="preserve">: </w:t>
      </w:r>
      <w:r w:rsidRPr="00540661">
        <w:rPr>
          <w:i/>
          <w:iCs/>
          <w:noProof/>
          <w:szCs w:val="24"/>
        </w:rPr>
        <w:t>Cytokinins: chemistry, activity and function</w:t>
      </w:r>
      <w:r w:rsidRPr="00540661">
        <w:rPr>
          <w:noProof/>
          <w:szCs w:val="24"/>
        </w:rPr>
        <w:t>. CRC Press, pp.113–128.</w:t>
      </w:r>
    </w:p>
    <w:p w14:paraId="668B4B2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Jia, Z., Giehl, R.F.H. and von Wirén, N. 2022. Nutrient–hormone relations: Driving root plasticity in plants. </w:t>
      </w:r>
      <w:r w:rsidRPr="00540661">
        <w:rPr>
          <w:i/>
          <w:iCs/>
          <w:noProof/>
          <w:szCs w:val="24"/>
        </w:rPr>
        <w:t>Molecular Plant</w:t>
      </w:r>
      <w:r w:rsidRPr="00540661">
        <w:rPr>
          <w:noProof/>
          <w:szCs w:val="24"/>
        </w:rPr>
        <w:t xml:space="preserve">. </w:t>
      </w:r>
      <w:r w:rsidRPr="00540661">
        <w:rPr>
          <w:b/>
          <w:bCs/>
          <w:noProof/>
          <w:szCs w:val="24"/>
        </w:rPr>
        <w:t>15</w:t>
      </w:r>
      <w:r w:rsidRPr="00540661">
        <w:rPr>
          <w:noProof/>
          <w:szCs w:val="24"/>
        </w:rPr>
        <w:t>(1), pp.86–103.</w:t>
      </w:r>
    </w:p>
    <w:p w14:paraId="08CF787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Jiang, L., Liu, X., Xiong, G., Liu, H., Chen, F., Wang, L., Meng, X., Liu, G., Yu, H., Yuan, Y., Yi, W., Zhao, L., Ma, H., He, Y., Wu, Z., Melcher, K., Qian, Q., Xu, H.E., Wang, Y. and Li, J. 2013. DWARF 53 acts as a repressor of strigolactone signalling in rice. </w:t>
      </w:r>
      <w:r w:rsidRPr="00540661">
        <w:rPr>
          <w:i/>
          <w:iCs/>
          <w:noProof/>
          <w:szCs w:val="24"/>
        </w:rPr>
        <w:t>Nature</w:t>
      </w:r>
      <w:r w:rsidRPr="00540661">
        <w:rPr>
          <w:noProof/>
          <w:szCs w:val="24"/>
        </w:rPr>
        <w:t xml:space="preserve">. </w:t>
      </w:r>
      <w:r w:rsidRPr="00540661">
        <w:rPr>
          <w:b/>
          <w:bCs/>
          <w:noProof/>
          <w:szCs w:val="24"/>
        </w:rPr>
        <w:t>504</w:t>
      </w:r>
      <w:r w:rsidRPr="00540661">
        <w:rPr>
          <w:noProof/>
          <w:szCs w:val="24"/>
        </w:rPr>
        <w:t>(7480), pp.401–405.</w:t>
      </w:r>
    </w:p>
    <w:p w14:paraId="1A4DC194"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Jin, S.-H., Ma, X.-M., Kojima, M., Sakakibara, H., Wang, Y.-W. and Hou, B.-K. 2013. Overexpression of glucosyltransferase UGT85A1 influences trans-zeatin homeostasis and trans-zeatin responses likely through O-glucosylation. </w:t>
      </w:r>
      <w:r w:rsidRPr="00540661">
        <w:rPr>
          <w:i/>
          <w:iCs/>
          <w:noProof/>
          <w:szCs w:val="24"/>
        </w:rPr>
        <w:t>Planta</w:t>
      </w:r>
      <w:r w:rsidRPr="00540661">
        <w:rPr>
          <w:noProof/>
          <w:szCs w:val="24"/>
        </w:rPr>
        <w:t xml:space="preserve">. </w:t>
      </w:r>
      <w:r w:rsidRPr="00540661">
        <w:rPr>
          <w:b/>
          <w:bCs/>
          <w:noProof/>
          <w:szCs w:val="24"/>
        </w:rPr>
        <w:t>237</w:t>
      </w:r>
      <w:r w:rsidRPr="00540661">
        <w:rPr>
          <w:noProof/>
          <w:szCs w:val="24"/>
        </w:rPr>
        <w:t>(4), pp.991–999.</w:t>
      </w:r>
    </w:p>
    <w:p w14:paraId="34081BC4"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Karban, R. 2015. </w:t>
      </w:r>
      <w:r w:rsidRPr="00540661">
        <w:rPr>
          <w:i/>
          <w:iCs/>
          <w:noProof/>
          <w:szCs w:val="24"/>
        </w:rPr>
        <w:t>Plant sensing and communication</w:t>
      </w:r>
      <w:r w:rsidRPr="00540661">
        <w:rPr>
          <w:noProof/>
          <w:szCs w:val="24"/>
        </w:rPr>
        <w:t>. Chicago, IL, USA: University of Chicago Press.</w:t>
      </w:r>
    </w:p>
    <w:p w14:paraId="361DEF3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Karlovsky, P. 2008. Secondary metabolites in soil ecology. </w:t>
      </w:r>
      <w:r w:rsidRPr="00540661">
        <w:rPr>
          <w:i/>
          <w:iCs/>
          <w:noProof/>
          <w:szCs w:val="24"/>
        </w:rPr>
        <w:t>In</w:t>
      </w:r>
      <w:r w:rsidRPr="00540661">
        <w:rPr>
          <w:noProof/>
          <w:szCs w:val="24"/>
        </w:rPr>
        <w:t xml:space="preserve">: </w:t>
      </w:r>
      <w:r w:rsidRPr="00540661">
        <w:rPr>
          <w:i/>
          <w:iCs/>
          <w:noProof/>
          <w:szCs w:val="24"/>
        </w:rPr>
        <w:t>Secondary metabolites in soil ecology</w:t>
      </w:r>
      <w:r w:rsidRPr="00540661">
        <w:rPr>
          <w:noProof/>
          <w:szCs w:val="24"/>
        </w:rPr>
        <w:t>. Berlin, Heidelberg: Springer Berlin Heidelberg., pp.1–19.</w:t>
      </w:r>
    </w:p>
    <w:p w14:paraId="356FEA7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Kato-Noguchi, H. 2011. Barnyard grass-induced rice allelopathy and momilactone B. </w:t>
      </w:r>
      <w:r w:rsidRPr="00540661">
        <w:rPr>
          <w:i/>
          <w:iCs/>
          <w:noProof/>
          <w:szCs w:val="24"/>
        </w:rPr>
        <w:t>Journal of Plant Physiology</w:t>
      </w:r>
      <w:r w:rsidRPr="00540661">
        <w:rPr>
          <w:noProof/>
          <w:szCs w:val="24"/>
        </w:rPr>
        <w:t xml:space="preserve">. </w:t>
      </w:r>
      <w:r w:rsidRPr="00540661">
        <w:rPr>
          <w:b/>
          <w:bCs/>
          <w:noProof/>
          <w:szCs w:val="24"/>
        </w:rPr>
        <w:t>168</w:t>
      </w:r>
      <w:r w:rsidRPr="00540661">
        <w:rPr>
          <w:noProof/>
          <w:szCs w:val="24"/>
        </w:rPr>
        <w:t>(10), pp.1016–1020.</w:t>
      </w:r>
    </w:p>
    <w:p w14:paraId="218312B4"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Kato-Noguchi, H. 2008. Release of momilactone A and B from rice plants into the rhizosphere and its bioactivities. </w:t>
      </w:r>
      <w:r w:rsidRPr="00540661">
        <w:rPr>
          <w:i/>
          <w:iCs/>
          <w:noProof/>
          <w:szCs w:val="24"/>
        </w:rPr>
        <w:t>Allelopathy Journal</w:t>
      </w:r>
      <w:r w:rsidRPr="00540661">
        <w:rPr>
          <w:noProof/>
          <w:szCs w:val="24"/>
        </w:rPr>
        <w:t xml:space="preserve">. </w:t>
      </w:r>
      <w:r w:rsidRPr="00540661">
        <w:rPr>
          <w:b/>
          <w:bCs/>
          <w:noProof/>
          <w:szCs w:val="24"/>
        </w:rPr>
        <w:t>22</w:t>
      </w:r>
      <w:r w:rsidRPr="00540661">
        <w:rPr>
          <w:noProof/>
          <w:szCs w:val="24"/>
        </w:rPr>
        <w:t>(2), pp.321–328.</w:t>
      </w:r>
    </w:p>
    <w:p w14:paraId="3C7148B3"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Kebrom, T.H., Brutnell, T.P. and Finlayson, S.A. 2009. Suppression of sorghum axillary bud outgrowth by shade, phyB and defoliation signalling pathways. </w:t>
      </w:r>
      <w:r w:rsidRPr="00540661">
        <w:rPr>
          <w:i/>
          <w:iCs/>
          <w:noProof/>
          <w:szCs w:val="24"/>
        </w:rPr>
        <w:t>Plant, Cell &amp; Environment</w:t>
      </w:r>
      <w:r w:rsidRPr="00540661">
        <w:rPr>
          <w:noProof/>
          <w:szCs w:val="24"/>
        </w:rPr>
        <w:t>.</w:t>
      </w:r>
    </w:p>
    <w:p w14:paraId="60FED58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Keever, G.J., Cobb, G.S. and McDaniel, R. 1986. Effects of container size, root pruning, and fertilization on growth of seedling Pecans. </w:t>
      </w:r>
      <w:r w:rsidRPr="00540661">
        <w:rPr>
          <w:i/>
          <w:iCs/>
          <w:noProof/>
          <w:szCs w:val="24"/>
        </w:rPr>
        <w:t>Journal of Environmental Horticulture</w:t>
      </w:r>
      <w:r w:rsidRPr="00540661">
        <w:rPr>
          <w:noProof/>
          <w:szCs w:val="24"/>
        </w:rPr>
        <w:t xml:space="preserve">. </w:t>
      </w:r>
      <w:r w:rsidRPr="00540661">
        <w:rPr>
          <w:b/>
          <w:bCs/>
          <w:noProof/>
          <w:szCs w:val="24"/>
        </w:rPr>
        <w:t>4</w:t>
      </w:r>
      <w:r w:rsidRPr="00540661">
        <w:rPr>
          <w:noProof/>
          <w:szCs w:val="24"/>
        </w:rPr>
        <w:t>(1), pp.11–13.</w:t>
      </w:r>
    </w:p>
    <w:p w14:paraId="2B52F928"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Kerr, S.C., Patil, S.B., de Saint Germain, A., Pillot, J.P., Saffar, J., Ligerot, Y., Aubert, G., Citerne, S., Bellec, Y., Dun, E.A., Beveridge, C.A. and Rameau, C. 2021. Integration of the SMXL/D53 strigolactone signalling repressors in the model of shoot branching regulation in Pisum sativum. </w:t>
      </w:r>
      <w:r w:rsidRPr="00540661">
        <w:rPr>
          <w:i/>
          <w:iCs/>
          <w:noProof/>
          <w:szCs w:val="24"/>
        </w:rPr>
        <w:t>Plant Journal</w:t>
      </w:r>
      <w:r w:rsidRPr="00540661">
        <w:rPr>
          <w:noProof/>
          <w:szCs w:val="24"/>
        </w:rPr>
        <w:t xml:space="preserve">. </w:t>
      </w:r>
      <w:r w:rsidRPr="00540661">
        <w:rPr>
          <w:b/>
          <w:bCs/>
          <w:noProof/>
          <w:szCs w:val="24"/>
        </w:rPr>
        <w:t>107</w:t>
      </w:r>
      <w:r w:rsidRPr="00540661">
        <w:rPr>
          <w:noProof/>
          <w:szCs w:val="24"/>
        </w:rPr>
        <w:t>(6), pp.1756–1770.</w:t>
      </w:r>
    </w:p>
    <w:p w14:paraId="292D4E3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Kharkina, T.G., Ottosen, C.-O. and Rosenqvist, E. 1999. Effects of root restriction on the growth and physiology of cucumber plants. </w:t>
      </w:r>
      <w:r w:rsidRPr="00540661">
        <w:rPr>
          <w:i/>
          <w:iCs/>
          <w:noProof/>
          <w:szCs w:val="24"/>
        </w:rPr>
        <w:t xml:space="preserve">Physiologia </w:t>
      </w:r>
      <w:r w:rsidRPr="00540661">
        <w:rPr>
          <w:i/>
          <w:iCs/>
          <w:noProof/>
          <w:szCs w:val="24"/>
        </w:rPr>
        <w:lastRenderedPageBreak/>
        <w:t>Plantarum</w:t>
      </w:r>
      <w:r w:rsidRPr="00540661">
        <w:rPr>
          <w:noProof/>
          <w:szCs w:val="24"/>
        </w:rPr>
        <w:t xml:space="preserve">. </w:t>
      </w:r>
      <w:r w:rsidRPr="00540661">
        <w:rPr>
          <w:b/>
          <w:bCs/>
          <w:noProof/>
          <w:szCs w:val="24"/>
        </w:rPr>
        <w:t>105</w:t>
      </w:r>
      <w:r w:rsidRPr="00540661">
        <w:rPr>
          <w:noProof/>
          <w:szCs w:val="24"/>
        </w:rPr>
        <w:t>(3), pp.434–441.</w:t>
      </w:r>
    </w:p>
    <w:p w14:paraId="4A1DA5C3"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Kiba, T., Feria-Bourrellier, A.-B., Lafouge, F., Lezhneva, L., Boutet-Mercey, S., Orsel, M., Bréhaut, V., Miller, A., Daniel-Vedele, F., Sakakibara, H. and Krapp, A. 2012. The Arabidopsis nitrate transporter NRT2.4 plays a double role in roots and shoots of nitrogen-starved plants. </w:t>
      </w:r>
      <w:r w:rsidRPr="00540661">
        <w:rPr>
          <w:i/>
          <w:iCs/>
          <w:noProof/>
          <w:szCs w:val="24"/>
        </w:rPr>
        <w:t>The Plant Cell</w:t>
      </w:r>
      <w:r w:rsidRPr="00540661">
        <w:rPr>
          <w:noProof/>
          <w:szCs w:val="24"/>
        </w:rPr>
        <w:t xml:space="preserve">. </w:t>
      </w:r>
      <w:r w:rsidRPr="00540661">
        <w:rPr>
          <w:b/>
          <w:bCs/>
          <w:noProof/>
          <w:szCs w:val="24"/>
        </w:rPr>
        <w:t>24</w:t>
      </w:r>
      <w:r w:rsidRPr="00540661">
        <w:rPr>
          <w:noProof/>
          <w:szCs w:val="24"/>
        </w:rPr>
        <w:t>(1), pp.245–258.</w:t>
      </w:r>
    </w:p>
    <w:p w14:paraId="6E6CFC4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Kiers, E.T. and Denison, R.F. 2014. Inclusive fitness in agriculture. </w:t>
      </w:r>
      <w:r w:rsidRPr="00540661">
        <w:rPr>
          <w:i/>
          <w:iCs/>
          <w:noProof/>
          <w:szCs w:val="24"/>
        </w:rPr>
        <w:t>Philosophical Transactions of the Royal Society B: Biological Sciences</w:t>
      </w:r>
      <w:r w:rsidRPr="00540661">
        <w:rPr>
          <w:noProof/>
          <w:szCs w:val="24"/>
        </w:rPr>
        <w:t xml:space="preserve">. </w:t>
      </w:r>
      <w:r w:rsidRPr="00540661">
        <w:rPr>
          <w:b/>
          <w:bCs/>
          <w:noProof/>
          <w:szCs w:val="24"/>
        </w:rPr>
        <w:t>369</w:t>
      </w:r>
      <w:r w:rsidRPr="00540661">
        <w:rPr>
          <w:noProof/>
          <w:szCs w:val="24"/>
        </w:rPr>
        <w:t>(1642).</w:t>
      </w:r>
    </w:p>
    <w:p w14:paraId="661668AF"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Ko, D., Kang, J., Kiba, T., Park, J., Kojima, M., Do, J., Kim, K.Y., Kwon, M., Endler, A., Song, W.Y., Martinoia, E., Sakakibara, H. and Lee, Y. 2014. Arabidopsis ABCG14 is essential for the root-to-shoot translocation of cytokinin. </w:t>
      </w:r>
      <w:r w:rsidRPr="00540661">
        <w:rPr>
          <w:i/>
          <w:iCs/>
          <w:noProof/>
          <w:szCs w:val="24"/>
        </w:rPr>
        <w:t>Proceedings of the National Academy of Sciences of the United States of America</w:t>
      </w:r>
      <w:r w:rsidRPr="00540661">
        <w:rPr>
          <w:noProof/>
          <w:szCs w:val="24"/>
        </w:rPr>
        <w:t xml:space="preserve">. </w:t>
      </w:r>
      <w:r w:rsidRPr="00540661">
        <w:rPr>
          <w:b/>
          <w:bCs/>
          <w:noProof/>
          <w:szCs w:val="24"/>
        </w:rPr>
        <w:t>111</w:t>
      </w:r>
      <w:r w:rsidRPr="00540661">
        <w:rPr>
          <w:noProof/>
          <w:szCs w:val="24"/>
        </w:rPr>
        <w:t>(19), pp.7150–7155.</w:t>
      </w:r>
    </w:p>
    <w:p w14:paraId="04BAF365"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Kong, C.-H., Hu, F., Wang, P. and Wu, J.-L. 2008. Effect of allelopathic rice varieties combined with cultural management options on paddy field weeds. </w:t>
      </w:r>
      <w:r w:rsidRPr="00540661">
        <w:rPr>
          <w:i/>
          <w:iCs/>
          <w:noProof/>
          <w:szCs w:val="24"/>
        </w:rPr>
        <w:t>Pest Management Science</w:t>
      </w:r>
      <w:r w:rsidRPr="00540661">
        <w:rPr>
          <w:noProof/>
          <w:szCs w:val="24"/>
        </w:rPr>
        <w:t xml:space="preserve">. </w:t>
      </w:r>
      <w:r w:rsidRPr="00540661">
        <w:rPr>
          <w:b/>
          <w:bCs/>
          <w:noProof/>
          <w:szCs w:val="24"/>
        </w:rPr>
        <w:t>64</w:t>
      </w:r>
      <w:r w:rsidRPr="00540661">
        <w:rPr>
          <w:noProof/>
          <w:szCs w:val="24"/>
        </w:rPr>
        <w:t>(3), pp.276–282.</w:t>
      </w:r>
    </w:p>
    <w:p w14:paraId="131819C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Kong, C.-H., Zhang, S.-Z., Li, Y.-H., Xia, Z.-C., Yang, X.-F., Meiners, S.J. and Wang, P. 2018. Plant neighbor detection and allelochemical response are driven by root-secreted signaling chemicals. </w:t>
      </w:r>
      <w:r w:rsidRPr="00540661">
        <w:rPr>
          <w:i/>
          <w:iCs/>
          <w:noProof/>
          <w:szCs w:val="24"/>
        </w:rPr>
        <w:t>Nature Communications</w:t>
      </w:r>
      <w:r w:rsidRPr="00540661">
        <w:rPr>
          <w:noProof/>
          <w:szCs w:val="24"/>
        </w:rPr>
        <w:t xml:space="preserve">. </w:t>
      </w:r>
      <w:r w:rsidRPr="00540661">
        <w:rPr>
          <w:b/>
          <w:bCs/>
          <w:noProof/>
          <w:szCs w:val="24"/>
        </w:rPr>
        <w:t>9</w:t>
      </w:r>
      <w:r w:rsidRPr="00540661">
        <w:rPr>
          <w:noProof/>
          <w:szCs w:val="24"/>
        </w:rPr>
        <w:t>(1), p.3867.</w:t>
      </w:r>
    </w:p>
    <w:p w14:paraId="1EA2721D"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Kozlowski, T.T. 1999. Soil compaction and growth of woody plants. </w:t>
      </w:r>
      <w:r w:rsidRPr="00540661">
        <w:rPr>
          <w:i/>
          <w:iCs/>
          <w:noProof/>
          <w:szCs w:val="24"/>
        </w:rPr>
        <w:t>Scandinavian Journal of Forest Research</w:t>
      </w:r>
      <w:r w:rsidRPr="00540661">
        <w:rPr>
          <w:noProof/>
          <w:szCs w:val="24"/>
        </w:rPr>
        <w:t xml:space="preserve">. </w:t>
      </w:r>
      <w:r w:rsidRPr="00540661">
        <w:rPr>
          <w:b/>
          <w:bCs/>
          <w:noProof/>
          <w:szCs w:val="24"/>
        </w:rPr>
        <w:t>14</w:t>
      </w:r>
      <w:r w:rsidRPr="00540661">
        <w:rPr>
          <w:noProof/>
          <w:szCs w:val="24"/>
        </w:rPr>
        <w:t>(6), pp.596–619.</w:t>
      </w:r>
    </w:p>
    <w:p w14:paraId="5900958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Kretzschmar, T., Kohlen, W., Sasse, J., Borghi, L., Schlegel, M., Bachelier, J.B., Reinhardt, D., Bours, R., Bouwmeester, H.J. and Martinoia, E. 2012. A petunia ABC protein controls strigolactone-dependent symbiotic signalling and branching. </w:t>
      </w:r>
      <w:r w:rsidRPr="00540661">
        <w:rPr>
          <w:i/>
          <w:iCs/>
          <w:noProof/>
          <w:szCs w:val="24"/>
        </w:rPr>
        <w:t>Nature</w:t>
      </w:r>
      <w:r w:rsidRPr="00540661">
        <w:rPr>
          <w:noProof/>
          <w:szCs w:val="24"/>
        </w:rPr>
        <w:t xml:space="preserve">. </w:t>
      </w:r>
      <w:r w:rsidRPr="00540661">
        <w:rPr>
          <w:b/>
          <w:bCs/>
          <w:noProof/>
          <w:szCs w:val="24"/>
        </w:rPr>
        <w:t>483</w:t>
      </w:r>
      <w:r w:rsidRPr="00540661">
        <w:rPr>
          <w:noProof/>
          <w:szCs w:val="24"/>
        </w:rPr>
        <w:t>(7389), pp.341–344.</w:t>
      </w:r>
    </w:p>
    <w:p w14:paraId="06764C5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Krizek, D.T., Carmi, A., Mirecki, R.M., Snyder, F.W. and Bunce, J.A. 1985. Comparative effects of soil moisture stress and restricted root zone volume on morphogenetic and physiological responses of Soybean [Glycine max (L.) Merr.]. </w:t>
      </w:r>
      <w:r w:rsidRPr="00540661">
        <w:rPr>
          <w:i/>
          <w:iCs/>
          <w:noProof/>
          <w:szCs w:val="24"/>
        </w:rPr>
        <w:t>Journal of Experimental Botany</w:t>
      </w:r>
      <w:r w:rsidRPr="00540661">
        <w:rPr>
          <w:noProof/>
          <w:szCs w:val="24"/>
        </w:rPr>
        <w:t xml:space="preserve">. </w:t>
      </w:r>
      <w:r w:rsidRPr="00540661">
        <w:rPr>
          <w:b/>
          <w:bCs/>
          <w:noProof/>
          <w:szCs w:val="24"/>
        </w:rPr>
        <w:t>36</w:t>
      </w:r>
      <w:r w:rsidRPr="00540661">
        <w:rPr>
          <w:noProof/>
          <w:szCs w:val="24"/>
        </w:rPr>
        <w:t>(1), pp.25–38.</w:t>
      </w:r>
    </w:p>
    <w:p w14:paraId="035A9034"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de Kroon, H. 2007. How do roots interact? </w:t>
      </w:r>
      <w:r w:rsidRPr="00540661">
        <w:rPr>
          <w:i/>
          <w:iCs/>
          <w:noProof/>
          <w:szCs w:val="24"/>
        </w:rPr>
        <w:t>Science</w:t>
      </w:r>
      <w:r w:rsidRPr="00540661">
        <w:rPr>
          <w:noProof/>
          <w:szCs w:val="24"/>
        </w:rPr>
        <w:t xml:space="preserve">. </w:t>
      </w:r>
      <w:r w:rsidRPr="00540661">
        <w:rPr>
          <w:b/>
          <w:bCs/>
          <w:noProof/>
          <w:szCs w:val="24"/>
        </w:rPr>
        <w:t>318</w:t>
      </w:r>
      <w:r w:rsidRPr="00540661">
        <w:rPr>
          <w:noProof/>
          <w:szCs w:val="24"/>
        </w:rPr>
        <w:t>(5856), pp.1562–1563.</w:t>
      </w:r>
    </w:p>
    <w:p w14:paraId="445AC706"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Kudla, J., Becker, D., Grill, E., Hedrich, R., Hippler, M., Kummer, U., Parniske, M., Romeis, T. and Schumacher, K. 2018. Advances and current challenges in calcium signaling. </w:t>
      </w:r>
      <w:r w:rsidRPr="00540661">
        <w:rPr>
          <w:i/>
          <w:iCs/>
          <w:noProof/>
          <w:szCs w:val="24"/>
        </w:rPr>
        <w:t>New Phytologist</w:t>
      </w:r>
      <w:r w:rsidRPr="00540661">
        <w:rPr>
          <w:noProof/>
          <w:szCs w:val="24"/>
        </w:rPr>
        <w:t xml:space="preserve">. </w:t>
      </w:r>
      <w:r w:rsidRPr="00540661">
        <w:rPr>
          <w:b/>
          <w:bCs/>
          <w:noProof/>
          <w:szCs w:val="24"/>
        </w:rPr>
        <w:t>218</w:t>
      </w:r>
      <w:r w:rsidRPr="00540661">
        <w:rPr>
          <w:noProof/>
          <w:szCs w:val="24"/>
        </w:rPr>
        <w:t>(2), pp.414–431.</w:t>
      </w:r>
    </w:p>
    <w:p w14:paraId="69920A7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Kudoyarova, G.R., Dodd, I.C., Veselov, D.S., Rothwell, S.A. and Yu. Veselov, S. 2015. Common and specific responses to availability of mineral nutrients and water. </w:t>
      </w:r>
      <w:r w:rsidRPr="00540661">
        <w:rPr>
          <w:i/>
          <w:iCs/>
          <w:noProof/>
          <w:szCs w:val="24"/>
        </w:rPr>
        <w:t>Journal of Experimental Botany</w:t>
      </w:r>
      <w:r w:rsidRPr="00540661">
        <w:rPr>
          <w:noProof/>
          <w:szCs w:val="24"/>
        </w:rPr>
        <w:t xml:space="preserve">. </w:t>
      </w:r>
      <w:r w:rsidRPr="00540661">
        <w:rPr>
          <w:b/>
          <w:bCs/>
          <w:noProof/>
          <w:szCs w:val="24"/>
        </w:rPr>
        <w:t>66</w:t>
      </w:r>
      <w:r w:rsidRPr="00540661">
        <w:rPr>
          <w:noProof/>
          <w:szCs w:val="24"/>
        </w:rPr>
        <w:t>(8), pp.2133–2144.</w:t>
      </w:r>
    </w:p>
    <w:p w14:paraId="22A97165"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Lambers, H., Atkin, O. and Millenaar, F. 2002. Respiratory patterns in roots in relation to their functioning </w:t>
      </w:r>
      <w:r w:rsidRPr="00540661">
        <w:rPr>
          <w:i/>
          <w:iCs/>
          <w:noProof/>
          <w:szCs w:val="24"/>
        </w:rPr>
        <w:t>In</w:t>
      </w:r>
      <w:r w:rsidRPr="00540661">
        <w:rPr>
          <w:noProof/>
          <w:szCs w:val="24"/>
        </w:rPr>
        <w:t xml:space="preserve">: </w:t>
      </w:r>
      <w:r w:rsidRPr="00540661">
        <w:rPr>
          <w:i/>
          <w:iCs/>
          <w:noProof/>
          <w:szCs w:val="24"/>
        </w:rPr>
        <w:t>Plant Roots</w:t>
      </w:r>
      <w:r w:rsidRPr="00540661">
        <w:rPr>
          <w:noProof/>
          <w:szCs w:val="24"/>
        </w:rPr>
        <w:t xml:space="preserve"> [Online]. CRC Press, pp.521–552. Available from: http://www.crcnetbase.com/doi/10.1201/9780203909423.pt6.</w:t>
      </w:r>
    </w:p>
    <w:p w14:paraId="596FFF9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lastRenderedPageBreak/>
        <w:t xml:space="preserve">Lanfranco, L., Fiorilli, V., Venice, F. and Bonfante, P. 2018. Strigolactones cross the kingdoms: Plants, fungi, and bacteria in the arbuscular mycorrhizal symbiosis. </w:t>
      </w:r>
      <w:r w:rsidRPr="00540661">
        <w:rPr>
          <w:i/>
          <w:iCs/>
          <w:noProof/>
          <w:szCs w:val="24"/>
        </w:rPr>
        <w:t>Journal of Experimental Botany</w:t>
      </w:r>
      <w:r w:rsidRPr="00540661">
        <w:rPr>
          <w:noProof/>
          <w:szCs w:val="24"/>
        </w:rPr>
        <w:t xml:space="preserve">. </w:t>
      </w:r>
      <w:r w:rsidRPr="00540661">
        <w:rPr>
          <w:b/>
          <w:bCs/>
          <w:noProof/>
          <w:szCs w:val="24"/>
        </w:rPr>
        <w:t>69</w:t>
      </w:r>
      <w:r w:rsidRPr="00540661">
        <w:rPr>
          <w:noProof/>
          <w:szCs w:val="24"/>
        </w:rPr>
        <w:t>(9), pp.2175–2188.</w:t>
      </w:r>
    </w:p>
    <w:p w14:paraId="38AC2947"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Li, C., Dong, L., Durairaj, J., Guan, J.-C., Yoshimura, M., Quinodoz, P., Horber, R., Gaus, K., Li, J., Setotaw, Y.B., Qi, J., De Groote, H., Wang, Y., Thiombiano, B., Floková, K., Walmsley, A., Charnikhova, T. V., Chojnacka, A., Correia de Lemos, S., Ding, Y., Skibbe, D., Hermann, K., Screpanti, C., De Mesmaeker, A., Schmelz, E.A., Menkir, A., Medema, M., Van Dijk, A.D.J., Wu, J., Koch, K.E. and Bouwmeester, H.J. 2023. Maize resistance to witchweed through changes in strigolactone biosynthesis. </w:t>
      </w:r>
      <w:r w:rsidRPr="00540661">
        <w:rPr>
          <w:i/>
          <w:iCs/>
          <w:noProof/>
          <w:szCs w:val="24"/>
        </w:rPr>
        <w:t>Science</w:t>
      </w:r>
      <w:r w:rsidRPr="00540661">
        <w:rPr>
          <w:noProof/>
          <w:szCs w:val="24"/>
        </w:rPr>
        <w:t xml:space="preserve">. </w:t>
      </w:r>
      <w:r w:rsidRPr="00540661">
        <w:rPr>
          <w:b/>
          <w:bCs/>
          <w:noProof/>
          <w:szCs w:val="24"/>
        </w:rPr>
        <w:t>379</w:t>
      </w:r>
      <w:r w:rsidRPr="00540661">
        <w:rPr>
          <w:noProof/>
          <w:szCs w:val="24"/>
        </w:rPr>
        <w:t>(6627), pp.94–99.</w:t>
      </w:r>
    </w:p>
    <w:p w14:paraId="3FB86D3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Li, J.-Y., Fu, Y.-L., Pike, S.M., Bao, J., Tian, W., Zhang, Yu, Chen, C.-Z., Zhang, Yi, Li, H.-M., Huang, J., Li, L.-G., Schroeder, J.I., Gassmann, W. and Gong, J.-M. 2010. The Arabidopsis nitrate transporter NRT1.8 functions in nitrate removal from the xylem sap and mediates cadmium tolerance. </w:t>
      </w:r>
      <w:r w:rsidRPr="00540661">
        <w:rPr>
          <w:i/>
          <w:iCs/>
          <w:noProof/>
          <w:szCs w:val="24"/>
        </w:rPr>
        <w:t>The Plant Cell</w:t>
      </w:r>
      <w:r w:rsidRPr="00540661">
        <w:rPr>
          <w:noProof/>
          <w:szCs w:val="24"/>
        </w:rPr>
        <w:t xml:space="preserve">. </w:t>
      </w:r>
      <w:r w:rsidRPr="00540661">
        <w:rPr>
          <w:b/>
          <w:bCs/>
          <w:noProof/>
          <w:szCs w:val="24"/>
        </w:rPr>
        <w:t>22</w:t>
      </w:r>
      <w:r w:rsidRPr="00540661">
        <w:rPr>
          <w:noProof/>
          <w:szCs w:val="24"/>
        </w:rPr>
        <w:t>(5), pp.1633–1646.</w:t>
      </w:r>
    </w:p>
    <w:p w14:paraId="2142004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Li, J., Xie, R.Z., Wang, K.R., Ming, B., Guo, Y.Q., Zhang, G.Q. and Li, S.K. 2015. Variations in maize dry matter, harvest index, and grain yield with plant density. </w:t>
      </w:r>
      <w:r w:rsidRPr="00540661">
        <w:rPr>
          <w:i/>
          <w:iCs/>
          <w:noProof/>
          <w:szCs w:val="24"/>
        </w:rPr>
        <w:t>Agronomy Journal</w:t>
      </w:r>
      <w:r w:rsidRPr="00540661">
        <w:rPr>
          <w:noProof/>
          <w:szCs w:val="24"/>
        </w:rPr>
        <w:t xml:space="preserve">. </w:t>
      </w:r>
      <w:r w:rsidRPr="00540661">
        <w:rPr>
          <w:b/>
          <w:bCs/>
          <w:noProof/>
          <w:szCs w:val="24"/>
        </w:rPr>
        <w:t>107</w:t>
      </w:r>
      <w:r w:rsidRPr="00540661">
        <w:rPr>
          <w:noProof/>
          <w:szCs w:val="24"/>
        </w:rPr>
        <w:t>(3), pp.829–834.</w:t>
      </w:r>
    </w:p>
    <w:p w14:paraId="7C11EAA6"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Li, L.-L., Zhao, H.-H. and Kong, C.-H. 2019. (-)-Loliolide, the most ubiquitous lactone, is involved in barnyardgrass-induced rice allelopathy. </w:t>
      </w:r>
      <w:r w:rsidRPr="00540661">
        <w:rPr>
          <w:i/>
          <w:iCs/>
          <w:noProof/>
          <w:szCs w:val="24"/>
        </w:rPr>
        <w:t>Journal of Experimental Botany</w:t>
      </w:r>
      <w:r w:rsidRPr="00540661">
        <w:rPr>
          <w:noProof/>
          <w:szCs w:val="24"/>
        </w:rPr>
        <w:t xml:space="preserve">. </w:t>
      </w:r>
      <w:r w:rsidRPr="00540661">
        <w:rPr>
          <w:b/>
          <w:bCs/>
          <w:noProof/>
          <w:szCs w:val="24"/>
        </w:rPr>
        <w:t>71</w:t>
      </w:r>
      <w:r w:rsidRPr="00540661">
        <w:rPr>
          <w:noProof/>
          <w:szCs w:val="24"/>
        </w:rPr>
        <w:t>(4), pp.1540–1550.</w:t>
      </w:r>
    </w:p>
    <w:p w14:paraId="5663E55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Li, L., Li, Z., Lou, Y., Meiners, S.J. and Kong, C. 2023. (−)</w:t>
      </w:r>
      <w:r w:rsidRPr="00540661">
        <w:rPr>
          <w:rFonts w:ascii="Cambria Math" w:hAnsi="Cambria Math" w:cs="Cambria Math"/>
          <w:noProof/>
          <w:szCs w:val="24"/>
        </w:rPr>
        <w:t>‐</w:t>
      </w:r>
      <w:r w:rsidRPr="00540661">
        <w:rPr>
          <w:noProof/>
          <w:szCs w:val="24"/>
        </w:rPr>
        <w:t>Loliolide is a general signal of plant stress that activates jasmonate</w:t>
      </w:r>
      <w:r w:rsidRPr="00540661">
        <w:rPr>
          <w:rFonts w:ascii="Cambria Math" w:hAnsi="Cambria Math" w:cs="Cambria Math"/>
          <w:noProof/>
          <w:szCs w:val="24"/>
        </w:rPr>
        <w:t>‐</w:t>
      </w:r>
      <w:r w:rsidRPr="00540661">
        <w:rPr>
          <w:noProof/>
          <w:szCs w:val="24"/>
        </w:rPr>
        <w:t xml:space="preserve">related responses. </w:t>
      </w:r>
      <w:r w:rsidRPr="00540661">
        <w:rPr>
          <w:i/>
          <w:iCs/>
          <w:noProof/>
          <w:szCs w:val="24"/>
        </w:rPr>
        <w:t>New Phytologist</w:t>
      </w:r>
      <w:r w:rsidRPr="00540661">
        <w:rPr>
          <w:noProof/>
          <w:szCs w:val="24"/>
        </w:rPr>
        <w:t xml:space="preserve">. </w:t>
      </w:r>
      <w:r w:rsidRPr="00540661">
        <w:rPr>
          <w:b/>
          <w:bCs/>
          <w:noProof/>
          <w:szCs w:val="24"/>
        </w:rPr>
        <w:t>238</w:t>
      </w:r>
      <w:r w:rsidRPr="00540661">
        <w:rPr>
          <w:noProof/>
          <w:szCs w:val="24"/>
        </w:rPr>
        <w:t>(5), pp.2099–2112.</w:t>
      </w:r>
    </w:p>
    <w:p w14:paraId="5162A20F"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Li, W., Wang, Y., Okamoto, M., Crawford, N.M., Siddiqi, M.Y. and Glass, A.D.M. 2007. Dissection of the AtNRT2.1 : AtNRT2.2 inducible high-affinity nitrate transporter gene cluster. </w:t>
      </w:r>
      <w:r w:rsidRPr="00540661">
        <w:rPr>
          <w:i/>
          <w:iCs/>
          <w:noProof/>
          <w:szCs w:val="24"/>
        </w:rPr>
        <w:t>Plant Physiology</w:t>
      </w:r>
      <w:r w:rsidRPr="00540661">
        <w:rPr>
          <w:noProof/>
          <w:szCs w:val="24"/>
        </w:rPr>
        <w:t xml:space="preserve">. </w:t>
      </w:r>
      <w:r w:rsidRPr="00540661">
        <w:rPr>
          <w:b/>
          <w:bCs/>
          <w:noProof/>
          <w:szCs w:val="24"/>
        </w:rPr>
        <w:t>143</w:t>
      </w:r>
      <w:r w:rsidRPr="00540661">
        <w:rPr>
          <w:noProof/>
          <w:szCs w:val="24"/>
        </w:rPr>
        <w:t>(1), pp.425–433.</w:t>
      </w:r>
    </w:p>
    <w:p w14:paraId="4FEFF6A9"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Li, Y., Xia, Z. and Kong, C. 2016. Allelobiosis in the interference of allelopathic wheat with weeds. </w:t>
      </w:r>
      <w:r w:rsidRPr="00540661">
        <w:rPr>
          <w:i/>
          <w:iCs/>
          <w:noProof/>
          <w:szCs w:val="24"/>
        </w:rPr>
        <w:t>Pest Management Science</w:t>
      </w:r>
      <w:r w:rsidRPr="00540661">
        <w:rPr>
          <w:noProof/>
          <w:szCs w:val="24"/>
        </w:rPr>
        <w:t xml:space="preserve">. </w:t>
      </w:r>
      <w:r w:rsidRPr="00540661">
        <w:rPr>
          <w:b/>
          <w:bCs/>
          <w:noProof/>
          <w:szCs w:val="24"/>
        </w:rPr>
        <w:t>72</w:t>
      </w:r>
      <w:r w:rsidRPr="00540661">
        <w:rPr>
          <w:noProof/>
          <w:szCs w:val="24"/>
        </w:rPr>
        <w:t>(11), pp.2146–2153.</w:t>
      </w:r>
    </w:p>
    <w:p w14:paraId="43D689B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Lin, S.-H., Kuo, H.-F., Canivenc, G., Lin, C.-S., Lepetit, M., Hsu, P.-K., Tillard, P., Lin, H.-L., Wang, Y.-Y., Tsai, C.-B., Gojon, A. and Tsay, Y.-F. 2008. Mutation of the Arabidopsis NRT1.5 nitrate transporter causes defective root-to-shoot nitrate transport. </w:t>
      </w:r>
      <w:r w:rsidRPr="00540661">
        <w:rPr>
          <w:i/>
          <w:iCs/>
          <w:noProof/>
          <w:szCs w:val="24"/>
        </w:rPr>
        <w:t>The Plant Cell</w:t>
      </w:r>
      <w:r w:rsidRPr="00540661">
        <w:rPr>
          <w:noProof/>
          <w:szCs w:val="24"/>
        </w:rPr>
        <w:t xml:space="preserve">. </w:t>
      </w:r>
      <w:r w:rsidRPr="00540661">
        <w:rPr>
          <w:b/>
          <w:bCs/>
          <w:noProof/>
          <w:szCs w:val="24"/>
        </w:rPr>
        <w:t>20</w:t>
      </w:r>
      <w:r w:rsidRPr="00540661">
        <w:rPr>
          <w:noProof/>
          <w:szCs w:val="24"/>
        </w:rPr>
        <w:t>(9), pp.2514–2528.</w:t>
      </w:r>
    </w:p>
    <w:p w14:paraId="186ED10F"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Loh, F.C.W., Grabosky, J.C. and Bassuk, N.L. 2003. Growth response of Ficus benjamina to limited soil volume and soil dilution in a skeletal soil container study. </w:t>
      </w:r>
      <w:r w:rsidRPr="00540661">
        <w:rPr>
          <w:i/>
          <w:iCs/>
          <w:noProof/>
          <w:szCs w:val="24"/>
        </w:rPr>
        <w:t>Urban Forestry &amp; Urban Greening</w:t>
      </w:r>
      <w:r w:rsidRPr="00540661">
        <w:rPr>
          <w:noProof/>
          <w:szCs w:val="24"/>
        </w:rPr>
        <w:t xml:space="preserve">. </w:t>
      </w:r>
      <w:r w:rsidRPr="00540661">
        <w:rPr>
          <w:b/>
          <w:bCs/>
          <w:noProof/>
          <w:szCs w:val="24"/>
        </w:rPr>
        <w:t>2</w:t>
      </w:r>
      <w:r w:rsidRPr="00540661">
        <w:rPr>
          <w:noProof/>
          <w:szCs w:val="24"/>
        </w:rPr>
        <w:t>(1), pp.53–62.</w:t>
      </w:r>
    </w:p>
    <w:p w14:paraId="6E56E52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Lopez-Obando, M., Ligerot, Y., Bonhomme, S., Boyer, F.-D.D. and Rameau, C. 2015. Strigolactone biosynthesis and signaling in plant development. </w:t>
      </w:r>
      <w:r w:rsidRPr="00540661">
        <w:rPr>
          <w:i/>
          <w:iCs/>
          <w:noProof/>
          <w:szCs w:val="24"/>
        </w:rPr>
        <w:t>Development</w:t>
      </w:r>
      <w:r w:rsidRPr="00540661">
        <w:rPr>
          <w:noProof/>
          <w:szCs w:val="24"/>
        </w:rPr>
        <w:t xml:space="preserve">. </w:t>
      </w:r>
      <w:r w:rsidRPr="00540661">
        <w:rPr>
          <w:b/>
          <w:bCs/>
          <w:noProof/>
          <w:szCs w:val="24"/>
        </w:rPr>
        <w:t>142</w:t>
      </w:r>
      <w:r w:rsidRPr="00540661">
        <w:rPr>
          <w:noProof/>
          <w:szCs w:val="24"/>
        </w:rPr>
        <w:t>(21), pp.3615–3619.</w:t>
      </w:r>
    </w:p>
    <w:p w14:paraId="16A28FB8"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López</w:t>
      </w:r>
      <w:r w:rsidRPr="00540661">
        <w:rPr>
          <w:rFonts w:ascii="Cambria Math" w:hAnsi="Cambria Math" w:cs="Cambria Math"/>
          <w:noProof/>
          <w:szCs w:val="24"/>
        </w:rPr>
        <w:t>‐</w:t>
      </w:r>
      <w:r w:rsidRPr="00540661">
        <w:rPr>
          <w:noProof/>
          <w:szCs w:val="24"/>
        </w:rPr>
        <w:t>Ráez, J.A., Charnikhova, T., Gómez</w:t>
      </w:r>
      <w:r w:rsidRPr="00540661">
        <w:rPr>
          <w:rFonts w:ascii="Cambria Math" w:hAnsi="Cambria Math" w:cs="Cambria Math"/>
          <w:noProof/>
          <w:szCs w:val="24"/>
        </w:rPr>
        <w:t>‐</w:t>
      </w:r>
      <w:r w:rsidRPr="00540661">
        <w:rPr>
          <w:noProof/>
          <w:szCs w:val="24"/>
        </w:rPr>
        <w:t>Roldán, V., Matusova, R., Kohlen, W., De Vos, R., Verstappen, F., Puech</w:t>
      </w:r>
      <w:r w:rsidRPr="00540661">
        <w:rPr>
          <w:rFonts w:ascii="Cambria Math" w:hAnsi="Cambria Math" w:cs="Cambria Math"/>
          <w:noProof/>
          <w:szCs w:val="24"/>
        </w:rPr>
        <w:t>‐</w:t>
      </w:r>
      <w:r w:rsidRPr="00540661">
        <w:rPr>
          <w:noProof/>
          <w:szCs w:val="24"/>
        </w:rPr>
        <w:t xml:space="preserve">Pages, V., Bécard, G., Mulder, P. and Bouwmeester, H. 2008. Tomato strigolactones are derived from carotenoids and their biosynthesis is promoted by phosphate starvation. </w:t>
      </w:r>
      <w:r w:rsidRPr="00540661">
        <w:rPr>
          <w:i/>
          <w:iCs/>
          <w:noProof/>
          <w:szCs w:val="24"/>
        </w:rPr>
        <w:lastRenderedPageBreak/>
        <w:t>New Phytologist</w:t>
      </w:r>
      <w:r w:rsidRPr="00540661">
        <w:rPr>
          <w:noProof/>
          <w:szCs w:val="24"/>
        </w:rPr>
        <w:t xml:space="preserve">. </w:t>
      </w:r>
      <w:r w:rsidRPr="00540661">
        <w:rPr>
          <w:b/>
          <w:bCs/>
          <w:noProof/>
          <w:szCs w:val="24"/>
        </w:rPr>
        <w:t>178</w:t>
      </w:r>
      <w:r w:rsidRPr="00540661">
        <w:rPr>
          <w:noProof/>
          <w:szCs w:val="24"/>
        </w:rPr>
        <w:t>(4), pp.863–874.</w:t>
      </w:r>
    </w:p>
    <w:p w14:paraId="75704B4D"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Lynch, J., Läuchli, A. and Epstein, E. 1991. Vegetative growth of the common bean in response to phosphorus nutrition. </w:t>
      </w:r>
      <w:r w:rsidRPr="00540661">
        <w:rPr>
          <w:i/>
          <w:iCs/>
          <w:noProof/>
          <w:szCs w:val="24"/>
        </w:rPr>
        <w:t>Crop Science</w:t>
      </w:r>
      <w:r w:rsidRPr="00540661">
        <w:rPr>
          <w:noProof/>
          <w:szCs w:val="24"/>
        </w:rPr>
        <w:t xml:space="preserve">. </w:t>
      </w:r>
      <w:r w:rsidRPr="00540661">
        <w:rPr>
          <w:b/>
          <w:bCs/>
          <w:noProof/>
          <w:szCs w:val="24"/>
        </w:rPr>
        <w:t>31</w:t>
      </w:r>
      <w:r w:rsidRPr="00540661">
        <w:rPr>
          <w:noProof/>
          <w:szCs w:val="24"/>
        </w:rPr>
        <w:t>(2), pp.380–387.</w:t>
      </w:r>
    </w:p>
    <w:p w14:paraId="7005B16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Lynch, J.P. 2015. Root phenes that reduce the metabolic costs of soil exploration: opportunities for 21st century agriculture. </w:t>
      </w:r>
      <w:r w:rsidRPr="00540661">
        <w:rPr>
          <w:i/>
          <w:iCs/>
          <w:noProof/>
          <w:szCs w:val="24"/>
        </w:rPr>
        <w:t>Plant, Cell &amp; Environment</w:t>
      </w:r>
      <w:r w:rsidRPr="00540661">
        <w:rPr>
          <w:noProof/>
          <w:szCs w:val="24"/>
        </w:rPr>
        <w:t xml:space="preserve">. </w:t>
      </w:r>
      <w:r w:rsidRPr="00540661">
        <w:rPr>
          <w:b/>
          <w:bCs/>
          <w:noProof/>
          <w:szCs w:val="24"/>
        </w:rPr>
        <w:t>38</w:t>
      </w:r>
      <w:r w:rsidRPr="00540661">
        <w:rPr>
          <w:noProof/>
          <w:szCs w:val="24"/>
        </w:rPr>
        <w:t>(9), pp.1775–84.</w:t>
      </w:r>
    </w:p>
    <w:p w14:paraId="25745E2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Machin, D.C., Hamon</w:t>
      </w:r>
      <w:r w:rsidRPr="00540661">
        <w:rPr>
          <w:rFonts w:ascii="Cambria Math" w:hAnsi="Cambria Math" w:cs="Cambria Math"/>
          <w:noProof/>
          <w:szCs w:val="24"/>
        </w:rPr>
        <w:t>‐</w:t>
      </w:r>
      <w:r w:rsidRPr="00540661">
        <w:rPr>
          <w:noProof/>
          <w:szCs w:val="24"/>
        </w:rPr>
        <w:t xml:space="preserve">Josse, M. and Bennett, T. 2019. Fellowship of the rings: a saga of strigolactones and other small signals. </w:t>
      </w:r>
      <w:r w:rsidRPr="00540661">
        <w:rPr>
          <w:i/>
          <w:iCs/>
          <w:noProof/>
          <w:szCs w:val="24"/>
        </w:rPr>
        <w:t>New Phytologist</w:t>
      </w:r>
      <w:r w:rsidRPr="00540661">
        <w:rPr>
          <w:noProof/>
          <w:szCs w:val="24"/>
        </w:rPr>
        <w:t xml:space="preserve">. </w:t>
      </w:r>
      <w:r w:rsidRPr="00540661">
        <w:rPr>
          <w:b/>
          <w:bCs/>
          <w:noProof/>
          <w:szCs w:val="24"/>
        </w:rPr>
        <w:t>225</w:t>
      </w:r>
      <w:r w:rsidRPr="00540661">
        <w:rPr>
          <w:noProof/>
          <w:szCs w:val="24"/>
        </w:rPr>
        <w:t>(2), pp.621–636.</w:t>
      </w:r>
    </w:p>
    <w:p w14:paraId="7C4D5AA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Mahall, B.E. and Callaway, R.M. 1992. Root communication mechanisms and intracommunity distributions of two Mojave Desert shrubs. </w:t>
      </w:r>
      <w:r w:rsidRPr="00540661">
        <w:rPr>
          <w:i/>
          <w:iCs/>
          <w:noProof/>
          <w:szCs w:val="24"/>
        </w:rPr>
        <w:t>Ecology</w:t>
      </w:r>
      <w:r w:rsidRPr="00540661">
        <w:rPr>
          <w:noProof/>
          <w:szCs w:val="24"/>
        </w:rPr>
        <w:t xml:space="preserve">. </w:t>
      </w:r>
      <w:r w:rsidRPr="00540661">
        <w:rPr>
          <w:b/>
          <w:bCs/>
          <w:noProof/>
          <w:szCs w:val="24"/>
        </w:rPr>
        <w:t>73</w:t>
      </w:r>
      <w:r w:rsidRPr="00540661">
        <w:rPr>
          <w:noProof/>
          <w:szCs w:val="24"/>
        </w:rPr>
        <w:t>(6), pp.2145–2151.</w:t>
      </w:r>
    </w:p>
    <w:p w14:paraId="3E9CB4D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Maina, G.G., Brown, J.S. and Gersani, M. 2002. Intra-plant versus Inter-plant Root Competition in Beans: avoidance, resource matching or tragedy of the commons. </w:t>
      </w:r>
      <w:r w:rsidRPr="00540661">
        <w:rPr>
          <w:i/>
          <w:iCs/>
          <w:noProof/>
          <w:szCs w:val="24"/>
        </w:rPr>
        <w:t>Plant Ecology</w:t>
      </w:r>
      <w:r w:rsidRPr="00540661">
        <w:rPr>
          <w:noProof/>
          <w:szCs w:val="24"/>
        </w:rPr>
        <w:t xml:space="preserve">. </w:t>
      </w:r>
      <w:r w:rsidRPr="00540661">
        <w:rPr>
          <w:b/>
          <w:bCs/>
          <w:noProof/>
          <w:szCs w:val="24"/>
        </w:rPr>
        <w:t>160</w:t>
      </w:r>
      <w:r w:rsidRPr="00540661">
        <w:rPr>
          <w:noProof/>
          <w:szCs w:val="24"/>
        </w:rPr>
        <w:t>, pp.235–247.</w:t>
      </w:r>
    </w:p>
    <w:p w14:paraId="1CD301E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Manschadi, A.M., Hammer, G.L., Christopher, J.T. and DeVoil, P. 2008. Genotypic variation in seedling root architectural traits and implications for drought adaptation in wheat (Triticum aestivum L.). </w:t>
      </w:r>
      <w:r w:rsidRPr="00540661">
        <w:rPr>
          <w:i/>
          <w:iCs/>
          <w:noProof/>
          <w:szCs w:val="24"/>
        </w:rPr>
        <w:t>Plant and Soil</w:t>
      </w:r>
      <w:r w:rsidRPr="00540661">
        <w:rPr>
          <w:noProof/>
          <w:szCs w:val="24"/>
        </w:rPr>
        <w:t xml:space="preserve">. </w:t>
      </w:r>
      <w:r w:rsidRPr="00540661">
        <w:rPr>
          <w:b/>
          <w:bCs/>
          <w:noProof/>
          <w:szCs w:val="24"/>
        </w:rPr>
        <w:t>303</w:t>
      </w:r>
      <w:r w:rsidRPr="00540661">
        <w:rPr>
          <w:noProof/>
          <w:szCs w:val="24"/>
        </w:rPr>
        <w:t>(1–2), pp.115–129.</w:t>
      </w:r>
    </w:p>
    <w:p w14:paraId="65FD2501"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Mashiguchi, K., Seto, Y., Onozuka, Y., Suzuki, S., Takemoto, K., Wang, Y., Dong, L., Asami, K., Noda, R., Kisugi, T., Kitaoka, N., Akiyama, K., Bouwmeester, H. and Yamaguchi, S. 2022. A carlactonoic acid methyltransferase that contributes to the inhibition of shoot branching in Arabidopsis. </w:t>
      </w:r>
      <w:r w:rsidRPr="00540661">
        <w:rPr>
          <w:i/>
          <w:iCs/>
          <w:noProof/>
          <w:szCs w:val="24"/>
        </w:rPr>
        <w:t>Proceedings of the National Academy of Sciences</w:t>
      </w:r>
      <w:r w:rsidRPr="00540661">
        <w:rPr>
          <w:noProof/>
          <w:szCs w:val="24"/>
        </w:rPr>
        <w:t xml:space="preserve">. </w:t>
      </w:r>
      <w:r w:rsidRPr="00540661">
        <w:rPr>
          <w:b/>
          <w:bCs/>
          <w:noProof/>
          <w:szCs w:val="24"/>
        </w:rPr>
        <w:t>119</w:t>
      </w:r>
      <w:r w:rsidRPr="00540661">
        <w:rPr>
          <w:noProof/>
          <w:szCs w:val="24"/>
        </w:rPr>
        <w:t>(14), p.e2111565119.</w:t>
      </w:r>
    </w:p>
    <w:p w14:paraId="3B817DA4"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Mashiguchi, K., Seto, Y. and Yamaguchi, S. 2021. Strigolactone biosynthesis, transport and perception. </w:t>
      </w:r>
      <w:r w:rsidRPr="00540661">
        <w:rPr>
          <w:i/>
          <w:iCs/>
          <w:noProof/>
          <w:szCs w:val="24"/>
        </w:rPr>
        <w:t>The Plant Journal</w:t>
      </w:r>
      <w:r w:rsidRPr="00540661">
        <w:rPr>
          <w:noProof/>
          <w:szCs w:val="24"/>
        </w:rPr>
        <w:t xml:space="preserve">. </w:t>
      </w:r>
      <w:r w:rsidRPr="00540661">
        <w:rPr>
          <w:b/>
          <w:bCs/>
          <w:noProof/>
          <w:szCs w:val="24"/>
        </w:rPr>
        <w:t>105</w:t>
      </w:r>
      <w:r w:rsidRPr="00540661">
        <w:rPr>
          <w:noProof/>
          <w:szCs w:val="24"/>
        </w:rPr>
        <w:t>(2), pp.335–350.</w:t>
      </w:r>
    </w:p>
    <w:p w14:paraId="71BDD417"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Massa, G.D. and Gilroy, S. 2003. Touch modulates gravity sensing to regulate the growth of primary roots of Arabidopsis thaliana. </w:t>
      </w:r>
      <w:r w:rsidRPr="00540661">
        <w:rPr>
          <w:i/>
          <w:iCs/>
          <w:noProof/>
          <w:szCs w:val="24"/>
        </w:rPr>
        <w:t>The Plant Journal</w:t>
      </w:r>
      <w:r w:rsidRPr="00540661">
        <w:rPr>
          <w:noProof/>
          <w:szCs w:val="24"/>
        </w:rPr>
        <w:t xml:space="preserve">. </w:t>
      </w:r>
      <w:r w:rsidRPr="00540661">
        <w:rPr>
          <w:b/>
          <w:bCs/>
          <w:noProof/>
          <w:szCs w:val="24"/>
        </w:rPr>
        <w:t>33</w:t>
      </w:r>
      <w:r w:rsidRPr="00540661">
        <w:rPr>
          <w:noProof/>
          <w:szCs w:val="24"/>
        </w:rPr>
        <w:t>(3), pp.435–445.</w:t>
      </w:r>
    </w:p>
    <w:p w14:paraId="1A7E7C8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Masson-Boivin, C. and Sachs, J.L. 2018. Symbiotic nitrogen fixation by rhizobia — the roots of a success story. </w:t>
      </w:r>
      <w:r w:rsidRPr="00540661">
        <w:rPr>
          <w:i/>
          <w:iCs/>
          <w:noProof/>
          <w:szCs w:val="24"/>
        </w:rPr>
        <w:t>Current Opinion in Plant Biology</w:t>
      </w:r>
      <w:r w:rsidRPr="00540661">
        <w:rPr>
          <w:noProof/>
          <w:szCs w:val="24"/>
        </w:rPr>
        <w:t xml:space="preserve">. </w:t>
      </w:r>
      <w:r w:rsidRPr="00540661">
        <w:rPr>
          <w:b/>
          <w:bCs/>
          <w:noProof/>
          <w:szCs w:val="24"/>
        </w:rPr>
        <w:t>44</w:t>
      </w:r>
      <w:r w:rsidRPr="00540661">
        <w:rPr>
          <w:noProof/>
          <w:szCs w:val="24"/>
        </w:rPr>
        <w:t>, pp.7–15.</w:t>
      </w:r>
    </w:p>
    <w:p w14:paraId="017D135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Masucci, J.D. and Schiefelbein, J.W. 1994. The rhd6 Mutation of Arabidopsis thaliana Alters Root-Hair Initiation through an Auxin- and Ethylene-Associated Process. </w:t>
      </w:r>
      <w:r w:rsidRPr="00540661">
        <w:rPr>
          <w:i/>
          <w:iCs/>
          <w:noProof/>
          <w:szCs w:val="24"/>
        </w:rPr>
        <w:t>Plant Physiology</w:t>
      </w:r>
      <w:r w:rsidRPr="00540661">
        <w:rPr>
          <w:noProof/>
          <w:szCs w:val="24"/>
        </w:rPr>
        <w:t xml:space="preserve">. </w:t>
      </w:r>
      <w:r w:rsidRPr="00540661">
        <w:rPr>
          <w:b/>
          <w:bCs/>
          <w:noProof/>
          <w:szCs w:val="24"/>
        </w:rPr>
        <w:t>106</w:t>
      </w:r>
      <w:r w:rsidRPr="00540661">
        <w:rPr>
          <w:noProof/>
          <w:szCs w:val="24"/>
        </w:rPr>
        <w:t>(4), pp.1335–1346.</w:t>
      </w:r>
    </w:p>
    <w:p w14:paraId="365C2D47"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McConnaughay, K.D.M. and Bazzaz, F.A. 1991. Is physical space a soil resource? </w:t>
      </w:r>
      <w:r w:rsidRPr="00540661">
        <w:rPr>
          <w:i/>
          <w:iCs/>
          <w:noProof/>
          <w:szCs w:val="24"/>
        </w:rPr>
        <w:t>Ecology</w:t>
      </w:r>
      <w:r w:rsidRPr="00540661">
        <w:rPr>
          <w:noProof/>
          <w:szCs w:val="24"/>
        </w:rPr>
        <w:t xml:space="preserve">. </w:t>
      </w:r>
      <w:r w:rsidRPr="00540661">
        <w:rPr>
          <w:b/>
          <w:bCs/>
          <w:noProof/>
          <w:szCs w:val="24"/>
        </w:rPr>
        <w:t>72</w:t>
      </w:r>
      <w:r w:rsidRPr="00540661">
        <w:rPr>
          <w:noProof/>
          <w:szCs w:val="24"/>
        </w:rPr>
        <w:t>(1), pp.94–103.</w:t>
      </w:r>
    </w:p>
    <w:p w14:paraId="0941BE83"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McNickle, G.G. and Brown, J.S. 2014. An ideal free distribution explains the root production of plants that do not engage in a tragedy of the commons game S. Schwinning, ed. </w:t>
      </w:r>
      <w:r w:rsidRPr="00540661">
        <w:rPr>
          <w:i/>
          <w:iCs/>
          <w:noProof/>
          <w:szCs w:val="24"/>
        </w:rPr>
        <w:t>Journal of Ecology</w:t>
      </w:r>
      <w:r w:rsidRPr="00540661">
        <w:rPr>
          <w:noProof/>
          <w:szCs w:val="24"/>
        </w:rPr>
        <w:t xml:space="preserve">. </w:t>
      </w:r>
      <w:r w:rsidRPr="00540661">
        <w:rPr>
          <w:b/>
          <w:bCs/>
          <w:noProof/>
          <w:szCs w:val="24"/>
        </w:rPr>
        <w:t>102</w:t>
      </w:r>
      <w:r w:rsidRPr="00540661">
        <w:rPr>
          <w:noProof/>
          <w:szCs w:val="24"/>
        </w:rPr>
        <w:t>(4), pp.963–971.</w:t>
      </w:r>
    </w:p>
    <w:p w14:paraId="3A364BA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Meiners, S.J., Kong, C.-H., Ladwig, L.M., Pisula, N.L. and Lang, K.A. 2012. Developing an ecological context for allelopathy. </w:t>
      </w:r>
      <w:r w:rsidRPr="00540661">
        <w:rPr>
          <w:i/>
          <w:iCs/>
          <w:noProof/>
          <w:szCs w:val="24"/>
        </w:rPr>
        <w:t>Plant Ecology</w:t>
      </w:r>
      <w:r w:rsidRPr="00540661">
        <w:rPr>
          <w:noProof/>
          <w:szCs w:val="24"/>
        </w:rPr>
        <w:t xml:space="preserve">. </w:t>
      </w:r>
      <w:r w:rsidRPr="00540661">
        <w:rPr>
          <w:b/>
          <w:bCs/>
          <w:noProof/>
          <w:szCs w:val="24"/>
        </w:rPr>
        <w:t>213</w:t>
      </w:r>
      <w:r w:rsidRPr="00540661">
        <w:rPr>
          <w:noProof/>
          <w:szCs w:val="24"/>
        </w:rPr>
        <w:t>(8), pp.1221–1227.</w:t>
      </w:r>
    </w:p>
    <w:p w14:paraId="5000477D"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lastRenderedPageBreak/>
        <w:t xml:space="preserve">Menand, B., Yi, K., Jouannic, S., Hoffmann, L., Ryan, E., Linstead, P., Schaefer, D.G. and Dolan, L. 2007. An ancient mechanism controls the development of cells with a rooting function in land plants. </w:t>
      </w:r>
      <w:r w:rsidRPr="00540661">
        <w:rPr>
          <w:i/>
          <w:iCs/>
          <w:noProof/>
          <w:szCs w:val="24"/>
        </w:rPr>
        <w:t>Science</w:t>
      </w:r>
      <w:r w:rsidRPr="00540661">
        <w:rPr>
          <w:noProof/>
          <w:szCs w:val="24"/>
        </w:rPr>
        <w:t xml:space="preserve">. </w:t>
      </w:r>
      <w:r w:rsidRPr="00540661">
        <w:rPr>
          <w:b/>
          <w:bCs/>
          <w:noProof/>
          <w:szCs w:val="24"/>
        </w:rPr>
        <w:t>316</w:t>
      </w:r>
      <w:r w:rsidRPr="00540661">
        <w:rPr>
          <w:noProof/>
          <w:szCs w:val="24"/>
        </w:rPr>
        <w:t>(5830), pp.1477–1480.</w:t>
      </w:r>
    </w:p>
    <w:p w14:paraId="35C364BF"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Mok, D.W. and Mok, M.C. 2001. Cytokinin metabolism and action. </w:t>
      </w:r>
      <w:r w:rsidRPr="00540661">
        <w:rPr>
          <w:i/>
          <w:iCs/>
          <w:noProof/>
          <w:szCs w:val="24"/>
        </w:rPr>
        <w:t>Annual Review of Plant Physiology and Plant Molecular Biology</w:t>
      </w:r>
      <w:r w:rsidRPr="00540661">
        <w:rPr>
          <w:noProof/>
          <w:szCs w:val="24"/>
        </w:rPr>
        <w:t xml:space="preserve">. </w:t>
      </w:r>
      <w:r w:rsidRPr="00540661">
        <w:rPr>
          <w:b/>
          <w:bCs/>
          <w:noProof/>
          <w:szCs w:val="24"/>
        </w:rPr>
        <w:t>52</w:t>
      </w:r>
      <w:r w:rsidRPr="00540661">
        <w:rPr>
          <w:noProof/>
          <w:szCs w:val="24"/>
        </w:rPr>
        <w:t>(1), pp.89–118.</w:t>
      </w:r>
    </w:p>
    <w:p w14:paraId="23FCC12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Morris, E.C., Griffiths, M., Golebiowska, A., Mairhofer, S., Burr-Hersey, J., Goh, T., von Wangenheim, D., Atkinson, B., Sturrock, C.J., Lynch, J.P., Vissenberg, K., Ritz, K., Wells, D.M., Mooney, S.J. and Bennett, M.J. 2017. Shaping 3D root system architecture. </w:t>
      </w:r>
      <w:r w:rsidRPr="00540661">
        <w:rPr>
          <w:i/>
          <w:iCs/>
          <w:noProof/>
          <w:szCs w:val="24"/>
        </w:rPr>
        <w:t>Current Biology</w:t>
      </w:r>
      <w:r w:rsidRPr="00540661">
        <w:rPr>
          <w:noProof/>
          <w:szCs w:val="24"/>
        </w:rPr>
        <w:t xml:space="preserve">. </w:t>
      </w:r>
      <w:r w:rsidRPr="00540661">
        <w:rPr>
          <w:b/>
          <w:bCs/>
          <w:noProof/>
          <w:szCs w:val="24"/>
        </w:rPr>
        <w:t>27</w:t>
      </w:r>
      <w:r w:rsidRPr="00540661">
        <w:rPr>
          <w:noProof/>
          <w:szCs w:val="24"/>
        </w:rPr>
        <w:t>(17), pp.R919–R930.</w:t>
      </w:r>
    </w:p>
    <w:p w14:paraId="328B3091"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Morris, S.E., Turnbull, C.G.N., Murfet, I.C. and Beveridge, C.A. 2001. Mutational analysis of branching in pea. Evidence that Rms1 and Rms5 regulate the same novel signal. </w:t>
      </w:r>
      <w:r w:rsidRPr="00540661">
        <w:rPr>
          <w:i/>
          <w:iCs/>
          <w:noProof/>
          <w:szCs w:val="24"/>
        </w:rPr>
        <w:t>Plant Physiology</w:t>
      </w:r>
      <w:r w:rsidRPr="00540661">
        <w:rPr>
          <w:noProof/>
          <w:szCs w:val="24"/>
        </w:rPr>
        <w:t xml:space="preserve">. </w:t>
      </w:r>
      <w:r w:rsidRPr="00540661">
        <w:rPr>
          <w:b/>
          <w:bCs/>
          <w:noProof/>
          <w:szCs w:val="24"/>
        </w:rPr>
        <w:t>126</w:t>
      </w:r>
      <w:r w:rsidRPr="00540661">
        <w:rPr>
          <w:noProof/>
          <w:szCs w:val="24"/>
        </w:rPr>
        <w:t>(3), pp.1205–1213.</w:t>
      </w:r>
    </w:p>
    <w:p w14:paraId="20D2E905"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Mortier, V., Den Herder, G., Whitford, R., Van de Velde, W., Rombauts, S., D’haeseleer, K., Holsters, M. and Goormachtig, S. 2010. CLE peptides control Medicago truncatula nodulation locally and systemically. </w:t>
      </w:r>
      <w:r w:rsidRPr="00540661">
        <w:rPr>
          <w:i/>
          <w:iCs/>
          <w:noProof/>
          <w:szCs w:val="24"/>
        </w:rPr>
        <w:t>Plant Physiology</w:t>
      </w:r>
      <w:r w:rsidRPr="00540661">
        <w:rPr>
          <w:noProof/>
          <w:szCs w:val="24"/>
        </w:rPr>
        <w:t xml:space="preserve">. </w:t>
      </w:r>
      <w:r w:rsidRPr="00540661">
        <w:rPr>
          <w:b/>
          <w:bCs/>
          <w:noProof/>
          <w:szCs w:val="24"/>
        </w:rPr>
        <w:t>153</w:t>
      </w:r>
      <w:r w:rsidRPr="00540661">
        <w:rPr>
          <w:noProof/>
          <w:szCs w:val="24"/>
        </w:rPr>
        <w:t>(1), pp.222–237.</w:t>
      </w:r>
    </w:p>
    <w:p w14:paraId="56421D16"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Motose, H., Iwamoto, K., Endo, S., Demura, T., Sakagami, Y., Matsubayashi, Y., Moore, K.L. and Fukuda, H. 2009. Involvement of phytosulfokine in the attenuation of stress response during the transdifferentiation of Zinnia mesophyll cells into tracheary elements. </w:t>
      </w:r>
      <w:r w:rsidRPr="00540661">
        <w:rPr>
          <w:i/>
          <w:iCs/>
          <w:noProof/>
          <w:szCs w:val="24"/>
        </w:rPr>
        <w:t>Plant Physiology</w:t>
      </w:r>
      <w:r w:rsidRPr="00540661">
        <w:rPr>
          <w:noProof/>
          <w:szCs w:val="24"/>
        </w:rPr>
        <w:t xml:space="preserve">. </w:t>
      </w:r>
      <w:r w:rsidRPr="00540661">
        <w:rPr>
          <w:b/>
          <w:bCs/>
          <w:noProof/>
          <w:szCs w:val="24"/>
        </w:rPr>
        <w:t>150</w:t>
      </w:r>
      <w:r w:rsidRPr="00540661">
        <w:rPr>
          <w:noProof/>
          <w:szCs w:val="24"/>
        </w:rPr>
        <w:t>(1), pp.437–447.</w:t>
      </w:r>
    </w:p>
    <w:p w14:paraId="4162BEA4"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Murphy, G.P., van Acker, R., Rajcan, I. and Swanton, C.J. 2017. Identity recognition in response to different levels of genetic relatedness in commercial soya bean. </w:t>
      </w:r>
      <w:r w:rsidRPr="00540661">
        <w:rPr>
          <w:i/>
          <w:iCs/>
          <w:noProof/>
          <w:szCs w:val="24"/>
        </w:rPr>
        <w:t>Royal Society Open Science</w:t>
      </w:r>
      <w:r w:rsidRPr="00540661">
        <w:rPr>
          <w:noProof/>
          <w:szCs w:val="24"/>
        </w:rPr>
        <w:t xml:space="preserve">. </w:t>
      </w:r>
      <w:r w:rsidRPr="00540661">
        <w:rPr>
          <w:b/>
          <w:bCs/>
          <w:noProof/>
          <w:szCs w:val="24"/>
        </w:rPr>
        <w:t>4</w:t>
      </w:r>
      <w:r w:rsidRPr="00540661">
        <w:rPr>
          <w:noProof/>
          <w:szCs w:val="24"/>
        </w:rPr>
        <w:t>(1).</w:t>
      </w:r>
    </w:p>
    <w:p w14:paraId="043877C4"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Ninkovic, V., Markovic, D. and Rensing, M. 2021. Plant volatiles as cues and signals in plant communication. </w:t>
      </w:r>
      <w:r w:rsidRPr="00540661">
        <w:rPr>
          <w:i/>
          <w:iCs/>
          <w:noProof/>
          <w:szCs w:val="24"/>
        </w:rPr>
        <w:t>Plant, Cell &amp; Environment</w:t>
      </w:r>
      <w:r w:rsidRPr="00540661">
        <w:rPr>
          <w:noProof/>
          <w:szCs w:val="24"/>
        </w:rPr>
        <w:t xml:space="preserve">. </w:t>
      </w:r>
      <w:r w:rsidRPr="00540661">
        <w:rPr>
          <w:b/>
          <w:bCs/>
          <w:noProof/>
          <w:szCs w:val="24"/>
        </w:rPr>
        <w:t>44</w:t>
      </w:r>
      <w:r w:rsidRPr="00540661">
        <w:rPr>
          <w:noProof/>
          <w:szCs w:val="24"/>
        </w:rPr>
        <w:t>(4), pp.1030–1043.</w:t>
      </w:r>
    </w:p>
    <w:p w14:paraId="05575A0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Nishida, H. and Suzaki, T. 2018. Nitrate-mediated control of root nodule symbiosis. </w:t>
      </w:r>
      <w:r w:rsidRPr="00540661">
        <w:rPr>
          <w:i/>
          <w:iCs/>
          <w:noProof/>
          <w:szCs w:val="24"/>
        </w:rPr>
        <w:t>Current Opinion in Plant Biology</w:t>
      </w:r>
      <w:r w:rsidRPr="00540661">
        <w:rPr>
          <w:noProof/>
          <w:szCs w:val="24"/>
        </w:rPr>
        <w:t xml:space="preserve">. </w:t>
      </w:r>
      <w:r w:rsidRPr="00540661">
        <w:rPr>
          <w:b/>
          <w:bCs/>
          <w:noProof/>
          <w:szCs w:val="24"/>
        </w:rPr>
        <w:t>44</w:t>
      </w:r>
      <w:r w:rsidRPr="00540661">
        <w:rPr>
          <w:noProof/>
          <w:szCs w:val="24"/>
        </w:rPr>
        <w:t>, pp.129–136.</w:t>
      </w:r>
    </w:p>
    <w:p w14:paraId="0326288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Nord, E.A., Zhang, C. and Lynch, J.P. 2011. Root responses to neighbouring plants in common bean are mediated by nutrient concentration rather than self/non-self recognition. </w:t>
      </w:r>
      <w:r w:rsidRPr="00540661">
        <w:rPr>
          <w:i/>
          <w:iCs/>
          <w:noProof/>
          <w:szCs w:val="24"/>
        </w:rPr>
        <w:t>Functional Plant Biology</w:t>
      </w:r>
      <w:r w:rsidRPr="00540661">
        <w:rPr>
          <w:noProof/>
          <w:szCs w:val="24"/>
        </w:rPr>
        <w:t xml:space="preserve">. </w:t>
      </w:r>
      <w:r w:rsidRPr="00540661">
        <w:rPr>
          <w:b/>
          <w:bCs/>
          <w:noProof/>
          <w:szCs w:val="24"/>
        </w:rPr>
        <w:t>38</w:t>
      </w:r>
      <w:r w:rsidRPr="00540661">
        <w:rPr>
          <w:noProof/>
          <w:szCs w:val="24"/>
        </w:rPr>
        <w:t>(12), p.941.</w:t>
      </w:r>
    </w:p>
    <w:p w14:paraId="69EE4073"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O’Brien, E.E., Gersani, M. and Brown, J.S. 2005. Root proliferation and seed yield in response to spatial heterogeneity of below</w:t>
      </w:r>
      <w:r w:rsidRPr="00540661">
        <w:rPr>
          <w:rFonts w:ascii="Cambria Math" w:hAnsi="Cambria Math" w:cs="Cambria Math"/>
          <w:noProof/>
          <w:szCs w:val="24"/>
        </w:rPr>
        <w:t>‐</w:t>
      </w:r>
      <w:r w:rsidRPr="00540661">
        <w:rPr>
          <w:noProof/>
          <w:szCs w:val="24"/>
        </w:rPr>
        <w:t xml:space="preserve">ground competition. </w:t>
      </w:r>
      <w:r w:rsidRPr="00540661">
        <w:rPr>
          <w:i/>
          <w:iCs/>
          <w:noProof/>
          <w:szCs w:val="24"/>
        </w:rPr>
        <w:t>New Phytologist</w:t>
      </w:r>
      <w:r w:rsidRPr="00540661">
        <w:rPr>
          <w:noProof/>
          <w:szCs w:val="24"/>
        </w:rPr>
        <w:t xml:space="preserve">. </w:t>
      </w:r>
      <w:r w:rsidRPr="00540661">
        <w:rPr>
          <w:b/>
          <w:bCs/>
          <w:noProof/>
          <w:szCs w:val="24"/>
        </w:rPr>
        <w:t>168</w:t>
      </w:r>
      <w:r w:rsidRPr="00540661">
        <w:rPr>
          <w:noProof/>
          <w:szCs w:val="24"/>
        </w:rPr>
        <w:t>(2), pp.401–412.</w:t>
      </w:r>
    </w:p>
    <w:p w14:paraId="742B6174"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Ohkubo, Y., Tanaka, M., Tabata, R., Ogawa-Ohnishi, M. and Matsubayashi, Y. 2017. Shoot-to-root mobile polypeptides involved in systemic regulation of nitrogen acquisition. </w:t>
      </w:r>
      <w:r w:rsidRPr="00540661">
        <w:rPr>
          <w:i/>
          <w:iCs/>
          <w:noProof/>
          <w:szCs w:val="24"/>
        </w:rPr>
        <w:t>Nature Plants</w:t>
      </w:r>
      <w:r w:rsidRPr="00540661">
        <w:rPr>
          <w:noProof/>
          <w:szCs w:val="24"/>
        </w:rPr>
        <w:t xml:space="preserve">. </w:t>
      </w:r>
      <w:r w:rsidRPr="00540661">
        <w:rPr>
          <w:b/>
          <w:bCs/>
          <w:noProof/>
          <w:szCs w:val="24"/>
        </w:rPr>
        <w:t>3</w:t>
      </w:r>
      <w:r w:rsidRPr="00540661">
        <w:rPr>
          <w:noProof/>
          <w:szCs w:val="24"/>
        </w:rPr>
        <w:t>(4), pp.1–6.</w:t>
      </w:r>
    </w:p>
    <w:p w14:paraId="3F46A2A4"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Okamoto, M., Vidmar, J.J. and Glass, A.D.M. 2003. Regulation of NRT1 and NRT2 gene families of Arabidopsis thaliana: Responses to nitrate provision. </w:t>
      </w:r>
      <w:r w:rsidRPr="00540661">
        <w:rPr>
          <w:i/>
          <w:iCs/>
          <w:noProof/>
          <w:szCs w:val="24"/>
        </w:rPr>
        <w:t>Plant and Cell Physiology</w:t>
      </w:r>
      <w:r w:rsidRPr="00540661">
        <w:rPr>
          <w:noProof/>
          <w:szCs w:val="24"/>
        </w:rPr>
        <w:t xml:space="preserve">. </w:t>
      </w:r>
      <w:r w:rsidRPr="00540661">
        <w:rPr>
          <w:b/>
          <w:bCs/>
          <w:noProof/>
          <w:szCs w:val="24"/>
        </w:rPr>
        <w:t>44</w:t>
      </w:r>
      <w:r w:rsidRPr="00540661">
        <w:rPr>
          <w:noProof/>
          <w:szCs w:val="24"/>
        </w:rPr>
        <w:t>(3), pp.304–317.</w:t>
      </w:r>
    </w:p>
    <w:p w14:paraId="13DA3F07"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Okamoto, S., Suzuki, T., Kawaguchi, M., Higashiyama, T. and Matsubayashi, </w:t>
      </w:r>
      <w:r w:rsidRPr="00540661">
        <w:rPr>
          <w:noProof/>
          <w:szCs w:val="24"/>
        </w:rPr>
        <w:lastRenderedPageBreak/>
        <w:t xml:space="preserve">Y. 2015. A comprehensive strategy for identifying long-distance mobile peptides in xylem sap. </w:t>
      </w:r>
      <w:r w:rsidRPr="00540661">
        <w:rPr>
          <w:i/>
          <w:iCs/>
          <w:noProof/>
          <w:szCs w:val="24"/>
        </w:rPr>
        <w:t>The Plant Journal</w:t>
      </w:r>
      <w:r w:rsidRPr="00540661">
        <w:rPr>
          <w:noProof/>
          <w:szCs w:val="24"/>
        </w:rPr>
        <w:t xml:space="preserve">. </w:t>
      </w:r>
      <w:r w:rsidRPr="00540661">
        <w:rPr>
          <w:b/>
          <w:bCs/>
          <w:noProof/>
          <w:szCs w:val="24"/>
        </w:rPr>
        <w:t>84</w:t>
      </w:r>
      <w:r w:rsidRPr="00540661">
        <w:rPr>
          <w:noProof/>
          <w:szCs w:val="24"/>
        </w:rPr>
        <w:t>(3), pp.611–620.</w:t>
      </w:r>
    </w:p>
    <w:p w14:paraId="36B0B407"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Oliveros, J.C. 2007. Venny. An interactive tool for comparing lists with Venn’s diagrams. Available from: https://bioinfogp.cnb.csic.es/tools/venny/index.html.</w:t>
      </w:r>
    </w:p>
    <w:p w14:paraId="33F74B2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Osugi, A., Kojima, M., Takebayashi, Y., Ueda, N., Kiba, T. and Sakakibara, H. 2017. Systemic transport of trans-zeatin and its precursor have differing roles in Arabidopsis shoots. </w:t>
      </w:r>
      <w:r w:rsidRPr="00540661">
        <w:rPr>
          <w:i/>
          <w:iCs/>
          <w:noProof/>
          <w:szCs w:val="24"/>
        </w:rPr>
        <w:t>Nature Plants</w:t>
      </w:r>
      <w:r w:rsidRPr="00540661">
        <w:rPr>
          <w:noProof/>
          <w:szCs w:val="24"/>
        </w:rPr>
        <w:t xml:space="preserve">. </w:t>
      </w:r>
      <w:r w:rsidRPr="00540661">
        <w:rPr>
          <w:b/>
          <w:bCs/>
          <w:noProof/>
          <w:szCs w:val="24"/>
        </w:rPr>
        <w:t>3</w:t>
      </w:r>
      <w:r w:rsidRPr="00540661">
        <w:rPr>
          <w:noProof/>
          <w:szCs w:val="24"/>
        </w:rPr>
        <w:t>(8).</w:t>
      </w:r>
    </w:p>
    <w:p w14:paraId="310A21F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Patel, N., Mohd-Radzman, N.A., Corcilius, L., Crossett, B., Connolly, A., Cordwell, S.J., Ivanovici, A., Taylor, K., Williams, J., Binos, S., Mariani, M., Payne, R.J. and Djordjevic, M.A. 2018. Diverse peptide hormones affecting root growth identified in the Medicago truncatula secreted peptidome. </w:t>
      </w:r>
      <w:r w:rsidRPr="00540661">
        <w:rPr>
          <w:i/>
          <w:iCs/>
          <w:noProof/>
          <w:szCs w:val="24"/>
        </w:rPr>
        <w:t>Molecular &amp; Cellular Proteomics</w:t>
      </w:r>
      <w:r w:rsidRPr="00540661">
        <w:rPr>
          <w:noProof/>
          <w:szCs w:val="24"/>
        </w:rPr>
        <w:t xml:space="preserve">. </w:t>
      </w:r>
      <w:r w:rsidRPr="00540661">
        <w:rPr>
          <w:b/>
          <w:bCs/>
          <w:noProof/>
          <w:szCs w:val="24"/>
        </w:rPr>
        <w:t>17</w:t>
      </w:r>
      <w:r w:rsidRPr="00540661">
        <w:rPr>
          <w:noProof/>
          <w:szCs w:val="24"/>
        </w:rPr>
        <w:t>(1), pp.160–174.</w:t>
      </w:r>
    </w:p>
    <w:p w14:paraId="6CC670B9"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Pierik, R., Mommer, L. and Voesenek, L.A. 2013. Molecular mechanisms of plant competition: neighbour detection and response strategies D. Robinson, ed. </w:t>
      </w:r>
      <w:r w:rsidRPr="00540661">
        <w:rPr>
          <w:i/>
          <w:iCs/>
          <w:noProof/>
          <w:szCs w:val="24"/>
        </w:rPr>
        <w:t>Functional Ecology</w:t>
      </w:r>
      <w:r w:rsidRPr="00540661">
        <w:rPr>
          <w:noProof/>
          <w:szCs w:val="24"/>
        </w:rPr>
        <w:t xml:space="preserve">. </w:t>
      </w:r>
      <w:r w:rsidRPr="00540661">
        <w:rPr>
          <w:b/>
          <w:bCs/>
          <w:noProof/>
          <w:szCs w:val="24"/>
        </w:rPr>
        <w:t>27</w:t>
      </w:r>
      <w:r w:rsidRPr="00540661">
        <w:rPr>
          <w:noProof/>
          <w:szCs w:val="24"/>
        </w:rPr>
        <w:t>(4), pp.841–853.</w:t>
      </w:r>
    </w:p>
    <w:p w14:paraId="13DF618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Poorter, H., Bühler, J., Van Dusschoten, D., Climent, J. and Postma, J.A. 2012. Pot size matters: a meta-analysis of the effects of rooting volume on plant growth. </w:t>
      </w:r>
      <w:r w:rsidRPr="00540661">
        <w:rPr>
          <w:i/>
          <w:iCs/>
          <w:noProof/>
          <w:szCs w:val="24"/>
        </w:rPr>
        <w:t>Functional Plant Biology</w:t>
      </w:r>
      <w:r w:rsidRPr="00540661">
        <w:rPr>
          <w:noProof/>
          <w:szCs w:val="24"/>
        </w:rPr>
        <w:t>., pp.839–850.</w:t>
      </w:r>
    </w:p>
    <w:p w14:paraId="7BADE08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Poorter, H. and Remkes, C. 1990. Leaf area ratio and net assimilation rate of 24 wild species differing in relative growth rate. </w:t>
      </w:r>
      <w:r w:rsidRPr="00540661">
        <w:rPr>
          <w:i/>
          <w:iCs/>
          <w:noProof/>
          <w:szCs w:val="24"/>
        </w:rPr>
        <w:t>Oecologia</w:t>
      </w:r>
      <w:r w:rsidRPr="00540661">
        <w:rPr>
          <w:noProof/>
          <w:szCs w:val="24"/>
        </w:rPr>
        <w:t xml:space="preserve">. </w:t>
      </w:r>
      <w:r w:rsidRPr="00540661">
        <w:rPr>
          <w:b/>
          <w:bCs/>
          <w:noProof/>
          <w:szCs w:val="24"/>
        </w:rPr>
        <w:t>83</w:t>
      </w:r>
      <w:r w:rsidRPr="00540661">
        <w:rPr>
          <w:noProof/>
          <w:szCs w:val="24"/>
        </w:rPr>
        <w:t>, pp.553–559.</w:t>
      </w:r>
    </w:p>
    <w:p w14:paraId="588C2689"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Postma, J.A., Hecht, V.L., Hikosaka, K., Nord, E.A., Pons, T.L. and Poorter, H. 2021. Dividing the pie: A quantitative review on plant density responses. </w:t>
      </w:r>
      <w:r w:rsidRPr="00540661">
        <w:rPr>
          <w:i/>
          <w:iCs/>
          <w:noProof/>
          <w:szCs w:val="24"/>
        </w:rPr>
        <w:t>Plant, Cell &amp; Environment</w:t>
      </w:r>
      <w:r w:rsidRPr="00540661">
        <w:rPr>
          <w:noProof/>
          <w:szCs w:val="24"/>
        </w:rPr>
        <w:t xml:space="preserve">. </w:t>
      </w:r>
      <w:r w:rsidRPr="00540661">
        <w:rPr>
          <w:b/>
          <w:bCs/>
          <w:noProof/>
          <w:szCs w:val="24"/>
        </w:rPr>
        <w:t>44</w:t>
      </w:r>
      <w:r w:rsidRPr="00540661">
        <w:rPr>
          <w:noProof/>
          <w:szCs w:val="24"/>
        </w:rPr>
        <w:t>(4), pp.1072–1094.</w:t>
      </w:r>
    </w:p>
    <w:p w14:paraId="13AF414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Proust, H., Hoffmann, B., Xie, X., Yoneyama, Kaori, Schaefer, D.G., Yoneyama, Koichi, Nogué, F. and Rameau, C. 2011. Strigolactones regulate protonema branching and act as a quorum sensing-like signal in the moss Physcomitrella patens. </w:t>
      </w:r>
      <w:r w:rsidRPr="00540661">
        <w:rPr>
          <w:i/>
          <w:iCs/>
          <w:noProof/>
          <w:szCs w:val="24"/>
        </w:rPr>
        <w:t>Development (Cambridge, England)</w:t>
      </w:r>
      <w:r w:rsidRPr="00540661">
        <w:rPr>
          <w:noProof/>
          <w:szCs w:val="24"/>
        </w:rPr>
        <w:t xml:space="preserve">. </w:t>
      </w:r>
      <w:r w:rsidRPr="00540661">
        <w:rPr>
          <w:b/>
          <w:bCs/>
          <w:noProof/>
          <w:szCs w:val="24"/>
        </w:rPr>
        <w:t>138</w:t>
      </w:r>
      <w:r w:rsidRPr="00540661">
        <w:rPr>
          <w:noProof/>
          <w:szCs w:val="24"/>
        </w:rPr>
        <w:t>(8), pp.1531–1539.</w:t>
      </w:r>
    </w:p>
    <w:p w14:paraId="4568A6D3"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van der Putten, W.H., Bardgett, R.D., Bever, J.D., Bezemer, T.M., Casper, B.B., Fukami, T., Kardol, P., Klironomos, J.N., Kulmatiski, A., Schweitzer, J.A., Suding, K.N., Van de Voorde, T.F.J. and Wardle, D.A. 2013. Plant-soil feedbacks: the past, the present and future challenges M. Hutchings, ed. </w:t>
      </w:r>
      <w:r w:rsidRPr="00540661">
        <w:rPr>
          <w:i/>
          <w:iCs/>
          <w:noProof/>
          <w:szCs w:val="24"/>
        </w:rPr>
        <w:t>Journal of Ecology</w:t>
      </w:r>
      <w:r w:rsidRPr="00540661">
        <w:rPr>
          <w:noProof/>
          <w:szCs w:val="24"/>
        </w:rPr>
        <w:t xml:space="preserve">. </w:t>
      </w:r>
      <w:r w:rsidRPr="00540661">
        <w:rPr>
          <w:b/>
          <w:bCs/>
          <w:noProof/>
          <w:szCs w:val="24"/>
        </w:rPr>
        <w:t>101</w:t>
      </w:r>
      <w:r w:rsidRPr="00540661">
        <w:rPr>
          <w:noProof/>
          <w:szCs w:val="24"/>
        </w:rPr>
        <w:t>(2), pp.265–276.</w:t>
      </w:r>
    </w:p>
    <w:p w14:paraId="5AD4B88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Rameau, C.C., Bodelin, C., Cadier, D., Grandjean, O., Miard, F. and Murfet, I.C. 1997. New ramosus mutants at loci Rms1, Rms3 and Rms4 resulting from the mutation breeding program at Versailles. </w:t>
      </w:r>
      <w:r w:rsidRPr="00540661">
        <w:rPr>
          <w:i/>
          <w:iCs/>
          <w:noProof/>
          <w:szCs w:val="24"/>
        </w:rPr>
        <w:t>Pisum genetics</w:t>
      </w:r>
      <w:r w:rsidRPr="00540661">
        <w:rPr>
          <w:noProof/>
          <w:szCs w:val="24"/>
        </w:rPr>
        <w:t xml:space="preserve">. </w:t>
      </w:r>
      <w:r w:rsidRPr="00540661">
        <w:rPr>
          <w:b/>
          <w:bCs/>
          <w:noProof/>
          <w:szCs w:val="24"/>
        </w:rPr>
        <w:t>29</w:t>
      </w:r>
      <w:r w:rsidRPr="00540661">
        <w:rPr>
          <w:noProof/>
          <w:szCs w:val="24"/>
        </w:rPr>
        <w:t>, pp.7–12.</w:t>
      </w:r>
    </w:p>
    <w:p w14:paraId="2DB8F98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Rasheed, S., Bashir, K., Nakaminami, K., Hanada, K., Matsui, A. and Seki, M. 2016. Drought stress differentially regulates the expression of small open reading frames (sORFs) in Arabidopsis roots and shoots. </w:t>
      </w:r>
      <w:r w:rsidRPr="00540661">
        <w:rPr>
          <w:i/>
          <w:iCs/>
          <w:noProof/>
          <w:szCs w:val="24"/>
        </w:rPr>
        <w:t>Plant Signaling &amp; Behavior</w:t>
      </w:r>
      <w:r w:rsidRPr="00540661">
        <w:rPr>
          <w:noProof/>
          <w:szCs w:val="24"/>
        </w:rPr>
        <w:t xml:space="preserve">. </w:t>
      </w:r>
      <w:r w:rsidRPr="00540661">
        <w:rPr>
          <w:b/>
          <w:bCs/>
          <w:noProof/>
          <w:szCs w:val="24"/>
        </w:rPr>
        <w:t>11</w:t>
      </w:r>
      <w:r w:rsidRPr="00540661">
        <w:rPr>
          <w:noProof/>
          <w:szCs w:val="24"/>
        </w:rPr>
        <w:t>(8), p.e1215792.</w:t>
      </w:r>
    </w:p>
    <w:p w14:paraId="2C487C24"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Raudvere, U., Kolberg, L., Kuzmin, I., Arak, T., Adler, P., Peterson, H. and Vilo, J. 2019. g:Profiler: a web server for functional enrichment analysis and conversions of gene lists (2019 update). </w:t>
      </w:r>
      <w:r w:rsidRPr="00540661">
        <w:rPr>
          <w:i/>
          <w:iCs/>
          <w:noProof/>
          <w:szCs w:val="24"/>
        </w:rPr>
        <w:t>Nucleic Acids Research</w:t>
      </w:r>
      <w:r w:rsidRPr="00540661">
        <w:rPr>
          <w:noProof/>
          <w:szCs w:val="24"/>
        </w:rPr>
        <w:t xml:space="preserve">. </w:t>
      </w:r>
      <w:r w:rsidRPr="00540661">
        <w:rPr>
          <w:b/>
          <w:bCs/>
          <w:noProof/>
          <w:szCs w:val="24"/>
        </w:rPr>
        <w:lastRenderedPageBreak/>
        <w:t>47</w:t>
      </w:r>
      <w:r w:rsidRPr="00540661">
        <w:rPr>
          <w:noProof/>
          <w:szCs w:val="24"/>
        </w:rPr>
        <w:t>(W1), pp.W191–W198.</w:t>
      </w:r>
    </w:p>
    <w:p w14:paraId="73CF4658"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Ray, J.D. and Sinclair, T.R. 1998. The effect of pot size on growth and transpiration of maize and soybean during water deficit stress. </w:t>
      </w:r>
      <w:r w:rsidRPr="00540661">
        <w:rPr>
          <w:i/>
          <w:iCs/>
          <w:noProof/>
          <w:szCs w:val="24"/>
        </w:rPr>
        <w:t>Journal of Experimental Botany</w:t>
      </w:r>
      <w:r w:rsidRPr="00540661">
        <w:rPr>
          <w:noProof/>
          <w:szCs w:val="24"/>
        </w:rPr>
        <w:t xml:space="preserve">. </w:t>
      </w:r>
      <w:r w:rsidRPr="00540661">
        <w:rPr>
          <w:b/>
          <w:bCs/>
          <w:noProof/>
          <w:szCs w:val="24"/>
        </w:rPr>
        <w:t>49</w:t>
      </w:r>
      <w:r w:rsidRPr="00540661">
        <w:rPr>
          <w:noProof/>
          <w:szCs w:val="24"/>
        </w:rPr>
        <w:t>(325), pp.1381–1386.</w:t>
      </w:r>
    </w:p>
    <w:p w14:paraId="71CA92E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Reid, D.E., Ferguson, B.J. and Gresshoff, P.M. 2011. Inoculation- and nitrate-induced CLE peptides of Soybean control NARK-dependent nodule formation. </w:t>
      </w:r>
      <w:r w:rsidRPr="00540661">
        <w:rPr>
          <w:i/>
          <w:iCs/>
          <w:noProof/>
          <w:szCs w:val="24"/>
        </w:rPr>
        <w:t>Molecular Plant-Microbe Interactions®</w:t>
      </w:r>
      <w:r w:rsidRPr="00540661">
        <w:rPr>
          <w:noProof/>
          <w:szCs w:val="24"/>
        </w:rPr>
        <w:t xml:space="preserve">. </w:t>
      </w:r>
      <w:r w:rsidRPr="00540661">
        <w:rPr>
          <w:b/>
          <w:bCs/>
          <w:noProof/>
          <w:szCs w:val="24"/>
        </w:rPr>
        <w:t>24</w:t>
      </w:r>
      <w:r w:rsidRPr="00540661">
        <w:rPr>
          <w:noProof/>
          <w:szCs w:val="24"/>
        </w:rPr>
        <w:t>(5), pp.606–618.</w:t>
      </w:r>
    </w:p>
    <w:p w14:paraId="0373A32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Robbins, N.S. and Pharr, D.M. 1988. Effect of restricted root growth on carbohydrate metabolism and whole plant growth of Cucumis sativus L. </w:t>
      </w:r>
      <w:r w:rsidRPr="00540661">
        <w:rPr>
          <w:i/>
          <w:iCs/>
          <w:noProof/>
          <w:szCs w:val="24"/>
        </w:rPr>
        <w:t>Plant Physiology</w:t>
      </w:r>
      <w:r w:rsidRPr="00540661">
        <w:rPr>
          <w:noProof/>
          <w:szCs w:val="24"/>
        </w:rPr>
        <w:t xml:space="preserve">. </w:t>
      </w:r>
      <w:r w:rsidRPr="00540661">
        <w:rPr>
          <w:b/>
          <w:bCs/>
          <w:noProof/>
          <w:szCs w:val="24"/>
        </w:rPr>
        <w:t>87</w:t>
      </w:r>
      <w:r w:rsidRPr="00540661">
        <w:rPr>
          <w:noProof/>
          <w:szCs w:val="24"/>
        </w:rPr>
        <w:t>(2), pp.409–413.</w:t>
      </w:r>
    </w:p>
    <w:p w14:paraId="06460DC5"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Roberts, I., Smith, S., Stes, E., De Rybel, B., Staes, A., van de Cotte, B., Njo, M.F., Dedeyne, L., Demol, H., Lavenus, J., Audenaert, D., Gevaert, K., Beeckman, T. and De Smet, I. 2016. CEP5 and XIP1/CEPR1 regulate lateral root initiation in Arabidopsis. </w:t>
      </w:r>
      <w:r w:rsidRPr="00540661">
        <w:rPr>
          <w:i/>
          <w:iCs/>
          <w:noProof/>
          <w:szCs w:val="24"/>
        </w:rPr>
        <w:t>Journal of Experimental Botany</w:t>
      </w:r>
      <w:r w:rsidRPr="00540661">
        <w:rPr>
          <w:noProof/>
          <w:szCs w:val="24"/>
        </w:rPr>
        <w:t xml:space="preserve">. </w:t>
      </w:r>
      <w:r w:rsidRPr="00540661">
        <w:rPr>
          <w:b/>
          <w:bCs/>
          <w:noProof/>
          <w:szCs w:val="24"/>
        </w:rPr>
        <w:t>67</w:t>
      </w:r>
      <w:r w:rsidRPr="00540661">
        <w:rPr>
          <w:noProof/>
          <w:szCs w:val="24"/>
        </w:rPr>
        <w:t>(16), pp.4889–4899.</w:t>
      </w:r>
    </w:p>
    <w:p w14:paraId="488AFDC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Roig-Villanova, I. and Martínez-García, J.F. 2016. Plant responses to vegetation proximity: A whole life avoiding shade. </w:t>
      </w:r>
      <w:r w:rsidRPr="00540661">
        <w:rPr>
          <w:i/>
          <w:iCs/>
          <w:noProof/>
          <w:szCs w:val="24"/>
        </w:rPr>
        <w:t>Frontiers in Plant Science</w:t>
      </w:r>
      <w:r w:rsidRPr="00540661">
        <w:rPr>
          <w:noProof/>
          <w:szCs w:val="24"/>
        </w:rPr>
        <w:t xml:space="preserve">. </w:t>
      </w:r>
      <w:r w:rsidRPr="00540661">
        <w:rPr>
          <w:b/>
          <w:bCs/>
          <w:noProof/>
          <w:szCs w:val="24"/>
        </w:rPr>
        <w:t>7</w:t>
      </w:r>
      <w:r w:rsidRPr="00540661">
        <w:rPr>
          <w:noProof/>
          <w:szCs w:val="24"/>
        </w:rPr>
        <w:t>, p.236.</w:t>
      </w:r>
    </w:p>
    <w:p w14:paraId="1737AD5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Rolfe, S.A., Griffiths, J. and Ton, J. 2019. Crying out for help with root exudates: adaptive mechanisms by which stressed plants assemble health-promoting soil microbiomes. </w:t>
      </w:r>
      <w:r w:rsidRPr="00540661">
        <w:rPr>
          <w:i/>
          <w:iCs/>
          <w:noProof/>
          <w:szCs w:val="24"/>
        </w:rPr>
        <w:t>Current Opinion in Microbiology</w:t>
      </w:r>
      <w:r w:rsidRPr="00540661">
        <w:rPr>
          <w:noProof/>
          <w:szCs w:val="24"/>
        </w:rPr>
        <w:t xml:space="preserve">. </w:t>
      </w:r>
      <w:r w:rsidRPr="00540661">
        <w:rPr>
          <w:b/>
          <w:bCs/>
          <w:noProof/>
          <w:szCs w:val="24"/>
        </w:rPr>
        <w:t>49</w:t>
      </w:r>
      <w:r w:rsidRPr="00540661">
        <w:rPr>
          <w:noProof/>
          <w:szCs w:val="24"/>
        </w:rPr>
        <w:t>, pp.73–82.</w:t>
      </w:r>
    </w:p>
    <w:p w14:paraId="4E02A758"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Ronchi, C.P., DaMatta, F.M., Batista, K.D., Moraes, G.A.B.K., Loureiro, M.E. and Ducatti, C. 2006. Growth and photosynthetic down-regulation in Coffea arabica in response to restricted root volume. </w:t>
      </w:r>
      <w:r w:rsidRPr="00540661">
        <w:rPr>
          <w:i/>
          <w:iCs/>
          <w:noProof/>
          <w:szCs w:val="24"/>
        </w:rPr>
        <w:t>Functional Plant Biology</w:t>
      </w:r>
      <w:r w:rsidRPr="00540661">
        <w:rPr>
          <w:noProof/>
          <w:szCs w:val="24"/>
        </w:rPr>
        <w:t xml:space="preserve">. </w:t>
      </w:r>
      <w:r w:rsidRPr="00540661">
        <w:rPr>
          <w:b/>
          <w:bCs/>
          <w:noProof/>
          <w:szCs w:val="24"/>
        </w:rPr>
        <w:t>33</w:t>
      </w:r>
      <w:r w:rsidRPr="00540661">
        <w:rPr>
          <w:noProof/>
          <w:szCs w:val="24"/>
        </w:rPr>
        <w:t>(11), pp.1013–1023.</w:t>
      </w:r>
    </w:p>
    <w:p w14:paraId="56DABDA6"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Ruyter-Spira, C., Kohlen, W., Charnikhova, T., van Zeijl, A., van Bezouwen, L., de Ruijter, N., Cardoso, C., Lopez-Raez, J.A., Matusova, R., Bours, R., Verstappen, F. and Bouwmeester, H. 2011. Physiological effects of the synthetic strigolactone analog GR24 on root system architecture in Arabidopsis: another belowground role for strigolactones? </w:t>
      </w:r>
      <w:r w:rsidRPr="00540661">
        <w:rPr>
          <w:i/>
          <w:iCs/>
          <w:noProof/>
          <w:szCs w:val="24"/>
        </w:rPr>
        <w:t>Plant Physiology</w:t>
      </w:r>
      <w:r w:rsidRPr="00540661">
        <w:rPr>
          <w:noProof/>
          <w:szCs w:val="24"/>
        </w:rPr>
        <w:t xml:space="preserve">. </w:t>
      </w:r>
      <w:r w:rsidRPr="00540661">
        <w:rPr>
          <w:b/>
          <w:bCs/>
          <w:noProof/>
          <w:szCs w:val="24"/>
        </w:rPr>
        <w:t>155</w:t>
      </w:r>
      <w:r w:rsidRPr="00540661">
        <w:rPr>
          <w:noProof/>
          <w:szCs w:val="24"/>
        </w:rPr>
        <w:t>(2), pp.721–734.</w:t>
      </w:r>
    </w:p>
    <w:p w14:paraId="20AA6B9D"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Sachs, T. 1997. Mosses as petri dish models for underground foraging </w:t>
      </w:r>
      <w:r w:rsidRPr="00540661">
        <w:rPr>
          <w:i/>
          <w:iCs/>
          <w:noProof/>
          <w:szCs w:val="24"/>
        </w:rPr>
        <w:t>In</w:t>
      </w:r>
      <w:r w:rsidRPr="00540661">
        <w:rPr>
          <w:noProof/>
          <w:szCs w:val="24"/>
        </w:rPr>
        <w:t xml:space="preserve">: </w:t>
      </w:r>
      <w:r w:rsidRPr="00540661">
        <w:rPr>
          <w:i/>
          <w:iCs/>
          <w:noProof/>
          <w:szCs w:val="24"/>
        </w:rPr>
        <w:t>Biology of Root Formation and Development</w:t>
      </w:r>
      <w:r w:rsidRPr="00540661">
        <w:rPr>
          <w:noProof/>
          <w:szCs w:val="24"/>
        </w:rPr>
        <w:t>. Plenum, New York, USA, pp.341–346.</w:t>
      </w:r>
    </w:p>
    <w:p w14:paraId="44EF258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Sasse, J., Simon, S., Gübeli, C., Liu, G.W., Cheng, X., Friml, J., Bouwmeester, H., Martinoia, E. and Borghi, L. 2015. Asymmetric localizations of the ABC transporter PaPDR1 trace paths of directional strigolactone transport. </w:t>
      </w:r>
      <w:r w:rsidRPr="00540661">
        <w:rPr>
          <w:i/>
          <w:iCs/>
          <w:noProof/>
          <w:szCs w:val="24"/>
        </w:rPr>
        <w:t>Current Biology</w:t>
      </w:r>
      <w:r w:rsidRPr="00540661">
        <w:rPr>
          <w:noProof/>
          <w:szCs w:val="24"/>
        </w:rPr>
        <w:t xml:space="preserve">. </w:t>
      </w:r>
      <w:r w:rsidRPr="00540661">
        <w:rPr>
          <w:b/>
          <w:bCs/>
          <w:noProof/>
          <w:szCs w:val="24"/>
        </w:rPr>
        <w:t>25</w:t>
      </w:r>
      <w:r w:rsidRPr="00540661">
        <w:rPr>
          <w:noProof/>
          <w:szCs w:val="24"/>
        </w:rPr>
        <w:t>(5), pp.647–655.</w:t>
      </w:r>
    </w:p>
    <w:p w14:paraId="257E739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Schenk, H.J. 2006. Root competition: beyond resource depletion. </w:t>
      </w:r>
      <w:r w:rsidRPr="00540661">
        <w:rPr>
          <w:i/>
          <w:iCs/>
          <w:noProof/>
          <w:szCs w:val="24"/>
        </w:rPr>
        <w:t>Journal of Ecology</w:t>
      </w:r>
      <w:r w:rsidRPr="00540661">
        <w:rPr>
          <w:noProof/>
          <w:szCs w:val="24"/>
        </w:rPr>
        <w:t xml:space="preserve">. </w:t>
      </w:r>
      <w:r w:rsidRPr="00540661">
        <w:rPr>
          <w:b/>
          <w:bCs/>
          <w:noProof/>
          <w:szCs w:val="24"/>
        </w:rPr>
        <w:t>94</w:t>
      </w:r>
      <w:r w:rsidRPr="00540661">
        <w:rPr>
          <w:noProof/>
          <w:szCs w:val="24"/>
        </w:rPr>
        <w:t>(4), pp.725–739.</w:t>
      </w:r>
    </w:p>
    <w:p w14:paraId="7F247A3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Scott, P. 2008. </w:t>
      </w:r>
      <w:r w:rsidRPr="00540661">
        <w:rPr>
          <w:i/>
          <w:iCs/>
          <w:noProof/>
          <w:szCs w:val="24"/>
        </w:rPr>
        <w:t>Physiology and behaviour of plants</w:t>
      </w:r>
      <w:r w:rsidRPr="00540661">
        <w:rPr>
          <w:noProof/>
          <w:szCs w:val="24"/>
        </w:rPr>
        <w:t>. Chichester: John Wiley &amp; Sons.</w:t>
      </w:r>
    </w:p>
    <w:p w14:paraId="3572339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Semchenko, M., Hutchings, M.J. and John, E.A. 2007. Challenging the tragedy of the commons in root competition: confounding effects of </w:t>
      </w:r>
      <w:r w:rsidRPr="00540661">
        <w:rPr>
          <w:noProof/>
          <w:szCs w:val="24"/>
        </w:rPr>
        <w:lastRenderedPageBreak/>
        <w:t xml:space="preserve">neighbour presence and substrate volume. </w:t>
      </w:r>
      <w:r w:rsidRPr="00540661">
        <w:rPr>
          <w:i/>
          <w:iCs/>
          <w:noProof/>
          <w:szCs w:val="24"/>
        </w:rPr>
        <w:t>Journal of Ecology</w:t>
      </w:r>
      <w:r w:rsidRPr="00540661">
        <w:rPr>
          <w:noProof/>
          <w:szCs w:val="24"/>
        </w:rPr>
        <w:t xml:space="preserve">. </w:t>
      </w:r>
      <w:r w:rsidRPr="00540661">
        <w:rPr>
          <w:b/>
          <w:bCs/>
          <w:noProof/>
          <w:szCs w:val="24"/>
        </w:rPr>
        <w:t>95</w:t>
      </w:r>
      <w:r w:rsidRPr="00540661">
        <w:rPr>
          <w:noProof/>
          <w:szCs w:val="24"/>
        </w:rPr>
        <w:t>(2), pp.252–260.</w:t>
      </w:r>
    </w:p>
    <w:p w14:paraId="793272AF"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Semchenko, M., Saar, S. and Lepik, A. 2014. Plant root exudates mediate neighbour recognition and trigger complex behavioural changes. </w:t>
      </w:r>
      <w:r w:rsidRPr="00540661">
        <w:rPr>
          <w:i/>
          <w:iCs/>
          <w:noProof/>
          <w:szCs w:val="24"/>
        </w:rPr>
        <w:t>New Phytologist</w:t>
      </w:r>
      <w:r w:rsidRPr="00540661">
        <w:rPr>
          <w:noProof/>
          <w:szCs w:val="24"/>
        </w:rPr>
        <w:t xml:space="preserve">. </w:t>
      </w:r>
      <w:r w:rsidRPr="00540661">
        <w:rPr>
          <w:b/>
          <w:bCs/>
          <w:noProof/>
          <w:szCs w:val="24"/>
        </w:rPr>
        <w:t>204</w:t>
      </w:r>
      <w:r w:rsidRPr="00540661">
        <w:rPr>
          <w:noProof/>
          <w:szCs w:val="24"/>
        </w:rPr>
        <w:t>(3), pp.631–637.</w:t>
      </w:r>
    </w:p>
    <w:p w14:paraId="1F669851"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Semchenko, M., Zobel, K., Heinemeyer, A. and Hutchings, M.J. 2008. Foraging for space and avoidance of physical obstructions by plant roots: a comparative study of grasses from contrasting habitats. </w:t>
      </w:r>
      <w:r w:rsidRPr="00540661">
        <w:rPr>
          <w:i/>
          <w:iCs/>
          <w:noProof/>
          <w:szCs w:val="24"/>
        </w:rPr>
        <w:t>New Phytologist</w:t>
      </w:r>
      <w:r w:rsidRPr="00540661">
        <w:rPr>
          <w:noProof/>
          <w:szCs w:val="24"/>
        </w:rPr>
        <w:t xml:space="preserve">. </w:t>
      </w:r>
      <w:r w:rsidRPr="00540661">
        <w:rPr>
          <w:b/>
          <w:bCs/>
          <w:noProof/>
          <w:szCs w:val="24"/>
        </w:rPr>
        <w:t>179</w:t>
      </w:r>
      <w:r w:rsidRPr="00540661">
        <w:rPr>
          <w:noProof/>
          <w:szCs w:val="24"/>
        </w:rPr>
        <w:t>(4), pp.1162–1170.</w:t>
      </w:r>
    </w:p>
    <w:p w14:paraId="3DEE0EE7"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Seto, Y., Yasui, R., Kameoka, H., Tamiru, M., Cao, M., Terauchi, R., Sakurada, A., Hirano, R., Kisugi, T., Hanada, A., Umehara, M., Seo, E., Akiyama, K., Burke, J., Takeda-Kamiya, N., Li, W., Hirano, Y., Hakoshima, T., Mashiguchi, K., Noel, J.P., Kyozuka, J. and Yamaguchi, S. 2019. Strigolactone perception and deactivation by a hydrolase receptor DWARF14. </w:t>
      </w:r>
      <w:r w:rsidRPr="00540661">
        <w:rPr>
          <w:i/>
          <w:iCs/>
          <w:noProof/>
          <w:szCs w:val="24"/>
        </w:rPr>
        <w:t>Nature Communications</w:t>
      </w:r>
      <w:r w:rsidRPr="00540661">
        <w:rPr>
          <w:noProof/>
          <w:szCs w:val="24"/>
        </w:rPr>
        <w:t xml:space="preserve">. </w:t>
      </w:r>
      <w:r w:rsidRPr="00540661">
        <w:rPr>
          <w:b/>
          <w:bCs/>
          <w:noProof/>
          <w:szCs w:val="24"/>
        </w:rPr>
        <w:t>10</w:t>
      </w:r>
      <w:r w:rsidRPr="00540661">
        <w:rPr>
          <w:noProof/>
          <w:szCs w:val="24"/>
        </w:rPr>
        <w:t>(1), p.191.</w:t>
      </w:r>
    </w:p>
    <w:p w14:paraId="70BE8596"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Shaabani, A., Teimouri, F. and Lee, D.G. 2003. Ion exchange catalysis in oxidation of organic compounds with KMnO4. </w:t>
      </w:r>
      <w:r w:rsidRPr="00540661">
        <w:rPr>
          <w:i/>
          <w:iCs/>
          <w:noProof/>
          <w:szCs w:val="24"/>
        </w:rPr>
        <w:t>Synthetic Communications</w:t>
      </w:r>
      <w:r w:rsidRPr="00540661">
        <w:rPr>
          <w:noProof/>
          <w:szCs w:val="24"/>
        </w:rPr>
        <w:t xml:space="preserve">. </w:t>
      </w:r>
      <w:r w:rsidRPr="00540661">
        <w:rPr>
          <w:b/>
          <w:bCs/>
          <w:noProof/>
          <w:szCs w:val="24"/>
        </w:rPr>
        <w:t>33</w:t>
      </w:r>
      <w:r w:rsidRPr="00540661">
        <w:rPr>
          <w:noProof/>
          <w:szCs w:val="24"/>
        </w:rPr>
        <w:t>(6), pp.1057–1065.</w:t>
      </w:r>
    </w:p>
    <w:p w14:paraId="5817CB3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Simmons, S.R., Rasmusson, D.C. and Wiersma, J. V. 1982. Tillering in Barley: Genotype, row spacing, and seeding rate effects. </w:t>
      </w:r>
      <w:r w:rsidRPr="00540661">
        <w:rPr>
          <w:i/>
          <w:iCs/>
          <w:noProof/>
          <w:szCs w:val="24"/>
        </w:rPr>
        <w:t>Crop Science</w:t>
      </w:r>
      <w:r w:rsidRPr="00540661">
        <w:rPr>
          <w:noProof/>
          <w:szCs w:val="24"/>
        </w:rPr>
        <w:t xml:space="preserve">. </w:t>
      </w:r>
      <w:r w:rsidRPr="00540661">
        <w:rPr>
          <w:b/>
          <w:bCs/>
          <w:noProof/>
          <w:szCs w:val="24"/>
        </w:rPr>
        <w:t>22</w:t>
      </w:r>
      <w:r w:rsidRPr="00540661">
        <w:rPr>
          <w:noProof/>
          <w:szCs w:val="24"/>
        </w:rPr>
        <w:t>(4), pp.801–805.</w:t>
      </w:r>
    </w:p>
    <w:p w14:paraId="23DCFE3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Sin, W.-C., Lam, H.-M. and Ngai, S.-M. 2022. Identification of diverse stress-responsive xylem sap peptides in Soybean. </w:t>
      </w:r>
      <w:r w:rsidRPr="00540661">
        <w:rPr>
          <w:i/>
          <w:iCs/>
          <w:noProof/>
          <w:szCs w:val="24"/>
        </w:rPr>
        <w:t>International Journal of Molecular Sciences</w:t>
      </w:r>
      <w:r w:rsidRPr="00540661">
        <w:rPr>
          <w:noProof/>
          <w:szCs w:val="24"/>
        </w:rPr>
        <w:t xml:space="preserve">. </w:t>
      </w:r>
      <w:r w:rsidRPr="00540661">
        <w:rPr>
          <w:b/>
          <w:bCs/>
          <w:noProof/>
          <w:szCs w:val="24"/>
        </w:rPr>
        <w:t>23</w:t>
      </w:r>
      <w:r w:rsidRPr="00540661">
        <w:rPr>
          <w:noProof/>
          <w:szCs w:val="24"/>
        </w:rPr>
        <w:t>(15), p.8641.</w:t>
      </w:r>
    </w:p>
    <w:p w14:paraId="70104A28"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Sinclair, T.R. and Horie, T. 1989. Leaf nitrogen, photosynthesis, and crop radiation use efficiency: a review. </w:t>
      </w:r>
      <w:r w:rsidRPr="00540661">
        <w:rPr>
          <w:i/>
          <w:iCs/>
          <w:noProof/>
          <w:szCs w:val="24"/>
        </w:rPr>
        <w:t>Crop Science</w:t>
      </w:r>
      <w:r w:rsidRPr="00540661">
        <w:rPr>
          <w:noProof/>
          <w:szCs w:val="24"/>
        </w:rPr>
        <w:t xml:space="preserve">. </w:t>
      </w:r>
      <w:r w:rsidRPr="00540661">
        <w:rPr>
          <w:b/>
          <w:bCs/>
          <w:noProof/>
          <w:szCs w:val="24"/>
        </w:rPr>
        <w:t>29</w:t>
      </w:r>
      <w:r w:rsidRPr="00540661">
        <w:rPr>
          <w:noProof/>
          <w:szCs w:val="24"/>
        </w:rPr>
        <w:t>(1), pp.90–98.</w:t>
      </w:r>
    </w:p>
    <w:p w14:paraId="3BF9CEC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Soleymani, A., Shahrajabian, M.H. and Naranjani, L. 2011. Determination of the suitable planting date and plant density for different cultivars of barley (Hordeum vulgare L.) in Fars. </w:t>
      </w:r>
      <w:r w:rsidRPr="00540661">
        <w:rPr>
          <w:i/>
          <w:iCs/>
          <w:noProof/>
          <w:szCs w:val="24"/>
        </w:rPr>
        <w:t>African Journal of Plant Science</w:t>
      </w:r>
      <w:r w:rsidRPr="00540661">
        <w:rPr>
          <w:noProof/>
          <w:szCs w:val="24"/>
        </w:rPr>
        <w:t xml:space="preserve">. </w:t>
      </w:r>
      <w:r w:rsidRPr="00540661">
        <w:rPr>
          <w:b/>
          <w:bCs/>
          <w:noProof/>
          <w:szCs w:val="24"/>
        </w:rPr>
        <w:t>5</w:t>
      </w:r>
      <w:r w:rsidRPr="00540661">
        <w:rPr>
          <w:noProof/>
          <w:szCs w:val="24"/>
        </w:rPr>
        <w:t>(3), pp.284–286.</w:t>
      </w:r>
    </w:p>
    <w:p w14:paraId="797D7D14"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Soundappan, I., Bennett, T., Morffy, N., Liang, Y., Stanga, J.P., Abbas, A., Leyser, O. and Nelsona, D.C. 2015. SMAX1-LIKE/D53 family members enable distinct MAX2-dependent responses to strigolactones and karrikins in arabidopsis. </w:t>
      </w:r>
      <w:r w:rsidRPr="00540661">
        <w:rPr>
          <w:i/>
          <w:iCs/>
          <w:noProof/>
          <w:szCs w:val="24"/>
        </w:rPr>
        <w:t>Plant Cell</w:t>
      </w:r>
      <w:r w:rsidRPr="00540661">
        <w:rPr>
          <w:noProof/>
          <w:szCs w:val="24"/>
        </w:rPr>
        <w:t xml:space="preserve">. </w:t>
      </w:r>
      <w:r w:rsidRPr="00540661">
        <w:rPr>
          <w:b/>
          <w:bCs/>
          <w:noProof/>
          <w:szCs w:val="24"/>
        </w:rPr>
        <w:t>27</w:t>
      </w:r>
      <w:r w:rsidRPr="00540661">
        <w:rPr>
          <w:noProof/>
          <w:szCs w:val="24"/>
        </w:rPr>
        <w:t>(11), pp.3143–3159.</w:t>
      </w:r>
    </w:p>
    <w:p w14:paraId="5E346698"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Supek, F., Bošnjak, M., Škunca, N. and Šmuc, T. 2011. REVIGO summarizes and visualizes long lists of gene ontology terms. </w:t>
      </w:r>
      <w:r w:rsidRPr="00540661">
        <w:rPr>
          <w:i/>
          <w:iCs/>
          <w:noProof/>
          <w:szCs w:val="24"/>
        </w:rPr>
        <w:t>PLoS ONE</w:t>
      </w:r>
      <w:r w:rsidRPr="00540661">
        <w:rPr>
          <w:noProof/>
          <w:szCs w:val="24"/>
        </w:rPr>
        <w:t xml:space="preserve">. </w:t>
      </w:r>
      <w:r w:rsidRPr="00540661">
        <w:rPr>
          <w:b/>
          <w:bCs/>
          <w:noProof/>
          <w:szCs w:val="24"/>
        </w:rPr>
        <w:t>6</w:t>
      </w:r>
      <w:r w:rsidRPr="00540661">
        <w:rPr>
          <w:noProof/>
          <w:szCs w:val="24"/>
        </w:rPr>
        <w:t>(7), p.e21800.</w:t>
      </w:r>
    </w:p>
    <w:p w14:paraId="1B50B8A7"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Symons, G.M. and Murfet, I. 1997. Inheritance and allelism tests on six further branching mutants in pea. </w:t>
      </w:r>
      <w:r w:rsidRPr="00540661">
        <w:rPr>
          <w:i/>
          <w:iCs/>
          <w:noProof/>
          <w:szCs w:val="24"/>
        </w:rPr>
        <w:t>Pisum Genet</w:t>
      </w:r>
      <w:r w:rsidRPr="00540661">
        <w:rPr>
          <w:noProof/>
          <w:szCs w:val="24"/>
        </w:rPr>
        <w:t xml:space="preserve">. </w:t>
      </w:r>
      <w:r w:rsidRPr="00540661">
        <w:rPr>
          <w:b/>
          <w:bCs/>
          <w:noProof/>
          <w:szCs w:val="24"/>
        </w:rPr>
        <w:t>29</w:t>
      </w:r>
      <w:r w:rsidRPr="00540661">
        <w:rPr>
          <w:noProof/>
          <w:szCs w:val="24"/>
        </w:rPr>
        <w:t>, pp.1–6.</w:t>
      </w:r>
    </w:p>
    <w:p w14:paraId="02C8939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Tabata, R., Sumida, K., Yoshii, T., Ohyama, K., Shinohara, H. and Matsubayashi, Y. 2014. Perception of root-derived peptides by shoot LRR-RKs mediates systemic N-demand signaling. </w:t>
      </w:r>
      <w:r w:rsidRPr="00540661">
        <w:rPr>
          <w:i/>
          <w:iCs/>
          <w:noProof/>
          <w:szCs w:val="24"/>
        </w:rPr>
        <w:t>Science</w:t>
      </w:r>
      <w:r w:rsidRPr="00540661">
        <w:rPr>
          <w:noProof/>
          <w:szCs w:val="24"/>
        </w:rPr>
        <w:t xml:space="preserve">. </w:t>
      </w:r>
      <w:r w:rsidRPr="00540661">
        <w:rPr>
          <w:b/>
          <w:bCs/>
          <w:noProof/>
          <w:szCs w:val="24"/>
        </w:rPr>
        <w:t>346</w:t>
      </w:r>
      <w:r w:rsidRPr="00540661">
        <w:rPr>
          <w:noProof/>
          <w:szCs w:val="24"/>
        </w:rPr>
        <w:t>(6207), pp.343–346.</w:t>
      </w:r>
    </w:p>
    <w:p w14:paraId="63D204A7"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Taleski, M., Imin, N. and Djordjevic, M.A. 2018. CEP peptide hormones: key players in orchestrating nitrogen-demand signalling, root nodulation, and </w:t>
      </w:r>
      <w:r w:rsidRPr="00540661">
        <w:rPr>
          <w:noProof/>
          <w:szCs w:val="24"/>
        </w:rPr>
        <w:lastRenderedPageBreak/>
        <w:t xml:space="preserve">lateral root development. </w:t>
      </w:r>
      <w:r w:rsidRPr="00540661">
        <w:rPr>
          <w:i/>
          <w:iCs/>
          <w:noProof/>
          <w:szCs w:val="24"/>
        </w:rPr>
        <w:t>Journal of Experimental Botany</w:t>
      </w:r>
      <w:r w:rsidRPr="00540661">
        <w:rPr>
          <w:noProof/>
          <w:szCs w:val="24"/>
        </w:rPr>
        <w:t xml:space="preserve">. </w:t>
      </w:r>
      <w:r w:rsidRPr="00540661">
        <w:rPr>
          <w:b/>
          <w:bCs/>
          <w:noProof/>
          <w:szCs w:val="24"/>
        </w:rPr>
        <w:t>69</w:t>
      </w:r>
      <w:r w:rsidRPr="00540661">
        <w:rPr>
          <w:noProof/>
          <w:szCs w:val="24"/>
        </w:rPr>
        <w:t>(8), pp.1829–1836.</w:t>
      </w:r>
    </w:p>
    <w:p w14:paraId="0B0978D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Ternesi, M., Andrade, A.P., Jorrin, J. and Benlloch, M. 1994. Root-shoot signalling in sunflower plants with confined root systems. </w:t>
      </w:r>
      <w:r w:rsidRPr="00540661">
        <w:rPr>
          <w:i/>
          <w:iCs/>
          <w:noProof/>
          <w:szCs w:val="24"/>
        </w:rPr>
        <w:t>Plant and Soil</w:t>
      </w:r>
      <w:r w:rsidRPr="00540661">
        <w:rPr>
          <w:noProof/>
          <w:szCs w:val="24"/>
        </w:rPr>
        <w:t xml:space="preserve">. </w:t>
      </w:r>
      <w:r w:rsidRPr="00540661">
        <w:rPr>
          <w:b/>
          <w:bCs/>
          <w:noProof/>
          <w:szCs w:val="24"/>
        </w:rPr>
        <w:t>166</w:t>
      </w:r>
      <w:r w:rsidRPr="00540661">
        <w:rPr>
          <w:noProof/>
          <w:szCs w:val="24"/>
        </w:rPr>
        <w:t>(1), pp.31–36.</w:t>
      </w:r>
    </w:p>
    <w:p w14:paraId="056E092F"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Thiébaut, G., Tarayre, M. and Rodríguez-Pérez, H. 2019. Allelopathic effects of native versus invasive plants on one major invader. </w:t>
      </w:r>
      <w:r w:rsidRPr="00540661">
        <w:rPr>
          <w:i/>
          <w:iCs/>
          <w:noProof/>
          <w:szCs w:val="24"/>
        </w:rPr>
        <w:t>Frontiers in Plant Science</w:t>
      </w:r>
      <w:r w:rsidRPr="00540661">
        <w:rPr>
          <w:noProof/>
          <w:szCs w:val="24"/>
        </w:rPr>
        <w:t xml:space="preserve">. </w:t>
      </w:r>
      <w:r w:rsidRPr="00540661">
        <w:rPr>
          <w:b/>
          <w:bCs/>
          <w:noProof/>
          <w:szCs w:val="24"/>
        </w:rPr>
        <w:t>10</w:t>
      </w:r>
      <w:r w:rsidRPr="00540661">
        <w:rPr>
          <w:noProof/>
          <w:szCs w:val="24"/>
        </w:rPr>
        <w:t>.</w:t>
      </w:r>
    </w:p>
    <w:p w14:paraId="6962F636"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Tilman, D., Balzer, C., Hill, J. and Befort, B.L. 2011. Global food demand and the sustainable intensification of agriculture. </w:t>
      </w:r>
      <w:r w:rsidRPr="00540661">
        <w:rPr>
          <w:i/>
          <w:iCs/>
          <w:noProof/>
          <w:szCs w:val="24"/>
        </w:rPr>
        <w:t>Proceedings of the National Academy of Sciences</w:t>
      </w:r>
      <w:r w:rsidRPr="00540661">
        <w:rPr>
          <w:noProof/>
          <w:szCs w:val="24"/>
        </w:rPr>
        <w:t xml:space="preserve">. </w:t>
      </w:r>
      <w:r w:rsidRPr="00540661">
        <w:rPr>
          <w:b/>
          <w:bCs/>
          <w:noProof/>
          <w:szCs w:val="24"/>
        </w:rPr>
        <w:t>108</w:t>
      </w:r>
      <w:r w:rsidRPr="00540661">
        <w:rPr>
          <w:noProof/>
          <w:szCs w:val="24"/>
        </w:rPr>
        <w:t>(50), pp.20260–20264.</w:t>
      </w:r>
    </w:p>
    <w:p w14:paraId="148C60E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Tilman, D., Cassman, K.G., Matson, P.A., Naylor, R. and Polasky, S. 2002. Agricultural sustainability and intensive production practices. </w:t>
      </w:r>
      <w:r w:rsidRPr="00540661">
        <w:rPr>
          <w:i/>
          <w:iCs/>
          <w:noProof/>
          <w:szCs w:val="24"/>
        </w:rPr>
        <w:t>Nature</w:t>
      </w:r>
      <w:r w:rsidRPr="00540661">
        <w:rPr>
          <w:noProof/>
          <w:szCs w:val="24"/>
        </w:rPr>
        <w:t xml:space="preserve">. </w:t>
      </w:r>
      <w:r w:rsidRPr="00540661">
        <w:rPr>
          <w:b/>
          <w:bCs/>
          <w:noProof/>
          <w:szCs w:val="24"/>
        </w:rPr>
        <w:t>418</w:t>
      </w:r>
      <w:r w:rsidRPr="00540661">
        <w:rPr>
          <w:noProof/>
          <w:szCs w:val="24"/>
        </w:rPr>
        <w:t>(6898), pp.671–677.</w:t>
      </w:r>
    </w:p>
    <w:p w14:paraId="686ECF0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Tollenaar, M., Deen, W., Echarte, L. and Liu, W. 2006. Effect of crowding stress on dry matter accumulation and harvest index in Maize. </w:t>
      </w:r>
      <w:r w:rsidRPr="00540661">
        <w:rPr>
          <w:i/>
          <w:iCs/>
          <w:noProof/>
          <w:szCs w:val="24"/>
        </w:rPr>
        <w:t>Agronomy Journal</w:t>
      </w:r>
      <w:r w:rsidRPr="00540661">
        <w:rPr>
          <w:noProof/>
          <w:szCs w:val="24"/>
        </w:rPr>
        <w:t xml:space="preserve">. </w:t>
      </w:r>
      <w:r w:rsidRPr="00540661">
        <w:rPr>
          <w:b/>
          <w:bCs/>
          <w:noProof/>
          <w:szCs w:val="24"/>
        </w:rPr>
        <w:t>98</w:t>
      </w:r>
      <w:r w:rsidRPr="00540661">
        <w:rPr>
          <w:noProof/>
          <w:szCs w:val="24"/>
        </w:rPr>
        <w:t>(4), pp.930–937.</w:t>
      </w:r>
    </w:p>
    <w:p w14:paraId="7E09B14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Tollenaar, M. and Wu, J. 1999. Yield improvement in temperate Maize is attributable to greater stress tolerance. </w:t>
      </w:r>
      <w:r w:rsidRPr="00540661">
        <w:rPr>
          <w:i/>
          <w:iCs/>
          <w:noProof/>
          <w:szCs w:val="24"/>
        </w:rPr>
        <w:t>Crop Science</w:t>
      </w:r>
      <w:r w:rsidRPr="00540661">
        <w:rPr>
          <w:noProof/>
          <w:szCs w:val="24"/>
        </w:rPr>
        <w:t xml:space="preserve">. </w:t>
      </w:r>
      <w:r w:rsidRPr="00540661">
        <w:rPr>
          <w:b/>
          <w:bCs/>
          <w:noProof/>
          <w:szCs w:val="24"/>
        </w:rPr>
        <w:t>39</w:t>
      </w:r>
      <w:r w:rsidRPr="00540661">
        <w:rPr>
          <w:noProof/>
          <w:szCs w:val="24"/>
        </w:rPr>
        <w:t>(6), pp.1597–1604.</w:t>
      </w:r>
    </w:p>
    <w:p w14:paraId="54E23021"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Townend, J. and Dickinson, A.L. 1995. A comparison of rooting environments in containers of different sizes. </w:t>
      </w:r>
      <w:r w:rsidRPr="00540661">
        <w:rPr>
          <w:i/>
          <w:iCs/>
          <w:noProof/>
          <w:szCs w:val="24"/>
        </w:rPr>
        <w:t>Plant and Soil</w:t>
      </w:r>
      <w:r w:rsidRPr="00540661">
        <w:rPr>
          <w:noProof/>
          <w:szCs w:val="24"/>
        </w:rPr>
        <w:t xml:space="preserve">. </w:t>
      </w:r>
      <w:r w:rsidRPr="00540661">
        <w:rPr>
          <w:b/>
          <w:bCs/>
          <w:noProof/>
          <w:szCs w:val="24"/>
        </w:rPr>
        <w:t>175</w:t>
      </w:r>
      <w:r w:rsidRPr="00540661">
        <w:rPr>
          <w:noProof/>
          <w:szCs w:val="24"/>
        </w:rPr>
        <w:t>(1), pp.139–146.</w:t>
      </w:r>
    </w:p>
    <w:p w14:paraId="045D4546"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Tschaplinski, T.J. and Blake, T.J. 1985. Effects of root restriction on growth correlations, water relations and senescence of alder seedlings. </w:t>
      </w:r>
      <w:r w:rsidRPr="00540661">
        <w:rPr>
          <w:i/>
          <w:iCs/>
          <w:noProof/>
          <w:szCs w:val="24"/>
        </w:rPr>
        <w:t>Physiologia Plantarum</w:t>
      </w:r>
      <w:r w:rsidRPr="00540661">
        <w:rPr>
          <w:noProof/>
          <w:szCs w:val="24"/>
        </w:rPr>
        <w:t xml:space="preserve">. </w:t>
      </w:r>
      <w:r w:rsidRPr="00540661">
        <w:rPr>
          <w:b/>
          <w:bCs/>
          <w:noProof/>
          <w:szCs w:val="24"/>
        </w:rPr>
        <w:t>64</w:t>
      </w:r>
      <w:r w:rsidRPr="00540661">
        <w:rPr>
          <w:noProof/>
          <w:szCs w:val="24"/>
        </w:rPr>
        <w:t>(2), pp.167–176.</w:t>
      </w:r>
    </w:p>
    <w:p w14:paraId="09373565"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Umehara, M., Hanada, A., Magome, H., Takeda-Kamiya, N. and Yamaguchi, S. 2010. Contribution of strigolactones to the inhibition of tiller bud outgrowth under phosphate deficiency in rice. </w:t>
      </w:r>
      <w:r w:rsidRPr="00540661">
        <w:rPr>
          <w:i/>
          <w:iCs/>
          <w:noProof/>
          <w:szCs w:val="24"/>
        </w:rPr>
        <w:t>Plant and Cell Physiology</w:t>
      </w:r>
      <w:r w:rsidRPr="00540661">
        <w:rPr>
          <w:noProof/>
          <w:szCs w:val="24"/>
        </w:rPr>
        <w:t xml:space="preserve">. </w:t>
      </w:r>
      <w:r w:rsidRPr="00540661">
        <w:rPr>
          <w:b/>
          <w:bCs/>
          <w:noProof/>
          <w:szCs w:val="24"/>
        </w:rPr>
        <w:t>51</w:t>
      </w:r>
      <w:r w:rsidRPr="00540661">
        <w:rPr>
          <w:noProof/>
          <w:szCs w:val="24"/>
        </w:rPr>
        <w:t>(7), pp.1118–1126.</w:t>
      </w:r>
    </w:p>
    <w:p w14:paraId="2608288D"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Umehara, M., Hanada, A., Yoshida, S., Akiyama, K., Arite, T., Takeda-Kamiya, N., Magome, H., Kamiya, Y., Shirasu, K., Yoneyama, K., Kyozuka, J. and Yamaguchi, S. 2008. Inhibition of shoot branching by new terpenoid plant hormones. </w:t>
      </w:r>
      <w:r w:rsidRPr="00540661">
        <w:rPr>
          <w:i/>
          <w:iCs/>
          <w:noProof/>
          <w:szCs w:val="24"/>
        </w:rPr>
        <w:t>Nature</w:t>
      </w:r>
      <w:r w:rsidRPr="00540661">
        <w:rPr>
          <w:noProof/>
          <w:szCs w:val="24"/>
        </w:rPr>
        <w:t xml:space="preserve">. </w:t>
      </w:r>
      <w:r w:rsidRPr="00540661">
        <w:rPr>
          <w:b/>
          <w:bCs/>
          <w:noProof/>
          <w:szCs w:val="24"/>
        </w:rPr>
        <w:t>455</w:t>
      </w:r>
      <w:r w:rsidRPr="00540661">
        <w:rPr>
          <w:noProof/>
          <w:szCs w:val="24"/>
        </w:rPr>
        <w:t>(7210), pp.195–200.</w:t>
      </w:r>
    </w:p>
    <w:p w14:paraId="2208804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Veneklaas, E.J., Lambers, H., Bragg, J., Finnegan, P.M., Lovelock, C.E., Plaxton, W.C., Price, C.A., Scheible, W., Shane, M.W., White, P.J. and Raven, J.A. 2012. Opportunities for improving phosphorus</w:t>
      </w:r>
      <w:r w:rsidRPr="00540661">
        <w:rPr>
          <w:rFonts w:ascii="Cambria Math" w:hAnsi="Cambria Math" w:cs="Cambria Math"/>
          <w:noProof/>
          <w:szCs w:val="24"/>
        </w:rPr>
        <w:t>‐</w:t>
      </w:r>
      <w:r w:rsidRPr="00540661">
        <w:rPr>
          <w:noProof/>
          <w:szCs w:val="24"/>
        </w:rPr>
        <w:t xml:space="preserve">use efficiency in crop plants. </w:t>
      </w:r>
      <w:r w:rsidRPr="00540661">
        <w:rPr>
          <w:i/>
          <w:iCs/>
          <w:noProof/>
          <w:szCs w:val="24"/>
        </w:rPr>
        <w:t>New Phytologist</w:t>
      </w:r>
      <w:r w:rsidRPr="00540661">
        <w:rPr>
          <w:noProof/>
          <w:szCs w:val="24"/>
        </w:rPr>
        <w:t xml:space="preserve">. </w:t>
      </w:r>
      <w:r w:rsidRPr="00540661">
        <w:rPr>
          <w:b/>
          <w:bCs/>
          <w:noProof/>
          <w:szCs w:val="24"/>
        </w:rPr>
        <w:t>195</w:t>
      </w:r>
      <w:r w:rsidRPr="00540661">
        <w:rPr>
          <w:noProof/>
          <w:szCs w:val="24"/>
        </w:rPr>
        <w:t>(2), pp.306–320.</w:t>
      </w:r>
    </w:p>
    <w:p w14:paraId="3B2E7345"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Villaécija-Aguilar, J.A., Hamon-Josse, M., Carbonnel, S., Kretschmar, A., Schmidt, C., Dawid, C., Bennett, T. and Gutjahr, C. 2019. SMAX1/SMXL2 regulate root and root hair development downstream of KAI2-mediated signalling in Arabidopsis G. K. Muday, ed. </w:t>
      </w:r>
      <w:r w:rsidRPr="00540661">
        <w:rPr>
          <w:i/>
          <w:iCs/>
          <w:noProof/>
          <w:szCs w:val="24"/>
        </w:rPr>
        <w:t>PLOS Genetics</w:t>
      </w:r>
      <w:r w:rsidRPr="00540661">
        <w:rPr>
          <w:noProof/>
          <w:szCs w:val="24"/>
        </w:rPr>
        <w:t xml:space="preserve">. </w:t>
      </w:r>
      <w:r w:rsidRPr="00540661">
        <w:rPr>
          <w:b/>
          <w:bCs/>
          <w:noProof/>
          <w:szCs w:val="24"/>
        </w:rPr>
        <w:t>15</w:t>
      </w:r>
      <w:r w:rsidRPr="00540661">
        <w:rPr>
          <w:noProof/>
          <w:szCs w:val="24"/>
        </w:rPr>
        <w:t>(8), p.e1008327.</w:t>
      </w:r>
    </w:p>
    <w:p w14:paraId="0008F67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Vissenberg, K., Claeijs, N., Balcerowicz, D. and Schoenaers, S. 2020. Hormonal regulation of root hair growth and responses to the environment in Arabidopsis. </w:t>
      </w:r>
      <w:r w:rsidRPr="00540661">
        <w:rPr>
          <w:i/>
          <w:iCs/>
          <w:noProof/>
          <w:szCs w:val="24"/>
        </w:rPr>
        <w:t>Journal of Experimental Botany</w:t>
      </w:r>
      <w:r w:rsidRPr="00540661">
        <w:rPr>
          <w:noProof/>
          <w:szCs w:val="24"/>
        </w:rPr>
        <w:t xml:space="preserve">. </w:t>
      </w:r>
      <w:r w:rsidRPr="00540661">
        <w:rPr>
          <w:b/>
          <w:bCs/>
          <w:noProof/>
          <w:szCs w:val="24"/>
        </w:rPr>
        <w:t>71</w:t>
      </w:r>
      <w:r w:rsidRPr="00540661">
        <w:rPr>
          <w:noProof/>
          <w:szCs w:val="24"/>
        </w:rPr>
        <w:t xml:space="preserve">(8), </w:t>
      </w:r>
      <w:r w:rsidRPr="00540661">
        <w:rPr>
          <w:noProof/>
          <w:szCs w:val="24"/>
        </w:rPr>
        <w:lastRenderedPageBreak/>
        <w:t>pp.2412–2427.</w:t>
      </w:r>
    </w:p>
    <w:p w14:paraId="72E4B368"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Vitousek, P.M., Mooney, H.A., Lubchenco, J. and Melillo, J.M. 1997. Human domination of Earth’s ecosystems. </w:t>
      </w:r>
      <w:r w:rsidRPr="00540661">
        <w:rPr>
          <w:i/>
          <w:iCs/>
          <w:noProof/>
          <w:szCs w:val="24"/>
        </w:rPr>
        <w:t>Science</w:t>
      </w:r>
      <w:r w:rsidRPr="00540661">
        <w:rPr>
          <w:noProof/>
          <w:szCs w:val="24"/>
        </w:rPr>
        <w:t xml:space="preserve">. </w:t>
      </w:r>
      <w:r w:rsidRPr="00540661">
        <w:rPr>
          <w:b/>
          <w:bCs/>
          <w:noProof/>
          <w:szCs w:val="24"/>
        </w:rPr>
        <w:t>277</w:t>
      </w:r>
      <w:r w:rsidRPr="00540661">
        <w:rPr>
          <w:noProof/>
          <w:szCs w:val="24"/>
        </w:rPr>
        <w:t>(5325), pp.494–499.</w:t>
      </w:r>
    </w:p>
    <w:p w14:paraId="4AC39E1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Volis, S. and Shani, U. 2000. The effect of neighbors on the root system of the desert annual Eremobium aegyptiacum. </w:t>
      </w:r>
      <w:r w:rsidRPr="00540661">
        <w:rPr>
          <w:i/>
          <w:iCs/>
          <w:noProof/>
          <w:szCs w:val="24"/>
        </w:rPr>
        <w:t>Folia Geobotanica</w:t>
      </w:r>
      <w:r w:rsidRPr="00540661">
        <w:rPr>
          <w:noProof/>
          <w:szCs w:val="24"/>
        </w:rPr>
        <w:t xml:space="preserve">. </w:t>
      </w:r>
      <w:r w:rsidRPr="00540661">
        <w:rPr>
          <w:b/>
          <w:bCs/>
          <w:noProof/>
          <w:szCs w:val="24"/>
        </w:rPr>
        <w:t>35</w:t>
      </w:r>
      <w:r w:rsidRPr="00540661">
        <w:rPr>
          <w:noProof/>
          <w:szCs w:val="24"/>
        </w:rPr>
        <w:t>(2), pp.161–168.</w:t>
      </w:r>
    </w:p>
    <w:p w14:paraId="4D956D11"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Voss-Fels, K.P., Snowdon, R.J. and Hickey, L.T. 2018. Designer roots for future crops. </w:t>
      </w:r>
      <w:r w:rsidRPr="00540661">
        <w:rPr>
          <w:i/>
          <w:iCs/>
          <w:noProof/>
          <w:szCs w:val="24"/>
        </w:rPr>
        <w:t>Trends in Plant Science</w:t>
      </w:r>
      <w:r w:rsidRPr="00540661">
        <w:rPr>
          <w:noProof/>
          <w:szCs w:val="24"/>
        </w:rPr>
        <w:t xml:space="preserve">. </w:t>
      </w:r>
      <w:r w:rsidRPr="00540661">
        <w:rPr>
          <w:b/>
          <w:bCs/>
          <w:noProof/>
          <w:szCs w:val="24"/>
        </w:rPr>
        <w:t>23</w:t>
      </w:r>
      <w:r w:rsidRPr="00540661">
        <w:rPr>
          <w:noProof/>
          <w:szCs w:val="24"/>
        </w:rPr>
        <w:t>(11), pp.957–960.</w:t>
      </w:r>
    </w:p>
    <w:p w14:paraId="7885F74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Voss-Fels, K.P., Stahl, A., Wittkop, B., Lichthardt, C., Nagler, S., Rose, T., Chen, T.-W., Zetzsche, H., Seddig, S., Majid Baig, M., Ballvora, A., Frisch, M., Ross, E., Hayes, B.J., Hayden, M.J., Ordon, F., Leon, J., Kage, H., Friedt, W., Stützel, H. and Snowdon, R.J. 2019. Breeding improves wheat productivity under contrasting agrochemical input levels. </w:t>
      </w:r>
      <w:r w:rsidRPr="00540661">
        <w:rPr>
          <w:i/>
          <w:iCs/>
          <w:noProof/>
          <w:szCs w:val="24"/>
        </w:rPr>
        <w:t>Nature Plants</w:t>
      </w:r>
      <w:r w:rsidRPr="00540661">
        <w:rPr>
          <w:noProof/>
          <w:szCs w:val="24"/>
        </w:rPr>
        <w:t xml:space="preserve">. </w:t>
      </w:r>
      <w:r w:rsidRPr="00540661">
        <w:rPr>
          <w:b/>
          <w:bCs/>
          <w:noProof/>
          <w:szCs w:val="24"/>
        </w:rPr>
        <w:t>5</w:t>
      </w:r>
      <w:r w:rsidRPr="00540661">
        <w:rPr>
          <w:noProof/>
          <w:szCs w:val="24"/>
        </w:rPr>
        <w:t>(7), pp.706–714.</w:t>
      </w:r>
    </w:p>
    <w:p w14:paraId="466CFB7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Voss</w:t>
      </w:r>
      <w:r w:rsidRPr="00540661">
        <w:rPr>
          <w:rFonts w:ascii="Cambria Math" w:hAnsi="Cambria Math" w:cs="Cambria Math"/>
          <w:noProof/>
          <w:szCs w:val="24"/>
        </w:rPr>
        <w:t>‐</w:t>
      </w:r>
      <w:r w:rsidRPr="00540661">
        <w:rPr>
          <w:noProof/>
          <w:szCs w:val="24"/>
        </w:rPr>
        <w:t>Fels, K.P., Qian, L., Parra</w:t>
      </w:r>
      <w:r w:rsidRPr="00540661">
        <w:rPr>
          <w:rFonts w:ascii="Cambria Math" w:hAnsi="Cambria Math" w:cs="Cambria Math"/>
          <w:noProof/>
          <w:szCs w:val="24"/>
        </w:rPr>
        <w:t>‐</w:t>
      </w:r>
      <w:r w:rsidRPr="00540661">
        <w:rPr>
          <w:noProof/>
          <w:szCs w:val="24"/>
        </w:rPr>
        <w:t>Londono, S., Uptmoor, R., Frisch, M., Keeble</w:t>
      </w:r>
      <w:r w:rsidRPr="00540661">
        <w:rPr>
          <w:rFonts w:ascii="Cambria Math" w:hAnsi="Cambria Math" w:cs="Cambria Math"/>
          <w:noProof/>
          <w:szCs w:val="24"/>
        </w:rPr>
        <w:t>‐</w:t>
      </w:r>
      <w:r w:rsidRPr="00540661">
        <w:rPr>
          <w:noProof/>
          <w:szCs w:val="24"/>
        </w:rPr>
        <w:t xml:space="preserve">Gagnère, G., Appels, R. and Snowdon, R.J. 2017. Linkage drag constrains the roots of modern wheat. </w:t>
      </w:r>
      <w:r w:rsidRPr="00540661">
        <w:rPr>
          <w:i/>
          <w:iCs/>
          <w:noProof/>
          <w:szCs w:val="24"/>
        </w:rPr>
        <w:t>Plant, Cell &amp; Environment</w:t>
      </w:r>
      <w:r w:rsidRPr="00540661">
        <w:rPr>
          <w:noProof/>
          <w:szCs w:val="24"/>
        </w:rPr>
        <w:t xml:space="preserve">. </w:t>
      </w:r>
      <w:r w:rsidRPr="00540661">
        <w:rPr>
          <w:b/>
          <w:bCs/>
          <w:noProof/>
          <w:szCs w:val="24"/>
        </w:rPr>
        <w:t>40</w:t>
      </w:r>
      <w:r w:rsidRPr="00540661">
        <w:rPr>
          <w:noProof/>
          <w:szCs w:val="24"/>
        </w:rPr>
        <w:t>(5), pp.717–725.</w:t>
      </w:r>
    </w:p>
    <w:p w14:paraId="5DF72059"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Waese, J., Fan, J., Pasha, A., Yu, H., Fucile, G., Shi, R., Cumming, M., Kelley, L.A., Sternberg, M.J., Krishnakumar, V., Ferlanti, E., Miller, J., Town, C., Stuerzlinger, W. and Provart, N.J. 2017. ePlant: Visualizing and exploring multiple levels of data for hypothesis generation in plant biology. </w:t>
      </w:r>
      <w:r w:rsidRPr="00540661">
        <w:rPr>
          <w:i/>
          <w:iCs/>
          <w:noProof/>
          <w:szCs w:val="24"/>
        </w:rPr>
        <w:t>The Plant Cell</w:t>
      </w:r>
      <w:r w:rsidRPr="00540661">
        <w:rPr>
          <w:noProof/>
          <w:szCs w:val="24"/>
        </w:rPr>
        <w:t xml:space="preserve">. </w:t>
      </w:r>
      <w:r w:rsidRPr="00540661">
        <w:rPr>
          <w:b/>
          <w:bCs/>
          <w:noProof/>
          <w:szCs w:val="24"/>
        </w:rPr>
        <w:t>29</w:t>
      </w:r>
      <w:r w:rsidRPr="00540661">
        <w:rPr>
          <w:noProof/>
          <w:szCs w:val="24"/>
        </w:rPr>
        <w:t>(8), pp.1806–1821.</w:t>
      </w:r>
    </w:p>
    <w:p w14:paraId="6CA0F1A9"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Wakabayashi, T., Hamana, M., Mori, A., Akiyama, R., Ueno, K., Osakabe, K., Osakabe, Y., Suzuki, H., Takikawa, H., Mizutani, M. and Sugimoto, Y. 2019. Direct conversion of carlactonoic acid to orobanchol by cytochrome P450 CYP722C in strigolactone biosynthesis. </w:t>
      </w:r>
      <w:r w:rsidRPr="00540661">
        <w:rPr>
          <w:i/>
          <w:iCs/>
          <w:noProof/>
          <w:szCs w:val="24"/>
        </w:rPr>
        <w:t>Science Advances</w:t>
      </w:r>
      <w:r w:rsidRPr="00540661">
        <w:rPr>
          <w:noProof/>
          <w:szCs w:val="24"/>
        </w:rPr>
        <w:t xml:space="preserve">. </w:t>
      </w:r>
      <w:r w:rsidRPr="00540661">
        <w:rPr>
          <w:b/>
          <w:bCs/>
          <w:noProof/>
          <w:szCs w:val="24"/>
        </w:rPr>
        <w:t>5</w:t>
      </w:r>
      <w:r w:rsidRPr="00540661">
        <w:rPr>
          <w:noProof/>
          <w:szCs w:val="24"/>
        </w:rPr>
        <w:t>(12), p.eaax9067.</w:t>
      </w:r>
    </w:p>
    <w:p w14:paraId="7563DFD8"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Walker, C.H., Siu-Ting, K., Taylor, A., O’Connell, M.J. and Bennett, T. 2019. Strigolactone synthesis is ancestral in land plants, but canonical strigolactone signalling is a flowering plant innovation. </w:t>
      </w:r>
      <w:r w:rsidRPr="00540661">
        <w:rPr>
          <w:i/>
          <w:iCs/>
          <w:noProof/>
          <w:szCs w:val="24"/>
        </w:rPr>
        <w:t>BMC biology</w:t>
      </w:r>
      <w:r w:rsidRPr="00540661">
        <w:rPr>
          <w:noProof/>
          <w:szCs w:val="24"/>
        </w:rPr>
        <w:t xml:space="preserve">. </w:t>
      </w:r>
      <w:r w:rsidRPr="00540661">
        <w:rPr>
          <w:b/>
          <w:bCs/>
          <w:noProof/>
          <w:szCs w:val="24"/>
        </w:rPr>
        <w:t>17</w:t>
      </w:r>
      <w:r w:rsidRPr="00540661">
        <w:rPr>
          <w:noProof/>
          <w:szCs w:val="24"/>
        </w:rPr>
        <w:t>(1), p.70.</w:t>
      </w:r>
    </w:p>
    <w:p w14:paraId="138F60A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Walker, C.H., Wheeldon, C.D. and Bennett, T. 2021. Integrated dominance mechanisms regulate reproductive architecture in Arabidopsis thaliana and Brassica napus. </w:t>
      </w:r>
      <w:r w:rsidRPr="00540661">
        <w:rPr>
          <w:i/>
          <w:iCs/>
          <w:noProof/>
          <w:szCs w:val="24"/>
        </w:rPr>
        <w:t>Plant Physiology</w:t>
      </w:r>
      <w:r w:rsidRPr="00540661">
        <w:rPr>
          <w:noProof/>
          <w:szCs w:val="24"/>
        </w:rPr>
        <w:t xml:space="preserve">. </w:t>
      </w:r>
      <w:r w:rsidRPr="00540661">
        <w:rPr>
          <w:b/>
          <w:bCs/>
          <w:noProof/>
          <w:szCs w:val="24"/>
        </w:rPr>
        <w:t>186</w:t>
      </w:r>
      <w:r w:rsidRPr="00540661">
        <w:rPr>
          <w:noProof/>
          <w:szCs w:val="24"/>
        </w:rPr>
        <w:t>(4), pp.1985–2002.</w:t>
      </w:r>
    </w:p>
    <w:p w14:paraId="7E7A970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Wang, B., Smith, S.M. and Li, J. 2018. Genetic regulation of shoot architecture. </w:t>
      </w:r>
      <w:r w:rsidRPr="00540661">
        <w:rPr>
          <w:i/>
          <w:iCs/>
          <w:noProof/>
          <w:szCs w:val="24"/>
        </w:rPr>
        <w:t>Annual Review of Plant Biology</w:t>
      </w:r>
      <w:r w:rsidRPr="00540661">
        <w:rPr>
          <w:noProof/>
          <w:szCs w:val="24"/>
        </w:rPr>
        <w:t xml:space="preserve">. </w:t>
      </w:r>
      <w:r w:rsidRPr="00540661">
        <w:rPr>
          <w:b/>
          <w:bCs/>
          <w:noProof/>
          <w:szCs w:val="24"/>
        </w:rPr>
        <w:t>69</w:t>
      </w:r>
      <w:r w:rsidRPr="00540661">
        <w:rPr>
          <w:noProof/>
          <w:szCs w:val="24"/>
        </w:rPr>
        <w:t>(1), pp.437–468.</w:t>
      </w:r>
    </w:p>
    <w:p w14:paraId="40014E53"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Wang, N., Kong, C., Wang, P. and Meiners, S.J. 2021. Root exudate signals in plant–plant interactions. </w:t>
      </w:r>
      <w:r w:rsidRPr="00540661">
        <w:rPr>
          <w:i/>
          <w:iCs/>
          <w:noProof/>
          <w:szCs w:val="24"/>
        </w:rPr>
        <w:t>Plant, Cell &amp; Environment</w:t>
      </w:r>
      <w:r w:rsidRPr="00540661">
        <w:rPr>
          <w:noProof/>
          <w:szCs w:val="24"/>
        </w:rPr>
        <w:t xml:space="preserve">. </w:t>
      </w:r>
      <w:r w:rsidRPr="00540661">
        <w:rPr>
          <w:b/>
          <w:bCs/>
          <w:noProof/>
          <w:szCs w:val="24"/>
        </w:rPr>
        <w:t>44</w:t>
      </w:r>
      <w:r w:rsidRPr="00540661">
        <w:rPr>
          <w:noProof/>
          <w:szCs w:val="24"/>
        </w:rPr>
        <w:t>(4), pp.1044–1058.</w:t>
      </w:r>
    </w:p>
    <w:p w14:paraId="0D268B04"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Wang, Y.-Y., Hsu, P.-K. and Tsay, Y.-F. 2012. Uptake, allocation and signaling of nitrate. </w:t>
      </w:r>
      <w:r w:rsidRPr="00540661">
        <w:rPr>
          <w:i/>
          <w:iCs/>
          <w:noProof/>
          <w:szCs w:val="24"/>
        </w:rPr>
        <w:t>Trends in Plant Science</w:t>
      </w:r>
      <w:r w:rsidRPr="00540661">
        <w:rPr>
          <w:noProof/>
          <w:szCs w:val="24"/>
        </w:rPr>
        <w:t xml:space="preserve">. </w:t>
      </w:r>
      <w:r w:rsidRPr="00540661">
        <w:rPr>
          <w:b/>
          <w:bCs/>
          <w:noProof/>
          <w:szCs w:val="24"/>
        </w:rPr>
        <w:t>17</w:t>
      </w:r>
      <w:r w:rsidRPr="00540661">
        <w:rPr>
          <w:noProof/>
          <w:szCs w:val="24"/>
        </w:rPr>
        <w:t>(8), pp.458–467.</w:t>
      </w:r>
    </w:p>
    <w:p w14:paraId="1AAFC929"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Waters, M.T., Brewer, P.B., Bussell, J.D., Smith, S.M. and Beveridge, C.A. 2012. The Arabidopsis ortholog of rice DWARF27 acts upstream of MAX1 in the control of plant development by strigolactones. </w:t>
      </w:r>
      <w:r w:rsidRPr="00540661">
        <w:rPr>
          <w:i/>
          <w:iCs/>
          <w:noProof/>
          <w:szCs w:val="24"/>
        </w:rPr>
        <w:t>Plant Physiology</w:t>
      </w:r>
      <w:r w:rsidRPr="00540661">
        <w:rPr>
          <w:noProof/>
          <w:szCs w:val="24"/>
        </w:rPr>
        <w:t xml:space="preserve">. </w:t>
      </w:r>
      <w:r w:rsidRPr="00540661">
        <w:rPr>
          <w:b/>
          <w:bCs/>
          <w:noProof/>
          <w:szCs w:val="24"/>
        </w:rPr>
        <w:lastRenderedPageBreak/>
        <w:t>159</w:t>
      </w:r>
      <w:r w:rsidRPr="00540661">
        <w:rPr>
          <w:noProof/>
          <w:szCs w:val="24"/>
        </w:rPr>
        <w:t>(3), pp.1073–1085.</w:t>
      </w:r>
    </w:p>
    <w:p w14:paraId="64C4DFEA"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Waters, M.T., Gutjahr, C., Bennett, T. and Nelson, D.C. 2017. Strigolactone signaling and evolution. </w:t>
      </w:r>
      <w:r w:rsidRPr="00540661">
        <w:rPr>
          <w:i/>
          <w:iCs/>
          <w:noProof/>
          <w:szCs w:val="24"/>
        </w:rPr>
        <w:t>Annual Review of Plant Biology</w:t>
      </w:r>
      <w:r w:rsidRPr="00540661">
        <w:rPr>
          <w:noProof/>
          <w:szCs w:val="24"/>
        </w:rPr>
        <w:t xml:space="preserve">. </w:t>
      </w:r>
      <w:r w:rsidRPr="00540661">
        <w:rPr>
          <w:b/>
          <w:bCs/>
          <w:noProof/>
          <w:szCs w:val="24"/>
        </w:rPr>
        <w:t>68</w:t>
      </w:r>
      <w:r w:rsidRPr="00540661">
        <w:rPr>
          <w:noProof/>
          <w:szCs w:val="24"/>
        </w:rPr>
        <w:t>(1), pp.291–322.</w:t>
      </w:r>
    </w:p>
    <w:p w14:paraId="6FCF12C9"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Wei, Z. and Li, J. 2018. Receptor-like protein kinases: Key regulators controlling root hair development in Arabidopsis thaliana. </w:t>
      </w:r>
      <w:r w:rsidRPr="00540661">
        <w:rPr>
          <w:i/>
          <w:iCs/>
          <w:noProof/>
          <w:szCs w:val="24"/>
        </w:rPr>
        <w:t>Journal of Integrative Plant Biology</w:t>
      </w:r>
      <w:r w:rsidRPr="00540661">
        <w:rPr>
          <w:noProof/>
          <w:szCs w:val="24"/>
        </w:rPr>
        <w:t xml:space="preserve">. </w:t>
      </w:r>
      <w:r w:rsidRPr="00540661">
        <w:rPr>
          <w:b/>
          <w:bCs/>
          <w:noProof/>
          <w:szCs w:val="24"/>
        </w:rPr>
        <w:t>60</w:t>
      </w:r>
      <w:r w:rsidRPr="00540661">
        <w:rPr>
          <w:noProof/>
          <w:szCs w:val="24"/>
        </w:rPr>
        <w:t>(9), pp.841–850.</w:t>
      </w:r>
    </w:p>
    <w:p w14:paraId="76108FB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Weiner, J. 2017. Applying plant ecological knowledge to increase agricultural sustainability D. Gibson, ed. </w:t>
      </w:r>
      <w:r w:rsidRPr="00540661">
        <w:rPr>
          <w:i/>
          <w:iCs/>
          <w:noProof/>
          <w:szCs w:val="24"/>
        </w:rPr>
        <w:t>Journal of Ecology</w:t>
      </w:r>
      <w:r w:rsidRPr="00540661">
        <w:rPr>
          <w:noProof/>
          <w:szCs w:val="24"/>
        </w:rPr>
        <w:t xml:space="preserve">. </w:t>
      </w:r>
      <w:r w:rsidRPr="00540661">
        <w:rPr>
          <w:b/>
          <w:bCs/>
          <w:noProof/>
          <w:szCs w:val="24"/>
        </w:rPr>
        <w:t>105</w:t>
      </w:r>
      <w:r w:rsidRPr="00540661">
        <w:rPr>
          <w:noProof/>
          <w:szCs w:val="24"/>
        </w:rPr>
        <w:t>(4), pp.865–870.</w:t>
      </w:r>
    </w:p>
    <w:p w14:paraId="74676D6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West, P.C., Gerber, J.S., Engstrom, P.M., Mueller, N.D., Brauman, K.A., Carlson, K.M., Cassidy, E.S., Johnston, M., MacDonald, G.K., Ray, D.K. and Siebert, S. 2014. Leverage points for improving global food security and the environment. </w:t>
      </w:r>
      <w:r w:rsidRPr="00540661">
        <w:rPr>
          <w:i/>
          <w:iCs/>
          <w:noProof/>
          <w:szCs w:val="24"/>
        </w:rPr>
        <w:t>Science</w:t>
      </w:r>
      <w:r w:rsidRPr="00540661">
        <w:rPr>
          <w:noProof/>
          <w:szCs w:val="24"/>
        </w:rPr>
        <w:t xml:space="preserve">. </w:t>
      </w:r>
      <w:r w:rsidRPr="00540661">
        <w:rPr>
          <w:b/>
          <w:bCs/>
          <w:noProof/>
          <w:szCs w:val="24"/>
        </w:rPr>
        <w:t>345</w:t>
      </w:r>
      <w:r w:rsidRPr="00540661">
        <w:rPr>
          <w:noProof/>
          <w:szCs w:val="24"/>
        </w:rPr>
        <w:t>(6194), pp.325–328.</w:t>
      </w:r>
    </w:p>
    <w:p w14:paraId="3EDDBCC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Wheeldon, C.D. 2019. </w:t>
      </w:r>
      <w:r w:rsidRPr="00540661">
        <w:rPr>
          <w:i/>
          <w:iCs/>
          <w:noProof/>
          <w:szCs w:val="24"/>
        </w:rPr>
        <w:t>Coordination of shoot growth with the soil environment by long-distance signalling</w:t>
      </w:r>
      <w:r w:rsidRPr="00540661">
        <w:rPr>
          <w:noProof/>
          <w:szCs w:val="24"/>
        </w:rPr>
        <w:t>. University Of Leeds.</w:t>
      </w:r>
    </w:p>
    <w:p w14:paraId="5B9ED69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Wheeldon, C.D. 2018. </w:t>
      </w:r>
      <w:r w:rsidRPr="00540661">
        <w:rPr>
          <w:i/>
          <w:iCs/>
          <w:noProof/>
          <w:szCs w:val="24"/>
        </w:rPr>
        <w:t>Root restriction and its effects on plant growth</w:t>
      </w:r>
      <w:r w:rsidRPr="00540661">
        <w:rPr>
          <w:noProof/>
          <w:szCs w:val="24"/>
        </w:rPr>
        <w:t>. University of Leeds.</w:t>
      </w:r>
    </w:p>
    <w:p w14:paraId="779BF5B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Wheeldon, C.D. and Bennett, T. 2021. There and back again: An evolutionary perspective on long-distance coordination of plant growth and development. </w:t>
      </w:r>
      <w:r w:rsidRPr="00540661">
        <w:rPr>
          <w:i/>
          <w:iCs/>
          <w:noProof/>
          <w:szCs w:val="24"/>
        </w:rPr>
        <w:t>Seminars in Cell &amp; Developmental Biology</w:t>
      </w:r>
      <w:r w:rsidRPr="00540661">
        <w:rPr>
          <w:noProof/>
          <w:szCs w:val="24"/>
        </w:rPr>
        <w:t xml:space="preserve">. </w:t>
      </w:r>
      <w:r w:rsidRPr="00540661">
        <w:rPr>
          <w:b/>
          <w:bCs/>
          <w:noProof/>
          <w:szCs w:val="24"/>
        </w:rPr>
        <w:t>109</w:t>
      </w:r>
      <w:r w:rsidRPr="00540661">
        <w:rPr>
          <w:noProof/>
          <w:szCs w:val="24"/>
        </w:rPr>
        <w:t>, pp.55–67.</w:t>
      </w:r>
    </w:p>
    <w:p w14:paraId="352F300C"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Wheeldon, C.D., Hamon-Josse, M., Lund, H., Yoneyama, K. and Bennett, T. 2022. Environmental strigolactone drives early growth responses to neighboring plants and soil volume in pea. </w:t>
      </w:r>
      <w:r w:rsidRPr="00540661">
        <w:rPr>
          <w:i/>
          <w:iCs/>
          <w:noProof/>
          <w:szCs w:val="24"/>
        </w:rPr>
        <w:t>Current Biology</w:t>
      </w:r>
      <w:r w:rsidRPr="00540661">
        <w:rPr>
          <w:noProof/>
          <w:szCs w:val="24"/>
        </w:rPr>
        <w:t xml:space="preserve">. </w:t>
      </w:r>
      <w:r w:rsidRPr="00540661">
        <w:rPr>
          <w:b/>
          <w:bCs/>
          <w:noProof/>
          <w:szCs w:val="24"/>
        </w:rPr>
        <w:t>32</w:t>
      </w:r>
      <w:r w:rsidRPr="00540661">
        <w:rPr>
          <w:noProof/>
          <w:szCs w:val="24"/>
        </w:rPr>
        <w:t>(16), pp.3593-3600.e3.</w:t>
      </w:r>
    </w:p>
    <w:p w14:paraId="6E5314D9"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Wheeldon, C.D., Walker, C.H., Hamon</w:t>
      </w:r>
      <w:r w:rsidRPr="00540661">
        <w:rPr>
          <w:rFonts w:ascii="Cambria Math" w:hAnsi="Cambria Math" w:cs="Cambria Math"/>
          <w:noProof/>
          <w:szCs w:val="24"/>
        </w:rPr>
        <w:t>‐</w:t>
      </w:r>
      <w:r w:rsidRPr="00540661">
        <w:rPr>
          <w:noProof/>
          <w:szCs w:val="24"/>
        </w:rPr>
        <w:t xml:space="preserve">Josse, M. and Bennett, T. 2021. Wheat plants sense substrate volume and root density to proactively modulate shoot growth. </w:t>
      </w:r>
      <w:r w:rsidRPr="00540661">
        <w:rPr>
          <w:i/>
          <w:iCs/>
          <w:noProof/>
          <w:szCs w:val="24"/>
        </w:rPr>
        <w:t>Plant, Cell &amp; Environment</w:t>
      </w:r>
      <w:r w:rsidRPr="00540661">
        <w:rPr>
          <w:noProof/>
          <w:szCs w:val="24"/>
        </w:rPr>
        <w:t xml:space="preserve">. </w:t>
      </w:r>
      <w:r w:rsidRPr="00540661">
        <w:rPr>
          <w:b/>
          <w:bCs/>
          <w:noProof/>
          <w:szCs w:val="24"/>
        </w:rPr>
        <w:t>44</w:t>
      </w:r>
      <w:r w:rsidRPr="00540661">
        <w:rPr>
          <w:noProof/>
          <w:szCs w:val="24"/>
        </w:rPr>
        <w:t>(4), pp.1202–1214.</w:t>
      </w:r>
    </w:p>
    <w:p w14:paraId="0453B688"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Wilson, A.K., Pickett, F.B., Turner, J.C. and Estelle, M. 1990. A dominant mutation in Arabidopsis confers resistance to auxin, ethylene and abscisic acid. </w:t>
      </w:r>
      <w:r w:rsidRPr="00540661">
        <w:rPr>
          <w:i/>
          <w:iCs/>
          <w:noProof/>
          <w:szCs w:val="24"/>
        </w:rPr>
        <w:t>MGG Molecular &amp; General Genetics</w:t>
      </w:r>
      <w:r w:rsidRPr="00540661">
        <w:rPr>
          <w:noProof/>
          <w:szCs w:val="24"/>
        </w:rPr>
        <w:t xml:space="preserve">. </w:t>
      </w:r>
      <w:r w:rsidRPr="00540661">
        <w:rPr>
          <w:b/>
          <w:bCs/>
          <w:noProof/>
          <w:szCs w:val="24"/>
        </w:rPr>
        <w:t>222</w:t>
      </w:r>
      <w:r w:rsidRPr="00540661">
        <w:rPr>
          <w:noProof/>
          <w:szCs w:val="24"/>
        </w:rPr>
        <w:t>(2–3), pp.377–383.</w:t>
      </w:r>
    </w:p>
    <w:p w14:paraId="1A8E2FE3"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Wirth, J., Chopin, F., Santoni, V., Viennois, G., Tillard, P., Krapp, A., Lejay, L., Daniel-Vedele, F. and Gojon, A. 2007. Regulation of root nitrate uptake at the NRT2.1 protein level in Arabidopsis thaliana. </w:t>
      </w:r>
      <w:r w:rsidRPr="00540661">
        <w:rPr>
          <w:i/>
          <w:iCs/>
          <w:noProof/>
          <w:szCs w:val="24"/>
        </w:rPr>
        <w:t>Journal of Biological Chemistry</w:t>
      </w:r>
      <w:r w:rsidRPr="00540661">
        <w:rPr>
          <w:noProof/>
          <w:szCs w:val="24"/>
        </w:rPr>
        <w:t xml:space="preserve">. </w:t>
      </w:r>
      <w:r w:rsidRPr="00540661">
        <w:rPr>
          <w:b/>
          <w:bCs/>
          <w:noProof/>
          <w:szCs w:val="24"/>
        </w:rPr>
        <w:t>282</w:t>
      </w:r>
      <w:r w:rsidRPr="00540661">
        <w:rPr>
          <w:noProof/>
          <w:szCs w:val="24"/>
        </w:rPr>
        <w:t>(32), pp.23541–23552.</w:t>
      </w:r>
    </w:p>
    <w:p w14:paraId="5BCFDEF2"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Xie, X., Yoneyama, Kaori, Kisugi, T., Nomura, T., Akiyama, K., Asami, T. and Yoneyama, Koichi 2015. Strigolactones are transported from roots to shoots, although not through the xylem. </w:t>
      </w:r>
      <w:r w:rsidRPr="00540661">
        <w:rPr>
          <w:i/>
          <w:iCs/>
          <w:noProof/>
          <w:szCs w:val="24"/>
        </w:rPr>
        <w:t>Journal of Pesticide Science</w:t>
      </w:r>
      <w:r w:rsidRPr="00540661">
        <w:rPr>
          <w:noProof/>
          <w:szCs w:val="24"/>
        </w:rPr>
        <w:t xml:space="preserve">. </w:t>
      </w:r>
      <w:r w:rsidRPr="00540661">
        <w:rPr>
          <w:b/>
          <w:bCs/>
          <w:noProof/>
          <w:szCs w:val="24"/>
        </w:rPr>
        <w:t>40</w:t>
      </w:r>
      <w:r w:rsidRPr="00540661">
        <w:rPr>
          <w:noProof/>
          <w:szCs w:val="24"/>
        </w:rPr>
        <w:t>(4), pp.214–216.</w:t>
      </w:r>
    </w:p>
    <w:p w14:paraId="50A8CEB1"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Xie, X., Yoneyama, Kaori, Kisugi, T., Uchida, K., Ito, S., Akiyama, K., Hayashi, H., Yokota, T., Nomura, T. and Yoneyama, Koichi 2013. Confirming stereochemical structures of strigolactones produced by Rice and Tobacco. </w:t>
      </w:r>
      <w:r w:rsidRPr="00540661">
        <w:rPr>
          <w:i/>
          <w:iCs/>
          <w:noProof/>
          <w:szCs w:val="24"/>
        </w:rPr>
        <w:t>Molecular Plant</w:t>
      </w:r>
      <w:r w:rsidRPr="00540661">
        <w:rPr>
          <w:noProof/>
          <w:szCs w:val="24"/>
        </w:rPr>
        <w:t xml:space="preserve">. </w:t>
      </w:r>
      <w:r w:rsidRPr="00540661">
        <w:rPr>
          <w:b/>
          <w:bCs/>
          <w:noProof/>
          <w:szCs w:val="24"/>
        </w:rPr>
        <w:t>6</w:t>
      </w:r>
      <w:r w:rsidRPr="00540661">
        <w:rPr>
          <w:noProof/>
          <w:szCs w:val="24"/>
        </w:rPr>
        <w:t>(1), pp.153–163.</w:t>
      </w:r>
    </w:p>
    <w:p w14:paraId="770E41E7"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Xie, X., Yoneyama, Kaori and Yoneyama, Koichi 2010. The strigolactone story. </w:t>
      </w:r>
      <w:r w:rsidRPr="00540661">
        <w:rPr>
          <w:i/>
          <w:iCs/>
          <w:noProof/>
          <w:szCs w:val="24"/>
        </w:rPr>
        <w:t>https://doi.org/10.1146/annurev-phyto-073009-114453</w:t>
      </w:r>
      <w:r w:rsidRPr="00540661">
        <w:rPr>
          <w:noProof/>
          <w:szCs w:val="24"/>
        </w:rPr>
        <w:t xml:space="preserve">. </w:t>
      </w:r>
      <w:r w:rsidRPr="00540661">
        <w:rPr>
          <w:b/>
          <w:bCs/>
          <w:noProof/>
          <w:szCs w:val="24"/>
        </w:rPr>
        <w:t>48</w:t>
      </w:r>
      <w:r w:rsidRPr="00540661">
        <w:rPr>
          <w:noProof/>
          <w:szCs w:val="24"/>
        </w:rPr>
        <w:t>, pp.93–</w:t>
      </w:r>
      <w:r w:rsidRPr="00540661">
        <w:rPr>
          <w:noProof/>
          <w:szCs w:val="24"/>
        </w:rPr>
        <w:lastRenderedPageBreak/>
        <w:t>117.</w:t>
      </w:r>
    </w:p>
    <w:p w14:paraId="79032071"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Xu, G., Wolf, S. and Kafkafi, U. 2001. Interactive effect of nutrient concentration and container volume on flowering, fruiting, and nutrient uptake of sweet pepper. </w:t>
      </w:r>
      <w:r w:rsidRPr="00540661">
        <w:rPr>
          <w:i/>
          <w:iCs/>
          <w:noProof/>
          <w:szCs w:val="24"/>
        </w:rPr>
        <w:t>Journal of Plant Nutrition</w:t>
      </w:r>
      <w:r w:rsidRPr="00540661">
        <w:rPr>
          <w:noProof/>
          <w:szCs w:val="24"/>
        </w:rPr>
        <w:t xml:space="preserve">. </w:t>
      </w:r>
      <w:r w:rsidRPr="00540661">
        <w:rPr>
          <w:b/>
          <w:bCs/>
          <w:noProof/>
          <w:szCs w:val="24"/>
        </w:rPr>
        <w:t>24</w:t>
      </w:r>
      <w:r w:rsidRPr="00540661">
        <w:rPr>
          <w:noProof/>
          <w:szCs w:val="24"/>
        </w:rPr>
        <w:t>(3), pp.479–501.</w:t>
      </w:r>
    </w:p>
    <w:p w14:paraId="0800940D"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Xu, Y., Cheng, H., Kong, C. and Meiners, S.J. 2021. Intra</w:t>
      </w:r>
      <w:r w:rsidRPr="00540661">
        <w:rPr>
          <w:rFonts w:ascii="Cambria Math" w:hAnsi="Cambria Math" w:cs="Cambria Math"/>
          <w:noProof/>
          <w:szCs w:val="24"/>
        </w:rPr>
        <w:t>‐</w:t>
      </w:r>
      <w:r w:rsidRPr="00540661">
        <w:rPr>
          <w:noProof/>
          <w:szCs w:val="24"/>
        </w:rPr>
        <w:t>specific kin recognition contributes to inter</w:t>
      </w:r>
      <w:r w:rsidRPr="00540661">
        <w:rPr>
          <w:rFonts w:ascii="Cambria Math" w:hAnsi="Cambria Math" w:cs="Cambria Math"/>
          <w:noProof/>
          <w:szCs w:val="24"/>
        </w:rPr>
        <w:t>‐</w:t>
      </w:r>
      <w:r w:rsidRPr="00540661">
        <w:rPr>
          <w:noProof/>
          <w:szCs w:val="24"/>
        </w:rPr>
        <w:t xml:space="preserve">specific allelopathy: A case study of allelopathic rice interference with paddy weeds. </w:t>
      </w:r>
      <w:r w:rsidRPr="00540661">
        <w:rPr>
          <w:i/>
          <w:iCs/>
          <w:noProof/>
          <w:szCs w:val="24"/>
        </w:rPr>
        <w:t>Plant, Cell &amp; Environment</w:t>
      </w:r>
      <w:r w:rsidRPr="00540661">
        <w:rPr>
          <w:noProof/>
          <w:szCs w:val="24"/>
        </w:rPr>
        <w:t xml:space="preserve">. </w:t>
      </w:r>
      <w:r w:rsidRPr="00540661">
        <w:rPr>
          <w:b/>
          <w:bCs/>
          <w:noProof/>
          <w:szCs w:val="24"/>
        </w:rPr>
        <w:t>44</w:t>
      </w:r>
      <w:r w:rsidRPr="00540661">
        <w:rPr>
          <w:noProof/>
          <w:szCs w:val="24"/>
        </w:rPr>
        <w:t>(12), pp.3709–3721.</w:t>
      </w:r>
    </w:p>
    <w:p w14:paraId="193C7A16"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Yamaguchi, Y.L., Ishida, T. and Sawa, S. 2016. CLE peptides and their signaling pathways in plant development. </w:t>
      </w:r>
      <w:r w:rsidRPr="00540661">
        <w:rPr>
          <w:i/>
          <w:iCs/>
          <w:noProof/>
          <w:szCs w:val="24"/>
        </w:rPr>
        <w:t>Journal of Experimental Botany</w:t>
      </w:r>
      <w:r w:rsidRPr="00540661">
        <w:rPr>
          <w:noProof/>
          <w:szCs w:val="24"/>
        </w:rPr>
        <w:t xml:space="preserve">. </w:t>
      </w:r>
      <w:r w:rsidRPr="00540661">
        <w:rPr>
          <w:b/>
          <w:bCs/>
          <w:noProof/>
          <w:szCs w:val="24"/>
        </w:rPr>
        <w:t>67</w:t>
      </w:r>
      <w:r w:rsidRPr="00540661">
        <w:rPr>
          <w:noProof/>
          <w:szCs w:val="24"/>
        </w:rPr>
        <w:t>(16), pp.4813–4826.</w:t>
      </w:r>
    </w:p>
    <w:p w14:paraId="40245CC8"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Yan, C., Duan, W., Lyu, S., Li, Y. and Hou, X. 2017. Genome-wide identification, evolution, and expression analysis of the ATP-binding cassette transporter gene family in Brassica rapa. </w:t>
      </w:r>
      <w:r w:rsidRPr="00540661">
        <w:rPr>
          <w:i/>
          <w:iCs/>
          <w:noProof/>
          <w:szCs w:val="24"/>
        </w:rPr>
        <w:t>Frontiers in Plant Science</w:t>
      </w:r>
      <w:r w:rsidRPr="00540661">
        <w:rPr>
          <w:noProof/>
          <w:szCs w:val="24"/>
        </w:rPr>
        <w:t xml:space="preserve">. </w:t>
      </w:r>
      <w:r w:rsidRPr="00540661">
        <w:rPr>
          <w:b/>
          <w:bCs/>
          <w:noProof/>
          <w:szCs w:val="24"/>
        </w:rPr>
        <w:t>8</w:t>
      </w:r>
      <w:r w:rsidRPr="00540661">
        <w:rPr>
          <w:noProof/>
          <w:szCs w:val="24"/>
        </w:rPr>
        <w:t>.</w:t>
      </w:r>
    </w:p>
    <w:p w14:paraId="4E0846BD"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Yan, P., Pan, J., Zhang, W., Shi, J., Chen, X. and Cui, Z. 2017. A high plant density reduces the ability of maize to use soil nitrogen. </w:t>
      </w:r>
      <w:r w:rsidRPr="00540661">
        <w:rPr>
          <w:i/>
          <w:iCs/>
          <w:noProof/>
          <w:szCs w:val="24"/>
        </w:rPr>
        <w:t>PLOS ONE</w:t>
      </w:r>
      <w:r w:rsidRPr="00540661">
        <w:rPr>
          <w:noProof/>
          <w:szCs w:val="24"/>
        </w:rPr>
        <w:t xml:space="preserve">. </w:t>
      </w:r>
      <w:r w:rsidRPr="00540661">
        <w:rPr>
          <w:b/>
          <w:bCs/>
          <w:noProof/>
          <w:szCs w:val="24"/>
        </w:rPr>
        <w:t>12</w:t>
      </w:r>
      <w:r w:rsidRPr="00540661">
        <w:rPr>
          <w:noProof/>
          <w:szCs w:val="24"/>
        </w:rPr>
        <w:t>(2), p.e0172717.</w:t>
      </w:r>
    </w:p>
    <w:p w14:paraId="2E8E9196"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Yang, X.F., Li, L.L., Xu, Y. and Kong, C.H. 2018. Kin recognition in rice (Oryza sativa) lines. </w:t>
      </w:r>
      <w:r w:rsidRPr="00540661">
        <w:rPr>
          <w:i/>
          <w:iCs/>
          <w:noProof/>
          <w:szCs w:val="24"/>
        </w:rPr>
        <w:t>New Phytologist</w:t>
      </w:r>
      <w:r w:rsidRPr="00540661">
        <w:rPr>
          <w:noProof/>
          <w:szCs w:val="24"/>
        </w:rPr>
        <w:t xml:space="preserve">. </w:t>
      </w:r>
      <w:r w:rsidRPr="00540661">
        <w:rPr>
          <w:b/>
          <w:bCs/>
          <w:noProof/>
          <w:szCs w:val="24"/>
        </w:rPr>
        <w:t>220</w:t>
      </w:r>
      <w:r w:rsidRPr="00540661">
        <w:rPr>
          <w:noProof/>
          <w:szCs w:val="24"/>
        </w:rPr>
        <w:t>(2), pp.567–578.</w:t>
      </w:r>
    </w:p>
    <w:p w14:paraId="2E73E19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Yates, A.D., Allen, J., Amode, R.M., Azov, A.G., Barba, M., Becerra, A., Bhai, J., Campbell, L.I., Carbajo Martinez, M., Chakiachvili, M., Chougule, K., Christensen, M., Contreras-Moreira, B., Cuzick, A., Da Rin Fioretto, L., Davis, P., De Silva, N.H., Diamantakis, S., Dyer, S., Elser, J., Filippi, C. V, Gall, A., Grigoriadis, D., Guijarro-Clarke, C., Gupta, P., Hammond-Kosack, K.E., Howe, K.L., Jaiswal, P., Kaikala, V., Kumar, V., Kumari, S., Langridge, N., Le, T., Luypaert, M., Maslen, G.L., Maurel, T., Moore, B., Muffato, M., Mushtaq, A., Naamati, G., Naithani, S., Olson, A., Parker, A., Paulini, M., Pedro, H., Perry, E., Preece, J., Quinton-Tulloch, M., Rodgers, F., Rosello, M., Ruffier, M., Seager, J., Sitnik, V., Szpak, M., Tate, J., Tello-Ruiz, M.K., Trevanion, S.J., Urban, M., Ware, D., Wei, S., Williams, G., Winterbottom, A., Zarowiecki, M., Finn, R.D. and Flicek, P. 2022. Ensembl Genomes 2022: an expanding genome resource for non-vertebrates. </w:t>
      </w:r>
      <w:r w:rsidRPr="00540661">
        <w:rPr>
          <w:i/>
          <w:iCs/>
          <w:noProof/>
          <w:szCs w:val="24"/>
        </w:rPr>
        <w:t>Nucleic Acids Research</w:t>
      </w:r>
      <w:r w:rsidRPr="00540661">
        <w:rPr>
          <w:noProof/>
          <w:szCs w:val="24"/>
        </w:rPr>
        <w:t xml:space="preserve">. </w:t>
      </w:r>
      <w:r w:rsidRPr="00540661">
        <w:rPr>
          <w:b/>
          <w:bCs/>
          <w:noProof/>
          <w:szCs w:val="24"/>
        </w:rPr>
        <w:t>50</w:t>
      </w:r>
      <w:r w:rsidRPr="00540661">
        <w:rPr>
          <w:noProof/>
          <w:szCs w:val="24"/>
        </w:rPr>
        <w:t>(D1), pp.D996–D1003.</w:t>
      </w:r>
    </w:p>
    <w:p w14:paraId="2EA12263"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Yoneyama, K. 2020. Recent progress in the chemistry and biochemistry of strigolactones. </w:t>
      </w:r>
      <w:r w:rsidRPr="00540661">
        <w:rPr>
          <w:i/>
          <w:iCs/>
          <w:noProof/>
          <w:szCs w:val="24"/>
        </w:rPr>
        <w:t>Journal of Pesticide Science</w:t>
      </w:r>
      <w:r w:rsidRPr="00540661">
        <w:rPr>
          <w:noProof/>
          <w:szCs w:val="24"/>
        </w:rPr>
        <w:t xml:space="preserve">. </w:t>
      </w:r>
      <w:r w:rsidRPr="00540661">
        <w:rPr>
          <w:b/>
          <w:bCs/>
          <w:noProof/>
          <w:szCs w:val="24"/>
        </w:rPr>
        <w:t>45</w:t>
      </w:r>
      <w:r w:rsidRPr="00540661">
        <w:rPr>
          <w:noProof/>
          <w:szCs w:val="24"/>
        </w:rPr>
        <w:t>(2), pp.45–53.</w:t>
      </w:r>
    </w:p>
    <w:p w14:paraId="76B0F7F8"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Yoneyama, Kaori, Akiyama, K., Brewer, P.B., Mori, N., Kawano</w:t>
      </w:r>
      <w:r w:rsidRPr="00540661">
        <w:rPr>
          <w:rFonts w:ascii="Cambria Math" w:hAnsi="Cambria Math" w:cs="Cambria Math"/>
          <w:noProof/>
          <w:szCs w:val="24"/>
        </w:rPr>
        <w:t>‐</w:t>
      </w:r>
      <w:r w:rsidRPr="00540661">
        <w:rPr>
          <w:noProof/>
          <w:szCs w:val="24"/>
        </w:rPr>
        <w:t xml:space="preserve">Kawada, M., Haruta, S., Nishiwaki, H., Yamauchi, S., Xie, X., Umehara, M., Beveridge, C.A., Yoneyama, Koichi and Nomura, T. 2020. Hydroxyl carlactone derivatives are predominant strigolactones in Arabidopsis. </w:t>
      </w:r>
      <w:r w:rsidRPr="00540661">
        <w:rPr>
          <w:i/>
          <w:iCs/>
          <w:noProof/>
          <w:szCs w:val="24"/>
        </w:rPr>
        <w:t>Plant Direct</w:t>
      </w:r>
      <w:r w:rsidRPr="00540661">
        <w:rPr>
          <w:noProof/>
          <w:szCs w:val="24"/>
        </w:rPr>
        <w:t xml:space="preserve">. </w:t>
      </w:r>
      <w:r w:rsidRPr="00540661">
        <w:rPr>
          <w:b/>
          <w:bCs/>
          <w:noProof/>
          <w:szCs w:val="24"/>
        </w:rPr>
        <w:t>4</w:t>
      </w:r>
      <w:r w:rsidRPr="00540661">
        <w:rPr>
          <w:noProof/>
          <w:szCs w:val="24"/>
        </w:rPr>
        <w:t>(5), pp.1–14.</w:t>
      </w:r>
    </w:p>
    <w:p w14:paraId="7E25D449"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Yoneyama, Kaori, Mori, N., Sato, T., Yoda, A., Xie, X., Okamoto, M., Iwanaga, M., Ohnishi, T., Nishiwaki, H., Asami, T., Yokota, T., Akiyama, K., Yoneyama, Koichi and Nomura, T. 2018. Conversion of carlactone to carlactonoic acid is a conserved function of MAX1 homologs in strigolactone biosynthesis. </w:t>
      </w:r>
      <w:r w:rsidRPr="00540661">
        <w:rPr>
          <w:i/>
          <w:iCs/>
          <w:noProof/>
          <w:szCs w:val="24"/>
        </w:rPr>
        <w:t>New Phytologist</w:t>
      </w:r>
      <w:r w:rsidRPr="00540661">
        <w:rPr>
          <w:noProof/>
          <w:szCs w:val="24"/>
        </w:rPr>
        <w:t xml:space="preserve">. </w:t>
      </w:r>
      <w:r w:rsidRPr="00540661">
        <w:rPr>
          <w:b/>
          <w:bCs/>
          <w:noProof/>
          <w:szCs w:val="24"/>
        </w:rPr>
        <w:t>218</w:t>
      </w:r>
      <w:r w:rsidRPr="00540661">
        <w:rPr>
          <w:noProof/>
          <w:szCs w:val="24"/>
        </w:rPr>
        <w:t>(4), pp.1522–1533.</w:t>
      </w:r>
    </w:p>
    <w:p w14:paraId="0C4DE3A4"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lastRenderedPageBreak/>
        <w:t xml:space="preserve">Yoneyama, Kaori, Xie, X., Kim, H. Il, Kisugi, T., Nomura, T., Sekimoto, H., Yokota, T. and Yoneyama, Koichi 2012. How do nitrogen and phosphorus deficiencies affect strigolactone production and exudation? </w:t>
      </w:r>
      <w:r w:rsidRPr="00540661">
        <w:rPr>
          <w:i/>
          <w:iCs/>
          <w:noProof/>
          <w:szCs w:val="24"/>
        </w:rPr>
        <w:t>Planta</w:t>
      </w:r>
      <w:r w:rsidRPr="00540661">
        <w:rPr>
          <w:noProof/>
          <w:szCs w:val="24"/>
        </w:rPr>
        <w:t xml:space="preserve">. </w:t>
      </w:r>
      <w:r w:rsidRPr="00540661">
        <w:rPr>
          <w:b/>
          <w:bCs/>
          <w:noProof/>
          <w:szCs w:val="24"/>
        </w:rPr>
        <w:t>235</w:t>
      </w:r>
      <w:r w:rsidRPr="00540661">
        <w:rPr>
          <w:noProof/>
          <w:szCs w:val="24"/>
        </w:rPr>
        <w:t>(6), pp.1197–1207.</w:t>
      </w:r>
    </w:p>
    <w:p w14:paraId="2322CC71"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Yoneyama, Kaori, Xie, X., Kusumoto, D., Sekimoto, H., Sugimoto, Y., Takeuchi, Y. and Yoneyama, Koichi 2007. Nitrogen deficiency as well as phosphorus deficiency in sorghum promotes the production and exudation of 5-deoxystrigol, the host recognition signal for arbuscular mycorrhizal fungi and root parasites. </w:t>
      </w:r>
      <w:r w:rsidRPr="00540661">
        <w:rPr>
          <w:i/>
          <w:iCs/>
          <w:noProof/>
          <w:szCs w:val="24"/>
        </w:rPr>
        <w:t>Planta</w:t>
      </w:r>
      <w:r w:rsidRPr="00540661">
        <w:rPr>
          <w:noProof/>
          <w:szCs w:val="24"/>
        </w:rPr>
        <w:t xml:space="preserve">. </w:t>
      </w:r>
      <w:r w:rsidRPr="00540661">
        <w:rPr>
          <w:b/>
          <w:bCs/>
          <w:noProof/>
          <w:szCs w:val="24"/>
        </w:rPr>
        <w:t>227</w:t>
      </w:r>
      <w:r w:rsidRPr="00540661">
        <w:rPr>
          <w:noProof/>
          <w:szCs w:val="24"/>
        </w:rPr>
        <w:t>(1), pp.125–132.</w:t>
      </w:r>
    </w:p>
    <w:p w14:paraId="0909D7EE"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Yoneyama, Kaori, Xie, X., Nomura, T., Yoneyama, Koichi and Bennett, T. 2022. Supra-organismal regulation of strigolactone exudation and plant development in response to rhizospheric cues in rice. </w:t>
      </w:r>
      <w:r w:rsidRPr="00540661">
        <w:rPr>
          <w:i/>
          <w:iCs/>
          <w:noProof/>
          <w:szCs w:val="24"/>
        </w:rPr>
        <w:t>Current Biology</w:t>
      </w:r>
      <w:r w:rsidRPr="00540661">
        <w:rPr>
          <w:noProof/>
          <w:szCs w:val="24"/>
        </w:rPr>
        <w:t xml:space="preserve">. </w:t>
      </w:r>
      <w:r w:rsidRPr="00540661">
        <w:rPr>
          <w:b/>
          <w:bCs/>
          <w:noProof/>
          <w:szCs w:val="24"/>
        </w:rPr>
        <w:t>32</w:t>
      </w:r>
      <w:r w:rsidRPr="00540661">
        <w:rPr>
          <w:noProof/>
          <w:szCs w:val="24"/>
        </w:rPr>
        <w:t>(16), pp.3601-3608.e3.</w:t>
      </w:r>
    </w:p>
    <w:p w14:paraId="59AD86DF"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Yoneyama, Kaori, Xie, X., Sekimoto, H., Takeuchi, Y., Ogasawara, S., Akiyama, K., Hayashi, H. and Yoneyama, Koichi 2008. Strigolactones, host recognition signals for root parasitic plants and arbuscular mycorrhizal fungi, from Fabaceae plants. </w:t>
      </w:r>
      <w:r w:rsidRPr="00540661">
        <w:rPr>
          <w:i/>
          <w:iCs/>
          <w:noProof/>
          <w:szCs w:val="24"/>
        </w:rPr>
        <w:t>New Phytologist</w:t>
      </w:r>
      <w:r w:rsidRPr="00540661">
        <w:rPr>
          <w:noProof/>
          <w:szCs w:val="24"/>
        </w:rPr>
        <w:t xml:space="preserve">. </w:t>
      </w:r>
      <w:r w:rsidRPr="00540661">
        <w:rPr>
          <w:b/>
          <w:bCs/>
          <w:noProof/>
          <w:szCs w:val="24"/>
        </w:rPr>
        <w:t>179</w:t>
      </w:r>
      <w:r w:rsidRPr="00540661">
        <w:rPr>
          <w:noProof/>
          <w:szCs w:val="24"/>
        </w:rPr>
        <w:t>(2), pp.484–494.</w:t>
      </w:r>
    </w:p>
    <w:p w14:paraId="711C08CD"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Yoneyama, Koichi, Xie, X., Yoneyama, Kaori, Kisugi, T., Nomura, T., Nakatani, Y., Akiyama, K. and Mcerlean, C.S.P. 2018. Which are the major players, canonical or non-canonical strigolactones? </w:t>
      </w:r>
      <w:r w:rsidRPr="00540661">
        <w:rPr>
          <w:i/>
          <w:iCs/>
          <w:noProof/>
          <w:szCs w:val="24"/>
        </w:rPr>
        <w:t>Journal of Experimental Botany</w:t>
      </w:r>
      <w:r w:rsidRPr="00540661">
        <w:rPr>
          <w:noProof/>
          <w:szCs w:val="24"/>
        </w:rPr>
        <w:t xml:space="preserve">. </w:t>
      </w:r>
      <w:r w:rsidRPr="00540661">
        <w:rPr>
          <w:b/>
          <w:bCs/>
          <w:noProof/>
          <w:szCs w:val="24"/>
        </w:rPr>
        <w:t>69</w:t>
      </w:r>
      <w:r w:rsidRPr="00540661">
        <w:rPr>
          <w:noProof/>
          <w:szCs w:val="24"/>
        </w:rPr>
        <w:t>(9), pp.2231–2239.</w:t>
      </w:r>
    </w:p>
    <w:p w14:paraId="5B8AA0F9"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Yong, J.W.H., Letham, D.S., Wong, S.C. and Farquhar, G.D. 2010. Effects of root restriction on growth and associated cytokinin levels in cotton (Gossypium hirsutum). </w:t>
      </w:r>
      <w:r w:rsidRPr="00540661">
        <w:rPr>
          <w:i/>
          <w:iCs/>
          <w:noProof/>
          <w:szCs w:val="24"/>
        </w:rPr>
        <w:t>Functional Plant Biology</w:t>
      </w:r>
      <w:r w:rsidRPr="00540661">
        <w:rPr>
          <w:noProof/>
          <w:szCs w:val="24"/>
        </w:rPr>
        <w:t xml:space="preserve">. </w:t>
      </w:r>
      <w:r w:rsidRPr="00540661">
        <w:rPr>
          <w:b/>
          <w:bCs/>
          <w:noProof/>
          <w:szCs w:val="24"/>
        </w:rPr>
        <w:t>37</w:t>
      </w:r>
      <w:r w:rsidRPr="00540661">
        <w:rPr>
          <w:noProof/>
          <w:szCs w:val="24"/>
        </w:rPr>
        <w:t>(10), pp.974–984.</w:t>
      </w:r>
    </w:p>
    <w:p w14:paraId="704E5E13"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Young, I.M., Montagu, K., Conroy, J. and Bengough, A.G. 1997. Mechanical impedance of root growth directly reduces leaf elongation rates of cereals. </w:t>
      </w:r>
      <w:r w:rsidRPr="00540661">
        <w:rPr>
          <w:i/>
          <w:iCs/>
          <w:noProof/>
          <w:szCs w:val="24"/>
        </w:rPr>
        <w:t>New Phytologist</w:t>
      </w:r>
      <w:r w:rsidRPr="00540661">
        <w:rPr>
          <w:noProof/>
          <w:szCs w:val="24"/>
        </w:rPr>
        <w:t xml:space="preserve">. </w:t>
      </w:r>
      <w:r w:rsidRPr="00540661">
        <w:rPr>
          <w:b/>
          <w:bCs/>
          <w:noProof/>
          <w:szCs w:val="24"/>
        </w:rPr>
        <w:t>135</w:t>
      </w:r>
      <w:r w:rsidRPr="00540661">
        <w:rPr>
          <w:noProof/>
          <w:szCs w:val="24"/>
        </w:rPr>
        <w:t>(4), pp.613–619.</w:t>
      </w:r>
    </w:p>
    <w:p w14:paraId="097BF525"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Zagorchev, L., Stöggl, W., Teofanova, D., Li, J. and Kranner, I. 2021. Plant Parasites under Pressure: Effects of abiotic stress on the interactions between parasitic plants and their hosts. </w:t>
      </w:r>
      <w:r w:rsidRPr="00540661">
        <w:rPr>
          <w:i/>
          <w:iCs/>
          <w:noProof/>
          <w:szCs w:val="24"/>
        </w:rPr>
        <w:t>International Journal of Molecular Sciences</w:t>
      </w:r>
      <w:r w:rsidRPr="00540661">
        <w:rPr>
          <w:noProof/>
          <w:szCs w:val="24"/>
        </w:rPr>
        <w:t xml:space="preserve">. </w:t>
      </w:r>
      <w:r w:rsidRPr="00540661">
        <w:rPr>
          <w:b/>
          <w:bCs/>
          <w:noProof/>
          <w:szCs w:val="24"/>
        </w:rPr>
        <w:t>22</w:t>
      </w:r>
      <w:r w:rsidRPr="00540661">
        <w:rPr>
          <w:noProof/>
          <w:szCs w:val="24"/>
        </w:rPr>
        <w:t>(14), p.7418.</w:t>
      </w:r>
    </w:p>
    <w:p w14:paraId="737831D4"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Zhang, K., Novak, O., Wei, Z., Gou, M., Zhang, X., Yu, Y., Yang, H., Cai, Y., Strnad, M. and Liu, C.-J. 2014. Arabidopsis ABCG14 protein controls the acropetal translocation of root-synthesized cytokinins. </w:t>
      </w:r>
      <w:r w:rsidRPr="00540661">
        <w:rPr>
          <w:i/>
          <w:iCs/>
          <w:noProof/>
          <w:szCs w:val="24"/>
        </w:rPr>
        <w:t>Nature Communications</w:t>
      </w:r>
      <w:r w:rsidRPr="00540661">
        <w:rPr>
          <w:noProof/>
          <w:szCs w:val="24"/>
        </w:rPr>
        <w:t xml:space="preserve">. </w:t>
      </w:r>
      <w:r w:rsidRPr="00540661">
        <w:rPr>
          <w:b/>
          <w:bCs/>
          <w:noProof/>
          <w:szCs w:val="24"/>
        </w:rPr>
        <w:t>5</w:t>
      </w:r>
      <w:r w:rsidRPr="00540661">
        <w:rPr>
          <w:noProof/>
          <w:szCs w:val="24"/>
        </w:rPr>
        <w:t>(1), p.3274.</w:t>
      </w:r>
    </w:p>
    <w:p w14:paraId="651C845B"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Zhang, S.-Z., Li, Y.-H., Kong, C.-H. and Xu, X.-H. 2016. Interference of allelopathic wheat with different weeds. </w:t>
      </w:r>
      <w:r w:rsidRPr="00540661">
        <w:rPr>
          <w:i/>
          <w:iCs/>
          <w:noProof/>
          <w:szCs w:val="24"/>
        </w:rPr>
        <w:t>Pest Management Science</w:t>
      </w:r>
      <w:r w:rsidRPr="00540661">
        <w:rPr>
          <w:noProof/>
          <w:szCs w:val="24"/>
        </w:rPr>
        <w:t xml:space="preserve">. </w:t>
      </w:r>
      <w:r w:rsidRPr="00540661">
        <w:rPr>
          <w:b/>
          <w:bCs/>
          <w:noProof/>
          <w:szCs w:val="24"/>
        </w:rPr>
        <w:t>72</w:t>
      </w:r>
      <w:r w:rsidRPr="00540661">
        <w:rPr>
          <w:noProof/>
          <w:szCs w:val="24"/>
        </w:rPr>
        <w:t>(1), pp.172–178.</w:t>
      </w:r>
    </w:p>
    <w:p w14:paraId="120E7818"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Zhang, S., Huang, L., Yan, A., Liu, Y., Liu, B., Yu, C., Zhang, A., Schiefelbein, J. and Gan, Y. 2016. Multiple phytohormones promote root hair elongation by regulating a similar set of genes in the root epidermis in Arabidopsis. </w:t>
      </w:r>
      <w:r w:rsidRPr="00540661">
        <w:rPr>
          <w:i/>
          <w:iCs/>
          <w:noProof/>
          <w:szCs w:val="24"/>
        </w:rPr>
        <w:t>Journal of Experimental Botany</w:t>
      </w:r>
      <w:r w:rsidRPr="00540661">
        <w:rPr>
          <w:noProof/>
          <w:szCs w:val="24"/>
        </w:rPr>
        <w:t xml:space="preserve">. </w:t>
      </w:r>
      <w:r w:rsidRPr="00540661">
        <w:rPr>
          <w:b/>
          <w:bCs/>
          <w:noProof/>
          <w:szCs w:val="24"/>
        </w:rPr>
        <w:t>67</w:t>
      </w:r>
      <w:r w:rsidRPr="00540661">
        <w:rPr>
          <w:noProof/>
          <w:szCs w:val="24"/>
        </w:rPr>
        <w:t>(22), pp.6363–6372.</w:t>
      </w:r>
    </w:p>
    <w:p w14:paraId="5021ECD0"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Zhang, Y., van Dijk, A.D.J., Scaffidi, A., Flematti, G.R., Hofmann, M., Charnikhova, T., Verstappen, F., Hepworth, J., van der Krol, S., Leyser, O., Smith, S.M., Zwanenburg, B., Al-Babili, S., Ruyter-Spira, C. and </w:t>
      </w:r>
      <w:r w:rsidRPr="00540661">
        <w:rPr>
          <w:noProof/>
          <w:szCs w:val="24"/>
        </w:rPr>
        <w:lastRenderedPageBreak/>
        <w:t xml:space="preserve">Bouwmeester, H.J. 2014. Rice cytochrome P450 MAX1 homologs catalyze distinct steps in strigolactone biosynthesis. </w:t>
      </w:r>
      <w:r w:rsidRPr="00540661">
        <w:rPr>
          <w:i/>
          <w:iCs/>
          <w:noProof/>
          <w:szCs w:val="24"/>
        </w:rPr>
        <w:t>Nature Chemical Biology</w:t>
      </w:r>
      <w:r w:rsidRPr="00540661">
        <w:rPr>
          <w:noProof/>
          <w:szCs w:val="24"/>
        </w:rPr>
        <w:t xml:space="preserve">. </w:t>
      </w:r>
      <w:r w:rsidRPr="00540661">
        <w:rPr>
          <w:b/>
          <w:bCs/>
          <w:noProof/>
          <w:szCs w:val="24"/>
        </w:rPr>
        <w:t>10</w:t>
      </w:r>
      <w:r w:rsidRPr="00540661">
        <w:rPr>
          <w:noProof/>
          <w:szCs w:val="24"/>
        </w:rPr>
        <w:t>(12), pp.1028–1033.</w:t>
      </w:r>
    </w:p>
    <w:p w14:paraId="4086B4F7" w14:textId="77777777" w:rsidR="00540661" w:rsidRPr="00540661" w:rsidRDefault="00540661" w:rsidP="00540661">
      <w:pPr>
        <w:widowControl w:val="0"/>
        <w:autoSpaceDE w:val="0"/>
        <w:autoSpaceDN w:val="0"/>
        <w:adjustRightInd w:val="0"/>
        <w:spacing w:line="240" w:lineRule="atLeast"/>
        <w:ind w:left="480" w:hanging="480"/>
        <w:rPr>
          <w:noProof/>
          <w:szCs w:val="24"/>
        </w:rPr>
      </w:pPr>
      <w:r w:rsidRPr="00540661">
        <w:rPr>
          <w:noProof/>
          <w:szCs w:val="24"/>
        </w:rPr>
        <w:t xml:space="preserve">Zhou, L.H., Liu, S.B., Wang, P.F., Lu, T.J., Xu, F., Genin, G.M. and Pickard, B.G. 2017. The Arabidopsis trichome is an active mechanosensory switch. </w:t>
      </w:r>
      <w:r w:rsidRPr="00540661">
        <w:rPr>
          <w:i/>
          <w:iCs/>
          <w:noProof/>
          <w:szCs w:val="24"/>
        </w:rPr>
        <w:t>Plant, Cell &amp; Environment</w:t>
      </w:r>
      <w:r w:rsidRPr="00540661">
        <w:rPr>
          <w:noProof/>
          <w:szCs w:val="24"/>
        </w:rPr>
        <w:t xml:space="preserve">. </w:t>
      </w:r>
      <w:r w:rsidRPr="00540661">
        <w:rPr>
          <w:b/>
          <w:bCs/>
          <w:noProof/>
          <w:szCs w:val="24"/>
        </w:rPr>
        <w:t>40</w:t>
      </w:r>
      <w:r w:rsidRPr="00540661">
        <w:rPr>
          <w:noProof/>
          <w:szCs w:val="24"/>
        </w:rPr>
        <w:t>(5), pp.611–621.</w:t>
      </w:r>
    </w:p>
    <w:p w14:paraId="0AD93390" w14:textId="77777777" w:rsidR="00540661" w:rsidRPr="00540661" w:rsidRDefault="00540661" w:rsidP="00540661">
      <w:pPr>
        <w:widowControl w:val="0"/>
        <w:autoSpaceDE w:val="0"/>
        <w:autoSpaceDN w:val="0"/>
        <w:adjustRightInd w:val="0"/>
        <w:spacing w:line="240" w:lineRule="atLeast"/>
        <w:ind w:left="480" w:hanging="480"/>
        <w:rPr>
          <w:noProof/>
        </w:rPr>
      </w:pPr>
      <w:r w:rsidRPr="00540661">
        <w:rPr>
          <w:noProof/>
          <w:szCs w:val="24"/>
        </w:rPr>
        <w:t xml:space="preserve">Zhu, Y.H., Weiner, J., Yu, M.X. and Li, F.M. 2019. Evolutionary agroecology: Trends in root architecture during wheat breeding. </w:t>
      </w:r>
      <w:r w:rsidRPr="00540661">
        <w:rPr>
          <w:i/>
          <w:iCs/>
          <w:noProof/>
          <w:szCs w:val="24"/>
        </w:rPr>
        <w:t>Evolutionary Applications</w:t>
      </w:r>
      <w:r w:rsidRPr="00540661">
        <w:rPr>
          <w:noProof/>
          <w:szCs w:val="24"/>
        </w:rPr>
        <w:t xml:space="preserve">. </w:t>
      </w:r>
      <w:r w:rsidRPr="00540661">
        <w:rPr>
          <w:b/>
          <w:bCs/>
          <w:noProof/>
          <w:szCs w:val="24"/>
        </w:rPr>
        <w:t>12</w:t>
      </w:r>
      <w:r w:rsidRPr="00540661">
        <w:rPr>
          <w:noProof/>
          <w:szCs w:val="24"/>
        </w:rPr>
        <w:t>(4), pp.733–743.</w:t>
      </w:r>
    </w:p>
    <w:p w14:paraId="0F785D57" w14:textId="5419F2D8" w:rsidR="009D4F49" w:rsidRPr="009D4F49" w:rsidRDefault="0008677B" w:rsidP="009D4F49">
      <w:r>
        <w:fldChar w:fldCharType="end"/>
      </w:r>
    </w:p>
    <w:sectPr w:rsidR="009D4F49" w:rsidRPr="009D4F49" w:rsidSect="00E74085">
      <w:footnotePr>
        <w:numRestart w:val="eachSect"/>
      </w:footnotePr>
      <w:pgSz w:w="11906" w:h="16838"/>
      <w:pgMar w:top="1440" w:right="1296" w:bottom="1152" w:left="2448"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A9D083" w14:textId="77777777" w:rsidR="002D3EA8" w:rsidRDefault="002D3EA8">
      <w:r>
        <w:separator/>
      </w:r>
    </w:p>
  </w:endnote>
  <w:endnote w:type="continuationSeparator" w:id="0">
    <w:p w14:paraId="41E76067" w14:textId="77777777" w:rsidR="002D3EA8" w:rsidRDefault="002D3E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mn-e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6B92E1" w14:textId="77777777" w:rsidR="002D3EA8" w:rsidRDefault="002D3EA8">
      <w:r>
        <w:separator/>
      </w:r>
    </w:p>
  </w:footnote>
  <w:footnote w:type="continuationSeparator" w:id="0">
    <w:p w14:paraId="07FADE97" w14:textId="77777777" w:rsidR="002D3EA8" w:rsidRDefault="002D3E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F4793" w14:textId="77777777" w:rsidR="000E027A" w:rsidRDefault="000E027A">
    <w:pPr>
      <w:pStyle w:val="Header"/>
      <w:tabs>
        <w:tab w:val="left" w:pos="6200"/>
      </w:tabs>
    </w:pPr>
    <w:r>
      <w:t xml:space="preserve">- </w:t>
    </w:r>
    <w:r>
      <w:fldChar w:fldCharType="begin"/>
    </w:r>
    <w:r>
      <w:instrText>page</w:instrText>
    </w:r>
    <w:r>
      <w:fldChar w:fldCharType="separate"/>
    </w:r>
    <w:r>
      <w:rPr>
        <w:noProof/>
      </w:rPr>
      <w:t>9</w:t>
    </w:r>
    <w:r>
      <w:fldChar w:fldCharType="end"/>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048764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AA0D1D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484B91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A1EB75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8387F6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FB6360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FCD9E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AB6B70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C96F34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D7C5BB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3230A2"/>
    <w:multiLevelType w:val="hybridMultilevel"/>
    <w:tmpl w:val="014E504A"/>
    <w:lvl w:ilvl="0" w:tplc="08090001">
      <w:start w:val="1"/>
      <w:numFmt w:val="bullet"/>
      <w:lvlText w:val=""/>
      <w:lvlJc w:val="left"/>
      <w:pPr>
        <w:ind w:left="1260" w:hanging="360"/>
      </w:pPr>
      <w:rPr>
        <w:rFonts w:ascii="Symbol" w:hAnsi="Symbol" w:hint="default"/>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11" w15:restartNumberingAfterBreak="0">
    <w:nsid w:val="06F77184"/>
    <w:multiLevelType w:val="hybridMultilevel"/>
    <w:tmpl w:val="39C463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BEF776A"/>
    <w:multiLevelType w:val="hybridMultilevel"/>
    <w:tmpl w:val="7E447718"/>
    <w:lvl w:ilvl="0" w:tplc="BBC05D6C">
      <w:start w:val="1"/>
      <w:numFmt w:val="upperLetter"/>
      <w:lvlText w:val="%1)"/>
      <w:lvlJc w:val="left"/>
      <w:pPr>
        <w:ind w:left="473" w:hanging="360"/>
      </w:pPr>
      <w:rPr>
        <w:rFonts w:hint="default"/>
      </w:rPr>
    </w:lvl>
    <w:lvl w:ilvl="1" w:tplc="08090019" w:tentative="1">
      <w:start w:val="1"/>
      <w:numFmt w:val="lowerLetter"/>
      <w:lvlText w:val="%2."/>
      <w:lvlJc w:val="left"/>
      <w:pPr>
        <w:ind w:left="1193" w:hanging="360"/>
      </w:pPr>
    </w:lvl>
    <w:lvl w:ilvl="2" w:tplc="0809001B" w:tentative="1">
      <w:start w:val="1"/>
      <w:numFmt w:val="lowerRoman"/>
      <w:lvlText w:val="%3."/>
      <w:lvlJc w:val="right"/>
      <w:pPr>
        <w:ind w:left="1913" w:hanging="180"/>
      </w:pPr>
    </w:lvl>
    <w:lvl w:ilvl="3" w:tplc="0809000F" w:tentative="1">
      <w:start w:val="1"/>
      <w:numFmt w:val="decimal"/>
      <w:lvlText w:val="%4."/>
      <w:lvlJc w:val="left"/>
      <w:pPr>
        <w:ind w:left="2633" w:hanging="360"/>
      </w:pPr>
    </w:lvl>
    <w:lvl w:ilvl="4" w:tplc="08090019" w:tentative="1">
      <w:start w:val="1"/>
      <w:numFmt w:val="lowerLetter"/>
      <w:lvlText w:val="%5."/>
      <w:lvlJc w:val="left"/>
      <w:pPr>
        <w:ind w:left="3353" w:hanging="360"/>
      </w:pPr>
    </w:lvl>
    <w:lvl w:ilvl="5" w:tplc="0809001B" w:tentative="1">
      <w:start w:val="1"/>
      <w:numFmt w:val="lowerRoman"/>
      <w:lvlText w:val="%6."/>
      <w:lvlJc w:val="right"/>
      <w:pPr>
        <w:ind w:left="4073" w:hanging="180"/>
      </w:pPr>
    </w:lvl>
    <w:lvl w:ilvl="6" w:tplc="0809000F" w:tentative="1">
      <w:start w:val="1"/>
      <w:numFmt w:val="decimal"/>
      <w:lvlText w:val="%7."/>
      <w:lvlJc w:val="left"/>
      <w:pPr>
        <w:ind w:left="4793" w:hanging="360"/>
      </w:pPr>
    </w:lvl>
    <w:lvl w:ilvl="7" w:tplc="08090019" w:tentative="1">
      <w:start w:val="1"/>
      <w:numFmt w:val="lowerLetter"/>
      <w:lvlText w:val="%8."/>
      <w:lvlJc w:val="left"/>
      <w:pPr>
        <w:ind w:left="5513" w:hanging="360"/>
      </w:pPr>
    </w:lvl>
    <w:lvl w:ilvl="8" w:tplc="0809001B" w:tentative="1">
      <w:start w:val="1"/>
      <w:numFmt w:val="lowerRoman"/>
      <w:lvlText w:val="%9."/>
      <w:lvlJc w:val="right"/>
      <w:pPr>
        <w:ind w:left="6233" w:hanging="180"/>
      </w:pPr>
    </w:lvl>
  </w:abstractNum>
  <w:abstractNum w:abstractNumId="13" w15:restartNumberingAfterBreak="0">
    <w:nsid w:val="1D8D706B"/>
    <w:multiLevelType w:val="hybridMultilevel"/>
    <w:tmpl w:val="5FFCDAD2"/>
    <w:lvl w:ilvl="0" w:tplc="EFFC29A8">
      <w:start w:val="1"/>
      <w:numFmt w:val="upperLetter"/>
      <w:lvlText w:val="%1)"/>
      <w:lvlJc w:val="left"/>
      <w:pPr>
        <w:ind w:left="473" w:hanging="360"/>
      </w:pPr>
      <w:rPr>
        <w:rFonts w:hint="default"/>
      </w:rPr>
    </w:lvl>
    <w:lvl w:ilvl="1" w:tplc="08090019" w:tentative="1">
      <w:start w:val="1"/>
      <w:numFmt w:val="lowerLetter"/>
      <w:lvlText w:val="%2."/>
      <w:lvlJc w:val="left"/>
      <w:pPr>
        <w:ind w:left="1193" w:hanging="360"/>
      </w:pPr>
    </w:lvl>
    <w:lvl w:ilvl="2" w:tplc="0809001B" w:tentative="1">
      <w:start w:val="1"/>
      <w:numFmt w:val="lowerRoman"/>
      <w:lvlText w:val="%3."/>
      <w:lvlJc w:val="right"/>
      <w:pPr>
        <w:ind w:left="1913" w:hanging="180"/>
      </w:pPr>
    </w:lvl>
    <w:lvl w:ilvl="3" w:tplc="0809000F" w:tentative="1">
      <w:start w:val="1"/>
      <w:numFmt w:val="decimal"/>
      <w:lvlText w:val="%4."/>
      <w:lvlJc w:val="left"/>
      <w:pPr>
        <w:ind w:left="2633" w:hanging="360"/>
      </w:pPr>
    </w:lvl>
    <w:lvl w:ilvl="4" w:tplc="08090019" w:tentative="1">
      <w:start w:val="1"/>
      <w:numFmt w:val="lowerLetter"/>
      <w:lvlText w:val="%5."/>
      <w:lvlJc w:val="left"/>
      <w:pPr>
        <w:ind w:left="3353" w:hanging="360"/>
      </w:pPr>
    </w:lvl>
    <w:lvl w:ilvl="5" w:tplc="0809001B" w:tentative="1">
      <w:start w:val="1"/>
      <w:numFmt w:val="lowerRoman"/>
      <w:lvlText w:val="%6."/>
      <w:lvlJc w:val="right"/>
      <w:pPr>
        <w:ind w:left="4073" w:hanging="180"/>
      </w:pPr>
    </w:lvl>
    <w:lvl w:ilvl="6" w:tplc="0809000F" w:tentative="1">
      <w:start w:val="1"/>
      <w:numFmt w:val="decimal"/>
      <w:lvlText w:val="%7."/>
      <w:lvlJc w:val="left"/>
      <w:pPr>
        <w:ind w:left="4793" w:hanging="360"/>
      </w:pPr>
    </w:lvl>
    <w:lvl w:ilvl="7" w:tplc="08090019" w:tentative="1">
      <w:start w:val="1"/>
      <w:numFmt w:val="lowerLetter"/>
      <w:lvlText w:val="%8."/>
      <w:lvlJc w:val="left"/>
      <w:pPr>
        <w:ind w:left="5513" w:hanging="360"/>
      </w:pPr>
    </w:lvl>
    <w:lvl w:ilvl="8" w:tplc="0809001B" w:tentative="1">
      <w:start w:val="1"/>
      <w:numFmt w:val="lowerRoman"/>
      <w:lvlText w:val="%9."/>
      <w:lvlJc w:val="right"/>
      <w:pPr>
        <w:ind w:left="6233" w:hanging="180"/>
      </w:pPr>
    </w:lvl>
  </w:abstractNum>
  <w:abstractNum w:abstractNumId="14" w15:restartNumberingAfterBreak="0">
    <w:nsid w:val="1F0F330A"/>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24131BB9"/>
    <w:multiLevelType w:val="hybridMultilevel"/>
    <w:tmpl w:val="9B8A6800"/>
    <w:lvl w:ilvl="0" w:tplc="08090001">
      <w:start w:val="1"/>
      <w:numFmt w:val="bullet"/>
      <w:lvlText w:val=""/>
      <w:lvlJc w:val="left"/>
      <w:pPr>
        <w:ind w:left="1260" w:hanging="360"/>
      </w:pPr>
      <w:rPr>
        <w:rFonts w:ascii="Symbol" w:hAnsi="Symbol" w:hint="default"/>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16" w15:restartNumberingAfterBreak="0">
    <w:nsid w:val="248C4E49"/>
    <w:multiLevelType w:val="hybridMultilevel"/>
    <w:tmpl w:val="710AFE06"/>
    <w:lvl w:ilvl="0" w:tplc="DC1C9B4E">
      <w:start w:val="3"/>
      <w:numFmt w:val="decimal"/>
      <w:lvlText w:val="%1)"/>
      <w:lvlJc w:val="left"/>
      <w:pPr>
        <w:ind w:left="473" w:hanging="360"/>
      </w:pPr>
      <w:rPr>
        <w:rFonts w:hint="default"/>
        <w:b/>
      </w:rPr>
    </w:lvl>
    <w:lvl w:ilvl="1" w:tplc="08090019" w:tentative="1">
      <w:start w:val="1"/>
      <w:numFmt w:val="lowerLetter"/>
      <w:lvlText w:val="%2."/>
      <w:lvlJc w:val="left"/>
      <w:pPr>
        <w:ind w:left="1193" w:hanging="360"/>
      </w:pPr>
    </w:lvl>
    <w:lvl w:ilvl="2" w:tplc="0809001B" w:tentative="1">
      <w:start w:val="1"/>
      <w:numFmt w:val="lowerRoman"/>
      <w:lvlText w:val="%3."/>
      <w:lvlJc w:val="right"/>
      <w:pPr>
        <w:ind w:left="1913" w:hanging="180"/>
      </w:pPr>
    </w:lvl>
    <w:lvl w:ilvl="3" w:tplc="0809000F" w:tentative="1">
      <w:start w:val="1"/>
      <w:numFmt w:val="decimal"/>
      <w:lvlText w:val="%4."/>
      <w:lvlJc w:val="left"/>
      <w:pPr>
        <w:ind w:left="2633" w:hanging="360"/>
      </w:pPr>
    </w:lvl>
    <w:lvl w:ilvl="4" w:tplc="08090019" w:tentative="1">
      <w:start w:val="1"/>
      <w:numFmt w:val="lowerLetter"/>
      <w:lvlText w:val="%5."/>
      <w:lvlJc w:val="left"/>
      <w:pPr>
        <w:ind w:left="3353" w:hanging="360"/>
      </w:pPr>
    </w:lvl>
    <w:lvl w:ilvl="5" w:tplc="0809001B" w:tentative="1">
      <w:start w:val="1"/>
      <w:numFmt w:val="lowerRoman"/>
      <w:lvlText w:val="%6."/>
      <w:lvlJc w:val="right"/>
      <w:pPr>
        <w:ind w:left="4073" w:hanging="180"/>
      </w:pPr>
    </w:lvl>
    <w:lvl w:ilvl="6" w:tplc="0809000F" w:tentative="1">
      <w:start w:val="1"/>
      <w:numFmt w:val="decimal"/>
      <w:lvlText w:val="%7."/>
      <w:lvlJc w:val="left"/>
      <w:pPr>
        <w:ind w:left="4793" w:hanging="360"/>
      </w:pPr>
    </w:lvl>
    <w:lvl w:ilvl="7" w:tplc="08090019" w:tentative="1">
      <w:start w:val="1"/>
      <w:numFmt w:val="lowerLetter"/>
      <w:lvlText w:val="%8."/>
      <w:lvlJc w:val="left"/>
      <w:pPr>
        <w:ind w:left="5513" w:hanging="360"/>
      </w:pPr>
    </w:lvl>
    <w:lvl w:ilvl="8" w:tplc="0809001B" w:tentative="1">
      <w:start w:val="1"/>
      <w:numFmt w:val="lowerRoman"/>
      <w:lvlText w:val="%9."/>
      <w:lvlJc w:val="right"/>
      <w:pPr>
        <w:ind w:left="6233" w:hanging="180"/>
      </w:pPr>
    </w:lvl>
  </w:abstractNum>
  <w:abstractNum w:abstractNumId="17" w15:restartNumberingAfterBreak="0">
    <w:nsid w:val="307355F0"/>
    <w:multiLevelType w:val="hybridMultilevel"/>
    <w:tmpl w:val="34305C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6AC243D"/>
    <w:multiLevelType w:val="hybridMultilevel"/>
    <w:tmpl w:val="F0347D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45F2AF6"/>
    <w:multiLevelType w:val="hybridMultilevel"/>
    <w:tmpl w:val="9034ACCE"/>
    <w:lvl w:ilvl="0" w:tplc="08090001">
      <w:start w:val="1"/>
      <w:numFmt w:val="bullet"/>
      <w:lvlText w:val=""/>
      <w:lvlJc w:val="left"/>
      <w:pPr>
        <w:ind w:left="900" w:hanging="360"/>
      </w:pPr>
      <w:rPr>
        <w:rFonts w:ascii="Symbol" w:hAnsi="Symbol"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20" w15:restartNumberingAfterBreak="0">
    <w:nsid w:val="571504CC"/>
    <w:multiLevelType w:val="hybridMultilevel"/>
    <w:tmpl w:val="91AA967C"/>
    <w:lvl w:ilvl="0" w:tplc="08090001">
      <w:start w:val="1"/>
      <w:numFmt w:val="bullet"/>
      <w:lvlText w:val=""/>
      <w:lvlJc w:val="left"/>
      <w:pPr>
        <w:ind w:left="3960" w:hanging="360"/>
      </w:pPr>
      <w:rPr>
        <w:rFonts w:ascii="Symbol" w:hAnsi="Symbol" w:hint="default"/>
      </w:rPr>
    </w:lvl>
    <w:lvl w:ilvl="1" w:tplc="08090003" w:tentative="1">
      <w:start w:val="1"/>
      <w:numFmt w:val="bullet"/>
      <w:lvlText w:val="o"/>
      <w:lvlJc w:val="left"/>
      <w:pPr>
        <w:ind w:left="4680" w:hanging="360"/>
      </w:pPr>
      <w:rPr>
        <w:rFonts w:ascii="Courier New" w:hAnsi="Courier New" w:cs="Courier New" w:hint="default"/>
      </w:rPr>
    </w:lvl>
    <w:lvl w:ilvl="2" w:tplc="08090005" w:tentative="1">
      <w:start w:val="1"/>
      <w:numFmt w:val="bullet"/>
      <w:lvlText w:val=""/>
      <w:lvlJc w:val="left"/>
      <w:pPr>
        <w:ind w:left="5400" w:hanging="360"/>
      </w:pPr>
      <w:rPr>
        <w:rFonts w:ascii="Wingdings" w:hAnsi="Wingdings" w:hint="default"/>
      </w:rPr>
    </w:lvl>
    <w:lvl w:ilvl="3" w:tplc="08090001" w:tentative="1">
      <w:start w:val="1"/>
      <w:numFmt w:val="bullet"/>
      <w:lvlText w:val=""/>
      <w:lvlJc w:val="left"/>
      <w:pPr>
        <w:ind w:left="6120" w:hanging="360"/>
      </w:pPr>
      <w:rPr>
        <w:rFonts w:ascii="Symbol" w:hAnsi="Symbol" w:hint="default"/>
      </w:rPr>
    </w:lvl>
    <w:lvl w:ilvl="4" w:tplc="08090003" w:tentative="1">
      <w:start w:val="1"/>
      <w:numFmt w:val="bullet"/>
      <w:lvlText w:val="o"/>
      <w:lvlJc w:val="left"/>
      <w:pPr>
        <w:ind w:left="6840" w:hanging="360"/>
      </w:pPr>
      <w:rPr>
        <w:rFonts w:ascii="Courier New" w:hAnsi="Courier New" w:cs="Courier New" w:hint="default"/>
      </w:rPr>
    </w:lvl>
    <w:lvl w:ilvl="5" w:tplc="08090005" w:tentative="1">
      <w:start w:val="1"/>
      <w:numFmt w:val="bullet"/>
      <w:lvlText w:val=""/>
      <w:lvlJc w:val="left"/>
      <w:pPr>
        <w:ind w:left="7560" w:hanging="360"/>
      </w:pPr>
      <w:rPr>
        <w:rFonts w:ascii="Wingdings" w:hAnsi="Wingdings" w:hint="default"/>
      </w:rPr>
    </w:lvl>
    <w:lvl w:ilvl="6" w:tplc="08090001" w:tentative="1">
      <w:start w:val="1"/>
      <w:numFmt w:val="bullet"/>
      <w:lvlText w:val=""/>
      <w:lvlJc w:val="left"/>
      <w:pPr>
        <w:ind w:left="8280" w:hanging="360"/>
      </w:pPr>
      <w:rPr>
        <w:rFonts w:ascii="Symbol" w:hAnsi="Symbol" w:hint="default"/>
      </w:rPr>
    </w:lvl>
    <w:lvl w:ilvl="7" w:tplc="08090003" w:tentative="1">
      <w:start w:val="1"/>
      <w:numFmt w:val="bullet"/>
      <w:lvlText w:val="o"/>
      <w:lvlJc w:val="left"/>
      <w:pPr>
        <w:ind w:left="9000" w:hanging="360"/>
      </w:pPr>
      <w:rPr>
        <w:rFonts w:ascii="Courier New" w:hAnsi="Courier New" w:cs="Courier New" w:hint="default"/>
      </w:rPr>
    </w:lvl>
    <w:lvl w:ilvl="8" w:tplc="08090005" w:tentative="1">
      <w:start w:val="1"/>
      <w:numFmt w:val="bullet"/>
      <w:lvlText w:val=""/>
      <w:lvlJc w:val="left"/>
      <w:pPr>
        <w:ind w:left="9720" w:hanging="360"/>
      </w:pPr>
      <w:rPr>
        <w:rFonts w:ascii="Wingdings" w:hAnsi="Wingdings" w:hint="default"/>
      </w:rPr>
    </w:lvl>
  </w:abstractNum>
  <w:abstractNum w:abstractNumId="21" w15:restartNumberingAfterBreak="0">
    <w:nsid w:val="64E61CBD"/>
    <w:multiLevelType w:val="multilevel"/>
    <w:tmpl w:val="1BC46E0C"/>
    <w:lvl w:ilvl="0">
      <w:start w:val="1"/>
      <w:numFmt w:val="decimal"/>
      <w:pStyle w:val="Heading1"/>
      <w:lvlText w:val="Chapter %1"/>
      <w:lvlJc w:val="left"/>
      <w:pPr>
        <w:ind w:left="360" w:hanging="360"/>
      </w:pPr>
      <w:rPr>
        <w:rFonts w:hint="default"/>
      </w:rPr>
    </w:lvl>
    <w:lvl w:ilvl="1">
      <w:start w:val="1"/>
      <w:numFmt w:val="decimal"/>
      <w:pStyle w:val="Heading2"/>
      <w:lvlText w:val="%1.%2."/>
      <w:lvlJc w:val="left"/>
      <w:pPr>
        <w:ind w:left="792" w:hanging="432"/>
      </w:pPr>
      <w:rPr>
        <w:rFonts w:hint="default"/>
      </w:rPr>
    </w:lvl>
    <w:lvl w:ilvl="2">
      <w:start w:val="1"/>
      <w:numFmt w:val="decimal"/>
      <w:pStyle w:val="Heading3"/>
      <w:lvlText w:val="%1.%2.%3."/>
      <w:lvlJc w:val="left"/>
      <w:pPr>
        <w:ind w:left="1224" w:hanging="504"/>
      </w:pPr>
      <w:rPr>
        <w:rFonts w:hint="default"/>
      </w:rPr>
    </w:lvl>
    <w:lvl w:ilvl="3">
      <w:start w:val="1"/>
      <w:numFmt w:val="decimal"/>
      <w:pStyle w:val="Heading4"/>
      <w:lvlText w:val="%1.%2.%3.%4."/>
      <w:lvlJc w:val="left"/>
      <w:pPr>
        <w:ind w:left="1728" w:hanging="648"/>
      </w:pPr>
      <w:rPr>
        <w:rFonts w:hint="default"/>
      </w:rPr>
    </w:lvl>
    <w:lvl w:ilvl="4">
      <w:start w:val="1"/>
      <w:numFmt w:val="decimal"/>
      <w:pStyle w:val="Heading5"/>
      <w:lvlText w:val="%1.%2.%3.%4.%5."/>
      <w:lvlJc w:val="left"/>
      <w:pPr>
        <w:ind w:left="2232" w:hanging="792"/>
      </w:pPr>
      <w:rPr>
        <w:rFonts w:hint="default"/>
      </w:rPr>
    </w:lvl>
    <w:lvl w:ilvl="5">
      <w:start w:val="1"/>
      <w:numFmt w:val="decimal"/>
      <w:pStyle w:val="Heading6"/>
      <w:lvlText w:val="%1.%2.%3.%4.%5.%6."/>
      <w:lvlJc w:val="left"/>
      <w:pPr>
        <w:ind w:left="2736" w:hanging="936"/>
      </w:pPr>
      <w:rPr>
        <w:rFonts w:hint="default"/>
      </w:rPr>
    </w:lvl>
    <w:lvl w:ilvl="6">
      <w:start w:val="1"/>
      <w:numFmt w:val="decimal"/>
      <w:pStyle w:val="Heading7"/>
      <w:lvlText w:val="%1.%2.%3.%4.%5.%6.%7."/>
      <w:lvlJc w:val="left"/>
      <w:pPr>
        <w:ind w:left="3240" w:hanging="1080"/>
      </w:pPr>
      <w:rPr>
        <w:rFonts w:hint="default"/>
      </w:rPr>
    </w:lvl>
    <w:lvl w:ilvl="7">
      <w:start w:val="1"/>
      <w:numFmt w:val="decimal"/>
      <w:pStyle w:val="Heading8"/>
      <w:lvlText w:val="%1.%2.%3.%4.%5.%6.%7.%8."/>
      <w:lvlJc w:val="left"/>
      <w:pPr>
        <w:ind w:left="3744" w:hanging="1224"/>
      </w:pPr>
      <w:rPr>
        <w:rFonts w:hint="default"/>
      </w:rPr>
    </w:lvl>
    <w:lvl w:ilvl="8">
      <w:start w:val="1"/>
      <w:numFmt w:val="decimal"/>
      <w:pStyle w:val="Heading9"/>
      <w:lvlText w:val="%1.%2.%3.%4.%5.%6.%7.%8.%9."/>
      <w:lvlJc w:val="left"/>
      <w:pPr>
        <w:ind w:left="4320" w:hanging="1440"/>
      </w:pPr>
      <w:rPr>
        <w:rFonts w:hint="default"/>
      </w:rPr>
    </w:lvl>
  </w:abstractNum>
  <w:abstractNum w:abstractNumId="22" w15:restartNumberingAfterBreak="0">
    <w:nsid w:val="6A917ECD"/>
    <w:multiLevelType w:val="hybridMultilevel"/>
    <w:tmpl w:val="27044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DF04E0F"/>
    <w:multiLevelType w:val="hybridMultilevel"/>
    <w:tmpl w:val="295C1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EA83935"/>
    <w:multiLevelType w:val="hybridMultilevel"/>
    <w:tmpl w:val="4A8A1B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940338445">
    <w:abstractNumId w:val="20"/>
  </w:num>
  <w:num w:numId="2" w16cid:durableId="341931711">
    <w:abstractNumId w:val="10"/>
  </w:num>
  <w:num w:numId="3" w16cid:durableId="2062944752">
    <w:abstractNumId w:val="19"/>
  </w:num>
  <w:num w:numId="4" w16cid:durableId="1332564542">
    <w:abstractNumId w:val="18"/>
  </w:num>
  <w:num w:numId="5" w16cid:durableId="489060371">
    <w:abstractNumId w:val="17"/>
  </w:num>
  <w:num w:numId="6" w16cid:durableId="1718965290">
    <w:abstractNumId w:val="11"/>
  </w:num>
  <w:num w:numId="7" w16cid:durableId="1975676396">
    <w:abstractNumId w:val="9"/>
  </w:num>
  <w:num w:numId="8" w16cid:durableId="1325161379">
    <w:abstractNumId w:val="7"/>
  </w:num>
  <w:num w:numId="9" w16cid:durableId="1204564427">
    <w:abstractNumId w:val="6"/>
  </w:num>
  <w:num w:numId="10" w16cid:durableId="1926186966">
    <w:abstractNumId w:val="5"/>
  </w:num>
  <w:num w:numId="11" w16cid:durableId="1986620880">
    <w:abstractNumId w:val="4"/>
  </w:num>
  <w:num w:numId="12" w16cid:durableId="1196697153">
    <w:abstractNumId w:val="8"/>
  </w:num>
  <w:num w:numId="13" w16cid:durableId="1046952354">
    <w:abstractNumId w:val="3"/>
  </w:num>
  <w:num w:numId="14" w16cid:durableId="1919942777">
    <w:abstractNumId w:val="2"/>
  </w:num>
  <w:num w:numId="15" w16cid:durableId="221601592">
    <w:abstractNumId w:val="1"/>
  </w:num>
  <w:num w:numId="16" w16cid:durableId="280459538">
    <w:abstractNumId w:val="0"/>
  </w:num>
  <w:num w:numId="17" w16cid:durableId="1416439487">
    <w:abstractNumId w:val="15"/>
  </w:num>
  <w:num w:numId="18" w16cid:durableId="566308956">
    <w:abstractNumId w:val="23"/>
  </w:num>
  <w:num w:numId="19" w16cid:durableId="1797528284">
    <w:abstractNumId w:val="22"/>
  </w:num>
  <w:num w:numId="20" w16cid:durableId="1373262882">
    <w:abstractNumId w:val="21"/>
  </w:num>
  <w:num w:numId="21" w16cid:durableId="1327901055">
    <w:abstractNumId w:val="14"/>
  </w:num>
  <w:num w:numId="22" w16cid:durableId="2120876540">
    <w:abstractNumId w:val="24"/>
  </w:num>
  <w:num w:numId="23" w16cid:durableId="933514510">
    <w:abstractNumId w:val="12"/>
  </w:num>
  <w:num w:numId="24" w16cid:durableId="2012945205">
    <w:abstractNumId w:val="13"/>
  </w:num>
  <w:num w:numId="25" w16cid:durableId="80304048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printFractionalCharacterWidth/>
  <w:embedSystemFonts/>
  <w:hideGrammaticalErrors/>
  <w:attachedTemplate r:id="rId1"/>
  <w:stylePaneFormatFilter w:val="3F24" w:allStyles="0" w:customStyles="0" w:latentStyles="1"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792C"/>
    <w:rsid w:val="0000082F"/>
    <w:rsid w:val="00002023"/>
    <w:rsid w:val="00002552"/>
    <w:rsid w:val="00007765"/>
    <w:rsid w:val="00011222"/>
    <w:rsid w:val="00012056"/>
    <w:rsid w:val="0001262D"/>
    <w:rsid w:val="000134C6"/>
    <w:rsid w:val="00013733"/>
    <w:rsid w:val="00013863"/>
    <w:rsid w:val="0001501F"/>
    <w:rsid w:val="00016172"/>
    <w:rsid w:val="00016220"/>
    <w:rsid w:val="0001728F"/>
    <w:rsid w:val="000200BF"/>
    <w:rsid w:val="00020556"/>
    <w:rsid w:val="00031B71"/>
    <w:rsid w:val="000324C4"/>
    <w:rsid w:val="00036DAF"/>
    <w:rsid w:val="000420FB"/>
    <w:rsid w:val="0004291F"/>
    <w:rsid w:val="00042C89"/>
    <w:rsid w:val="00044BB2"/>
    <w:rsid w:val="00045D74"/>
    <w:rsid w:val="00046185"/>
    <w:rsid w:val="000466CC"/>
    <w:rsid w:val="00047972"/>
    <w:rsid w:val="00047A5A"/>
    <w:rsid w:val="000500F0"/>
    <w:rsid w:val="00050E6A"/>
    <w:rsid w:val="000517F0"/>
    <w:rsid w:val="00052704"/>
    <w:rsid w:val="00053130"/>
    <w:rsid w:val="000538C3"/>
    <w:rsid w:val="000541CA"/>
    <w:rsid w:val="00055189"/>
    <w:rsid w:val="0005549F"/>
    <w:rsid w:val="00056500"/>
    <w:rsid w:val="00056A7F"/>
    <w:rsid w:val="00057EE1"/>
    <w:rsid w:val="00061F04"/>
    <w:rsid w:val="00062CDD"/>
    <w:rsid w:val="00063A1B"/>
    <w:rsid w:val="000649D0"/>
    <w:rsid w:val="00066124"/>
    <w:rsid w:val="00066A61"/>
    <w:rsid w:val="00066F7C"/>
    <w:rsid w:val="00067033"/>
    <w:rsid w:val="000671AF"/>
    <w:rsid w:val="00067AF1"/>
    <w:rsid w:val="00067E30"/>
    <w:rsid w:val="0007078F"/>
    <w:rsid w:val="00072627"/>
    <w:rsid w:val="000736C1"/>
    <w:rsid w:val="00073BA4"/>
    <w:rsid w:val="00074726"/>
    <w:rsid w:val="000749E5"/>
    <w:rsid w:val="00076171"/>
    <w:rsid w:val="000761EE"/>
    <w:rsid w:val="00076E96"/>
    <w:rsid w:val="000772A5"/>
    <w:rsid w:val="00080341"/>
    <w:rsid w:val="00080CED"/>
    <w:rsid w:val="00081044"/>
    <w:rsid w:val="000830F0"/>
    <w:rsid w:val="000837E0"/>
    <w:rsid w:val="00084FEB"/>
    <w:rsid w:val="00085711"/>
    <w:rsid w:val="0008677B"/>
    <w:rsid w:val="0008688E"/>
    <w:rsid w:val="00087439"/>
    <w:rsid w:val="00087A4E"/>
    <w:rsid w:val="00087A7C"/>
    <w:rsid w:val="00087DBE"/>
    <w:rsid w:val="00090D30"/>
    <w:rsid w:val="000915B6"/>
    <w:rsid w:val="00093006"/>
    <w:rsid w:val="00093EF6"/>
    <w:rsid w:val="000940F5"/>
    <w:rsid w:val="0009642C"/>
    <w:rsid w:val="000A05B5"/>
    <w:rsid w:val="000A0835"/>
    <w:rsid w:val="000A1687"/>
    <w:rsid w:val="000A3465"/>
    <w:rsid w:val="000A4865"/>
    <w:rsid w:val="000A5D6A"/>
    <w:rsid w:val="000A6081"/>
    <w:rsid w:val="000A76B8"/>
    <w:rsid w:val="000B05FB"/>
    <w:rsid w:val="000B1137"/>
    <w:rsid w:val="000B2ED9"/>
    <w:rsid w:val="000B2F07"/>
    <w:rsid w:val="000B30F4"/>
    <w:rsid w:val="000B38F1"/>
    <w:rsid w:val="000B516E"/>
    <w:rsid w:val="000B73DF"/>
    <w:rsid w:val="000C02B2"/>
    <w:rsid w:val="000C1D13"/>
    <w:rsid w:val="000C52DB"/>
    <w:rsid w:val="000C66F9"/>
    <w:rsid w:val="000C7F17"/>
    <w:rsid w:val="000D07DF"/>
    <w:rsid w:val="000D133D"/>
    <w:rsid w:val="000D16DB"/>
    <w:rsid w:val="000D272C"/>
    <w:rsid w:val="000D3330"/>
    <w:rsid w:val="000D5294"/>
    <w:rsid w:val="000D5DFF"/>
    <w:rsid w:val="000D6092"/>
    <w:rsid w:val="000D69B5"/>
    <w:rsid w:val="000E027A"/>
    <w:rsid w:val="000E1A57"/>
    <w:rsid w:val="000E3C8B"/>
    <w:rsid w:val="000E4013"/>
    <w:rsid w:val="000E4BC9"/>
    <w:rsid w:val="000E62FF"/>
    <w:rsid w:val="000E639E"/>
    <w:rsid w:val="000E6799"/>
    <w:rsid w:val="000E7D58"/>
    <w:rsid w:val="000F0BCB"/>
    <w:rsid w:val="000F1741"/>
    <w:rsid w:val="000F36FD"/>
    <w:rsid w:val="000F64D4"/>
    <w:rsid w:val="000F70BC"/>
    <w:rsid w:val="000F76EF"/>
    <w:rsid w:val="00100F42"/>
    <w:rsid w:val="0010124A"/>
    <w:rsid w:val="00101AED"/>
    <w:rsid w:val="00103A82"/>
    <w:rsid w:val="001041A0"/>
    <w:rsid w:val="00106111"/>
    <w:rsid w:val="001064B3"/>
    <w:rsid w:val="00106A5B"/>
    <w:rsid w:val="00110226"/>
    <w:rsid w:val="0011027A"/>
    <w:rsid w:val="0011027D"/>
    <w:rsid w:val="00110D46"/>
    <w:rsid w:val="00111A1D"/>
    <w:rsid w:val="00114011"/>
    <w:rsid w:val="00114F5D"/>
    <w:rsid w:val="00115B14"/>
    <w:rsid w:val="00116527"/>
    <w:rsid w:val="00120A02"/>
    <w:rsid w:val="001211AA"/>
    <w:rsid w:val="00121BC7"/>
    <w:rsid w:val="00122158"/>
    <w:rsid w:val="001221D4"/>
    <w:rsid w:val="001227EB"/>
    <w:rsid w:val="00124A23"/>
    <w:rsid w:val="00124D86"/>
    <w:rsid w:val="00125BD8"/>
    <w:rsid w:val="00130702"/>
    <w:rsid w:val="00132012"/>
    <w:rsid w:val="0013233D"/>
    <w:rsid w:val="00132788"/>
    <w:rsid w:val="0013353F"/>
    <w:rsid w:val="00137208"/>
    <w:rsid w:val="001401F1"/>
    <w:rsid w:val="00142795"/>
    <w:rsid w:val="00142CDE"/>
    <w:rsid w:val="00146228"/>
    <w:rsid w:val="001475B8"/>
    <w:rsid w:val="00147904"/>
    <w:rsid w:val="00150914"/>
    <w:rsid w:val="001528FA"/>
    <w:rsid w:val="00160E41"/>
    <w:rsid w:val="001611C6"/>
    <w:rsid w:val="001614FA"/>
    <w:rsid w:val="00162079"/>
    <w:rsid w:val="0016241C"/>
    <w:rsid w:val="0016360A"/>
    <w:rsid w:val="001640E7"/>
    <w:rsid w:val="001648CB"/>
    <w:rsid w:val="0016655D"/>
    <w:rsid w:val="00166862"/>
    <w:rsid w:val="00166E9D"/>
    <w:rsid w:val="0016753D"/>
    <w:rsid w:val="00171639"/>
    <w:rsid w:val="001719F3"/>
    <w:rsid w:val="00172969"/>
    <w:rsid w:val="00174EC0"/>
    <w:rsid w:val="0017584A"/>
    <w:rsid w:val="00175862"/>
    <w:rsid w:val="001768DA"/>
    <w:rsid w:val="0017771D"/>
    <w:rsid w:val="00180B06"/>
    <w:rsid w:val="0018192B"/>
    <w:rsid w:val="00182C8A"/>
    <w:rsid w:val="0018324A"/>
    <w:rsid w:val="001832C8"/>
    <w:rsid w:val="0018353E"/>
    <w:rsid w:val="0018448F"/>
    <w:rsid w:val="00184712"/>
    <w:rsid w:val="00184C10"/>
    <w:rsid w:val="001857D7"/>
    <w:rsid w:val="00185F47"/>
    <w:rsid w:val="001920F5"/>
    <w:rsid w:val="001924ED"/>
    <w:rsid w:val="0019263E"/>
    <w:rsid w:val="00193807"/>
    <w:rsid w:val="0019393E"/>
    <w:rsid w:val="0019509D"/>
    <w:rsid w:val="00195CD3"/>
    <w:rsid w:val="001963F6"/>
    <w:rsid w:val="001A0724"/>
    <w:rsid w:val="001A0E00"/>
    <w:rsid w:val="001A3286"/>
    <w:rsid w:val="001A44E2"/>
    <w:rsid w:val="001A6003"/>
    <w:rsid w:val="001A6A13"/>
    <w:rsid w:val="001B0E8F"/>
    <w:rsid w:val="001B1B26"/>
    <w:rsid w:val="001B5354"/>
    <w:rsid w:val="001B587D"/>
    <w:rsid w:val="001B714A"/>
    <w:rsid w:val="001C0B50"/>
    <w:rsid w:val="001C288B"/>
    <w:rsid w:val="001C2B32"/>
    <w:rsid w:val="001C4873"/>
    <w:rsid w:val="001C4A8C"/>
    <w:rsid w:val="001C6790"/>
    <w:rsid w:val="001C74EB"/>
    <w:rsid w:val="001D0F14"/>
    <w:rsid w:val="001D29E0"/>
    <w:rsid w:val="001D2C2A"/>
    <w:rsid w:val="001D3B0D"/>
    <w:rsid w:val="001D7456"/>
    <w:rsid w:val="001D77D0"/>
    <w:rsid w:val="001D79BE"/>
    <w:rsid w:val="001D7B34"/>
    <w:rsid w:val="001E2741"/>
    <w:rsid w:val="001E5853"/>
    <w:rsid w:val="001E6420"/>
    <w:rsid w:val="001F0042"/>
    <w:rsid w:val="001F1B9A"/>
    <w:rsid w:val="001F39C1"/>
    <w:rsid w:val="001F3DD8"/>
    <w:rsid w:val="001F4AA8"/>
    <w:rsid w:val="001F4B4A"/>
    <w:rsid w:val="001F4C7B"/>
    <w:rsid w:val="001F5250"/>
    <w:rsid w:val="001F5396"/>
    <w:rsid w:val="001F5C23"/>
    <w:rsid w:val="001F762A"/>
    <w:rsid w:val="00200F23"/>
    <w:rsid w:val="00200FCA"/>
    <w:rsid w:val="00201D56"/>
    <w:rsid w:val="0020277A"/>
    <w:rsid w:val="00202959"/>
    <w:rsid w:val="002053A7"/>
    <w:rsid w:val="0020580E"/>
    <w:rsid w:val="00205DAD"/>
    <w:rsid w:val="00207CD8"/>
    <w:rsid w:val="00210BA8"/>
    <w:rsid w:val="00210FC9"/>
    <w:rsid w:val="00211F90"/>
    <w:rsid w:val="00212840"/>
    <w:rsid w:val="002137F2"/>
    <w:rsid w:val="002148C4"/>
    <w:rsid w:val="00214C14"/>
    <w:rsid w:val="00215831"/>
    <w:rsid w:val="00215B72"/>
    <w:rsid w:val="00216FCF"/>
    <w:rsid w:val="00222F70"/>
    <w:rsid w:val="00223580"/>
    <w:rsid w:val="00223C7F"/>
    <w:rsid w:val="0022486F"/>
    <w:rsid w:val="00226BAB"/>
    <w:rsid w:val="00226DA1"/>
    <w:rsid w:val="00230312"/>
    <w:rsid w:val="00232689"/>
    <w:rsid w:val="00240C44"/>
    <w:rsid w:val="00241FE2"/>
    <w:rsid w:val="002431AF"/>
    <w:rsid w:val="002434AD"/>
    <w:rsid w:val="00244583"/>
    <w:rsid w:val="00246846"/>
    <w:rsid w:val="00246BF6"/>
    <w:rsid w:val="00246CFD"/>
    <w:rsid w:val="00247A80"/>
    <w:rsid w:val="00250026"/>
    <w:rsid w:val="002509CB"/>
    <w:rsid w:val="00252792"/>
    <w:rsid w:val="00255AC5"/>
    <w:rsid w:val="00256141"/>
    <w:rsid w:val="00256265"/>
    <w:rsid w:val="00256346"/>
    <w:rsid w:val="00256C09"/>
    <w:rsid w:val="002574CF"/>
    <w:rsid w:val="0026054C"/>
    <w:rsid w:val="00260985"/>
    <w:rsid w:val="00261ECB"/>
    <w:rsid w:val="0026298F"/>
    <w:rsid w:val="00262A4F"/>
    <w:rsid w:val="00264270"/>
    <w:rsid w:val="00264868"/>
    <w:rsid w:val="0026673B"/>
    <w:rsid w:val="002703A7"/>
    <w:rsid w:val="00272609"/>
    <w:rsid w:val="00272E7C"/>
    <w:rsid w:val="0027611F"/>
    <w:rsid w:val="00276584"/>
    <w:rsid w:val="002767A2"/>
    <w:rsid w:val="00277418"/>
    <w:rsid w:val="00281A24"/>
    <w:rsid w:val="00281C69"/>
    <w:rsid w:val="002820A4"/>
    <w:rsid w:val="00283ED5"/>
    <w:rsid w:val="00284602"/>
    <w:rsid w:val="00285D3C"/>
    <w:rsid w:val="00285FC4"/>
    <w:rsid w:val="00285FE5"/>
    <w:rsid w:val="002860EA"/>
    <w:rsid w:val="0028644C"/>
    <w:rsid w:val="0028717B"/>
    <w:rsid w:val="0029128B"/>
    <w:rsid w:val="00291A46"/>
    <w:rsid w:val="00291E77"/>
    <w:rsid w:val="002941DB"/>
    <w:rsid w:val="002952BA"/>
    <w:rsid w:val="0029776E"/>
    <w:rsid w:val="00297B98"/>
    <w:rsid w:val="002A0219"/>
    <w:rsid w:val="002A09CC"/>
    <w:rsid w:val="002A2FC7"/>
    <w:rsid w:val="002A500F"/>
    <w:rsid w:val="002A5E48"/>
    <w:rsid w:val="002A655D"/>
    <w:rsid w:val="002A7CF1"/>
    <w:rsid w:val="002B12A3"/>
    <w:rsid w:val="002B15E8"/>
    <w:rsid w:val="002B2510"/>
    <w:rsid w:val="002B5014"/>
    <w:rsid w:val="002B5399"/>
    <w:rsid w:val="002B5A78"/>
    <w:rsid w:val="002B5D89"/>
    <w:rsid w:val="002B5E5E"/>
    <w:rsid w:val="002B6DE2"/>
    <w:rsid w:val="002B6E5E"/>
    <w:rsid w:val="002B74A1"/>
    <w:rsid w:val="002C487F"/>
    <w:rsid w:val="002C50C6"/>
    <w:rsid w:val="002C54B3"/>
    <w:rsid w:val="002C557B"/>
    <w:rsid w:val="002C7785"/>
    <w:rsid w:val="002D08C5"/>
    <w:rsid w:val="002D0FEA"/>
    <w:rsid w:val="002D30E2"/>
    <w:rsid w:val="002D3EA8"/>
    <w:rsid w:val="002D4E68"/>
    <w:rsid w:val="002D5D39"/>
    <w:rsid w:val="002D6F75"/>
    <w:rsid w:val="002D75C6"/>
    <w:rsid w:val="002E21D7"/>
    <w:rsid w:val="002E2CF9"/>
    <w:rsid w:val="002E33C4"/>
    <w:rsid w:val="002E4423"/>
    <w:rsid w:val="002E4DD6"/>
    <w:rsid w:val="002F191F"/>
    <w:rsid w:val="002F1B8A"/>
    <w:rsid w:val="002F1E15"/>
    <w:rsid w:val="002F3F89"/>
    <w:rsid w:val="002F5DB8"/>
    <w:rsid w:val="002F7310"/>
    <w:rsid w:val="00301319"/>
    <w:rsid w:val="00301690"/>
    <w:rsid w:val="003019AF"/>
    <w:rsid w:val="00302F8C"/>
    <w:rsid w:val="00304EAB"/>
    <w:rsid w:val="00306CDF"/>
    <w:rsid w:val="003125C1"/>
    <w:rsid w:val="00312D6E"/>
    <w:rsid w:val="00314584"/>
    <w:rsid w:val="00320B9E"/>
    <w:rsid w:val="00320DC3"/>
    <w:rsid w:val="00321CF4"/>
    <w:rsid w:val="00321F07"/>
    <w:rsid w:val="00322555"/>
    <w:rsid w:val="00322F04"/>
    <w:rsid w:val="00322F51"/>
    <w:rsid w:val="00322FD6"/>
    <w:rsid w:val="0032638B"/>
    <w:rsid w:val="00327383"/>
    <w:rsid w:val="00331C0F"/>
    <w:rsid w:val="00333317"/>
    <w:rsid w:val="00334E10"/>
    <w:rsid w:val="00335B11"/>
    <w:rsid w:val="00335BFD"/>
    <w:rsid w:val="00337F9F"/>
    <w:rsid w:val="003401C0"/>
    <w:rsid w:val="00340ECA"/>
    <w:rsid w:val="00342FF5"/>
    <w:rsid w:val="003437A8"/>
    <w:rsid w:val="00343A84"/>
    <w:rsid w:val="00343DA7"/>
    <w:rsid w:val="00344845"/>
    <w:rsid w:val="003456AE"/>
    <w:rsid w:val="003457C0"/>
    <w:rsid w:val="0034709C"/>
    <w:rsid w:val="00347394"/>
    <w:rsid w:val="003476CA"/>
    <w:rsid w:val="00347B12"/>
    <w:rsid w:val="0035004F"/>
    <w:rsid w:val="00351ABC"/>
    <w:rsid w:val="00351BD5"/>
    <w:rsid w:val="00352AF2"/>
    <w:rsid w:val="00352EE7"/>
    <w:rsid w:val="00355830"/>
    <w:rsid w:val="00360E34"/>
    <w:rsid w:val="0036241A"/>
    <w:rsid w:val="003651C5"/>
    <w:rsid w:val="003654B3"/>
    <w:rsid w:val="003669FF"/>
    <w:rsid w:val="00367014"/>
    <w:rsid w:val="00367088"/>
    <w:rsid w:val="00367FED"/>
    <w:rsid w:val="00372338"/>
    <w:rsid w:val="00372368"/>
    <w:rsid w:val="00372748"/>
    <w:rsid w:val="0037283A"/>
    <w:rsid w:val="003730AD"/>
    <w:rsid w:val="00374E3C"/>
    <w:rsid w:val="00375187"/>
    <w:rsid w:val="0037595C"/>
    <w:rsid w:val="00376004"/>
    <w:rsid w:val="00376E65"/>
    <w:rsid w:val="0037745A"/>
    <w:rsid w:val="00380941"/>
    <w:rsid w:val="00380E02"/>
    <w:rsid w:val="003854CF"/>
    <w:rsid w:val="00386AA2"/>
    <w:rsid w:val="00387EAB"/>
    <w:rsid w:val="003905B1"/>
    <w:rsid w:val="00390C2E"/>
    <w:rsid w:val="00391B83"/>
    <w:rsid w:val="00392FA6"/>
    <w:rsid w:val="00395144"/>
    <w:rsid w:val="003954E6"/>
    <w:rsid w:val="00395708"/>
    <w:rsid w:val="00395820"/>
    <w:rsid w:val="003A0458"/>
    <w:rsid w:val="003A0798"/>
    <w:rsid w:val="003A096D"/>
    <w:rsid w:val="003A22D4"/>
    <w:rsid w:val="003A435D"/>
    <w:rsid w:val="003B0881"/>
    <w:rsid w:val="003B285C"/>
    <w:rsid w:val="003B3730"/>
    <w:rsid w:val="003B3A7A"/>
    <w:rsid w:val="003B4A89"/>
    <w:rsid w:val="003B4CC8"/>
    <w:rsid w:val="003B4DB3"/>
    <w:rsid w:val="003B4EC0"/>
    <w:rsid w:val="003B5063"/>
    <w:rsid w:val="003B7365"/>
    <w:rsid w:val="003C09FE"/>
    <w:rsid w:val="003C1686"/>
    <w:rsid w:val="003C5400"/>
    <w:rsid w:val="003C5C54"/>
    <w:rsid w:val="003C6613"/>
    <w:rsid w:val="003C6E60"/>
    <w:rsid w:val="003C72F9"/>
    <w:rsid w:val="003C7841"/>
    <w:rsid w:val="003C795E"/>
    <w:rsid w:val="003C7B3A"/>
    <w:rsid w:val="003C7C87"/>
    <w:rsid w:val="003D24A6"/>
    <w:rsid w:val="003D2A31"/>
    <w:rsid w:val="003D3701"/>
    <w:rsid w:val="003D4685"/>
    <w:rsid w:val="003D4956"/>
    <w:rsid w:val="003D4B01"/>
    <w:rsid w:val="003D51E6"/>
    <w:rsid w:val="003D5EF6"/>
    <w:rsid w:val="003D631A"/>
    <w:rsid w:val="003D79AF"/>
    <w:rsid w:val="003E01D4"/>
    <w:rsid w:val="003E0691"/>
    <w:rsid w:val="003E26FE"/>
    <w:rsid w:val="003E3525"/>
    <w:rsid w:val="003E38D6"/>
    <w:rsid w:val="003E3C43"/>
    <w:rsid w:val="003E3FD0"/>
    <w:rsid w:val="003E43B5"/>
    <w:rsid w:val="003E5476"/>
    <w:rsid w:val="003E559A"/>
    <w:rsid w:val="003F0BB8"/>
    <w:rsid w:val="003F2554"/>
    <w:rsid w:val="003F35F7"/>
    <w:rsid w:val="003F537F"/>
    <w:rsid w:val="003F5B74"/>
    <w:rsid w:val="003F5C34"/>
    <w:rsid w:val="003F5E49"/>
    <w:rsid w:val="003F615E"/>
    <w:rsid w:val="003F6649"/>
    <w:rsid w:val="003F6721"/>
    <w:rsid w:val="003F77FA"/>
    <w:rsid w:val="0040011D"/>
    <w:rsid w:val="00400F2A"/>
    <w:rsid w:val="004015AD"/>
    <w:rsid w:val="00403779"/>
    <w:rsid w:val="00403886"/>
    <w:rsid w:val="00403D8C"/>
    <w:rsid w:val="00403FE8"/>
    <w:rsid w:val="00405026"/>
    <w:rsid w:val="00405281"/>
    <w:rsid w:val="0040640C"/>
    <w:rsid w:val="00406C14"/>
    <w:rsid w:val="004079CD"/>
    <w:rsid w:val="004106FA"/>
    <w:rsid w:val="00411020"/>
    <w:rsid w:val="00411546"/>
    <w:rsid w:val="004118EE"/>
    <w:rsid w:val="00411A5B"/>
    <w:rsid w:val="00411A71"/>
    <w:rsid w:val="0041425A"/>
    <w:rsid w:val="00417142"/>
    <w:rsid w:val="00420F18"/>
    <w:rsid w:val="00421827"/>
    <w:rsid w:val="004227A2"/>
    <w:rsid w:val="004233C6"/>
    <w:rsid w:val="00423721"/>
    <w:rsid w:val="00423799"/>
    <w:rsid w:val="00423DA8"/>
    <w:rsid w:val="0042470D"/>
    <w:rsid w:val="00424EFE"/>
    <w:rsid w:val="00432328"/>
    <w:rsid w:val="00433B21"/>
    <w:rsid w:val="00434D4F"/>
    <w:rsid w:val="00434F50"/>
    <w:rsid w:val="00435609"/>
    <w:rsid w:val="0043748E"/>
    <w:rsid w:val="00440801"/>
    <w:rsid w:val="004458FF"/>
    <w:rsid w:val="00446573"/>
    <w:rsid w:val="00446ECB"/>
    <w:rsid w:val="00447E1A"/>
    <w:rsid w:val="00447F98"/>
    <w:rsid w:val="00452A84"/>
    <w:rsid w:val="00453073"/>
    <w:rsid w:val="00455406"/>
    <w:rsid w:val="004566A3"/>
    <w:rsid w:val="0045792F"/>
    <w:rsid w:val="00457FD7"/>
    <w:rsid w:val="0046162F"/>
    <w:rsid w:val="00462381"/>
    <w:rsid w:val="00463648"/>
    <w:rsid w:val="00463F13"/>
    <w:rsid w:val="00466052"/>
    <w:rsid w:val="00467283"/>
    <w:rsid w:val="00467725"/>
    <w:rsid w:val="0047215B"/>
    <w:rsid w:val="00472230"/>
    <w:rsid w:val="00472AB8"/>
    <w:rsid w:val="004732BF"/>
    <w:rsid w:val="00473C32"/>
    <w:rsid w:val="00474225"/>
    <w:rsid w:val="004757E4"/>
    <w:rsid w:val="00477855"/>
    <w:rsid w:val="00481915"/>
    <w:rsid w:val="0048217A"/>
    <w:rsid w:val="00482B16"/>
    <w:rsid w:val="00487099"/>
    <w:rsid w:val="00487CF1"/>
    <w:rsid w:val="00490FF4"/>
    <w:rsid w:val="00491940"/>
    <w:rsid w:val="00492CA5"/>
    <w:rsid w:val="00493013"/>
    <w:rsid w:val="00493C3C"/>
    <w:rsid w:val="00493EC9"/>
    <w:rsid w:val="00495CDA"/>
    <w:rsid w:val="0049729D"/>
    <w:rsid w:val="00497C84"/>
    <w:rsid w:val="004A10DB"/>
    <w:rsid w:val="004A141F"/>
    <w:rsid w:val="004A1692"/>
    <w:rsid w:val="004A1FFE"/>
    <w:rsid w:val="004A4FA8"/>
    <w:rsid w:val="004A5B77"/>
    <w:rsid w:val="004A5BBD"/>
    <w:rsid w:val="004A5BD3"/>
    <w:rsid w:val="004A6474"/>
    <w:rsid w:val="004B0FE6"/>
    <w:rsid w:val="004B103A"/>
    <w:rsid w:val="004B1438"/>
    <w:rsid w:val="004B378E"/>
    <w:rsid w:val="004B4014"/>
    <w:rsid w:val="004B52D3"/>
    <w:rsid w:val="004B5989"/>
    <w:rsid w:val="004B70B7"/>
    <w:rsid w:val="004B7AAA"/>
    <w:rsid w:val="004B7DFB"/>
    <w:rsid w:val="004B7F70"/>
    <w:rsid w:val="004C08F3"/>
    <w:rsid w:val="004C0DE5"/>
    <w:rsid w:val="004C3A36"/>
    <w:rsid w:val="004C3C75"/>
    <w:rsid w:val="004C3F84"/>
    <w:rsid w:val="004C4079"/>
    <w:rsid w:val="004C4BED"/>
    <w:rsid w:val="004C4CD7"/>
    <w:rsid w:val="004C6875"/>
    <w:rsid w:val="004C7729"/>
    <w:rsid w:val="004D26B5"/>
    <w:rsid w:val="004D3D43"/>
    <w:rsid w:val="004D6CA4"/>
    <w:rsid w:val="004D7867"/>
    <w:rsid w:val="004E1C4C"/>
    <w:rsid w:val="004E1D23"/>
    <w:rsid w:val="004E4647"/>
    <w:rsid w:val="004E560D"/>
    <w:rsid w:val="004E5901"/>
    <w:rsid w:val="004E5BB3"/>
    <w:rsid w:val="004E670C"/>
    <w:rsid w:val="004E67A9"/>
    <w:rsid w:val="004E71B4"/>
    <w:rsid w:val="004E78E3"/>
    <w:rsid w:val="004E7A6A"/>
    <w:rsid w:val="004E7DE1"/>
    <w:rsid w:val="004E7FCC"/>
    <w:rsid w:val="004F0533"/>
    <w:rsid w:val="004F21EF"/>
    <w:rsid w:val="004F2239"/>
    <w:rsid w:val="004F3E35"/>
    <w:rsid w:val="0050070F"/>
    <w:rsid w:val="005010F9"/>
    <w:rsid w:val="00501EC5"/>
    <w:rsid w:val="005070A3"/>
    <w:rsid w:val="0051247B"/>
    <w:rsid w:val="005142FA"/>
    <w:rsid w:val="00515557"/>
    <w:rsid w:val="0051710E"/>
    <w:rsid w:val="0051783F"/>
    <w:rsid w:val="00520F57"/>
    <w:rsid w:val="00522CC1"/>
    <w:rsid w:val="005235CF"/>
    <w:rsid w:val="00523639"/>
    <w:rsid w:val="00524B61"/>
    <w:rsid w:val="00524DB4"/>
    <w:rsid w:val="00525C59"/>
    <w:rsid w:val="005261E4"/>
    <w:rsid w:val="005307EC"/>
    <w:rsid w:val="00530FD1"/>
    <w:rsid w:val="00531B80"/>
    <w:rsid w:val="005335B2"/>
    <w:rsid w:val="00533AE7"/>
    <w:rsid w:val="005345F4"/>
    <w:rsid w:val="00534C2A"/>
    <w:rsid w:val="00540661"/>
    <w:rsid w:val="0054204A"/>
    <w:rsid w:val="00542AD3"/>
    <w:rsid w:val="00544000"/>
    <w:rsid w:val="00544CF9"/>
    <w:rsid w:val="005450BE"/>
    <w:rsid w:val="00547FCF"/>
    <w:rsid w:val="00550C7B"/>
    <w:rsid w:val="005536FC"/>
    <w:rsid w:val="0055448C"/>
    <w:rsid w:val="00555AFA"/>
    <w:rsid w:val="00555B63"/>
    <w:rsid w:val="00556EAF"/>
    <w:rsid w:val="005604FC"/>
    <w:rsid w:val="00562324"/>
    <w:rsid w:val="0056386B"/>
    <w:rsid w:val="005661E9"/>
    <w:rsid w:val="005674E9"/>
    <w:rsid w:val="005676C6"/>
    <w:rsid w:val="0057183C"/>
    <w:rsid w:val="00571CB5"/>
    <w:rsid w:val="005732DA"/>
    <w:rsid w:val="005745EA"/>
    <w:rsid w:val="00575E8A"/>
    <w:rsid w:val="00575FE0"/>
    <w:rsid w:val="005835B2"/>
    <w:rsid w:val="005846EC"/>
    <w:rsid w:val="00586299"/>
    <w:rsid w:val="005864D8"/>
    <w:rsid w:val="0058656A"/>
    <w:rsid w:val="00586D89"/>
    <w:rsid w:val="00591852"/>
    <w:rsid w:val="00593797"/>
    <w:rsid w:val="005940AE"/>
    <w:rsid w:val="00594ADC"/>
    <w:rsid w:val="00595210"/>
    <w:rsid w:val="00595DF5"/>
    <w:rsid w:val="005962EC"/>
    <w:rsid w:val="00596D9D"/>
    <w:rsid w:val="005A1971"/>
    <w:rsid w:val="005A3A9B"/>
    <w:rsid w:val="005A4972"/>
    <w:rsid w:val="005A5D3A"/>
    <w:rsid w:val="005A63F7"/>
    <w:rsid w:val="005B0E77"/>
    <w:rsid w:val="005B1824"/>
    <w:rsid w:val="005B1C30"/>
    <w:rsid w:val="005B2BCD"/>
    <w:rsid w:val="005B557E"/>
    <w:rsid w:val="005B5F3C"/>
    <w:rsid w:val="005B656C"/>
    <w:rsid w:val="005C1440"/>
    <w:rsid w:val="005C242E"/>
    <w:rsid w:val="005C2AEA"/>
    <w:rsid w:val="005C3A3C"/>
    <w:rsid w:val="005C3B30"/>
    <w:rsid w:val="005C3E97"/>
    <w:rsid w:val="005C70DF"/>
    <w:rsid w:val="005D1352"/>
    <w:rsid w:val="005D31B2"/>
    <w:rsid w:val="005D60A3"/>
    <w:rsid w:val="005D647F"/>
    <w:rsid w:val="005D7786"/>
    <w:rsid w:val="005E0C83"/>
    <w:rsid w:val="005E10C7"/>
    <w:rsid w:val="005E518F"/>
    <w:rsid w:val="005E6928"/>
    <w:rsid w:val="005E7129"/>
    <w:rsid w:val="005E74BF"/>
    <w:rsid w:val="005F0852"/>
    <w:rsid w:val="005F13E7"/>
    <w:rsid w:val="005F4F16"/>
    <w:rsid w:val="005F7AAE"/>
    <w:rsid w:val="00601645"/>
    <w:rsid w:val="00601798"/>
    <w:rsid w:val="006029B8"/>
    <w:rsid w:val="006031C3"/>
    <w:rsid w:val="0060428D"/>
    <w:rsid w:val="00604867"/>
    <w:rsid w:val="00605227"/>
    <w:rsid w:val="00606138"/>
    <w:rsid w:val="006068FB"/>
    <w:rsid w:val="00610233"/>
    <w:rsid w:val="00610EFF"/>
    <w:rsid w:val="00611291"/>
    <w:rsid w:val="006118FD"/>
    <w:rsid w:val="00612AE9"/>
    <w:rsid w:val="0061417A"/>
    <w:rsid w:val="0061425F"/>
    <w:rsid w:val="00614BDD"/>
    <w:rsid w:val="0061567D"/>
    <w:rsid w:val="0061610D"/>
    <w:rsid w:val="0061630E"/>
    <w:rsid w:val="00616EB8"/>
    <w:rsid w:val="0062185E"/>
    <w:rsid w:val="0062367D"/>
    <w:rsid w:val="006264CA"/>
    <w:rsid w:val="0062705A"/>
    <w:rsid w:val="00627E47"/>
    <w:rsid w:val="00630D4D"/>
    <w:rsid w:val="00631896"/>
    <w:rsid w:val="00632C45"/>
    <w:rsid w:val="00634AA4"/>
    <w:rsid w:val="00636783"/>
    <w:rsid w:val="00637815"/>
    <w:rsid w:val="00642DEA"/>
    <w:rsid w:val="00646450"/>
    <w:rsid w:val="006475E4"/>
    <w:rsid w:val="00647B0E"/>
    <w:rsid w:val="00647BBA"/>
    <w:rsid w:val="00647E95"/>
    <w:rsid w:val="00650912"/>
    <w:rsid w:val="00650BD2"/>
    <w:rsid w:val="00650FBB"/>
    <w:rsid w:val="006534B3"/>
    <w:rsid w:val="00653A6B"/>
    <w:rsid w:val="0065601E"/>
    <w:rsid w:val="00656695"/>
    <w:rsid w:val="0065679E"/>
    <w:rsid w:val="00656BE7"/>
    <w:rsid w:val="006575E0"/>
    <w:rsid w:val="006645A1"/>
    <w:rsid w:val="00664A10"/>
    <w:rsid w:val="0066607E"/>
    <w:rsid w:val="00672EFF"/>
    <w:rsid w:val="006734CE"/>
    <w:rsid w:val="00674538"/>
    <w:rsid w:val="00675D36"/>
    <w:rsid w:val="00676325"/>
    <w:rsid w:val="00676D2F"/>
    <w:rsid w:val="00676DDB"/>
    <w:rsid w:val="00677013"/>
    <w:rsid w:val="0067763E"/>
    <w:rsid w:val="00677C0B"/>
    <w:rsid w:val="00677EA2"/>
    <w:rsid w:val="00677F53"/>
    <w:rsid w:val="00684412"/>
    <w:rsid w:val="00684D46"/>
    <w:rsid w:val="006853DE"/>
    <w:rsid w:val="00685633"/>
    <w:rsid w:val="00687AEF"/>
    <w:rsid w:val="00691DEE"/>
    <w:rsid w:val="00692624"/>
    <w:rsid w:val="00694C53"/>
    <w:rsid w:val="00694EAC"/>
    <w:rsid w:val="0069514F"/>
    <w:rsid w:val="00695FDB"/>
    <w:rsid w:val="006977CE"/>
    <w:rsid w:val="006A0C86"/>
    <w:rsid w:val="006A6F36"/>
    <w:rsid w:val="006A7156"/>
    <w:rsid w:val="006A7CCA"/>
    <w:rsid w:val="006B0B6A"/>
    <w:rsid w:val="006B2AF6"/>
    <w:rsid w:val="006B4418"/>
    <w:rsid w:val="006B6C44"/>
    <w:rsid w:val="006B7949"/>
    <w:rsid w:val="006C0775"/>
    <w:rsid w:val="006C0799"/>
    <w:rsid w:val="006C0EA3"/>
    <w:rsid w:val="006C27BE"/>
    <w:rsid w:val="006C5C85"/>
    <w:rsid w:val="006C604F"/>
    <w:rsid w:val="006C6EF8"/>
    <w:rsid w:val="006C74E1"/>
    <w:rsid w:val="006C74F7"/>
    <w:rsid w:val="006D1319"/>
    <w:rsid w:val="006D279E"/>
    <w:rsid w:val="006D2A4A"/>
    <w:rsid w:val="006D379E"/>
    <w:rsid w:val="006D4D23"/>
    <w:rsid w:val="006D53C1"/>
    <w:rsid w:val="006D5886"/>
    <w:rsid w:val="006D6A02"/>
    <w:rsid w:val="006D71A5"/>
    <w:rsid w:val="006D7359"/>
    <w:rsid w:val="006E0854"/>
    <w:rsid w:val="006E1AA4"/>
    <w:rsid w:val="006E27E0"/>
    <w:rsid w:val="006E329C"/>
    <w:rsid w:val="006E3F59"/>
    <w:rsid w:val="006E41FC"/>
    <w:rsid w:val="006E452E"/>
    <w:rsid w:val="006E4EF4"/>
    <w:rsid w:val="006E524D"/>
    <w:rsid w:val="006E6721"/>
    <w:rsid w:val="006E6D4A"/>
    <w:rsid w:val="006F0754"/>
    <w:rsid w:val="006F0986"/>
    <w:rsid w:val="006F165E"/>
    <w:rsid w:val="006F2CA5"/>
    <w:rsid w:val="006F2DB4"/>
    <w:rsid w:val="006F320B"/>
    <w:rsid w:val="006F4507"/>
    <w:rsid w:val="006F4544"/>
    <w:rsid w:val="006F6D86"/>
    <w:rsid w:val="006F7403"/>
    <w:rsid w:val="00702A4C"/>
    <w:rsid w:val="00703A29"/>
    <w:rsid w:val="007047B7"/>
    <w:rsid w:val="0070606A"/>
    <w:rsid w:val="00706805"/>
    <w:rsid w:val="00710475"/>
    <w:rsid w:val="00711183"/>
    <w:rsid w:val="00711419"/>
    <w:rsid w:val="007129E1"/>
    <w:rsid w:val="0071448F"/>
    <w:rsid w:val="00714F43"/>
    <w:rsid w:val="007162B6"/>
    <w:rsid w:val="00716D44"/>
    <w:rsid w:val="00716F15"/>
    <w:rsid w:val="00717150"/>
    <w:rsid w:val="007173C2"/>
    <w:rsid w:val="00720C30"/>
    <w:rsid w:val="00720CDC"/>
    <w:rsid w:val="00721F50"/>
    <w:rsid w:val="007232D4"/>
    <w:rsid w:val="007305AC"/>
    <w:rsid w:val="00733918"/>
    <w:rsid w:val="00733BA4"/>
    <w:rsid w:val="00734302"/>
    <w:rsid w:val="00734C0A"/>
    <w:rsid w:val="0073601E"/>
    <w:rsid w:val="007405AD"/>
    <w:rsid w:val="00741871"/>
    <w:rsid w:val="00742045"/>
    <w:rsid w:val="00743E4C"/>
    <w:rsid w:val="007443A5"/>
    <w:rsid w:val="00744CE1"/>
    <w:rsid w:val="00746C33"/>
    <w:rsid w:val="00746F36"/>
    <w:rsid w:val="00747882"/>
    <w:rsid w:val="00747B29"/>
    <w:rsid w:val="00750DE7"/>
    <w:rsid w:val="007529FC"/>
    <w:rsid w:val="00753564"/>
    <w:rsid w:val="007539C4"/>
    <w:rsid w:val="00754A99"/>
    <w:rsid w:val="00755304"/>
    <w:rsid w:val="00756A57"/>
    <w:rsid w:val="00756FEB"/>
    <w:rsid w:val="00757019"/>
    <w:rsid w:val="007614BE"/>
    <w:rsid w:val="0076267E"/>
    <w:rsid w:val="007661C3"/>
    <w:rsid w:val="00767760"/>
    <w:rsid w:val="0077047E"/>
    <w:rsid w:val="00770554"/>
    <w:rsid w:val="007771FA"/>
    <w:rsid w:val="00777EDB"/>
    <w:rsid w:val="00781456"/>
    <w:rsid w:val="00781C11"/>
    <w:rsid w:val="0078303E"/>
    <w:rsid w:val="00784B35"/>
    <w:rsid w:val="0078521C"/>
    <w:rsid w:val="00785F4E"/>
    <w:rsid w:val="00791434"/>
    <w:rsid w:val="007918FA"/>
    <w:rsid w:val="0079281B"/>
    <w:rsid w:val="007948D2"/>
    <w:rsid w:val="007952D3"/>
    <w:rsid w:val="007A2C4A"/>
    <w:rsid w:val="007A2ECA"/>
    <w:rsid w:val="007A3758"/>
    <w:rsid w:val="007A3F19"/>
    <w:rsid w:val="007A4664"/>
    <w:rsid w:val="007A63D4"/>
    <w:rsid w:val="007A66B5"/>
    <w:rsid w:val="007A76D8"/>
    <w:rsid w:val="007A7BA5"/>
    <w:rsid w:val="007B2966"/>
    <w:rsid w:val="007B4515"/>
    <w:rsid w:val="007B49A1"/>
    <w:rsid w:val="007B7FD8"/>
    <w:rsid w:val="007C06D3"/>
    <w:rsid w:val="007C0AA9"/>
    <w:rsid w:val="007C1F71"/>
    <w:rsid w:val="007C2E86"/>
    <w:rsid w:val="007C56BE"/>
    <w:rsid w:val="007C741E"/>
    <w:rsid w:val="007D0917"/>
    <w:rsid w:val="007D0A7C"/>
    <w:rsid w:val="007D0C6C"/>
    <w:rsid w:val="007D301B"/>
    <w:rsid w:val="007D3F3E"/>
    <w:rsid w:val="007D4DE2"/>
    <w:rsid w:val="007D626C"/>
    <w:rsid w:val="007D678D"/>
    <w:rsid w:val="007D7B25"/>
    <w:rsid w:val="007E0582"/>
    <w:rsid w:val="007E08C4"/>
    <w:rsid w:val="007E2AA7"/>
    <w:rsid w:val="007E2CCA"/>
    <w:rsid w:val="007E3B7C"/>
    <w:rsid w:val="007E6703"/>
    <w:rsid w:val="007E6F14"/>
    <w:rsid w:val="007E6F70"/>
    <w:rsid w:val="007E769B"/>
    <w:rsid w:val="007F1D5B"/>
    <w:rsid w:val="007F29F4"/>
    <w:rsid w:val="007F38B3"/>
    <w:rsid w:val="007F3D87"/>
    <w:rsid w:val="007F3E11"/>
    <w:rsid w:val="007F52A9"/>
    <w:rsid w:val="007F568A"/>
    <w:rsid w:val="007F5E17"/>
    <w:rsid w:val="007F6A6A"/>
    <w:rsid w:val="007F7347"/>
    <w:rsid w:val="007F7A9D"/>
    <w:rsid w:val="00801F44"/>
    <w:rsid w:val="00802094"/>
    <w:rsid w:val="008028D6"/>
    <w:rsid w:val="00803483"/>
    <w:rsid w:val="00804E96"/>
    <w:rsid w:val="00805D7D"/>
    <w:rsid w:val="00806250"/>
    <w:rsid w:val="0080672E"/>
    <w:rsid w:val="00806B34"/>
    <w:rsid w:val="00807643"/>
    <w:rsid w:val="00807C93"/>
    <w:rsid w:val="00811EAC"/>
    <w:rsid w:val="00815E55"/>
    <w:rsid w:val="0082064E"/>
    <w:rsid w:val="00820706"/>
    <w:rsid w:val="00821EBE"/>
    <w:rsid w:val="0082245A"/>
    <w:rsid w:val="00823339"/>
    <w:rsid w:val="00823BB3"/>
    <w:rsid w:val="00825476"/>
    <w:rsid w:val="00825749"/>
    <w:rsid w:val="00826512"/>
    <w:rsid w:val="00827079"/>
    <w:rsid w:val="00827BFC"/>
    <w:rsid w:val="0083008E"/>
    <w:rsid w:val="008304C4"/>
    <w:rsid w:val="00830C56"/>
    <w:rsid w:val="00830D5D"/>
    <w:rsid w:val="00831B91"/>
    <w:rsid w:val="00832E60"/>
    <w:rsid w:val="008337B4"/>
    <w:rsid w:val="00836844"/>
    <w:rsid w:val="00836C2F"/>
    <w:rsid w:val="00836DA5"/>
    <w:rsid w:val="0084046F"/>
    <w:rsid w:val="00840BB9"/>
    <w:rsid w:val="00842FC5"/>
    <w:rsid w:val="008441FD"/>
    <w:rsid w:val="008448DF"/>
    <w:rsid w:val="00845769"/>
    <w:rsid w:val="008464D7"/>
    <w:rsid w:val="0084798E"/>
    <w:rsid w:val="008502E3"/>
    <w:rsid w:val="008505A1"/>
    <w:rsid w:val="0085102E"/>
    <w:rsid w:val="00851577"/>
    <w:rsid w:val="00851EA6"/>
    <w:rsid w:val="008534CB"/>
    <w:rsid w:val="008544FA"/>
    <w:rsid w:val="00855809"/>
    <w:rsid w:val="00855AE8"/>
    <w:rsid w:val="00856136"/>
    <w:rsid w:val="008563C0"/>
    <w:rsid w:val="00861511"/>
    <w:rsid w:val="0086181D"/>
    <w:rsid w:val="008619DB"/>
    <w:rsid w:val="00862C2A"/>
    <w:rsid w:val="00864380"/>
    <w:rsid w:val="008655B9"/>
    <w:rsid w:val="008658AA"/>
    <w:rsid w:val="00866E1E"/>
    <w:rsid w:val="008670FC"/>
    <w:rsid w:val="00870F8E"/>
    <w:rsid w:val="00871A81"/>
    <w:rsid w:val="00874A52"/>
    <w:rsid w:val="00880C3B"/>
    <w:rsid w:val="00880D54"/>
    <w:rsid w:val="00881122"/>
    <w:rsid w:val="00881391"/>
    <w:rsid w:val="00881DD4"/>
    <w:rsid w:val="008820FC"/>
    <w:rsid w:val="00882121"/>
    <w:rsid w:val="00883825"/>
    <w:rsid w:val="00883A53"/>
    <w:rsid w:val="00884457"/>
    <w:rsid w:val="00884A97"/>
    <w:rsid w:val="00885D91"/>
    <w:rsid w:val="00886931"/>
    <w:rsid w:val="00887066"/>
    <w:rsid w:val="00887A4D"/>
    <w:rsid w:val="00887B29"/>
    <w:rsid w:val="00893E78"/>
    <w:rsid w:val="00897243"/>
    <w:rsid w:val="00897467"/>
    <w:rsid w:val="00897D14"/>
    <w:rsid w:val="008A01EB"/>
    <w:rsid w:val="008A0956"/>
    <w:rsid w:val="008A0D85"/>
    <w:rsid w:val="008A1FD3"/>
    <w:rsid w:val="008A3573"/>
    <w:rsid w:val="008A5E74"/>
    <w:rsid w:val="008A6DEE"/>
    <w:rsid w:val="008A78D9"/>
    <w:rsid w:val="008B101C"/>
    <w:rsid w:val="008B1881"/>
    <w:rsid w:val="008B34C5"/>
    <w:rsid w:val="008B59A2"/>
    <w:rsid w:val="008B5DE6"/>
    <w:rsid w:val="008C03E5"/>
    <w:rsid w:val="008C2FE4"/>
    <w:rsid w:val="008C33CA"/>
    <w:rsid w:val="008C3C60"/>
    <w:rsid w:val="008C465B"/>
    <w:rsid w:val="008C56BA"/>
    <w:rsid w:val="008D0F70"/>
    <w:rsid w:val="008D1112"/>
    <w:rsid w:val="008D1F1E"/>
    <w:rsid w:val="008D3DAA"/>
    <w:rsid w:val="008D3E2F"/>
    <w:rsid w:val="008D4796"/>
    <w:rsid w:val="008D54DE"/>
    <w:rsid w:val="008D5543"/>
    <w:rsid w:val="008D61D7"/>
    <w:rsid w:val="008D66F2"/>
    <w:rsid w:val="008D6946"/>
    <w:rsid w:val="008D71A1"/>
    <w:rsid w:val="008E0F52"/>
    <w:rsid w:val="008E12CD"/>
    <w:rsid w:val="008E2EEB"/>
    <w:rsid w:val="008E47BF"/>
    <w:rsid w:val="008E60F9"/>
    <w:rsid w:val="008E7035"/>
    <w:rsid w:val="008F048F"/>
    <w:rsid w:val="008F251A"/>
    <w:rsid w:val="008F3192"/>
    <w:rsid w:val="008F60AE"/>
    <w:rsid w:val="008F65B7"/>
    <w:rsid w:val="008F6BA5"/>
    <w:rsid w:val="00901071"/>
    <w:rsid w:val="00901339"/>
    <w:rsid w:val="009019D6"/>
    <w:rsid w:val="00901F08"/>
    <w:rsid w:val="00901F6F"/>
    <w:rsid w:val="0090270B"/>
    <w:rsid w:val="009067AB"/>
    <w:rsid w:val="00907CDF"/>
    <w:rsid w:val="00910468"/>
    <w:rsid w:val="00910A87"/>
    <w:rsid w:val="00910F9E"/>
    <w:rsid w:val="009120F0"/>
    <w:rsid w:val="009128ED"/>
    <w:rsid w:val="0091359A"/>
    <w:rsid w:val="00915C09"/>
    <w:rsid w:val="0092055B"/>
    <w:rsid w:val="0092105A"/>
    <w:rsid w:val="00921208"/>
    <w:rsid w:val="00921EF4"/>
    <w:rsid w:val="009228B0"/>
    <w:rsid w:val="009247E8"/>
    <w:rsid w:val="00924B0E"/>
    <w:rsid w:val="00925045"/>
    <w:rsid w:val="00925E0A"/>
    <w:rsid w:val="00927703"/>
    <w:rsid w:val="009316ED"/>
    <w:rsid w:val="00932B85"/>
    <w:rsid w:val="0093378A"/>
    <w:rsid w:val="009351EE"/>
    <w:rsid w:val="00935424"/>
    <w:rsid w:val="00936506"/>
    <w:rsid w:val="00936B02"/>
    <w:rsid w:val="009371B7"/>
    <w:rsid w:val="009377B1"/>
    <w:rsid w:val="00937813"/>
    <w:rsid w:val="00937A75"/>
    <w:rsid w:val="00940EAB"/>
    <w:rsid w:val="009424B8"/>
    <w:rsid w:val="00942E30"/>
    <w:rsid w:val="00942F70"/>
    <w:rsid w:val="00944791"/>
    <w:rsid w:val="00945150"/>
    <w:rsid w:val="00947CFF"/>
    <w:rsid w:val="00951379"/>
    <w:rsid w:val="00954E8A"/>
    <w:rsid w:val="00957D52"/>
    <w:rsid w:val="009617D3"/>
    <w:rsid w:val="009618A4"/>
    <w:rsid w:val="0096197A"/>
    <w:rsid w:val="00962F5D"/>
    <w:rsid w:val="00963252"/>
    <w:rsid w:val="0096354D"/>
    <w:rsid w:val="0096482D"/>
    <w:rsid w:val="00965E75"/>
    <w:rsid w:val="00966451"/>
    <w:rsid w:val="00967681"/>
    <w:rsid w:val="00967864"/>
    <w:rsid w:val="009707FF"/>
    <w:rsid w:val="0097166E"/>
    <w:rsid w:val="00972D54"/>
    <w:rsid w:val="00972F59"/>
    <w:rsid w:val="00973AB9"/>
    <w:rsid w:val="00973D06"/>
    <w:rsid w:val="009741E5"/>
    <w:rsid w:val="009741F0"/>
    <w:rsid w:val="00974492"/>
    <w:rsid w:val="009761CF"/>
    <w:rsid w:val="00981A99"/>
    <w:rsid w:val="00983A6E"/>
    <w:rsid w:val="00983B80"/>
    <w:rsid w:val="009842FA"/>
    <w:rsid w:val="009849A3"/>
    <w:rsid w:val="00985501"/>
    <w:rsid w:val="00985BEB"/>
    <w:rsid w:val="00986B95"/>
    <w:rsid w:val="0099014B"/>
    <w:rsid w:val="00992730"/>
    <w:rsid w:val="00992AED"/>
    <w:rsid w:val="00993008"/>
    <w:rsid w:val="0099413B"/>
    <w:rsid w:val="00994785"/>
    <w:rsid w:val="00995533"/>
    <w:rsid w:val="009A0788"/>
    <w:rsid w:val="009A29EC"/>
    <w:rsid w:val="009A596D"/>
    <w:rsid w:val="009A5EEA"/>
    <w:rsid w:val="009A7D33"/>
    <w:rsid w:val="009B1B78"/>
    <w:rsid w:val="009C09A8"/>
    <w:rsid w:val="009C0CC2"/>
    <w:rsid w:val="009C112C"/>
    <w:rsid w:val="009C16A5"/>
    <w:rsid w:val="009C268E"/>
    <w:rsid w:val="009C35DB"/>
    <w:rsid w:val="009C3683"/>
    <w:rsid w:val="009C73AE"/>
    <w:rsid w:val="009D071D"/>
    <w:rsid w:val="009D1DCE"/>
    <w:rsid w:val="009D253F"/>
    <w:rsid w:val="009D27D2"/>
    <w:rsid w:val="009D38F0"/>
    <w:rsid w:val="009D4929"/>
    <w:rsid w:val="009D4F49"/>
    <w:rsid w:val="009D54D4"/>
    <w:rsid w:val="009D552B"/>
    <w:rsid w:val="009D64CE"/>
    <w:rsid w:val="009D6C73"/>
    <w:rsid w:val="009D6D31"/>
    <w:rsid w:val="009E03AE"/>
    <w:rsid w:val="009E05F3"/>
    <w:rsid w:val="009E0BAA"/>
    <w:rsid w:val="009E0EF2"/>
    <w:rsid w:val="009E14FD"/>
    <w:rsid w:val="009E2971"/>
    <w:rsid w:val="009E4597"/>
    <w:rsid w:val="009E492B"/>
    <w:rsid w:val="009F00E9"/>
    <w:rsid w:val="009F03ED"/>
    <w:rsid w:val="009F10D1"/>
    <w:rsid w:val="009F1618"/>
    <w:rsid w:val="009F1BA7"/>
    <w:rsid w:val="009F3334"/>
    <w:rsid w:val="009F4578"/>
    <w:rsid w:val="009F5D24"/>
    <w:rsid w:val="009F6E06"/>
    <w:rsid w:val="009F7308"/>
    <w:rsid w:val="009F7AAF"/>
    <w:rsid w:val="00A01B89"/>
    <w:rsid w:val="00A02AB7"/>
    <w:rsid w:val="00A03261"/>
    <w:rsid w:val="00A0329F"/>
    <w:rsid w:val="00A07868"/>
    <w:rsid w:val="00A07AA6"/>
    <w:rsid w:val="00A10E97"/>
    <w:rsid w:val="00A126C4"/>
    <w:rsid w:val="00A20CE7"/>
    <w:rsid w:val="00A20E20"/>
    <w:rsid w:val="00A21381"/>
    <w:rsid w:val="00A21C7F"/>
    <w:rsid w:val="00A259A8"/>
    <w:rsid w:val="00A2799E"/>
    <w:rsid w:val="00A304D1"/>
    <w:rsid w:val="00A308C0"/>
    <w:rsid w:val="00A3130F"/>
    <w:rsid w:val="00A31B2F"/>
    <w:rsid w:val="00A35495"/>
    <w:rsid w:val="00A35DF4"/>
    <w:rsid w:val="00A36A88"/>
    <w:rsid w:val="00A37206"/>
    <w:rsid w:val="00A4011C"/>
    <w:rsid w:val="00A42A90"/>
    <w:rsid w:val="00A44A01"/>
    <w:rsid w:val="00A44ABE"/>
    <w:rsid w:val="00A45AB9"/>
    <w:rsid w:val="00A45C04"/>
    <w:rsid w:val="00A46092"/>
    <w:rsid w:val="00A46D25"/>
    <w:rsid w:val="00A50895"/>
    <w:rsid w:val="00A52190"/>
    <w:rsid w:val="00A54671"/>
    <w:rsid w:val="00A54E0B"/>
    <w:rsid w:val="00A556CE"/>
    <w:rsid w:val="00A55DA3"/>
    <w:rsid w:val="00A57CA5"/>
    <w:rsid w:val="00A65690"/>
    <w:rsid w:val="00A656CA"/>
    <w:rsid w:val="00A65B68"/>
    <w:rsid w:val="00A674B9"/>
    <w:rsid w:val="00A6776E"/>
    <w:rsid w:val="00A716C9"/>
    <w:rsid w:val="00A7252B"/>
    <w:rsid w:val="00A72715"/>
    <w:rsid w:val="00A7289E"/>
    <w:rsid w:val="00A72D14"/>
    <w:rsid w:val="00A72E38"/>
    <w:rsid w:val="00A74C10"/>
    <w:rsid w:val="00A7520D"/>
    <w:rsid w:val="00A75C57"/>
    <w:rsid w:val="00A813AF"/>
    <w:rsid w:val="00A82264"/>
    <w:rsid w:val="00A83732"/>
    <w:rsid w:val="00A83A40"/>
    <w:rsid w:val="00A86C74"/>
    <w:rsid w:val="00A877A1"/>
    <w:rsid w:val="00A9021F"/>
    <w:rsid w:val="00A904CD"/>
    <w:rsid w:val="00A90EAB"/>
    <w:rsid w:val="00A93D95"/>
    <w:rsid w:val="00A93F27"/>
    <w:rsid w:val="00A9668A"/>
    <w:rsid w:val="00AA0832"/>
    <w:rsid w:val="00AA08C2"/>
    <w:rsid w:val="00AA19A4"/>
    <w:rsid w:val="00AA39AB"/>
    <w:rsid w:val="00AA3D59"/>
    <w:rsid w:val="00AA4912"/>
    <w:rsid w:val="00AA4FF0"/>
    <w:rsid w:val="00AA51D1"/>
    <w:rsid w:val="00AA5297"/>
    <w:rsid w:val="00AA636C"/>
    <w:rsid w:val="00AA6B9B"/>
    <w:rsid w:val="00AA79A0"/>
    <w:rsid w:val="00AA7C8B"/>
    <w:rsid w:val="00AB17CA"/>
    <w:rsid w:val="00AB1BEC"/>
    <w:rsid w:val="00AB232D"/>
    <w:rsid w:val="00AB313D"/>
    <w:rsid w:val="00AB3B79"/>
    <w:rsid w:val="00AB3D59"/>
    <w:rsid w:val="00AB54D7"/>
    <w:rsid w:val="00AB6233"/>
    <w:rsid w:val="00AC0576"/>
    <w:rsid w:val="00AC0F49"/>
    <w:rsid w:val="00AC19A2"/>
    <w:rsid w:val="00AC2862"/>
    <w:rsid w:val="00AC7767"/>
    <w:rsid w:val="00AD0104"/>
    <w:rsid w:val="00AD16A2"/>
    <w:rsid w:val="00AD3484"/>
    <w:rsid w:val="00AD3D45"/>
    <w:rsid w:val="00AD68AD"/>
    <w:rsid w:val="00AE01ED"/>
    <w:rsid w:val="00AE05DA"/>
    <w:rsid w:val="00AE3BB5"/>
    <w:rsid w:val="00AE4209"/>
    <w:rsid w:val="00AE495B"/>
    <w:rsid w:val="00AE5264"/>
    <w:rsid w:val="00AE6577"/>
    <w:rsid w:val="00AE721D"/>
    <w:rsid w:val="00AE7B6C"/>
    <w:rsid w:val="00AF1740"/>
    <w:rsid w:val="00AF29B3"/>
    <w:rsid w:val="00AF304B"/>
    <w:rsid w:val="00AF3149"/>
    <w:rsid w:val="00AF487C"/>
    <w:rsid w:val="00AF6279"/>
    <w:rsid w:val="00AF6E82"/>
    <w:rsid w:val="00AF7561"/>
    <w:rsid w:val="00B00609"/>
    <w:rsid w:val="00B0128F"/>
    <w:rsid w:val="00B01CBA"/>
    <w:rsid w:val="00B0365F"/>
    <w:rsid w:val="00B05C85"/>
    <w:rsid w:val="00B06E54"/>
    <w:rsid w:val="00B1184D"/>
    <w:rsid w:val="00B12732"/>
    <w:rsid w:val="00B12CD7"/>
    <w:rsid w:val="00B14D78"/>
    <w:rsid w:val="00B174BA"/>
    <w:rsid w:val="00B22339"/>
    <w:rsid w:val="00B22F6D"/>
    <w:rsid w:val="00B22FCF"/>
    <w:rsid w:val="00B23893"/>
    <w:rsid w:val="00B2482F"/>
    <w:rsid w:val="00B264D7"/>
    <w:rsid w:val="00B30D80"/>
    <w:rsid w:val="00B31453"/>
    <w:rsid w:val="00B33C11"/>
    <w:rsid w:val="00B354E4"/>
    <w:rsid w:val="00B355A9"/>
    <w:rsid w:val="00B404E9"/>
    <w:rsid w:val="00B40817"/>
    <w:rsid w:val="00B41A4E"/>
    <w:rsid w:val="00B430BE"/>
    <w:rsid w:val="00B43F7C"/>
    <w:rsid w:val="00B45591"/>
    <w:rsid w:val="00B46A29"/>
    <w:rsid w:val="00B47534"/>
    <w:rsid w:val="00B50C90"/>
    <w:rsid w:val="00B50E51"/>
    <w:rsid w:val="00B54749"/>
    <w:rsid w:val="00B54BC0"/>
    <w:rsid w:val="00B54C44"/>
    <w:rsid w:val="00B57782"/>
    <w:rsid w:val="00B57EA9"/>
    <w:rsid w:val="00B600EF"/>
    <w:rsid w:val="00B6047B"/>
    <w:rsid w:val="00B62EF3"/>
    <w:rsid w:val="00B649F4"/>
    <w:rsid w:val="00B66399"/>
    <w:rsid w:val="00B67168"/>
    <w:rsid w:val="00B70B56"/>
    <w:rsid w:val="00B70C88"/>
    <w:rsid w:val="00B70F9C"/>
    <w:rsid w:val="00B716A8"/>
    <w:rsid w:val="00B7176C"/>
    <w:rsid w:val="00B71CA1"/>
    <w:rsid w:val="00B72639"/>
    <w:rsid w:val="00B744C6"/>
    <w:rsid w:val="00B75248"/>
    <w:rsid w:val="00B75BEC"/>
    <w:rsid w:val="00B7661F"/>
    <w:rsid w:val="00B76731"/>
    <w:rsid w:val="00B77BBA"/>
    <w:rsid w:val="00B80100"/>
    <w:rsid w:val="00B81BED"/>
    <w:rsid w:val="00B82FA3"/>
    <w:rsid w:val="00B834FB"/>
    <w:rsid w:val="00B845AE"/>
    <w:rsid w:val="00B8460D"/>
    <w:rsid w:val="00B84FF3"/>
    <w:rsid w:val="00B8571A"/>
    <w:rsid w:val="00B8670E"/>
    <w:rsid w:val="00B90FE7"/>
    <w:rsid w:val="00B927C8"/>
    <w:rsid w:val="00B9388C"/>
    <w:rsid w:val="00B94097"/>
    <w:rsid w:val="00B94D77"/>
    <w:rsid w:val="00B94EC8"/>
    <w:rsid w:val="00B95CC0"/>
    <w:rsid w:val="00B95F6F"/>
    <w:rsid w:val="00B961B5"/>
    <w:rsid w:val="00B964BD"/>
    <w:rsid w:val="00B9794B"/>
    <w:rsid w:val="00B97AA3"/>
    <w:rsid w:val="00BA16A0"/>
    <w:rsid w:val="00BA47BE"/>
    <w:rsid w:val="00BA50DD"/>
    <w:rsid w:val="00BA6235"/>
    <w:rsid w:val="00BB2359"/>
    <w:rsid w:val="00BB2B03"/>
    <w:rsid w:val="00BB2F49"/>
    <w:rsid w:val="00BB30E7"/>
    <w:rsid w:val="00BB38D5"/>
    <w:rsid w:val="00BB44D5"/>
    <w:rsid w:val="00BB47D4"/>
    <w:rsid w:val="00BB4EC2"/>
    <w:rsid w:val="00BC0E84"/>
    <w:rsid w:val="00BC0FB9"/>
    <w:rsid w:val="00BC24E9"/>
    <w:rsid w:val="00BC2F42"/>
    <w:rsid w:val="00BC44DF"/>
    <w:rsid w:val="00BC45BA"/>
    <w:rsid w:val="00BC4BC6"/>
    <w:rsid w:val="00BC5234"/>
    <w:rsid w:val="00BC576F"/>
    <w:rsid w:val="00BC5C26"/>
    <w:rsid w:val="00BC719D"/>
    <w:rsid w:val="00BC7426"/>
    <w:rsid w:val="00BD1BB6"/>
    <w:rsid w:val="00BD1E5C"/>
    <w:rsid w:val="00BD2D89"/>
    <w:rsid w:val="00BD33B9"/>
    <w:rsid w:val="00BD34C5"/>
    <w:rsid w:val="00BD427A"/>
    <w:rsid w:val="00BD5451"/>
    <w:rsid w:val="00BD7DD1"/>
    <w:rsid w:val="00BE1AF2"/>
    <w:rsid w:val="00BE3792"/>
    <w:rsid w:val="00BE6528"/>
    <w:rsid w:val="00BE708A"/>
    <w:rsid w:val="00BE7269"/>
    <w:rsid w:val="00BF00F8"/>
    <w:rsid w:val="00BF0DA5"/>
    <w:rsid w:val="00BF1DAC"/>
    <w:rsid w:val="00BF260F"/>
    <w:rsid w:val="00BF348E"/>
    <w:rsid w:val="00BF404A"/>
    <w:rsid w:val="00BF4CEF"/>
    <w:rsid w:val="00BF5A8C"/>
    <w:rsid w:val="00BF6055"/>
    <w:rsid w:val="00BF7CA5"/>
    <w:rsid w:val="00C04C97"/>
    <w:rsid w:val="00C04D68"/>
    <w:rsid w:val="00C0530F"/>
    <w:rsid w:val="00C069D4"/>
    <w:rsid w:val="00C1007C"/>
    <w:rsid w:val="00C12AFB"/>
    <w:rsid w:val="00C136FE"/>
    <w:rsid w:val="00C13905"/>
    <w:rsid w:val="00C15652"/>
    <w:rsid w:val="00C158CE"/>
    <w:rsid w:val="00C161C3"/>
    <w:rsid w:val="00C166C4"/>
    <w:rsid w:val="00C1792C"/>
    <w:rsid w:val="00C21BA2"/>
    <w:rsid w:val="00C22B54"/>
    <w:rsid w:val="00C2396F"/>
    <w:rsid w:val="00C239C8"/>
    <w:rsid w:val="00C23B67"/>
    <w:rsid w:val="00C247B4"/>
    <w:rsid w:val="00C260DC"/>
    <w:rsid w:val="00C264D3"/>
    <w:rsid w:val="00C26B07"/>
    <w:rsid w:val="00C271FF"/>
    <w:rsid w:val="00C27EA5"/>
    <w:rsid w:val="00C30160"/>
    <w:rsid w:val="00C304F9"/>
    <w:rsid w:val="00C31472"/>
    <w:rsid w:val="00C33354"/>
    <w:rsid w:val="00C35A6B"/>
    <w:rsid w:val="00C35FF0"/>
    <w:rsid w:val="00C4076C"/>
    <w:rsid w:val="00C40B69"/>
    <w:rsid w:val="00C423BC"/>
    <w:rsid w:val="00C42DCD"/>
    <w:rsid w:val="00C43651"/>
    <w:rsid w:val="00C43EF2"/>
    <w:rsid w:val="00C44209"/>
    <w:rsid w:val="00C45CBF"/>
    <w:rsid w:val="00C4670B"/>
    <w:rsid w:val="00C473FF"/>
    <w:rsid w:val="00C52415"/>
    <w:rsid w:val="00C53939"/>
    <w:rsid w:val="00C5417F"/>
    <w:rsid w:val="00C5567F"/>
    <w:rsid w:val="00C56DB2"/>
    <w:rsid w:val="00C56F88"/>
    <w:rsid w:val="00C5722C"/>
    <w:rsid w:val="00C57838"/>
    <w:rsid w:val="00C60AE3"/>
    <w:rsid w:val="00C60D55"/>
    <w:rsid w:val="00C610E4"/>
    <w:rsid w:val="00C627F3"/>
    <w:rsid w:val="00C64DFD"/>
    <w:rsid w:val="00C67A15"/>
    <w:rsid w:val="00C74559"/>
    <w:rsid w:val="00C76ED0"/>
    <w:rsid w:val="00C8026F"/>
    <w:rsid w:val="00C80974"/>
    <w:rsid w:val="00C80BB3"/>
    <w:rsid w:val="00C81C61"/>
    <w:rsid w:val="00C8255D"/>
    <w:rsid w:val="00C83276"/>
    <w:rsid w:val="00C85115"/>
    <w:rsid w:val="00C85C1D"/>
    <w:rsid w:val="00C85E11"/>
    <w:rsid w:val="00C85FD4"/>
    <w:rsid w:val="00C8693D"/>
    <w:rsid w:val="00C877B9"/>
    <w:rsid w:val="00C87DE6"/>
    <w:rsid w:val="00C9113B"/>
    <w:rsid w:val="00C911F5"/>
    <w:rsid w:val="00C9153A"/>
    <w:rsid w:val="00C916F6"/>
    <w:rsid w:val="00C9298C"/>
    <w:rsid w:val="00C92BF9"/>
    <w:rsid w:val="00C954FB"/>
    <w:rsid w:val="00C96DD7"/>
    <w:rsid w:val="00C96F50"/>
    <w:rsid w:val="00C97222"/>
    <w:rsid w:val="00C97D34"/>
    <w:rsid w:val="00CA080A"/>
    <w:rsid w:val="00CA0A35"/>
    <w:rsid w:val="00CA0D34"/>
    <w:rsid w:val="00CA1817"/>
    <w:rsid w:val="00CA339B"/>
    <w:rsid w:val="00CA3D07"/>
    <w:rsid w:val="00CA4630"/>
    <w:rsid w:val="00CA68A9"/>
    <w:rsid w:val="00CA6CB2"/>
    <w:rsid w:val="00CA7B98"/>
    <w:rsid w:val="00CB0E9B"/>
    <w:rsid w:val="00CB178B"/>
    <w:rsid w:val="00CB2317"/>
    <w:rsid w:val="00CB379E"/>
    <w:rsid w:val="00CB3C8B"/>
    <w:rsid w:val="00CB42D4"/>
    <w:rsid w:val="00CB5102"/>
    <w:rsid w:val="00CB6101"/>
    <w:rsid w:val="00CB74E3"/>
    <w:rsid w:val="00CB7C97"/>
    <w:rsid w:val="00CC010D"/>
    <w:rsid w:val="00CC0A7C"/>
    <w:rsid w:val="00CC2B04"/>
    <w:rsid w:val="00CC44BA"/>
    <w:rsid w:val="00CC6BBD"/>
    <w:rsid w:val="00CC745E"/>
    <w:rsid w:val="00CD0097"/>
    <w:rsid w:val="00CD0122"/>
    <w:rsid w:val="00CD0524"/>
    <w:rsid w:val="00CD11E2"/>
    <w:rsid w:val="00CD1976"/>
    <w:rsid w:val="00CD60A3"/>
    <w:rsid w:val="00CD6583"/>
    <w:rsid w:val="00CD7B0C"/>
    <w:rsid w:val="00CE1049"/>
    <w:rsid w:val="00CE1248"/>
    <w:rsid w:val="00CE137C"/>
    <w:rsid w:val="00CE18A3"/>
    <w:rsid w:val="00CE3560"/>
    <w:rsid w:val="00CE4EE5"/>
    <w:rsid w:val="00CE4FD0"/>
    <w:rsid w:val="00CE50B2"/>
    <w:rsid w:val="00CE53CB"/>
    <w:rsid w:val="00CE5768"/>
    <w:rsid w:val="00CE5FDD"/>
    <w:rsid w:val="00CE649B"/>
    <w:rsid w:val="00CE6BE9"/>
    <w:rsid w:val="00CE77AE"/>
    <w:rsid w:val="00CF6E7A"/>
    <w:rsid w:val="00D00E53"/>
    <w:rsid w:val="00D010CD"/>
    <w:rsid w:val="00D023C5"/>
    <w:rsid w:val="00D035FA"/>
    <w:rsid w:val="00D06C22"/>
    <w:rsid w:val="00D078C4"/>
    <w:rsid w:val="00D12A28"/>
    <w:rsid w:val="00D12D70"/>
    <w:rsid w:val="00D13800"/>
    <w:rsid w:val="00D1389F"/>
    <w:rsid w:val="00D149F9"/>
    <w:rsid w:val="00D14A42"/>
    <w:rsid w:val="00D158B7"/>
    <w:rsid w:val="00D21E50"/>
    <w:rsid w:val="00D22B34"/>
    <w:rsid w:val="00D24493"/>
    <w:rsid w:val="00D244A7"/>
    <w:rsid w:val="00D24FCA"/>
    <w:rsid w:val="00D2515E"/>
    <w:rsid w:val="00D258AF"/>
    <w:rsid w:val="00D266A9"/>
    <w:rsid w:val="00D30B07"/>
    <w:rsid w:val="00D32537"/>
    <w:rsid w:val="00D33DAE"/>
    <w:rsid w:val="00D35FA9"/>
    <w:rsid w:val="00D3782B"/>
    <w:rsid w:val="00D40536"/>
    <w:rsid w:val="00D452E0"/>
    <w:rsid w:val="00D46B3B"/>
    <w:rsid w:val="00D51301"/>
    <w:rsid w:val="00D5223B"/>
    <w:rsid w:val="00D54561"/>
    <w:rsid w:val="00D5536E"/>
    <w:rsid w:val="00D555A2"/>
    <w:rsid w:val="00D55C4C"/>
    <w:rsid w:val="00D56AA3"/>
    <w:rsid w:val="00D56CC8"/>
    <w:rsid w:val="00D577DB"/>
    <w:rsid w:val="00D61983"/>
    <w:rsid w:val="00D6250B"/>
    <w:rsid w:val="00D65517"/>
    <w:rsid w:val="00D6562A"/>
    <w:rsid w:val="00D65A82"/>
    <w:rsid w:val="00D673B8"/>
    <w:rsid w:val="00D70128"/>
    <w:rsid w:val="00D70593"/>
    <w:rsid w:val="00D70A03"/>
    <w:rsid w:val="00D71FBC"/>
    <w:rsid w:val="00D72F69"/>
    <w:rsid w:val="00D73490"/>
    <w:rsid w:val="00D73921"/>
    <w:rsid w:val="00D75EA2"/>
    <w:rsid w:val="00D80B41"/>
    <w:rsid w:val="00D80E44"/>
    <w:rsid w:val="00D82C7E"/>
    <w:rsid w:val="00D83D0A"/>
    <w:rsid w:val="00D84BD0"/>
    <w:rsid w:val="00D871DC"/>
    <w:rsid w:val="00D8748D"/>
    <w:rsid w:val="00D87D87"/>
    <w:rsid w:val="00D90A24"/>
    <w:rsid w:val="00D91BA1"/>
    <w:rsid w:val="00D9407A"/>
    <w:rsid w:val="00D946DB"/>
    <w:rsid w:val="00D96A61"/>
    <w:rsid w:val="00D978FA"/>
    <w:rsid w:val="00DA03EB"/>
    <w:rsid w:val="00DA3228"/>
    <w:rsid w:val="00DA3C3B"/>
    <w:rsid w:val="00DA5F8D"/>
    <w:rsid w:val="00DA67AB"/>
    <w:rsid w:val="00DA71B8"/>
    <w:rsid w:val="00DA7282"/>
    <w:rsid w:val="00DB0928"/>
    <w:rsid w:val="00DB2DF6"/>
    <w:rsid w:val="00DB311A"/>
    <w:rsid w:val="00DB4441"/>
    <w:rsid w:val="00DB52DD"/>
    <w:rsid w:val="00DB6755"/>
    <w:rsid w:val="00DB6E0D"/>
    <w:rsid w:val="00DB6F66"/>
    <w:rsid w:val="00DC0DD1"/>
    <w:rsid w:val="00DC1A4B"/>
    <w:rsid w:val="00DC3D02"/>
    <w:rsid w:val="00DC608E"/>
    <w:rsid w:val="00DC62FE"/>
    <w:rsid w:val="00DD0E54"/>
    <w:rsid w:val="00DD1E09"/>
    <w:rsid w:val="00DD2432"/>
    <w:rsid w:val="00DD4476"/>
    <w:rsid w:val="00DD48A6"/>
    <w:rsid w:val="00DD4D44"/>
    <w:rsid w:val="00DD741B"/>
    <w:rsid w:val="00DD7969"/>
    <w:rsid w:val="00DE1A36"/>
    <w:rsid w:val="00DE1AFE"/>
    <w:rsid w:val="00DE2BAA"/>
    <w:rsid w:val="00DE44E6"/>
    <w:rsid w:val="00DE6880"/>
    <w:rsid w:val="00DE76E9"/>
    <w:rsid w:val="00DF16BF"/>
    <w:rsid w:val="00DF1749"/>
    <w:rsid w:val="00DF1B75"/>
    <w:rsid w:val="00DF3B8E"/>
    <w:rsid w:val="00DF4D8A"/>
    <w:rsid w:val="00DF6912"/>
    <w:rsid w:val="00DF6BB6"/>
    <w:rsid w:val="00DF7555"/>
    <w:rsid w:val="00E00E66"/>
    <w:rsid w:val="00E01341"/>
    <w:rsid w:val="00E024D8"/>
    <w:rsid w:val="00E03A3D"/>
    <w:rsid w:val="00E03E36"/>
    <w:rsid w:val="00E04BD0"/>
    <w:rsid w:val="00E05433"/>
    <w:rsid w:val="00E06A19"/>
    <w:rsid w:val="00E07FE3"/>
    <w:rsid w:val="00E10428"/>
    <w:rsid w:val="00E113C0"/>
    <w:rsid w:val="00E11707"/>
    <w:rsid w:val="00E133A8"/>
    <w:rsid w:val="00E1564E"/>
    <w:rsid w:val="00E1589B"/>
    <w:rsid w:val="00E174A0"/>
    <w:rsid w:val="00E21CCD"/>
    <w:rsid w:val="00E226DB"/>
    <w:rsid w:val="00E22E6C"/>
    <w:rsid w:val="00E24222"/>
    <w:rsid w:val="00E2681E"/>
    <w:rsid w:val="00E26E2E"/>
    <w:rsid w:val="00E27ED0"/>
    <w:rsid w:val="00E30038"/>
    <w:rsid w:val="00E305E8"/>
    <w:rsid w:val="00E3082B"/>
    <w:rsid w:val="00E30B79"/>
    <w:rsid w:val="00E30B88"/>
    <w:rsid w:val="00E3155F"/>
    <w:rsid w:val="00E31B0B"/>
    <w:rsid w:val="00E32612"/>
    <w:rsid w:val="00E34304"/>
    <w:rsid w:val="00E34553"/>
    <w:rsid w:val="00E351BA"/>
    <w:rsid w:val="00E35BFD"/>
    <w:rsid w:val="00E40634"/>
    <w:rsid w:val="00E40B70"/>
    <w:rsid w:val="00E40F10"/>
    <w:rsid w:val="00E434D0"/>
    <w:rsid w:val="00E44BE5"/>
    <w:rsid w:val="00E44DBD"/>
    <w:rsid w:val="00E4620B"/>
    <w:rsid w:val="00E46821"/>
    <w:rsid w:val="00E4703E"/>
    <w:rsid w:val="00E524E7"/>
    <w:rsid w:val="00E56DBF"/>
    <w:rsid w:val="00E57CF3"/>
    <w:rsid w:val="00E604AC"/>
    <w:rsid w:val="00E60E93"/>
    <w:rsid w:val="00E615E2"/>
    <w:rsid w:val="00E6180E"/>
    <w:rsid w:val="00E62C8B"/>
    <w:rsid w:val="00E63025"/>
    <w:rsid w:val="00E63DD1"/>
    <w:rsid w:val="00E65FB8"/>
    <w:rsid w:val="00E67CD6"/>
    <w:rsid w:val="00E70FE8"/>
    <w:rsid w:val="00E73857"/>
    <w:rsid w:val="00E74085"/>
    <w:rsid w:val="00E804B0"/>
    <w:rsid w:val="00E817C7"/>
    <w:rsid w:val="00E81A2F"/>
    <w:rsid w:val="00E81B2F"/>
    <w:rsid w:val="00E81BC4"/>
    <w:rsid w:val="00E824A6"/>
    <w:rsid w:val="00E86276"/>
    <w:rsid w:val="00E90897"/>
    <w:rsid w:val="00E90B4A"/>
    <w:rsid w:val="00E91D01"/>
    <w:rsid w:val="00E92435"/>
    <w:rsid w:val="00E93510"/>
    <w:rsid w:val="00E93C05"/>
    <w:rsid w:val="00E93FF7"/>
    <w:rsid w:val="00E96CCA"/>
    <w:rsid w:val="00E977CC"/>
    <w:rsid w:val="00EA224E"/>
    <w:rsid w:val="00EA2FF3"/>
    <w:rsid w:val="00EA4A6C"/>
    <w:rsid w:val="00EA4B6C"/>
    <w:rsid w:val="00EA6C05"/>
    <w:rsid w:val="00EA6D0A"/>
    <w:rsid w:val="00EB0CF9"/>
    <w:rsid w:val="00EB2680"/>
    <w:rsid w:val="00EB2912"/>
    <w:rsid w:val="00EB2E6A"/>
    <w:rsid w:val="00EB5A25"/>
    <w:rsid w:val="00EB5E22"/>
    <w:rsid w:val="00EB627E"/>
    <w:rsid w:val="00EB63F3"/>
    <w:rsid w:val="00EB690F"/>
    <w:rsid w:val="00EB7DFC"/>
    <w:rsid w:val="00EC02FA"/>
    <w:rsid w:val="00EC08BD"/>
    <w:rsid w:val="00EC23E7"/>
    <w:rsid w:val="00EC27DE"/>
    <w:rsid w:val="00EC2CC4"/>
    <w:rsid w:val="00EC324D"/>
    <w:rsid w:val="00EC3308"/>
    <w:rsid w:val="00EC3DCB"/>
    <w:rsid w:val="00EC484D"/>
    <w:rsid w:val="00EC60E4"/>
    <w:rsid w:val="00EC6A1D"/>
    <w:rsid w:val="00EC7041"/>
    <w:rsid w:val="00EC7371"/>
    <w:rsid w:val="00ED0956"/>
    <w:rsid w:val="00ED1DB0"/>
    <w:rsid w:val="00ED53E6"/>
    <w:rsid w:val="00ED58FE"/>
    <w:rsid w:val="00ED5C52"/>
    <w:rsid w:val="00ED7A60"/>
    <w:rsid w:val="00EE0348"/>
    <w:rsid w:val="00EE1C05"/>
    <w:rsid w:val="00EE28AB"/>
    <w:rsid w:val="00EE3F7E"/>
    <w:rsid w:val="00EE4842"/>
    <w:rsid w:val="00EE5CBA"/>
    <w:rsid w:val="00EE5DAD"/>
    <w:rsid w:val="00EE67FF"/>
    <w:rsid w:val="00EF013B"/>
    <w:rsid w:val="00EF0CF8"/>
    <w:rsid w:val="00EF2FAF"/>
    <w:rsid w:val="00EF468A"/>
    <w:rsid w:val="00EF497B"/>
    <w:rsid w:val="00EF561D"/>
    <w:rsid w:val="00EF748B"/>
    <w:rsid w:val="00F00742"/>
    <w:rsid w:val="00F02381"/>
    <w:rsid w:val="00F0302A"/>
    <w:rsid w:val="00F0411B"/>
    <w:rsid w:val="00F0548C"/>
    <w:rsid w:val="00F0601B"/>
    <w:rsid w:val="00F06E2B"/>
    <w:rsid w:val="00F10E08"/>
    <w:rsid w:val="00F14D96"/>
    <w:rsid w:val="00F1556C"/>
    <w:rsid w:val="00F16F7D"/>
    <w:rsid w:val="00F1771F"/>
    <w:rsid w:val="00F20234"/>
    <w:rsid w:val="00F20A14"/>
    <w:rsid w:val="00F24F2F"/>
    <w:rsid w:val="00F25212"/>
    <w:rsid w:val="00F26E7F"/>
    <w:rsid w:val="00F27B30"/>
    <w:rsid w:val="00F27E6A"/>
    <w:rsid w:val="00F30111"/>
    <w:rsid w:val="00F3071B"/>
    <w:rsid w:val="00F33EE5"/>
    <w:rsid w:val="00F345E2"/>
    <w:rsid w:val="00F352DC"/>
    <w:rsid w:val="00F401FF"/>
    <w:rsid w:val="00F418BA"/>
    <w:rsid w:val="00F4235D"/>
    <w:rsid w:val="00F4295D"/>
    <w:rsid w:val="00F447A7"/>
    <w:rsid w:val="00F459D9"/>
    <w:rsid w:val="00F46D20"/>
    <w:rsid w:val="00F520EA"/>
    <w:rsid w:val="00F54675"/>
    <w:rsid w:val="00F56180"/>
    <w:rsid w:val="00F5662A"/>
    <w:rsid w:val="00F603AD"/>
    <w:rsid w:val="00F60A0E"/>
    <w:rsid w:val="00F60CE0"/>
    <w:rsid w:val="00F63A03"/>
    <w:rsid w:val="00F641F7"/>
    <w:rsid w:val="00F6449D"/>
    <w:rsid w:val="00F65014"/>
    <w:rsid w:val="00F65026"/>
    <w:rsid w:val="00F6560B"/>
    <w:rsid w:val="00F6586B"/>
    <w:rsid w:val="00F65983"/>
    <w:rsid w:val="00F65DE2"/>
    <w:rsid w:val="00F663E7"/>
    <w:rsid w:val="00F67873"/>
    <w:rsid w:val="00F71C59"/>
    <w:rsid w:val="00F72C5C"/>
    <w:rsid w:val="00F74631"/>
    <w:rsid w:val="00F74B45"/>
    <w:rsid w:val="00F76221"/>
    <w:rsid w:val="00F76935"/>
    <w:rsid w:val="00F77800"/>
    <w:rsid w:val="00F8109B"/>
    <w:rsid w:val="00F81C7F"/>
    <w:rsid w:val="00F82716"/>
    <w:rsid w:val="00F849A7"/>
    <w:rsid w:val="00F85485"/>
    <w:rsid w:val="00F85CC3"/>
    <w:rsid w:val="00F85D19"/>
    <w:rsid w:val="00F865C4"/>
    <w:rsid w:val="00F865DC"/>
    <w:rsid w:val="00F9266B"/>
    <w:rsid w:val="00F92CBD"/>
    <w:rsid w:val="00F947B0"/>
    <w:rsid w:val="00F96539"/>
    <w:rsid w:val="00F968E0"/>
    <w:rsid w:val="00F97DB6"/>
    <w:rsid w:val="00FA0106"/>
    <w:rsid w:val="00FA0A8C"/>
    <w:rsid w:val="00FA1EE2"/>
    <w:rsid w:val="00FA2278"/>
    <w:rsid w:val="00FA2B2B"/>
    <w:rsid w:val="00FA3BE6"/>
    <w:rsid w:val="00FA4D96"/>
    <w:rsid w:val="00FA54BE"/>
    <w:rsid w:val="00FA5EC4"/>
    <w:rsid w:val="00FA63A5"/>
    <w:rsid w:val="00FB02DF"/>
    <w:rsid w:val="00FB0498"/>
    <w:rsid w:val="00FB1829"/>
    <w:rsid w:val="00FB19A3"/>
    <w:rsid w:val="00FB211E"/>
    <w:rsid w:val="00FB2825"/>
    <w:rsid w:val="00FB4EDD"/>
    <w:rsid w:val="00FB53A9"/>
    <w:rsid w:val="00FB5E9C"/>
    <w:rsid w:val="00FB7972"/>
    <w:rsid w:val="00FC0659"/>
    <w:rsid w:val="00FC2685"/>
    <w:rsid w:val="00FC4045"/>
    <w:rsid w:val="00FC4A53"/>
    <w:rsid w:val="00FC5C51"/>
    <w:rsid w:val="00FC7E63"/>
    <w:rsid w:val="00FD1047"/>
    <w:rsid w:val="00FD1486"/>
    <w:rsid w:val="00FD1A96"/>
    <w:rsid w:val="00FD2443"/>
    <w:rsid w:val="00FD2F38"/>
    <w:rsid w:val="00FD32E2"/>
    <w:rsid w:val="00FD674F"/>
    <w:rsid w:val="00FD7B8D"/>
    <w:rsid w:val="00FD7B93"/>
    <w:rsid w:val="00FE0DB6"/>
    <w:rsid w:val="00FE187A"/>
    <w:rsid w:val="00FE2C0E"/>
    <w:rsid w:val="00FE3B62"/>
    <w:rsid w:val="00FE4621"/>
    <w:rsid w:val="00FE5252"/>
    <w:rsid w:val="00FE5845"/>
    <w:rsid w:val="00FE7F94"/>
    <w:rsid w:val="00FF3217"/>
    <w:rsid w:val="00FF35BC"/>
    <w:rsid w:val="00FF3DB0"/>
    <w:rsid w:val="00FF4006"/>
    <w:rsid w:val="00FF5F90"/>
    <w:rsid w:val="00FF7433"/>
    <w:rsid w:val="00FF7D8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hapeDefaults>
    <o:shapedefaults v:ext="edit" spidmax="2050"/>
    <o:shapelayout v:ext="edit">
      <o:idmap v:ext="edit" data="2"/>
    </o:shapelayout>
  </w:shapeDefaults>
  <w:decimalSymbol w:val="."/>
  <w:listSeparator w:val=","/>
  <w14:docId w14:val="54058765"/>
  <w15:docId w15:val="{1689FC55-07A6-446D-B707-671EEED442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Arial"/>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qFormat="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A4FF0"/>
    <w:pPr>
      <w:spacing w:after="120" w:line="360" w:lineRule="atLeast"/>
      <w:jc w:val="both"/>
    </w:pPr>
    <w:rPr>
      <w:sz w:val="24"/>
    </w:rPr>
  </w:style>
  <w:style w:type="paragraph" w:styleId="Heading1">
    <w:name w:val="heading 1"/>
    <w:basedOn w:val="Normal"/>
    <w:next w:val="Heading2"/>
    <w:qFormat/>
    <w:rsid w:val="00CE4FD0"/>
    <w:pPr>
      <w:keepNext/>
      <w:numPr>
        <w:numId w:val="20"/>
      </w:numPr>
      <w:spacing w:before="720" w:after="240"/>
      <w:ind w:left="357" w:hanging="357"/>
      <w:jc w:val="center"/>
      <w:outlineLvl w:val="0"/>
    </w:pPr>
    <w:rPr>
      <w:b/>
      <w:sz w:val="28"/>
    </w:rPr>
  </w:style>
  <w:style w:type="paragraph" w:styleId="Heading2">
    <w:name w:val="heading 2"/>
    <w:basedOn w:val="Heading1"/>
    <w:next w:val="Normal"/>
    <w:qFormat/>
    <w:rsid w:val="00743E4C"/>
    <w:pPr>
      <w:numPr>
        <w:ilvl w:val="1"/>
      </w:numPr>
      <w:spacing w:before="360"/>
      <w:ind w:left="737" w:hanging="737"/>
      <w:jc w:val="left"/>
      <w:outlineLvl w:val="1"/>
    </w:pPr>
  </w:style>
  <w:style w:type="paragraph" w:styleId="Heading3">
    <w:name w:val="heading 3"/>
    <w:basedOn w:val="Heading2"/>
    <w:next w:val="Normal"/>
    <w:qFormat/>
    <w:rsid w:val="00285D3C"/>
    <w:pPr>
      <w:numPr>
        <w:ilvl w:val="2"/>
      </w:numPr>
      <w:spacing w:before="240"/>
      <w:ind w:left="1304" w:hanging="737"/>
      <w:outlineLvl w:val="2"/>
    </w:pPr>
    <w:rPr>
      <w:rFonts w:eastAsia="Calibri"/>
      <w:sz w:val="26"/>
    </w:rPr>
  </w:style>
  <w:style w:type="paragraph" w:styleId="Heading4">
    <w:name w:val="heading 4"/>
    <w:basedOn w:val="Heading3"/>
    <w:next w:val="Normal"/>
    <w:qFormat/>
    <w:pPr>
      <w:numPr>
        <w:ilvl w:val="3"/>
      </w:numPr>
      <w:outlineLvl w:val="3"/>
    </w:pPr>
    <w:rPr>
      <w:sz w:val="24"/>
    </w:rPr>
  </w:style>
  <w:style w:type="paragraph" w:styleId="Heading5">
    <w:name w:val="heading 5"/>
    <w:basedOn w:val="Normal"/>
    <w:next w:val="Normal"/>
    <w:qFormat/>
    <w:pPr>
      <w:numPr>
        <w:ilvl w:val="4"/>
        <w:numId w:val="20"/>
      </w:numPr>
      <w:spacing w:before="240" w:after="60"/>
      <w:outlineLvl w:val="4"/>
    </w:pPr>
    <w:rPr>
      <w:sz w:val="22"/>
    </w:rPr>
  </w:style>
  <w:style w:type="paragraph" w:styleId="Heading6">
    <w:name w:val="heading 6"/>
    <w:basedOn w:val="Normal"/>
    <w:next w:val="Normal"/>
    <w:qFormat/>
    <w:pPr>
      <w:numPr>
        <w:ilvl w:val="5"/>
        <w:numId w:val="20"/>
      </w:numPr>
      <w:spacing w:before="240" w:after="60"/>
      <w:outlineLvl w:val="5"/>
    </w:pPr>
    <w:rPr>
      <w:i/>
      <w:sz w:val="22"/>
    </w:rPr>
  </w:style>
  <w:style w:type="paragraph" w:styleId="Heading7">
    <w:name w:val="heading 7"/>
    <w:basedOn w:val="Normal"/>
    <w:next w:val="Normal"/>
    <w:qFormat/>
    <w:pPr>
      <w:numPr>
        <w:ilvl w:val="6"/>
        <w:numId w:val="20"/>
      </w:numPr>
      <w:spacing w:before="240" w:after="60"/>
      <w:outlineLvl w:val="6"/>
    </w:pPr>
    <w:rPr>
      <w:sz w:val="20"/>
    </w:rPr>
  </w:style>
  <w:style w:type="paragraph" w:styleId="Heading8">
    <w:name w:val="heading 8"/>
    <w:basedOn w:val="Normal"/>
    <w:next w:val="Normal"/>
    <w:qFormat/>
    <w:rsid w:val="00C473FF"/>
    <w:pPr>
      <w:keepLines/>
      <w:numPr>
        <w:ilvl w:val="7"/>
        <w:numId w:val="20"/>
      </w:numPr>
      <w:spacing w:before="240" w:after="240" w:line="240" w:lineRule="atLeast"/>
      <w:outlineLvl w:val="7"/>
    </w:pPr>
  </w:style>
  <w:style w:type="paragraph" w:styleId="Heading9">
    <w:name w:val="heading 9"/>
    <w:basedOn w:val="Normal"/>
    <w:next w:val="Normal"/>
    <w:qFormat/>
    <w:pPr>
      <w:numPr>
        <w:ilvl w:val="8"/>
        <w:numId w:val="20"/>
      </w:num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basedOn w:val="TOC3"/>
    <w:uiPriority w:val="39"/>
    <w:pPr>
      <w:ind w:left="2160"/>
    </w:pPr>
  </w:style>
  <w:style w:type="paragraph" w:styleId="TOC3">
    <w:name w:val="toc 3"/>
    <w:basedOn w:val="TOC2"/>
    <w:uiPriority w:val="39"/>
    <w:pPr>
      <w:ind w:left="1620"/>
    </w:pPr>
  </w:style>
  <w:style w:type="paragraph" w:styleId="TOC2">
    <w:name w:val="toc 2"/>
    <w:basedOn w:val="TOC1"/>
    <w:uiPriority w:val="39"/>
    <w:pPr>
      <w:keepNext w:val="0"/>
      <w:ind w:left="1080"/>
    </w:pPr>
    <w:rPr>
      <w:b w:val="0"/>
    </w:rPr>
  </w:style>
  <w:style w:type="paragraph" w:styleId="TOC1">
    <w:name w:val="toc 1"/>
    <w:basedOn w:val="Normal"/>
    <w:link w:val="TOC1Char"/>
    <w:uiPriority w:val="39"/>
    <w:pPr>
      <w:keepNext/>
      <w:keepLines/>
      <w:tabs>
        <w:tab w:val="right" w:leader="dot" w:pos="8150"/>
      </w:tabs>
      <w:spacing w:before="120" w:after="40" w:line="280" w:lineRule="atLeast"/>
      <w:ind w:left="540" w:right="576" w:hanging="540"/>
    </w:pPr>
    <w:rPr>
      <w:b/>
    </w:rPr>
  </w:style>
  <w:style w:type="paragraph" w:styleId="Index4">
    <w:name w:val="index 4"/>
    <w:basedOn w:val="Index3"/>
    <w:semiHidden/>
    <w:pPr>
      <w:ind w:left="1152"/>
    </w:pPr>
  </w:style>
  <w:style w:type="paragraph" w:styleId="Index3">
    <w:name w:val="index 3"/>
    <w:basedOn w:val="Index2"/>
    <w:semiHidden/>
    <w:pPr>
      <w:ind w:left="810" w:hanging="270"/>
    </w:pPr>
  </w:style>
  <w:style w:type="paragraph" w:styleId="Index2">
    <w:name w:val="index 2"/>
    <w:basedOn w:val="Index1"/>
    <w:semiHidden/>
    <w:pPr>
      <w:ind w:left="540" w:hanging="252"/>
    </w:pPr>
  </w:style>
  <w:style w:type="paragraph" w:styleId="Index1">
    <w:name w:val="index 1"/>
    <w:basedOn w:val="Normal"/>
    <w:semiHidden/>
    <w:pPr>
      <w:keepLines/>
      <w:spacing w:line="240" w:lineRule="atLeast"/>
      <w:ind w:left="270" w:hanging="270"/>
    </w:pPr>
  </w:style>
  <w:style w:type="paragraph" w:styleId="Header">
    <w:name w:val="header"/>
    <w:rsid w:val="00246BF6"/>
    <w:pPr>
      <w:spacing w:line="240" w:lineRule="atLeast"/>
      <w:jc w:val="center"/>
    </w:pPr>
    <w:rPr>
      <w:sz w:val="24"/>
    </w:rPr>
  </w:style>
  <w:style w:type="character" w:styleId="FootnoteReference">
    <w:name w:val="footnote reference"/>
    <w:basedOn w:val="DefaultParagraphFont"/>
    <w:semiHidden/>
    <w:rPr>
      <w:position w:val="6"/>
      <w:sz w:val="16"/>
    </w:rPr>
  </w:style>
  <w:style w:type="paragraph" w:styleId="FootnoteText">
    <w:name w:val="footnote text"/>
    <w:basedOn w:val="Normal"/>
    <w:semiHidden/>
    <w:rsid w:val="00283ED5"/>
    <w:pPr>
      <w:spacing w:before="240" w:line="240" w:lineRule="atLeast"/>
      <w:ind w:left="432" w:hanging="432"/>
    </w:pPr>
  </w:style>
  <w:style w:type="paragraph" w:styleId="NormalIndent">
    <w:name w:val="Normal Indent"/>
    <w:basedOn w:val="Normal"/>
    <w:pPr>
      <w:ind w:left="720"/>
    </w:pPr>
  </w:style>
  <w:style w:type="paragraph" w:customStyle="1" w:styleId="left-aligned">
    <w:name w:val="left-aligned"/>
    <w:basedOn w:val="Normal"/>
    <w:rsid w:val="00367014"/>
  </w:style>
  <w:style w:type="paragraph" w:customStyle="1" w:styleId="centred">
    <w:name w:val="centred"/>
    <w:basedOn w:val="Normal"/>
    <w:rsid w:val="006E4EF4"/>
    <w:pPr>
      <w:jc w:val="center"/>
    </w:pPr>
  </w:style>
  <w:style w:type="paragraph" w:customStyle="1" w:styleId="right-aligned">
    <w:name w:val="right-aligned"/>
    <w:basedOn w:val="Normal"/>
    <w:pPr>
      <w:jc w:val="right"/>
    </w:pPr>
  </w:style>
  <w:style w:type="paragraph" w:customStyle="1" w:styleId="figurecaption">
    <w:name w:val="figure caption"/>
    <w:basedOn w:val="Normal"/>
    <w:next w:val="Normal"/>
    <w:pPr>
      <w:keepLines/>
      <w:spacing w:before="240" w:line="240" w:lineRule="atLeast"/>
      <w:ind w:left="547" w:hanging="547"/>
    </w:pPr>
  </w:style>
  <w:style w:type="paragraph" w:customStyle="1" w:styleId="typedblock">
    <w:name w:val="typed block"/>
    <w:basedOn w:val="Normal"/>
    <w:pPr>
      <w:keepLines/>
    </w:pPr>
    <w:rPr>
      <w:rFonts w:ascii="Courier New" w:hAnsi="Courier New"/>
    </w:rPr>
  </w:style>
  <w:style w:type="paragraph" w:customStyle="1" w:styleId="hangingindent">
    <w:name w:val="hanging indent"/>
    <w:basedOn w:val="Normal"/>
    <w:rsid w:val="00C473FF"/>
    <w:pPr>
      <w:ind w:left="576" w:hanging="576"/>
    </w:pPr>
  </w:style>
  <w:style w:type="paragraph" w:customStyle="1" w:styleId="Title1">
    <w:name w:val="Title1"/>
    <w:basedOn w:val="Normal"/>
    <w:next w:val="Subtitle1"/>
    <w:pPr>
      <w:spacing w:before="960" w:after="360"/>
      <w:jc w:val="center"/>
    </w:pPr>
    <w:rPr>
      <w:b/>
      <w:sz w:val="28"/>
    </w:rPr>
  </w:style>
  <w:style w:type="paragraph" w:customStyle="1" w:styleId="Subtitle1">
    <w:name w:val="Subtitle1"/>
    <w:basedOn w:val="Title1"/>
    <w:next w:val="centred"/>
    <w:rsid w:val="00AB6233"/>
    <w:pPr>
      <w:spacing w:before="360"/>
    </w:pPr>
    <w:rPr>
      <w:sz w:val="24"/>
    </w:rPr>
  </w:style>
  <w:style w:type="paragraph" w:customStyle="1" w:styleId="Chapter">
    <w:name w:val="Chapter"/>
    <w:basedOn w:val="Normal"/>
    <w:next w:val="Heading1"/>
    <w:qFormat/>
    <w:pPr>
      <w:pageBreakBefore/>
      <w:spacing w:before="1680" w:after="480" w:line="480" w:lineRule="atLeast"/>
      <w:jc w:val="center"/>
    </w:pPr>
    <w:rPr>
      <w:b/>
      <w:sz w:val="28"/>
    </w:rPr>
  </w:style>
  <w:style w:type="paragraph" w:customStyle="1" w:styleId="tablecaption">
    <w:name w:val="table caption"/>
    <w:basedOn w:val="Normal"/>
    <w:next w:val="Normal"/>
    <w:qFormat/>
    <w:rsid w:val="004C6875"/>
    <w:pPr>
      <w:keepNext/>
      <w:keepLines/>
      <w:spacing w:before="240" w:line="240" w:lineRule="atLeast"/>
      <w:ind w:left="540" w:hanging="540"/>
    </w:pPr>
    <w:rPr>
      <w:sz w:val="22"/>
    </w:rPr>
  </w:style>
  <w:style w:type="paragraph" w:customStyle="1" w:styleId="tall">
    <w:name w:val="tall"/>
    <w:basedOn w:val="centred"/>
    <w:pPr>
      <w:keepNext/>
      <w:keepLines/>
      <w:spacing w:after="144" w:line="660" w:lineRule="exact"/>
    </w:pPr>
  </w:style>
  <w:style w:type="character" w:styleId="EndnoteReference">
    <w:name w:val="endnote reference"/>
    <w:basedOn w:val="DefaultParagraphFont"/>
    <w:semiHidden/>
    <w:rPr>
      <w:vertAlign w:val="superscript"/>
    </w:rPr>
  </w:style>
  <w:style w:type="paragraph" w:customStyle="1" w:styleId="figuredescription">
    <w:name w:val="figure description"/>
    <w:basedOn w:val="figurecaption"/>
    <w:next w:val="Normal"/>
    <w:pPr>
      <w:spacing w:before="0"/>
      <w:ind w:firstLine="0"/>
    </w:pPr>
  </w:style>
  <w:style w:type="paragraph" w:styleId="Footer">
    <w:name w:val="footer"/>
    <w:basedOn w:val="Normal"/>
    <w:rsid w:val="00283ED5"/>
    <w:pPr>
      <w:tabs>
        <w:tab w:val="center" w:pos="4153"/>
        <w:tab w:val="right" w:pos="8306"/>
      </w:tabs>
    </w:pPr>
  </w:style>
  <w:style w:type="character" w:styleId="PageNumber">
    <w:name w:val="page number"/>
    <w:basedOn w:val="DefaultParagraphFont"/>
  </w:style>
  <w:style w:type="paragraph" w:customStyle="1" w:styleId="tabledescription">
    <w:name w:val="table description"/>
    <w:basedOn w:val="tablecaption"/>
    <w:next w:val="Normal"/>
    <w:pPr>
      <w:spacing w:before="0"/>
      <w:ind w:firstLine="0"/>
    </w:pPr>
  </w:style>
  <w:style w:type="paragraph" w:styleId="Caption">
    <w:name w:val="caption"/>
    <w:basedOn w:val="Normal"/>
    <w:next w:val="Description"/>
    <w:unhideWhenUsed/>
    <w:qFormat/>
    <w:rsid w:val="00E07FE3"/>
    <w:pPr>
      <w:keepLines/>
      <w:spacing w:before="240" w:line="240" w:lineRule="atLeast"/>
      <w:ind w:left="547" w:hanging="547"/>
    </w:pPr>
    <w:rPr>
      <w:b/>
      <w:bCs/>
      <w:sz w:val="22"/>
      <w:szCs w:val="24"/>
    </w:rPr>
  </w:style>
  <w:style w:type="character" w:styleId="Hyperlink">
    <w:name w:val="Hyperlink"/>
    <w:basedOn w:val="DefaultParagraphFont"/>
    <w:uiPriority w:val="99"/>
    <w:unhideWhenUsed/>
    <w:rsid w:val="00FE4621"/>
    <w:rPr>
      <w:color w:val="0000FF"/>
      <w:u w:val="single"/>
    </w:rPr>
  </w:style>
  <w:style w:type="paragraph" w:styleId="TableofFigures">
    <w:name w:val="table of figures"/>
    <w:basedOn w:val="TOC1"/>
    <w:next w:val="Normal"/>
    <w:uiPriority w:val="99"/>
    <w:qFormat/>
    <w:rsid w:val="00D96A61"/>
    <w:pPr>
      <w:keepNext w:val="0"/>
      <w:ind w:left="547" w:hanging="547"/>
    </w:pPr>
    <w:rPr>
      <w:sz w:val="22"/>
    </w:rPr>
  </w:style>
  <w:style w:type="paragraph" w:customStyle="1" w:styleId="Description">
    <w:name w:val="Description"/>
    <w:basedOn w:val="figuredescription"/>
    <w:next w:val="Normal"/>
    <w:qFormat/>
    <w:rsid w:val="000749E5"/>
    <w:pPr>
      <w:ind w:left="113"/>
    </w:pPr>
    <w:rPr>
      <w:sz w:val="22"/>
    </w:rPr>
  </w:style>
  <w:style w:type="paragraph" w:styleId="Signature">
    <w:name w:val="Signature"/>
    <w:basedOn w:val="Normal"/>
    <w:link w:val="SignatureChar"/>
    <w:rsid w:val="00AB6233"/>
    <w:pPr>
      <w:ind w:left="4252"/>
    </w:pPr>
  </w:style>
  <w:style w:type="character" w:customStyle="1" w:styleId="SignatureChar">
    <w:name w:val="Signature Char"/>
    <w:basedOn w:val="DefaultParagraphFont"/>
    <w:link w:val="Signature"/>
    <w:rsid w:val="00AB6233"/>
    <w:rPr>
      <w:sz w:val="24"/>
    </w:rPr>
  </w:style>
  <w:style w:type="paragraph" w:styleId="EnvelopeReturn">
    <w:name w:val="envelope return"/>
    <w:basedOn w:val="Normal"/>
    <w:unhideWhenUsed/>
    <w:rsid w:val="003E5476"/>
    <w:pPr>
      <w:spacing w:after="0" w:line="240" w:lineRule="auto"/>
    </w:pPr>
    <w:rPr>
      <w:rFonts w:asciiTheme="majorHAnsi" w:eastAsiaTheme="majorEastAsia" w:hAnsiTheme="majorHAnsi" w:cstheme="majorBidi"/>
      <w:sz w:val="20"/>
    </w:rPr>
  </w:style>
  <w:style w:type="character" w:styleId="FollowedHyperlink">
    <w:name w:val="FollowedHyperlink"/>
    <w:basedOn w:val="DefaultParagraphFont"/>
    <w:unhideWhenUsed/>
    <w:rsid w:val="003E5476"/>
    <w:rPr>
      <w:color w:val="800080" w:themeColor="followedHyperlink"/>
      <w:u w:val="single"/>
    </w:rPr>
  </w:style>
  <w:style w:type="paragraph" w:customStyle="1" w:styleId="StylefigurecaptionBold">
    <w:name w:val="Style figure caption + Bold"/>
    <w:basedOn w:val="figurecaption"/>
    <w:qFormat/>
    <w:rsid w:val="003E5476"/>
    <w:rPr>
      <w:b/>
      <w:bCs/>
      <w:sz w:val="22"/>
    </w:rPr>
  </w:style>
  <w:style w:type="paragraph" w:styleId="ListParagraph">
    <w:name w:val="List Paragraph"/>
    <w:basedOn w:val="Normal"/>
    <w:uiPriority w:val="34"/>
    <w:qFormat/>
    <w:rsid w:val="00CE3560"/>
    <w:pPr>
      <w:spacing w:after="160" w:line="259" w:lineRule="auto"/>
      <w:ind w:left="720"/>
      <w:contextualSpacing/>
    </w:pPr>
    <w:rPr>
      <w:rFonts w:asciiTheme="minorHAnsi" w:eastAsiaTheme="minorHAnsi" w:hAnsiTheme="minorHAnsi" w:cstheme="minorBidi"/>
      <w:kern w:val="2"/>
      <w:sz w:val="22"/>
      <w:szCs w:val="22"/>
      <w:lang w:eastAsia="en-US"/>
      <w14:ligatures w14:val="standardContextual"/>
    </w:rPr>
  </w:style>
  <w:style w:type="paragraph" w:styleId="NormalWeb">
    <w:name w:val="Normal (Web)"/>
    <w:basedOn w:val="Normal"/>
    <w:uiPriority w:val="99"/>
    <w:semiHidden/>
    <w:unhideWhenUsed/>
    <w:rsid w:val="00246CFD"/>
    <w:pPr>
      <w:spacing w:before="100" w:beforeAutospacing="1" w:after="100" w:afterAutospacing="1" w:line="240" w:lineRule="auto"/>
    </w:pPr>
    <w:rPr>
      <w:rFonts w:ascii="Times New Roman" w:hAnsi="Times New Roman" w:cs="Times New Roman"/>
      <w:szCs w:val="24"/>
    </w:rPr>
  </w:style>
  <w:style w:type="table" w:styleId="TableGrid">
    <w:name w:val="Table Grid"/>
    <w:basedOn w:val="TableNormal"/>
    <w:uiPriority w:val="39"/>
    <w:rsid w:val="003A09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BB2B03"/>
    <w:rPr>
      <w:sz w:val="16"/>
      <w:szCs w:val="16"/>
    </w:rPr>
  </w:style>
  <w:style w:type="paragraph" w:styleId="CommentText">
    <w:name w:val="annotation text"/>
    <w:basedOn w:val="Normal"/>
    <w:link w:val="CommentTextChar"/>
    <w:unhideWhenUsed/>
    <w:rsid w:val="00BB2B03"/>
    <w:pPr>
      <w:spacing w:line="240" w:lineRule="auto"/>
    </w:pPr>
    <w:rPr>
      <w:sz w:val="20"/>
    </w:rPr>
  </w:style>
  <w:style w:type="character" w:customStyle="1" w:styleId="CommentTextChar">
    <w:name w:val="Comment Text Char"/>
    <w:basedOn w:val="DefaultParagraphFont"/>
    <w:link w:val="CommentText"/>
    <w:rsid w:val="00BB2B03"/>
  </w:style>
  <w:style w:type="paragraph" w:styleId="CommentSubject">
    <w:name w:val="annotation subject"/>
    <w:basedOn w:val="CommentText"/>
    <w:next w:val="CommentText"/>
    <w:link w:val="CommentSubjectChar"/>
    <w:semiHidden/>
    <w:unhideWhenUsed/>
    <w:rsid w:val="00BB2B03"/>
    <w:rPr>
      <w:b/>
      <w:bCs/>
    </w:rPr>
  </w:style>
  <w:style w:type="character" w:customStyle="1" w:styleId="CommentSubjectChar">
    <w:name w:val="Comment Subject Char"/>
    <w:basedOn w:val="CommentTextChar"/>
    <w:link w:val="CommentSubject"/>
    <w:semiHidden/>
    <w:rsid w:val="00BB2B03"/>
    <w:rPr>
      <w:b/>
      <w:bCs/>
    </w:rPr>
  </w:style>
  <w:style w:type="paragraph" w:customStyle="1" w:styleId="ListofTables">
    <w:name w:val="List of Tables"/>
    <w:basedOn w:val="TOC1"/>
    <w:link w:val="ListofTablesChar"/>
    <w:qFormat/>
    <w:rsid w:val="00D96A61"/>
    <w:rPr>
      <w:b w:val="0"/>
    </w:rPr>
  </w:style>
  <w:style w:type="character" w:customStyle="1" w:styleId="TOC1Char">
    <w:name w:val="TOC 1 Char"/>
    <w:basedOn w:val="DefaultParagraphFont"/>
    <w:link w:val="TOC1"/>
    <w:uiPriority w:val="39"/>
    <w:rsid w:val="00D96A61"/>
    <w:rPr>
      <w:b/>
      <w:sz w:val="24"/>
    </w:rPr>
  </w:style>
  <w:style w:type="character" w:customStyle="1" w:styleId="ListofTablesChar">
    <w:name w:val="List of Tables Char"/>
    <w:basedOn w:val="TOC1Char"/>
    <w:link w:val="ListofTables"/>
    <w:rsid w:val="00D96A61"/>
    <w:rPr>
      <w:b w:val="0"/>
      <w:sz w:val="24"/>
    </w:rPr>
  </w:style>
  <w:style w:type="paragraph" w:customStyle="1" w:styleId="ListofFigures">
    <w:name w:val="List of Figures"/>
    <w:basedOn w:val="TOC1"/>
    <w:link w:val="ListofFiguresChar"/>
    <w:qFormat/>
    <w:rsid w:val="00D96A61"/>
    <w:rPr>
      <w:rFonts w:eastAsiaTheme="minorEastAsia" w:cstheme="minorBidi"/>
      <w:noProof/>
      <w:kern w:val="2"/>
      <w:szCs w:val="22"/>
      <w14:ligatures w14:val="standardContextual"/>
    </w:rPr>
  </w:style>
  <w:style w:type="character" w:customStyle="1" w:styleId="ListofFiguresChar">
    <w:name w:val="List of Figures Char"/>
    <w:basedOn w:val="TOC1Char"/>
    <w:link w:val="ListofFigures"/>
    <w:rsid w:val="00D96A61"/>
    <w:rPr>
      <w:rFonts w:eastAsiaTheme="minorEastAsia" w:cstheme="minorBidi"/>
      <w:b/>
      <w:noProof/>
      <w:kern w:val="2"/>
      <w:sz w:val="24"/>
      <w:szCs w:val="22"/>
      <w14:ligatures w14:val="standardContextual"/>
    </w:rPr>
  </w:style>
  <w:style w:type="paragraph" w:customStyle="1" w:styleId="ChapterTitles">
    <w:name w:val="Chapter Titles"/>
    <w:basedOn w:val="Heading1"/>
    <w:link w:val="ChapterTitlesChar"/>
    <w:qFormat/>
    <w:rsid w:val="006068FB"/>
    <w:pPr>
      <w:numPr>
        <w:numId w:val="0"/>
      </w:numPr>
      <w:spacing w:before="360" w:after="120" w:line="480" w:lineRule="auto"/>
    </w:pPr>
    <w:rPr>
      <w:rFonts w:eastAsia="Calibri" w:cstheme="majorBidi"/>
      <w:color w:val="000000" w:themeColor="text1"/>
      <w:kern w:val="2"/>
      <w:sz w:val="36"/>
      <w:szCs w:val="32"/>
      <w:lang w:eastAsia="en-US"/>
      <w14:ligatures w14:val="standardContextual"/>
    </w:rPr>
  </w:style>
  <w:style w:type="character" w:customStyle="1" w:styleId="ChapterTitlesChar">
    <w:name w:val="Chapter Titles Char"/>
    <w:basedOn w:val="DefaultParagraphFont"/>
    <w:link w:val="ChapterTitles"/>
    <w:rsid w:val="006068FB"/>
    <w:rPr>
      <w:rFonts w:eastAsia="Calibri" w:cstheme="majorBidi"/>
      <w:b/>
      <w:color w:val="000000" w:themeColor="text1"/>
      <w:kern w:val="2"/>
      <w:sz w:val="36"/>
      <w:szCs w:val="32"/>
      <w:lang w:eastAsia="en-US"/>
      <w14:ligatures w14:val="standardContextual"/>
    </w:rPr>
  </w:style>
  <w:style w:type="paragraph" w:styleId="Revision">
    <w:name w:val="Revision"/>
    <w:hidden/>
    <w:uiPriority w:val="99"/>
    <w:semiHidden/>
    <w:rsid w:val="00C42DCD"/>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7970466">
      <w:bodyDiv w:val="1"/>
      <w:marLeft w:val="0"/>
      <w:marRight w:val="0"/>
      <w:marTop w:val="0"/>
      <w:marBottom w:val="0"/>
      <w:divBdr>
        <w:top w:val="none" w:sz="0" w:space="0" w:color="auto"/>
        <w:left w:val="none" w:sz="0" w:space="0" w:color="auto"/>
        <w:bottom w:val="none" w:sz="0" w:space="0" w:color="auto"/>
        <w:right w:val="none" w:sz="0" w:space="0" w:color="auto"/>
      </w:divBdr>
    </w:div>
    <w:div w:id="1355501858">
      <w:bodyDiv w:val="1"/>
      <w:marLeft w:val="0"/>
      <w:marRight w:val="0"/>
      <w:marTop w:val="0"/>
      <w:marBottom w:val="0"/>
      <w:divBdr>
        <w:top w:val="none" w:sz="0" w:space="0" w:color="auto"/>
        <w:left w:val="none" w:sz="0" w:space="0" w:color="auto"/>
        <w:bottom w:val="none" w:sz="0" w:space="0" w:color="auto"/>
        <w:right w:val="none" w:sz="0" w:space="0" w:color="auto"/>
      </w:divBdr>
    </w:div>
    <w:div w:id="1445231123">
      <w:bodyDiv w:val="1"/>
      <w:marLeft w:val="0"/>
      <w:marRight w:val="0"/>
      <w:marTop w:val="0"/>
      <w:marBottom w:val="0"/>
      <w:divBdr>
        <w:top w:val="none" w:sz="0" w:space="0" w:color="auto"/>
        <w:left w:val="none" w:sz="0" w:space="0" w:color="auto"/>
        <w:bottom w:val="none" w:sz="0" w:space="0" w:color="auto"/>
        <w:right w:val="none" w:sz="0" w:space="0" w:color="auto"/>
      </w:divBdr>
    </w:div>
    <w:div w:id="1507090420">
      <w:bodyDiv w:val="1"/>
      <w:marLeft w:val="0"/>
      <w:marRight w:val="0"/>
      <w:marTop w:val="0"/>
      <w:marBottom w:val="0"/>
      <w:divBdr>
        <w:top w:val="none" w:sz="0" w:space="0" w:color="auto"/>
        <w:left w:val="none" w:sz="0" w:space="0" w:color="auto"/>
        <w:bottom w:val="none" w:sz="0" w:space="0" w:color="auto"/>
        <w:right w:val="none" w:sz="0" w:space="0" w:color="auto"/>
      </w:divBdr>
    </w:div>
    <w:div w:id="1687902224">
      <w:bodyDiv w:val="1"/>
      <w:marLeft w:val="0"/>
      <w:marRight w:val="0"/>
      <w:marTop w:val="0"/>
      <w:marBottom w:val="0"/>
      <w:divBdr>
        <w:top w:val="none" w:sz="0" w:space="0" w:color="auto"/>
        <w:left w:val="none" w:sz="0" w:space="0" w:color="auto"/>
        <w:bottom w:val="none" w:sz="0" w:space="0" w:color="auto"/>
        <w:right w:val="none" w:sz="0" w:space="0" w:color="auto"/>
      </w:divBdr>
    </w:div>
    <w:div w:id="1896433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g"/><Relationship Id="rId8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60.jpeg"/><Relationship Id="rId2" Type="http://schemas.openxmlformats.org/officeDocument/2006/relationships/customXml" Target="../customXml/item2.xml"/><Relationship Id="rId16" Type="http://schemas.openxmlformats.org/officeDocument/2006/relationships/image" Target="media/image5.jpg"/><Relationship Id="rId29" Type="http://schemas.openxmlformats.org/officeDocument/2006/relationships/image" Target="media/image18.jpg"/><Relationship Id="rId11" Type="http://schemas.openxmlformats.org/officeDocument/2006/relationships/header" Target="head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g"/><Relationship Id="rId79" Type="http://schemas.openxmlformats.org/officeDocument/2006/relationships/image" Target="media/image68.jpeg"/><Relationship Id="rId5" Type="http://schemas.openxmlformats.org/officeDocument/2006/relationships/numbering" Target="numbering.xml"/><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glossaryDocument" Target="glossary/document.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jpg"/><Relationship Id="rId41" Type="http://schemas.openxmlformats.org/officeDocument/2006/relationships/image" Target="media/image30.jp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g"/><Relationship Id="rId83"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endnotes" Target="endnotes.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ktbc\Desktop\thesisLeedsFeb2010.do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1D140EE15AB4063A03EEF901B40CE4F"/>
        <w:category>
          <w:name w:val="General"/>
          <w:gallery w:val="placeholder"/>
        </w:category>
        <w:types>
          <w:type w:val="bbPlcHdr"/>
        </w:types>
        <w:behaviors>
          <w:behavior w:val="content"/>
        </w:behaviors>
        <w:guid w:val="{9C50E13B-B7EB-412A-8388-61DE4F5E0182}"/>
      </w:docPartPr>
      <w:docPartBody>
        <w:p w:rsidR="00C62EA1" w:rsidRDefault="00C62EA1" w:rsidP="00C62EA1">
          <w:pPr>
            <w:pStyle w:val="21D140EE15AB4063A03EEF901B40CE4F"/>
          </w:pPr>
          <w:r w:rsidRPr="006B7CF5">
            <w:rPr>
              <w:rStyle w:val="PlaceholderText"/>
            </w:rPr>
            <w:t>Click or tap here to enter text.</w:t>
          </w:r>
        </w:p>
      </w:docPartBody>
    </w:docPart>
    <w:docPart>
      <w:docPartPr>
        <w:name w:val="C15A993F57C646B3BAD26E45A9E7AF44"/>
        <w:category>
          <w:name w:val="General"/>
          <w:gallery w:val="placeholder"/>
        </w:category>
        <w:types>
          <w:type w:val="bbPlcHdr"/>
        </w:types>
        <w:behaviors>
          <w:behavior w:val="content"/>
        </w:behaviors>
        <w:guid w:val="{7ED9D694-5F88-4277-AAA0-2BF36CF71E01}"/>
      </w:docPartPr>
      <w:docPartBody>
        <w:p w:rsidR="00C62EA1" w:rsidRDefault="00C62EA1" w:rsidP="00C62EA1">
          <w:pPr>
            <w:pStyle w:val="C15A993F57C646B3BAD26E45A9E7AF44"/>
          </w:pPr>
          <w:r w:rsidRPr="006B7CF5">
            <w:rPr>
              <w:rStyle w:val="PlaceholderText"/>
            </w:rPr>
            <w:t>Click or tap here to enter text.</w:t>
          </w:r>
        </w:p>
      </w:docPartBody>
    </w:docPart>
    <w:docPart>
      <w:docPartPr>
        <w:name w:val="5FC6BDD4D8834A9BBD9E47B174EC7338"/>
        <w:category>
          <w:name w:val="General"/>
          <w:gallery w:val="placeholder"/>
        </w:category>
        <w:types>
          <w:type w:val="bbPlcHdr"/>
        </w:types>
        <w:behaviors>
          <w:behavior w:val="content"/>
        </w:behaviors>
        <w:guid w:val="{18DB669D-6FD7-4FB6-BEFD-17EDAFEDBB30}"/>
      </w:docPartPr>
      <w:docPartBody>
        <w:p w:rsidR="00C62EA1" w:rsidRDefault="00C62EA1" w:rsidP="00C62EA1">
          <w:pPr>
            <w:pStyle w:val="5FC6BDD4D8834A9BBD9E47B174EC7338"/>
          </w:pPr>
          <w:r w:rsidRPr="006B7CF5">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mn-e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2EA1"/>
    <w:rsid w:val="00037420"/>
    <w:rsid w:val="002246EB"/>
    <w:rsid w:val="002443D2"/>
    <w:rsid w:val="00246E7D"/>
    <w:rsid w:val="002672A5"/>
    <w:rsid w:val="002C4317"/>
    <w:rsid w:val="00421055"/>
    <w:rsid w:val="004635DF"/>
    <w:rsid w:val="00641455"/>
    <w:rsid w:val="006C7AA0"/>
    <w:rsid w:val="00743DF9"/>
    <w:rsid w:val="00890C41"/>
    <w:rsid w:val="009D133B"/>
    <w:rsid w:val="00AF716B"/>
    <w:rsid w:val="00B021FF"/>
    <w:rsid w:val="00C62EA1"/>
    <w:rsid w:val="00C90018"/>
    <w:rsid w:val="00CF5222"/>
    <w:rsid w:val="00D2259F"/>
    <w:rsid w:val="00DF407D"/>
    <w:rsid w:val="00EF35F2"/>
    <w:rsid w:val="00F75BC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41455"/>
    <w:rPr>
      <w:color w:val="808080"/>
    </w:rPr>
  </w:style>
  <w:style w:type="paragraph" w:customStyle="1" w:styleId="21D140EE15AB4063A03EEF901B40CE4F">
    <w:name w:val="21D140EE15AB4063A03EEF901B40CE4F"/>
    <w:rsid w:val="00C62EA1"/>
  </w:style>
  <w:style w:type="paragraph" w:customStyle="1" w:styleId="C15A993F57C646B3BAD26E45A9E7AF44">
    <w:name w:val="C15A993F57C646B3BAD26E45A9E7AF44"/>
    <w:rsid w:val="00C62EA1"/>
  </w:style>
  <w:style w:type="paragraph" w:customStyle="1" w:styleId="5FC6BDD4D8834A9BBD9E47B174EC7338">
    <w:name w:val="5FC6BDD4D8834A9BBD9E47B174EC7338"/>
    <w:rsid w:val="00C62EA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2F7F537B969924689AAFEFA92141119" ma:contentTypeVersion="13" ma:contentTypeDescription="Create a new document." ma:contentTypeScope="" ma:versionID="a8ac2c5d0a82b4e8ecbd1ab9c960f1f8">
  <xsd:schema xmlns:xsd="http://www.w3.org/2001/XMLSchema" xmlns:xs="http://www.w3.org/2001/XMLSchema" xmlns:p="http://schemas.microsoft.com/office/2006/metadata/properties" xmlns:ns3="e6c903af-e1b3-444b-9bc0-9fe6ff98ae35" xmlns:ns4="44affd26-d2b3-46db-b501-343885f64e5c" targetNamespace="http://schemas.microsoft.com/office/2006/metadata/properties" ma:root="true" ma:fieldsID="5734e6327e155495e2780f40c950d19b" ns3:_="" ns4:_="">
    <xsd:import namespace="e6c903af-e1b3-444b-9bc0-9fe6ff98ae35"/>
    <xsd:import namespace="44affd26-d2b3-46db-b501-343885f64e5c"/>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c903af-e1b3-444b-9bc0-9fe6ff98ae3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4affd26-d2b3-46db-b501-343885f64e5c"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9BBA845-7D0F-43E1-8B7D-4E1B7A1DFF59}">
  <ds:schemaRefs>
    <ds:schemaRef ds:uri="http://schemas.openxmlformats.org/officeDocument/2006/bibliography"/>
  </ds:schemaRefs>
</ds:datastoreItem>
</file>

<file path=customXml/itemProps2.xml><?xml version="1.0" encoding="utf-8"?>
<ds:datastoreItem xmlns:ds="http://schemas.openxmlformats.org/officeDocument/2006/customXml" ds:itemID="{717281FD-0386-45D1-BDB2-899D3A68EE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c903af-e1b3-444b-9bc0-9fe6ff98ae35"/>
    <ds:schemaRef ds:uri="44affd26-d2b3-46db-b501-343885f64e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0778ECF-3E44-4502-B6B8-72B87FC40554}">
  <ds:schemaRefs>
    <ds:schemaRef ds:uri="http://schemas.microsoft.com/sharepoint/v3/contenttype/forms"/>
  </ds:schemaRefs>
</ds:datastoreItem>
</file>

<file path=customXml/itemProps4.xml><?xml version="1.0" encoding="utf-8"?>
<ds:datastoreItem xmlns:ds="http://schemas.openxmlformats.org/officeDocument/2006/customXml" ds:itemID="{5F2EE09A-1AA3-4A6B-8CF1-08914EDC8DF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thesisLeedsFeb2010</Template>
  <TotalTime>10</TotalTime>
  <Pages>251</Pages>
  <Words>215642</Words>
  <Characters>1229162</Characters>
  <Application>Microsoft Office Word</Application>
  <DocSecurity>0</DocSecurity>
  <Lines>10243</Lines>
  <Paragraphs>2883</Paragraphs>
  <ScaleCrop>false</ScaleCrop>
  <HeadingPairs>
    <vt:vector size="2" baseType="variant">
      <vt:variant>
        <vt:lpstr>Title</vt:lpstr>
      </vt:variant>
      <vt:variant>
        <vt:i4>1</vt:i4>
      </vt:variant>
    </vt:vector>
  </HeadingPairs>
  <TitlesOfParts>
    <vt:vector size="1" baseType="lpstr">
      <vt:lpstr>Leeds Thesis Template</vt:lpstr>
    </vt:vector>
  </TitlesOfParts>
  <Company>University of Leeds</Company>
  <LinksUpToDate>false</LinksUpToDate>
  <CharactersWithSpaces>1441921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Leeds Thesis Template</dc:title>
  <dc:creator>Cara Wheeldon [RPG]</dc:creator>
  <dc:description>For Microsoft Word 2007.
Uses styles to conform to Leeds University regulations.</dc:description>
  <cp:lastModifiedBy>Cara Wheeldon [RPG]</cp:lastModifiedBy>
  <cp:revision>5</cp:revision>
  <cp:lastPrinted>2023-12-24T17:40:00Z</cp:lastPrinted>
  <dcterms:created xsi:type="dcterms:W3CDTF">2023-12-24T17:32:00Z</dcterms:created>
  <dcterms:modified xsi:type="dcterms:W3CDTF">2023-12-24T17:41:00Z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0x01010092F7F537B969924689AAFEFA92141119</vt:lpwstr>
  </property>
  <property fmtid="{D5CDD505-2E9C-101B-9397-08002B2CF9AE}" pid="3" name="Mendeley Recent Style Id 0_1">
    <vt:lpwstr>http://www.zotero.org/styles/american-political-science-association</vt:lpwstr>
  </property>
  <property fmtid="{D5CDD505-2E9C-101B-9397-08002B2CF9AE}" pid="4" name="Mendeley Recent Style Name 0_1">
    <vt:lpwstr>American Political Science Association</vt:lpwstr>
  </property>
  <property fmtid="{D5CDD505-2E9C-101B-9397-08002B2CF9AE}" pid="5" name="Mendeley Recent Style Id 1_1">
    <vt:lpwstr>http://www.zotero.org/styles/american-sociological-association</vt:lpwstr>
  </property>
  <property fmtid="{D5CDD505-2E9C-101B-9397-08002B2CF9AE}" pid="6" name="Mendeley Recent Style Name 1_1">
    <vt:lpwstr>American Sociological Association</vt:lpwstr>
  </property>
  <property fmtid="{D5CDD505-2E9C-101B-9397-08002B2CF9AE}" pid="7" name="Mendeley Recent Style Id 2_1">
    <vt:lpwstr>http://www.zotero.org/styles/chicago-author-date</vt:lpwstr>
  </property>
  <property fmtid="{D5CDD505-2E9C-101B-9397-08002B2CF9AE}" pid="8" name="Mendeley Recent Style Name 2_1">
    <vt:lpwstr>Chicago Manual of Style 17th edition (author-date)</vt:lpwstr>
  </property>
  <property fmtid="{D5CDD505-2E9C-101B-9397-08002B2CF9AE}" pid="9" name="Mendeley Recent Style Id 3_1">
    <vt:lpwstr>http://www.zotero.org/styles/ieee</vt:lpwstr>
  </property>
  <property fmtid="{D5CDD505-2E9C-101B-9397-08002B2CF9AE}" pid="10" name="Mendeley Recent Style Name 3_1">
    <vt:lpwstr>IEEE</vt:lpwstr>
  </property>
  <property fmtid="{D5CDD505-2E9C-101B-9397-08002B2CF9AE}" pid="11" name="Mendeley Recent Style Id 4_1">
    <vt:lpwstr>http://www.zotero.org/styles/modern-humanities-research-association</vt:lpwstr>
  </property>
  <property fmtid="{D5CDD505-2E9C-101B-9397-08002B2CF9AE}" pid="12" name="Mendeley Recent Style Name 4_1">
    <vt:lpwstr>Modern Humanities Research Association 3rd edition (note with bibliography)</vt:lpwstr>
  </property>
  <property fmtid="{D5CDD505-2E9C-101B-9397-08002B2CF9AE}" pid="13" name="Mendeley Recent Style Id 5_1">
    <vt:lpwstr>http://www.zotero.org/styles/modern-language-association</vt:lpwstr>
  </property>
  <property fmtid="{D5CDD505-2E9C-101B-9397-08002B2CF9AE}" pid="14" name="Mendeley Recent Style Name 5_1">
    <vt:lpwstr>Modern Language Association 8th edition</vt:lpwstr>
  </property>
  <property fmtid="{D5CDD505-2E9C-101B-9397-08002B2CF9AE}" pid="15" name="Mendeley Recent Style Id 6_1">
    <vt:lpwstr>http://www.zotero.org/styles/nature</vt:lpwstr>
  </property>
  <property fmtid="{D5CDD505-2E9C-101B-9397-08002B2CF9AE}" pid="16" name="Mendeley Recent Style Name 6_1">
    <vt:lpwstr>Nature</vt:lpwstr>
  </property>
  <property fmtid="{D5CDD505-2E9C-101B-9397-08002B2CF9AE}" pid="17" name="Mendeley Recent Style Id 7_1">
    <vt:lpwstr>http://www.zotero.org/styles/taylor-and-francis-apa</vt:lpwstr>
  </property>
  <property fmtid="{D5CDD505-2E9C-101B-9397-08002B2CF9AE}" pid="18" name="Mendeley Recent Style Name 7_1">
    <vt:lpwstr>Taylor &amp; Francis - APA</vt:lpwstr>
  </property>
  <property fmtid="{D5CDD505-2E9C-101B-9397-08002B2CF9AE}" pid="19" name="Mendeley Recent Style Id 8_1">
    <vt:lpwstr>http://www.zotero.org/styles/harvard-university-of-leeds</vt:lpwstr>
  </property>
  <property fmtid="{D5CDD505-2E9C-101B-9397-08002B2CF9AE}" pid="20" name="Mendeley Recent Style Name 8_1">
    <vt:lpwstr>University of Leeds - Harvard</vt:lpwstr>
  </property>
  <property fmtid="{D5CDD505-2E9C-101B-9397-08002B2CF9AE}" pid="21" name="Mendeley Recent Style Id 9_1">
    <vt:lpwstr>http://www.zotero.org/styles/university-of-york-apa</vt:lpwstr>
  </property>
  <property fmtid="{D5CDD505-2E9C-101B-9397-08002B2CF9AE}" pid="22" name="Mendeley Recent Style Name 9_1">
    <vt:lpwstr>University of York - APA 6th edition</vt:lpwstr>
  </property>
  <property fmtid="{D5CDD505-2E9C-101B-9397-08002B2CF9AE}" pid="23" name="Mendeley Document_1">
    <vt:lpwstr>True</vt:lpwstr>
  </property>
  <property fmtid="{D5CDD505-2E9C-101B-9397-08002B2CF9AE}" pid="24" name="Mendeley Unique User Id_1">
    <vt:lpwstr>02179193-a28a-3ff8-8531-faa55d727d06</vt:lpwstr>
  </property>
  <property fmtid="{D5CDD505-2E9C-101B-9397-08002B2CF9AE}" pid="25" name="Mendeley Citation Style_1">
    <vt:lpwstr>http://www.zotero.org/styles/harvard-university-of-leeds</vt:lpwstr>
  </property>
</Properties>
</file>